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B1BD7">
      <w:pPr>
        <w:pStyle w:val="2"/>
        <w:rPr>
          <w:rFonts w:hint="eastAsia" w:ascii="仿宋_GB2312" w:hAnsi="仿宋_GB2312" w:eastAsia="仿宋_GB2312" w:cs="仿宋_GB2312"/>
          <w:color w:val="auto"/>
          <w:highlight w:val="none"/>
        </w:rPr>
      </w:pPr>
    </w:p>
    <w:p w14:paraId="348AF19F">
      <w:pPr>
        <w:jc w:val="center"/>
        <w:rPr>
          <w:rFonts w:hint="eastAsia" w:ascii="仿宋_GB2312" w:hAnsi="仿宋_GB2312" w:eastAsia="仿宋_GB2312" w:cs="仿宋_GB2312"/>
          <w:color w:val="auto"/>
          <w:sz w:val="32"/>
          <w:szCs w:val="32"/>
          <w:highlight w:val="none"/>
        </w:rPr>
      </w:pPr>
    </w:p>
    <w:p w14:paraId="2DEF8D2A">
      <w:pPr>
        <w:tabs>
          <w:tab w:val="left" w:pos="5985"/>
        </w:tabs>
        <w:ind w:firstLine="1084" w:firstLineChars="3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36"/>
          <w:szCs w:val="36"/>
          <w:highlight w:val="none"/>
          <w:lang w:eastAsia="zh-CN"/>
        </w:rPr>
        <w:t>浙江国际海运职业技术学院台式计算机采购项目</w:t>
      </w:r>
      <w:r>
        <w:rPr>
          <w:rFonts w:hint="eastAsia" w:ascii="仿宋_GB2312" w:hAnsi="仿宋_GB2312" w:eastAsia="仿宋_GB2312" w:cs="仿宋_GB2312"/>
          <w:color w:val="auto"/>
          <w:sz w:val="24"/>
          <w:szCs w:val="24"/>
          <w:highlight w:val="none"/>
        </w:rPr>
        <w:tab/>
      </w:r>
    </w:p>
    <w:p w14:paraId="0089A166">
      <w:pPr>
        <w:pStyle w:val="7"/>
        <w:jc w:val="center"/>
        <w:rPr>
          <w:rFonts w:hint="eastAsia" w:ascii="仿宋_GB2312" w:hAnsi="仿宋_GB2312" w:eastAsia="仿宋_GB2312" w:cs="仿宋_GB2312"/>
          <w:color w:val="auto"/>
          <w:highlight w:val="none"/>
        </w:rPr>
      </w:pPr>
    </w:p>
    <w:p w14:paraId="68E3125D">
      <w:pPr>
        <w:jc w:val="center"/>
        <w:rPr>
          <w:rFonts w:hint="eastAsia" w:ascii="仿宋_GB2312" w:hAnsi="仿宋_GB2312" w:eastAsia="仿宋_GB2312" w:cs="仿宋_GB2312"/>
          <w:color w:val="auto"/>
          <w:sz w:val="24"/>
          <w:szCs w:val="24"/>
          <w:highlight w:val="none"/>
        </w:rPr>
      </w:pPr>
    </w:p>
    <w:p w14:paraId="7F6D1204">
      <w:pPr>
        <w:jc w:val="center"/>
        <w:rPr>
          <w:rFonts w:hint="eastAsia" w:ascii="仿宋_GB2312" w:hAnsi="仿宋_GB2312" w:eastAsia="仿宋_GB2312" w:cs="仿宋_GB2312"/>
          <w:color w:val="auto"/>
          <w:sz w:val="24"/>
          <w:szCs w:val="24"/>
          <w:highlight w:val="none"/>
        </w:rPr>
      </w:pPr>
    </w:p>
    <w:p w14:paraId="261A9991">
      <w:pPr>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公开招标文件</w:t>
      </w:r>
    </w:p>
    <w:p w14:paraId="2177E38D">
      <w:pPr>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（电子招投标）</w:t>
      </w:r>
    </w:p>
    <w:p w14:paraId="2DE0A14C">
      <w:pPr>
        <w:spacing w:line="60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编号:</w:t>
      </w:r>
      <w:r>
        <w:rPr>
          <w:rFonts w:hint="eastAsia" w:ascii="仿宋_GB2312" w:hAnsi="仿宋_GB2312" w:eastAsia="仿宋_GB2312" w:cs="仿宋_GB2312"/>
          <w:color w:val="auto"/>
          <w:sz w:val="30"/>
          <w:szCs w:val="30"/>
          <w:highlight w:val="none"/>
          <w:lang w:eastAsia="zh-CN"/>
        </w:rPr>
        <w:t>ZSZFCG2025-ZB-0</w:t>
      </w:r>
      <w:r>
        <w:rPr>
          <w:rFonts w:hint="eastAsia" w:ascii="仿宋_GB2312" w:hAnsi="仿宋_GB2312" w:eastAsia="仿宋_GB2312" w:cs="仿宋_GB2312"/>
          <w:color w:val="auto"/>
          <w:sz w:val="30"/>
          <w:szCs w:val="30"/>
          <w:highlight w:val="none"/>
          <w:lang w:val="en-US" w:eastAsia="zh-CN"/>
        </w:rPr>
        <w:t>29</w:t>
      </w:r>
    </w:p>
    <w:p w14:paraId="04182F75">
      <w:pPr>
        <w:spacing w:line="600" w:lineRule="exact"/>
        <w:jc w:val="center"/>
        <w:rPr>
          <w:rFonts w:hint="eastAsia" w:ascii="仿宋_GB2312" w:hAnsi="仿宋_GB2312" w:eastAsia="仿宋_GB2312" w:cs="仿宋_GB2312"/>
          <w:color w:val="auto"/>
          <w:sz w:val="30"/>
          <w:szCs w:val="30"/>
          <w:highlight w:val="none"/>
        </w:rPr>
      </w:pPr>
    </w:p>
    <w:p w14:paraId="7CE08AD7">
      <w:pPr>
        <w:spacing w:line="600" w:lineRule="exact"/>
        <w:jc w:val="center"/>
        <w:rPr>
          <w:rFonts w:hint="eastAsia" w:ascii="仿宋_GB2312" w:hAnsi="仿宋_GB2312" w:eastAsia="仿宋_GB2312" w:cs="仿宋_GB2312"/>
          <w:color w:val="auto"/>
          <w:sz w:val="30"/>
          <w:szCs w:val="30"/>
          <w:highlight w:val="none"/>
        </w:rPr>
      </w:pPr>
    </w:p>
    <w:p w14:paraId="78448BB2">
      <w:pPr>
        <w:spacing w:line="600" w:lineRule="exact"/>
        <w:jc w:val="center"/>
        <w:rPr>
          <w:rFonts w:hint="eastAsia" w:ascii="仿宋_GB2312" w:hAnsi="仿宋_GB2312" w:eastAsia="仿宋_GB2312" w:cs="仿宋_GB2312"/>
          <w:color w:val="auto"/>
          <w:sz w:val="30"/>
          <w:szCs w:val="30"/>
          <w:highlight w:val="none"/>
        </w:rPr>
      </w:pPr>
    </w:p>
    <w:p w14:paraId="5ADD857A">
      <w:pPr>
        <w:spacing w:line="600" w:lineRule="exact"/>
        <w:jc w:val="center"/>
        <w:rPr>
          <w:rFonts w:hint="eastAsia" w:ascii="仿宋_GB2312" w:hAnsi="仿宋_GB2312" w:eastAsia="仿宋_GB2312" w:cs="仿宋_GB2312"/>
          <w:color w:val="auto"/>
          <w:sz w:val="30"/>
          <w:szCs w:val="30"/>
          <w:highlight w:val="none"/>
        </w:rPr>
      </w:pPr>
    </w:p>
    <w:p w14:paraId="5F4A1292">
      <w:pPr>
        <w:adjustRightInd w:val="0"/>
        <w:snapToGrid w:val="0"/>
        <w:spacing w:line="600" w:lineRule="exact"/>
        <w:jc w:val="center"/>
        <w:rPr>
          <w:rFonts w:hint="eastAsia" w:ascii="仿宋_GB2312" w:eastAsia="仿宋_GB2312"/>
          <w:color w:val="auto"/>
          <w:sz w:val="30"/>
          <w:szCs w:val="30"/>
        </w:rPr>
      </w:pPr>
      <w:r>
        <w:rPr>
          <w:rFonts w:hint="eastAsia" w:ascii="仿宋_GB2312" w:eastAsia="仿宋_GB2312"/>
          <w:color w:val="auto"/>
          <w:sz w:val="30"/>
          <w:szCs w:val="30"/>
        </w:rPr>
        <w:t>浙江国际海运职业技术学院</w:t>
      </w:r>
    </w:p>
    <w:p w14:paraId="5BAEF3E7">
      <w:pPr>
        <w:adjustRightInd w:val="0"/>
        <w:snapToGrid w:val="0"/>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舟山市公共资源交易中心</w:t>
      </w:r>
    </w:p>
    <w:p w14:paraId="38C6255F">
      <w:pPr>
        <w:adjustRightInd w:val="0"/>
        <w:snapToGrid w:val="0"/>
        <w:spacing w:line="60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rPr>
        <w:t>月</w:t>
      </w:r>
    </w:p>
    <w:p w14:paraId="57121D5A">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bookmarkStart w:id="0" w:name="_Hlt67893495"/>
      <w:bookmarkEnd w:id="0"/>
    </w:p>
    <w:p w14:paraId="65D2AC91">
      <w:pPr>
        <w:rPr>
          <w:rFonts w:hint="eastAsia" w:ascii="仿宋_GB2312" w:hAnsi="仿宋_GB2312" w:eastAsia="仿宋_GB2312" w:cs="仿宋_GB2312"/>
          <w:color w:val="auto"/>
          <w:sz w:val="24"/>
          <w:szCs w:val="24"/>
          <w:highlight w:val="none"/>
        </w:rPr>
      </w:pPr>
    </w:p>
    <w:p w14:paraId="0322250A">
      <w:pPr>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目录</w:t>
      </w:r>
    </w:p>
    <w:p w14:paraId="683C99C7">
      <w:pPr>
        <w:rPr>
          <w:rFonts w:hint="eastAsia" w:ascii="仿宋_GB2312" w:hAnsi="仿宋_GB2312" w:eastAsia="仿宋_GB2312" w:cs="仿宋_GB2312"/>
          <w:color w:val="auto"/>
          <w:sz w:val="28"/>
          <w:szCs w:val="28"/>
          <w:highlight w:val="none"/>
        </w:rPr>
      </w:pPr>
    </w:p>
    <w:p w14:paraId="6CDE4689">
      <w:pPr>
        <w:spacing w:line="360" w:lineRule="auto"/>
        <w:rPr>
          <w:rFonts w:hint="eastAsia" w:ascii="仿宋_GB2312" w:hAnsi="仿宋_GB2312" w:eastAsia="仿宋_GB2312" w:cs="仿宋_GB2312"/>
          <w:color w:val="auto"/>
          <w:sz w:val="28"/>
          <w:szCs w:val="28"/>
          <w:highlight w:val="none"/>
        </w:rPr>
      </w:pPr>
    </w:p>
    <w:p w14:paraId="6612C1F3">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第一部分  招标公告</w:t>
      </w:r>
    </w:p>
    <w:p w14:paraId="1CD8E851">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第二部分  投标人须知</w:t>
      </w:r>
    </w:p>
    <w:p w14:paraId="73516820">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第三部分  采购需求</w:t>
      </w:r>
    </w:p>
    <w:p w14:paraId="2E07BB33">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第四部分  评标办法</w:t>
      </w:r>
    </w:p>
    <w:p w14:paraId="53B5D3D8">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第五部分  拟签订的合同文本</w:t>
      </w:r>
    </w:p>
    <w:p w14:paraId="72EF31B6">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第六部分  应提交的有关格式范例</w:t>
      </w:r>
    </w:p>
    <w:p w14:paraId="291B2B5C">
      <w:pPr>
        <w:rPr>
          <w:rFonts w:hint="eastAsia" w:ascii="仿宋_GB2312" w:hAnsi="仿宋_GB2312" w:eastAsia="仿宋_GB2312" w:cs="仿宋_GB2312"/>
          <w:color w:val="auto"/>
          <w:sz w:val="24"/>
          <w:szCs w:val="24"/>
          <w:highlight w:val="none"/>
        </w:rPr>
      </w:pPr>
      <w:bookmarkStart w:id="1" w:name="_Hlt91233176"/>
      <w:bookmarkEnd w:id="1"/>
      <w:bookmarkStart w:id="2" w:name="_Toc91899869"/>
    </w:p>
    <w:p w14:paraId="73619FFD">
      <w:pPr>
        <w:rPr>
          <w:rFonts w:hint="eastAsia" w:ascii="仿宋_GB2312" w:hAnsi="仿宋_GB2312" w:eastAsia="仿宋_GB2312" w:cs="仿宋_GB2312"/>
          <w:color w:val="auto"/>
          <w:sz w:val="24"/>
          <w:szCs w:val="24"/>
          <w:highlight w:val="none"/>
        </w:rPr>
      </w:pPr>
    </w:p>
    <w:p w14:paraId="09141AF4">
      <w:pPr>
        <w:rPr>
          <w:rFonts w:hint="eastAsia" w:ascii="仿宋_GB2312" w:hAnsi="仿宋_GB2312" w:eastAsia="仿宋_GB2312" w:cs="仿宋_GB2312"/>
          <w:color w:val="auto"/>
          <w:sz w:val="24"/>
          <w:szCs w:val="24"/>
          <w:highlight w:val="none"/>
        </w:rPr>
      </w:pPr>
    </w:p>
    <w:p w14:paraId="4C932243">
      <w:pPr>
        <w:rPr>
          <w:rFonts w:hint="eastAsia" w:ascii="仿宋_GB2312" w:hAnsi="仿宋_GB2312" w:eastAsia="仿宋_GB2312" w:cs="仿宋_GB2312"/>
          <w:color w:val="auto"/>
          <w:sz w:val="24"/>
          <w:szCs w:val="24"/>
          <w:highlight w:val="none"/>
        </w:rPr>
      </w:pPr>
    </w:p>
    <w:p w14:paraId="1AF7CD2F">
      <w:pPr>
        <w:rPr>
          <w:rFonts w:hint="eastAsia" w:ascii="仿宋_GB2312" w:hAnsi="仿宋_GB2312" w:eastAsia="仿宋_GB2312" w:cs="仿宋_GB2312"/>
          <w:color w:val="auto"/>
          <w:sz w:val="24"/>
          <w:szCs w:val="24"/>
          <w:highlight w:val="none"/>
        </w:rPr>
      </w:pPr>
    </w:p>
    <w:p w14:paraId="2C334433">
      <w:pPr>
        <w:rPr>
          <w:rFonts w:hint="eastAsia" w:ascii="仿宋_GB2312" w:hAnsi="仿宋_GB2312" w:eastAsia="仿宋_GB2312" w:cs="仿宋_GB2312"/>
          <w:color w:val="auto"/>
          <w:sz w:val="24"/>
          <w:szCs w:val="24"/>
          <w:highlight w:val="none"/>
        </w:rPr>
      </w:pPr>
    </w:p>
    <w:p w14:paraId="0F869E99">
      <w:pPr>
        <w:rPr>
          <w:rFonts w:hint="eastAsia" w:ascii="仿宋_GB2312" w:hAnsi="仿宋_GB2312" w:eastAsia="仿宋_GB2312" w:cs="仿宋_GB2312"/>
          <w:color w:val="auto"/>
          <w:sz w:val="24"/>
          <w:szCs w:val="24"/>
          <w:highlight w:val="none"/>
        </w:rPr>
      </w:pPr>
    </w:p>
    <w:p w14:paraId="0886CB41">
      <w:pPr>
        <w:rPr>
          <w:rFonts w:hint="eastAsia" w:ascii="仿宋_GB2312" w:hAnsi="仿宋_GB2312" w:eastAsia="仿宋_GB2312" w:cs="仿宋_GB2312"/>
          <w:color w:val="auto"/>
          <w:sz w:val="24"/>
          <w:szCs w:val="24"/>
          <w:highlight w:val="none"/>
        </w:rPr>
      </w:pPr>
    </w:p>
    <w:p w14:paraId="7149CDC1">
      <w:pPr>
        <w:rPr>
          <w:rFonts w:hint="eastAsia" w:ascii="仿宋_GB2312" w:hAnsi="仿宋_GB2312" w:eastAsia="仿宋_GB2312" w:cs="仿宋_GB2312"/>
          <w:color w:val="auto"/>
          <w:sz w:val="24"/>
          <w:szCs w:val="24"/>
          <w:highlight w:val="none"/>
        </w:rPr>
      </w:pPr>
    </w:p>
    <w:p w14:paraId="22DD358F">
      <w:pPr>
        <w:rPr>
          <w:rFonts w:hint="eastAsia" w:ascii="仿宋_GB2312" w:hAnsi="仿宋_GB2312" w:eastAsia="仿宋_GB2312" w:cs="仿宋_GB2312"/>
          <w:color w:val="auto"/>
          <w:sz w:val="24"/>
          <w:szCs w:val="24"/>
          <w:highlight w:val="none"/>
        </w:rPr>
      </w:pPr>
    </w:p>
    <w:p w14:paraId="35AB0D40">
      <w:pPr>
        <w:rPr>
          <w:rFonts w:hint="eastAsia" w:ascii="仿宋_GB2312" w:hAnsi="仿宋_GB2312" w:eastAsia="仿宋_GB2312" w:cs="仿宋_GB2312"/>
          <w:color w:val="auto"/>
          <w:sz w:val="24"/>
          <w:szCs w:val="24"/>
          <w:highlight w:val="none"/>
        </w:rPr>
      </w:pPr>
    </w:p>
    <w:p w14:paraId="79704B7E">
      <w:pPr>
        <w:rPr>
          <w:rFonts w:hint="eastAsia" w:ascii="仿宋_GB2312" w:hAnsi="仿宋_GB2312" w:eastAsia="仿宋_GB2312" w:cs="仿宋_GB2312"/>
          <w:color w:val="auto"/>
          <w:sz w:val="24"/>
          <w:szCs w:val="24"/>
          <w:highlight w:val="none"/>
        </w:rPr>
      </w:pPr>
    </w:p>
    <w:p w14:paraId="1E370FC9">
      <w:pPr>
        <w:rPr>
          <w:rFonts w:hint="eastAsia" w:ascii="仿宋_GB2312" w:hAnsi="仿宋_GB2312" w:eastAsia="仿宋_GB2312" w:cs="仿宋_GB2312"/>
          <w:color w:val="auto"/>
          <w:sz w:val="24"/>
          <w:szCs w:val="24"/>
          <w:highlight w:val="none"/>
        </w:rPr>
      </w:pPr>
    </w:p>
    <w:p w14:paraId="573E9B1B">
      <w:pPr>
        <w:rPr>
          <w:rFonts w:hint="eastAsia" w:ascii="仿宋_GB2312" w:hAnsi="仿宋_GB2312" w:eastAsia="仿宋_GB2312" w:cs="仿宋_GB2312"/>
          <w:color w:val="auto"/>
          <w:sz w:val="24"/>
          <w:szCs w:val="24"/>
          <w:highlight w:val="none"/>
        </w:rPr>
      </w:pPr>
    </w:p>
    <w:p w14:paraId="78EE0F63">
      <w:pPr>
        <w:ind w:firstLine="3360" w:firstLineChars="1400"/>
        <w:outlineLvl w:val="0"/>
        <w:rPr>
          <w:rFonts w:hint="eastAsia" w:ascii="仿宋_GB2312" w:hAnsi="仿宋_GB2312" w:eastAsia="仿宋_GB2312" w:cs="仿宋_GB2312"/>
          <w:b/>
          <w:color w:val="auto"/>
          <w:sz w:val="28"/>
          <w:szCs w:val="28"/>
          <w:highlight w:val="none"/>
        </w:rPr>
      </w:pPr>
      <w:bookmarkStart w:id="3" w:name="第一部分"/>
      <w:r>
        <w:rPr>
          <w:rFonts w:hint="eastAsia" w:ascii="仿宋_GB2312" w:hAnsi="仿宋_GB2312" w:eastAsia="仿宋_GB2312" w:cs="仿宋_GB2312"/>
          <w:color w:val="auto"/>
          <w:sz w:val="24"/>
          <w:szCs w:val="24"/>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_GB2312" w:hAnsi="仿宋_GB2312" w:eastAsia="仿宋_GB2312" w:cs="仿宋_GB2312"/>
          <w:color w:val="auto"/>
          <w:sz w:val="32"/>
          <w:szCs w:val="32"/>
          <w:highlight w:val="none"/>
        </w:rPr>
        <w:t>第一部分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招标公告</w:t>
      </w:r>
    </w:p>
    <w:p w14:paraId="09655BE4">
      <w:pPr>
        <w:spacing w:line="420" w:lineRule="exact"/>
        <w:ind w:firstLine="482" w:firstLineChars="200"/>
        <w:contextualSpacing/>
        <w:rPr>
          <w:rFonts w:hint="eastAsia" w:ascii="仿宋_GB2312" w:hAnsi="仿宋_GB2312" w:eastAsia="仿宋_GB2312" w:cs="仿宋_GB2312"/>
          <w:b/>
          <w:color w:val="auto"/>
          <w:sz w:val="24"/>
          <w:szCs w:val="24"/>
          <w:highlight w:val="none"/>
        </w:rPr>
      </w:pPr>
    </w:p>
    <w:p w14:paraId="05146EC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浙江国际海运职业技术学院台式计算机采购项目</w:t>
      </w:r>
      <w:r>
        <w:rPr>
          <w:rFonts w:hint="eastAsia" w:ascii="仿宋_GB2312" w:hAnsi="仿宋_GB2312" w:eastAsia="仿宋_GB2312" w:cs="仿宋_GB2312"/>
          <w:color w:val="auto"/>
          <w:sz w:val="24"/>
          <w:szCs w:val="24"/>
          <w:highlight w:val="none"/>
        </w:rPr>
        <w:t>的潜在投标人应在政采云平台</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"https://www.zcygov.cn/）获取（下载）招标文件，并于2024年8月9日9点%2015分00秒" </w:instrText>
      </w:r>
      <w:r>
        <w:rPr>
          <w:rFonts w:hint="eastAsia" w:ascii="仿宋_GB2312" w:hAnsi="仿宋_GB2312" w:eastAsia="仿宋_GB2312" w:cs="仿宋_GB2312"/>
          <w:b w:val="0"/>
          <w:bCs w:val="0"/>
          <w:color w:val="auto"/>
          <w:highlight w:val="none"/>
        </w:rPr>
        <w:fldChar w:fldCharType="separate"/>
      </w:r>
      <w:r>
        <w:rPr>
          <w:rStyle w:val="18"/>
          <w:rFonts w:hint="eastAsia" w:ascii="仿宋_GB2312" w:hAnsi="仿宋_GB2312" w:eastAsia="仿宋_GB2312" w:cs="仿宋_GB2312"/>
          <w:b w:val="0"/>
          <w:bCs w:val="0"/>
          <w:color w:val="auto"/>
          <w:sz w:val="24"/>
          <w:szCs w:val="24"/>
          <w:highlight w:val="none"/>
        </w:rPr>
        <w:t>https://www.zcygov.cn/）获取（下载）招标文件，并于202</w:t>
      </w:r>
      <w:r>
        <w:rPr>
          <w:rStyle w:val="18"/>
          <w:rFonts w:hint="eastAsia" w:ascii="仿宋_GB2312" w:hAnsi="仿宋_GB2312" w:eastAsia="仿宋_GB2312" w:cs="仿宋_GB2312"/>
          <w:b w:val="0"/>
          <w:bCs w:val="0"/>
          <w:color w:val="auto"/>
          <w:sz w:val="24"/>
          <w:szCs w:val="24"/>
          <w:highlight w:val="none"/>
          <w:lang w:val="en-US" w:eastAsia="zh-CN"/>
        </w:rPr>
        <w:t>5</w:t>
      </w:r>
      <w:r>
        <w:rPr>
          <w:rStyle w:val="18"/>
          <w:rFonts w:hint="eastAsia" w:ascii="仿宋_GB2312" w:hAnsi="仿宋_GB2312" w:eastAsia="仿宋_GB2312" w:cs="仿宋_GB2312"/>
          <w:b w:val="0"/>
          <w:bCs w:val="0"/>
          <w:color w:val="auto"/>
          <w:sz w:val="24"/>
          <w:szCs w:val="24"/>
          <w:highlight w:val="none"/>
        </w:rPr>
        <w:t>年</w:t>
      </w:r>
      <w:r>
        <w:rPr>
          <w:rStyle w:val="18"/>
          <w:rFonts w:hint="eastAsia" w:ascii="仿宋_GB2312" w:hAnsi="仿宋_GB2312" w:eastAsia="仿宋_GB2312" w:cs="仿宋_GB2312"/>
          <w:b w:val="0"/>
          <w:bCs w:val="0"/>
          <w:color w:val="auto"/>
          <w:sz w:val="24"/>
          <w:szCs w:val="24"/>
          <w:highlight w:val="none"/>
          <w:lang w:val="en-US" w:eastAsia="zh-CN"/>
        </w:rPr>
        <w:t>7</w:t>
      </w:r>
      <w:r>
        <w:rPr>
          <w:rStyle w:val="18"/>
          <w:rFonts w:hint="eastAsia" w:ascii="仿宋_GB2312" w:hAnsi="仿宋_GB2312" w:eastAsia="仿宋_GB2312" w:cs="仿宋_GB2312"/>
          <w:b w:val="0"/>
          <w:bCs w:val="0"/>
          <w:color w:val="auto"/>
          <w:sz w:val="24"/>
          <w:szCs w:val="24"/>
          <w:highlight w:val="none"/>
        </w:rPr>
        <w:t>月</w:t>
      </w:r>
      <w:r>
        <w:rPr>
          <w:rStyle w:val="18"/>
          <w:rFonts w:hint="eastAsia" w:ascii="仿宋_GB2312" w:hAnsi="仿宋_GB2312" w:eastAsia="仿宋_GB2312" w:cs="仿宋_GB2312"/>
          <w:b w:val="0"/>
          <w:bCs w:val="0"/>
          <w:color w:val="auto"/>
          <w:sz w:val="24"/>
          <w:szCs w:val="24"/>
          <w:highlight w:val="none"/>
          <w:lang w:val="en-US" w:eastAsia="zh-CN"/>
        </w:rPr>
        <w:t>30</w:t>
      </w:r>
      <w:r>
        <w:rPr>
          <w:rStyle w:val="18"/>
          <w:rFonts w:hint="eastAsia" w:ascii="仿宋_GB2312" w:hAnsi="仿宋_GB2312" w:eastAsia="仿宋_GB2312" w:cs="仿宋_GB2312"/>
          <w:b w:val="0"/>
          <w:bCs w:val="0"/>
          <w:color w:val="auto"/>
          <w:sz w:val="24"/>
          <w:szCs w:val="24"/>
          <w:highlight w:val="none"/>
        </w:rPr>
        <w:t>日9点 15分00秒</w:t>
      </w:r>
      <w:r>
        <w:rPr>
          <w:rStyle w:val="18"/>
          <w:rFonts w:hint="eastAsia" w:ascii="仿宋_GB2312" w:hAnsi="仿宋_GB2312" w:eastAsia="仿宋_GB2312" w:cs="仿宋_GB2312"/>
          <w:b w:val="0"/>
          <w:bCs w:val="0"/>
          <w:color w:val="auto"/>
          <w:sz w:val="24"/>
          <w:szCs w:val="24"/>
          <w:highlight w:val="none"/>
        </w:rPr>
        <w:fldChar w:fldCharType="end"/>
      </w:r>
      <w:r>
        <w:rPr>
          <w:rFonts w:hint="eastAsia" w:ascii="仿宋_GB2312" w:hAnsi="仿宋_GB2312" w:eastAsia="仿宋_GB2312" w:cs="仿宋_GB2312"/>
          <w:color w:val="auto"/>
          <w:sz w:val="24"/>
          <w:szCs w:val="24"/>
          <w:highlight w:val="none"/>
        </w:rPr>
        <w:t>（北京时间）前递交（上传）投标文件。</w:t>
      </w:r>
    </w:p>
    <w:p w14:paraId="2128A578">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一、项目基本情况</w:t>
      </w:r>
    </w:p>
    <w:p w14:paraId="67258DF2">
      <w:pPr>
        <w:spacing w:line="420" w:lineRule="exact"/>
        <w:ind w:firstLine="480" w:firstLineChars="200"/>
        <w:contextualSpacing/>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lang w:eastAsia="zh-CN"/>
        </w:rPr>
        <w:t>ZSZFCG2025-ZB-0</w:t>
      </w:r>
      <w:r>
        <w:rPr>
          <w:rFonts w:hint="eastAsia" w:ascii="仿宋_GB2312" w:hAnsi="仿宋_GB2312" w:eastAsia="仿宋_GB2312" w:cs="仿宋_GB2312"/>
          <w:color w:val="auto"/>
          <w:sz w:val="24"/>
          <w:szCs w:val="24"/>
          <w:highlight w:val="none"/>
          <w:lang w:val="en-US" w:eastAsia="zh-CN"/>
        </w:rPr>
        <w:t>29</w:t>
      </w:r>
    </w:p>
    <w:p w14:paraId="27691576">
      <w:pPr>
        <w:spacing w:line="420" w:lineRule="exact"/>
        <w:ind w:firstLine="480" w:firstLineChars="200"/>
        <w:contextualSpacing/>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项目名称：浙江国际海运职业技术学院台式计算机采购项目</w:t>
      </w:r>
    </w:p>
    <w:p w14:paraId="076CA043">
      <w:pPr>
        <w:spacing w:line="420" w:lineRule="exact"/>
        <w:ind w:firstLine="480" w:firstLineChars="200"/>
        <w:contextualSpacing/>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预算金额（元）：</w:t>
      </w:r>
      <w:r>
        <w:rPr>
          <w:rFonts w:hint="eastAsia" w:ascii="仿宋_GB2312" w:hAnsi="仿宋_GB2312" w:eastAsia="仿宋_GB2312" w:cs="仿宋_GB2312"/>
          <w:bCs/>
          <w:color w:val="auto"/>
          <w:sz w:val="24"/>
          <w:szCs w:val="24"/>
          <w:highlight w:val="none"/>
          <w:lang w:val="en-US" w:eastAsia="zh-CN"/>
        </w:rPr>
        <w:t>539400</w:t>
      </w:r>
    </w:p>
    <w:p w14:paraId="6F09E585">
      <w:pPr>
        <w:spacing w:line="420" w:lineRule="exact"/>
        <w:ind w:firstLine="480" w:firstLineChars="200"/>
        <w:contextualSpacing/>
        <w:rPr>
          <w:rFonts w:hint="default" w:ascii="仿宋_GB2312" w:hAnsi="仿宋_GB2312" w:eastAsia="宋体"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最高限价（元）：</w:t>
      </w:r>
      <w:r>
        <w:rPr>
          <w:rFonts w:hint="eastAsia" w:ascii="仿宋_GB2312" w:hAnsi="仿宋_GB2312" w:eastAsia="仿宋_GB2312" w:cs="仿宋_GB2312"/>
          <w:bCs/>
          <w:color w:val="auto"/>
          <w:sz w:val="24"/>
          <w:szCs w:val="24"/>
          <w:highlight w:val="none"/>
          <w:lang w:val="en-US" w:eastAsia="zh-CN"/>
        </w:rPr>
        <w:t>539400</w:t>
      </w:r>
    </w:p>
    <w:p w14:paraId="0D32DFB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采购需求：详见招标文件第三部分采购需求</w:t>
      </w:r>
    </w:p>
    <w:p w14:paraId="0F63A5C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合同履约期限：详见采购文件</w:t>
      </w:r>
    </w:p>
    <w:p w14:paraId="1F6A162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本项目接受联合体投标：</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否</w:t>
      </w:r>
    </w:p>
    <w:p w14:paraId="18FAEEBB">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二、申请人的资格要求：</w:t>
      </w:r>
    </w:p>
    <w:p w14:paraId="396848B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75B59CB">
      <w:pPr>
        <w:spacing w:line="420" w:lineRule="exact"/>
        <w:ind w:firstLine="552"/>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p>
    <w:p w14:paraId="0FB29CD5">
      <w:pPr>
        <w:spacing w:line="420" w:lineRule="exact"/>
        <w:ind w:firstLine="552"/>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w:t>
      </w:r>
    </w:p>
    <w:p w14:paraId="72D4830A">
      <w:pPr>
        <w:spacing w:line="420" w:lineRule="exact"/>
        <w:ind w:firstLine="42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专门面向中小企业</w:t>
      </w:r>
    </w:p>
    <w:p w14:paraId="5E79F270">
      <w:pPr>
        <w:spacing w:line="420" w:lineRule="exact"/>
        <w:ind w:firstLine="84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货物全部由符合政策要求的中小企业制造，提供中小企业声明函；</w:t>
      </w:r>
    </w:p>
    <w:p w14:paraId="16E22B88">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☐货物全部由符合政策要求的小微企业制造，提供中小企业声明函；</w:t>
      </w:r>
    </w:p>
    <w:p w14:paraId="4C47A5FC">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☐服务全部由符合政策要求的中小企业承接，提供中小企业声明函；</w:t>
      </w:r>
    </w:p>
    <w:p w14:paraId="16A852DB">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☐服务全部由符合政策要求的小微企业承接，提供中小企业声明函；</w:t>
      </w:r>
    </w:p>
    <w:p w14:paraId="05AFF72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14:paraId="0553B0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w:t>
      </w:r>
    </w:p>
    <w:p w14:paraId="02B9990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3.本项目的特定资格要求：无</w:t>
      </w:r>
    </w:p>
    <w:p w14:paraId="48DF7E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FC574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三、获取招标文件</w:t>
      </w:r>
    </w:p>
    <w:p w14:paraId="38ABCD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时间：/至202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日，每天上午00:00至12:00 ，下午12:00至23:59（北京时间，线上获取法定节假日均可，线下获取文件法定节假日除外的工作时间）</w:t>
      </w:r>
    </w:p>
    <w:p w14:paraId="7D846A5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地点（网址）：政采云平台（https://www.zcygov.cn/）</w:t>
      </w:r>
    </w:p>
    <w:p w14:paraId="61DD470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方式：供应商登录政采云平台https://www.zcygov.cn/在线申请获取采购文件（进入“项目采购”应用，在获取采购文件菜单中选择项目，申请获取采购文件）。</w:t>
      </w:r>
    </w:p>
    <w:p w14:paraId="66B9C33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售价（元）：0 </w:t>
      </w:r>
      <w:r>
        <w:rPr>
          <w:rFonts w:hint="eastAsia" w:ascii="仿宋_GB2312" w:hAnsi="仿宋_GB2312" w:eastAsia="仿宋_GB2312" w:cs="仿宋_GB2312"/>
          <w:color w:val="auto"/>
          <w:sz w:val="24"/>
          <w:szCs w:val="24"/>
          <w:highlight w:val="none"/>
        </w:rPr>
        <w:tab/>
      </w:r>
    </w:p>
    <w:p w14:paraId="0A1E08DE">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四、提交投标文件截止时间、开标时间和地点</w:t>
      </w:r>
    </w:p>
    <w:p w14:paraId="001D8EC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提交投标文件截止时间：202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日9点15分 （北京时间）</w:t>
      </w:r>
    </w:p>
    <w:p w14:paraId="008B9DC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投标地点（网址）：政采云平台（https://www.zcygov.cn/） </w:t>
      </w:r>
    </w:p>
    <w:p w14:paraId="1E872B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 xml:space="preserve">日9点15分 </w:t>
      </w:r>
    </w:p>
    <w:p w14:paraId="1ABDC7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开标地点（网址）：政采云平台（https://www.zcygov.cn/）</w:t>
      </w:r>
    </w:p>
    <w:p w14:paraId="3104AD50">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五、公告期限</w:t>
      </w:r>
    </w:p>
    <w:p w14:paraId="30BCBB1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自本公告发布之日起5个工作日。</w:t>
      </w:r>
    </w:p>
    <w:p w14:paraId="655FCBED">
      <w:pPr>
        <w:spacing w:line="420" w:lineRule="exact"/>
        <w:ind w:firstLine="482"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六、其他补充事宜</w:t>
      </w:r>
    </w:p>
    <w:p w14:paraId="62A878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48F133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8068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DCAE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5787934">
      <w:pPr>
        <w:spacing w:line="420" w:lineRule="exact"/>
        <w:ind w:firstLine="602" w:firstLineChars="25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七、对本次采购提出询问、质疑、投诉，请按以下方式联系</w:t>
      </w:r>
    </w:p>
    <w:p w14:paraId="166ED544">
      <w:pPr>
        <w:spacing w:line="360" w:lineRule="auto"/>
        <w:ind w:left="479" w:leftChars="22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1.采购人信息</w:t>
      </w:r>
    </w:p>
    <w:p w14:paraId="1DCF93C4">
      <w:pPr>
        <w:spacing w:line="360" w:lineRule="auto"/>
        <w:ind w:left="479" w:leftChars="228"/>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val="en-US" w:eastAsia="zh-CN"/>
        </w:rPr>
        <w:t>浙江国际海运职业技术学院</w:t>
      </w:r>
    </w:p>
    <w:p w14:paraId="248C3CED">
      <w:pPr>
        <w:spacing w:line="360" w:lineRule="auto"/>
        <w:ind w:left="479" w:leftChars="228"/>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lang w:val="en-US" w:eastAsia="zh-CN"/>
        </w:rPr>
        <w:t>舟山市定海区临城新区海天大道268号</w:t>
      </w:r>
    </w:p>
    <w:p w14:paraId="1D9C6BD1">
      <w:pPr>
        <w:spacing w:line="360" w:lineRule="auto"/>
        <w:ind w:left="479" w:leftChars="228"/>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传真:</w:t>
      </w:r>
      <w:r>
        <w:rPr>
          <w:rFonts w:hint="eastAsia" w:ascii="仿宋_GB2312" w:hAnsi="仿宋_GB2312" w:eastAsia="仿宋_GB2312" w:cs="仿宋_GB2312"/>
          <w:color w:val="auto"/>
          <w:sz w:val="24"/>
          <w:highlight w:val="none"/>
          <w:lang w:val="en-US" w:eastAsia="zh-CN"/>
        </w:rPr>
        <w:t>/</w:t>
      </w:r>
    </w:p>
    <w:p w14:paraId="4C4EBC26">
      <w:pPr>
        <w:spacing w:line="360" w:lineRule="auto"/>
        <w:ind w:firstLine="48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项目联系人（询问）: </w:t>
      </w:r>
      <w:r>
        <w:rPr>
          <w:rFonts w:hint="eastAsia" w:ascii="仿宋_GB2312" w:hAnsi="仿宋_GB2312" w:eastAsia="仿宋_GB2312" w:cs="仿宋_GB2312"/>
          <w:color w:val="auto"/>
          <w:sz w:val="24"/>
          <w:szCs w:val="24"/>
          <w:highlight w:val="none"/>
          <w:lang w:val="en-US" w:eastAsia="zh-CN"/>
        </w:rPr>
        <w:t>朱老师</w:t>
      </w:r>
    </w:p>
    <w:p w14:paraId="6B2895D5">
      <w:pPr>
        <w:spacing w:line="360" w:lineRule="auto"/>
        <w:ind w:firstLine="48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lang w:val="en-US" w:eastAsia="zh-CN"/>
        </w:rPr>
        <w:t>0580-2095756</w:t>
      </w:r>
    </w:p>
    <w:p w14:paraId="42B5312F">
      <w:pPr>
        <w:spacing w:line="360" w:lineRule="auto"/>
        <w:ind w:firstLine="48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质疑联系人： </w:t>
      </w:r>
      <w:r>
        <w:rPr>
          <w:rFonts w:hint="eastAsia" w:ascii="仿宋_GB2312" w:hAnsi="仿宋_GB2312" w:eastAsia="仿宋_GB2312" w:cs="仿宋_GB2312"/>
          <w:color w:val="auto"/>
          <w:sz w:val="24"/>
          <w:szCs w:val="24"/>
          <w:highlight w:val="none"/>
          <w:lang w:val="en-US" w:eastAsia="zh-CN"/>
        </w:rPr>
        <w:t>周老师</w:t>
      </w:r>
    </w:p>
    <w:p w14:paraId="2E82FE3B">
      <w:pPr>
        <w:spacing w:line="360" w:lineRule="auto"/>
        <w:ind w:firstLine="480"/>
        <w:rPr>
          <w:rFonts w:hint="default" w:ascii="仿宋_GB2312" w:hAnsi="仿宋_GB2312" w:eastAsia="宋体"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lang w:val="en-US" w:eastAsia="zh-CN"/>
        </w:rPr>
        <w:t>0580-2095055</w:t>
      </w:r>
    </w:p>
    <w:p w14:paraId="32C57207">
      <w:pPr>
        <w:spacing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2.采购代理机构信息</w:t>
      </w:r>
    </w:p>
    <w:p w14:paraId="4C574C10">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名称：舟山市公共资源交易中心</w:t>
      </w:r>
    </w:p>
    <w:p w14:paraId="44AA55F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地址：舟山市新城翁山路555号四楼（大宗商品交易中心同幢西边）</w:t>
      </w:r>
    </w:p>
    <w:p w14:paraId="2A4DDE8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传真：/             </w:t>
      </w:r>
    </w:p>
    <w:p w14:paraId="065CFB34">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陈女士</w:t>
      </w:r>
    </w:p>
    <w:p w14:paraId="08506E39">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项目联系方式（询问）：</w:t>
      </w:r>
      <w:r>
        <w:rPr>
          <w:rFonts w:hint="eastAsia" w:ascii="仿宋_GB2312" w:hAnsi="仿宋_GB2312" w:eastAsia="仿宋_GB2312" w:cs="仿宋_GB2312"/>
          <w:color w:val="auto"/>
          <w:sz w:val="24"/>
          <w:highlight w:val="none"/>
          <w:lang w:val="en-US" w:eastAsia="zh-CN"/>
        </w:rPr>
        <w:t>0580-2280969</w:t>
      </w:r>
    </w:p>
    <w:p w14:paraId="0CFFA6D5">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质疑联系人：丁先生</w:t>
      </w:r>
    </w:p>
    <w:p w14:paraId="0A82728C">
      <w:pPr>
        <w:spacing w:line="420" w:lineRule="exact"/>
        <w:ind w:firstLine="48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质疑联系方式：0580-2280948　</w:t>
      </w:r>
    </w:p>
    <w:p w14:paraId="1ACF0FAF">
      <w:pPr>
        <w:numPr>
          <w:ilvl w:val="0"/>
          <w:numId w:val="1"/>
        </w:numPr>
        <w:spacing w:line="420" w:lineRule="exact"/>
        <w:ind w:firstLine="48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同级政府采购监督管理部门</w:t>
      </w:r>
    </w:p>
    <w:p w14:paraId="4EB7767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名称：舟山市财政局政府采购监管处</w:t>
      </w:r>
    </w:p>
    <w:p w14:paraId="00D65A0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地址：舟山市定海区新城海天大道681号</w:t>
      </w:r>
    </w:p>
    <w:p w14:paraId="69601A1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传真：0580-2282591</w:t>
      </w:r>
    </w:p>
    <w:p w14:paraId="200B7B5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联系人：王女士</w:t>
      </w:r>
    </w:p>
    <w:p w14:paraId="5E5B1A7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监督投诉电话：0580-2282591</w:t>
      </w:r>
    </w:p>
    <w:p w14:paraId="5C7ACD1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5A040B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CA问题联系电话（人工）：汇信CA 400-888-4636；天谷CA 400-087-8198。</w:t>
      </w:r>
    </w:p>
    <w:p w14:paraId="674B6CCD">
      <w:pPr>
        <w:spacing w:line="540" w:lineRule="exact"/>
        <w:contextualSpacing/>
        <w:rPr>
          <w:rFonts w:hint="eastAsia" w:ascii="仿宋_GB2312" w:hAnsi="仿宋_GB2312" w:eastAsia="仿宋_GB2312" w:cs="仿宋_GB2312"/>
          <w:color w:val="auto"/>
          <w:sz w:val="28"/>
          <w:szCs w:val="28"/>
          <w:highlight w:val="none"/>
        </w:rPr>
      </w:pPr>
    </w:p>
    <w:p w14:paraId="0E9E00E2">
      <w:pPr>
        <w:ind w:firstLine="2380" w:firstLineChars="850"/>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color w:val="auto"/>
          <w:sz w:val="32"/>
          <w:szCs w:val="32"/>
          <w:highlight w:val="none"/>
        </w:rPr>
        <w:t>第二部分</w:t>
      </w:r>
      <w:bookmarkEnd w:id="8"/>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投标人须知</w:t>
      </w:r>
      <w:bookmarkEnd w:id="9"/>
    </w:p>
    <w:p w14:paraId="19E2E24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前附表</w:t>
      </w:r>
    </w:p>
    <w:tbl>
      <w:tblPr>
        <w:tblStyle w:val="1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139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6F2CCC01">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78B86F6">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9B52422">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本项目的特别规定</w:t>
            </w:r>
          </w:p>
        </w:tc>
      </w:tr>
      <w:tr w14:paraId="7ECFA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2259F33">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AB3B887">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90626C">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有关本项目实施所需的所有费用（含税费）均计入报价。</w:t>
            </w:r>
            <w:r>
              <w:rPr>
                <w:rFonts w:hint="eastAsia" w:ascii="仿宋_GB2312" w:hAnsi="仿宋_GB2312" w:eastAsia="仿宋_GB2312" w:cs="仿宋_GB2312"/>
                <w:b/>
                <w:color w:val="auto"/>
                <w:sz w:val="24"/>
                <w:szCs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sz w:val="24"/>
                <w:szCs w:val="24"/>
                <w:highlight w:val="none"/>
              </w:rPr>
              <w:t>投标文件中价格全部采用人民币报价。招标文件未列明，而投标人认为必需的费用也需列入报价。</w:t>
            </w:r>
            <w:r>
              <w:rPr>
                <w:rFonts w:hint="eastAsia" w:ascii="仿宋_GB2312" w:hAnsi="仿宋_GB2312" w:eastAsia="仿宋_GB2312" w:cs="仿宋_GB2312"/>
                <w:b/>
                <w:color w:val="auto"/>
                <w:sz w:val="24"/>
                <w:szCs w:val="24"/>
                <w:highlight w:val="none"/>
              </w:rPr>
              <w:t>提醒：验收时检测费用由采购人承担，不包含在投标总价中。</w:t>
            </w:r>
          </w:p>
          <w:p w14:paraId="7FAA22DC">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投标报价出现下列情形的，投标无效：</w:t>
            </w:r>
          </w:p>
          <w:p w14:paraId="3594CEFC">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1.投标文件出现不是唯一的、有选择性投标报价的；</w:t>
            </w:r>
          </w:p>
          <w:p w14:paraId="0CFE45A1">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2.投标报价超过招标文件中规定的预算金额或者最高限价的;</w:t>
            </w:r>
          </w:p>
          <w:p w14:paraId="767816F8">
            <w:pPr>
              <w:spacing w:line="40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3.报价明显低于其他通过符合性审查投标人的报价，有可能影响产品质量或者不能诚信履约的，未能按要求提供书面说明或者提交相关证明材料证明其报价合理性的;</w:t>
            </w:r>
          </w:p>
          <w:p w14:paraId="49F92961">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4.投标人对根据修正原则修正后的报价不确认的。</w:t>
            </w:r>
          </w:p>
        </w:tc>
      </w:tr>
      <w:tr w14:paraId="3A3AB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9E2993">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C2334FE">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B4236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A同意将非主</w:t>
            </w:r>
            <w:r>
              <w:rPr>
                <w:rFonts w:hint="eastAsia" w:ascii="仿宋_GB2312" w:hAnsi="仿宋_GB2312" w:eastAsia="仿宋_GB2312" w:cs="仿宋_GB2312"/>
                <w:color w:val="auto"/>
                <w:sz w:val="24"/>
                <w:szCs w:val="24"/>
                <w:highlight w:val="none"/>
                <w:lang w:eastAsia="zh-CN"/>
              </w:rPr>
              <w:t>体</w:t>
            </w:r>
            <w:r>
              <w:rPr>
                <w:rFonts w:hint="eastAsia" w:ascii="仿宋_GB2312" w:hAnsi="仿宋_GB2312" w:eastAsia="仿宋_GB2312" w:cs="仿宋_GB2312"/>
                <w:color w:val="auto"/>
                <w:sz w:val="24"/>
                <w:szCs w:val="24"/>
                <w:highlight w:val="none"/>
              </w:rPr>
              <w:t>、非关键性的</w:t>
            </w:r>
            <w:r>
              <w:rPr>
                <w:rFonts w:hint="eastAsia" w:ascii="仿宋_GB2312" w:hAnsi="仿宋_GB2312" w:eastAsia="仿宋_GB2312" w:cs="仿宋_GB2312"/>
                <w:color w:val="auto"/>
                <w:sz w:val="24"/>
                <w:szCs w:val="24"/>
                <w:highlight w:val="none"/>
                <w:u w:val="single"/>
                <w:lang w:val="en-US" w:eastAsia="zh-CN"/>
              </w:rPr>
              <w:t xml:space="preserve">  安装、运输   </w:t>
            </w:r>
            <w:r>
              <w:rPr>
                <w:rFonts w:hint="eastAsia" w:ascii="仿宋_GB2312" w:hAnsi="仿宋_GB2312" w:eastAsia="仿宋_GB2312" w:cs="仿宋_GB2312"/>
                <w:color w:val="auto"/>
                <w:sz w:val="24"/>
                <w:szCs w:val="24"/>
                <w:highlight w:val="none"/>
                <w:u w:val="none"/>
              </w:rPr>
              <w:t>分</w:t>
            </w:r>
            <w:r>
              <w:rPr>
                <w:rFonts w:hint="eastAsia" w:ascii="仿宋_GB2312" w:hAnsi="仿宋_GB2312" w:eastAsia="仿宋_GB2312" w:cs="仿宋_GB2312"/>
                <w:color w:val="auto"/>
                <w:sz w:val="24"/>
                <w:szCs w:val="24"/>
                <w:highlight w:val="none"/>
              </w:rPr>
              <w:t>包。</w:t>
            </w:r>
          </w:p>
          <w:p w14:paraId="3274B8E1">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本项目上述允许分包的合同份额所占合同总金额小于30%。</w:t>
            </w:r>
          </w:p>
          <w:p w14:paraId="7BFD0B9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B不同意分包。</w:t>
            </w:r>
          </w:p>
          <w:p w14:paraId="2EF9F268">
            <w:pPr>
              <w:pStyle w:val="7"/>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注：不得限制大中型企业向小微企业合理分包。</w:t>
            </w:r>
          </w:p>
        </w:tc>
      </w:tr>
      <w:tr w14:paraId="12825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14:paraId="1D90EF8E">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14:paraId="0A5914A8">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2FAA194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（1）资格证明文件：见招标文件第二部分11.1。</w:t>
            </w:r>
          </w:p>
          <w:p w14:paraId="4D0B9ADF">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投标人未提供有效的资格证明文件的，视为投标人不具备招标文件中规定的资格要求，投标无效。</w:t>
            </w:r>
          </w:p>
        </w:tc>
      </w:tr>
      <w:tr w14:paraId="4D3D5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noWrap w:val="0"/>
            <w:vAlign w:val="top"/>
          </w:tcPr>
          <w:p w14:paraId="55AC7586">
            <w:pPr>
              <w:spacing w:line="540" w:lineRule="exact"/>
              <w:contextualSpacing/>
              <w:rPr>
                <w:rFonts w:hint="eastAsia" w:ascii="仿宋_GB2312" w:hAnsi="仿宋_GB2312" w:eastAsia="仿宋_GB2312" w:cs="仿宋_GB2312"/>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677493B8">
            <w:pPr>
              <w:spacing w:line="400" w:lineRule="exact"/>
              <w:contextualSpacing/>
              <w:rPr>
                <w:rFonts w:hint="eastAsia" w:ascii="仿宋_GB2312" w:hAnsi="仿宋_GB2312" w:eastAsia="仿宋_GB2312" w:cs="仿宋_GB2312"/>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07D1E40E">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（2）资信证明文件：根据招标文件第四部分评标标准提供。</w:t>
            </w:r>
          </w:p>
        </w:tc>
      </w:tr>
      <w:tr w14:paraId="41B7F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F8AEE8">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183222F">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E2699D7">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A不组织。</w:t>
            </w:r>
          </w:p>
          <w:p w14:paraId="275E286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☐B组织，时间： ,地点：，联系人：，联系方式：。</w:t>
            </w:r>
          </w:p>
        </w:tc>
      </w:tr>
      <w:tr w14:paraId="2DA25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994DD99">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74664B">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B01C64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A不要求提供。</w:t>
            </w:r>
          </w:p>
          <w:p w14:paraId="59D3289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☐B要求提供，</w:t>
            </w:r>
          </w:p>
          <w:p w14:paraId="5D4B0D47">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snapToGrid w:val="0"/>
                <w:color w:val="auto"/>
                <w:kern w:val="28"/>
                <w:sz w:val="24"/>
                <w:highlight w:val="none"/>
              </w:rPr>
              <w:t>样品</w:t>
            </w:r>
            <w:r>
              <w:rPr>
                <w:rFonts w:hint="eastAsia" w:ascii="仿宋_GB2312" w:hAnsi="仿宋_GB2312" w:eastAsia="仿宋_GB2312" w:cs="仿宋_GB2312"/>
                <w:color w:val="auto"/>
                <w:kern w:val="0"/>
                <w:sz w:val="24"/>
                <w:highlight w:val="none"/>
              </w:rPr>
              <w:t>；</w:t>
            </w:r>
          </w:p>
          <w:p w14:paraId="21FD8A1F">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kern w:val="0"/>
                <w:sz w:val="24"/>
                <w:highlight w:val="none"/>
              </w:rPr>
              <w:t>；</w:t>
            </w:r>
          </w:p>
          <w:p w14:paraId="1FAF1515">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（3）样品的评审方法以及评审标准</w:t>
            </w:r>
            <w:r>
              <w:rPr>
                <w:rFonts w:hint="eastAsia" w:ascii="仿宋_GB2312" w:hAnsi="仿宋_GB2312" w:eastAsia="仿宋_GB2312" w:cs="仿宋_GB2312"/>
                <w:snapToGrid w:val="0"/>
                <w:color w:val="auto"/>
                <w:kern w:val="28"/>
                <w:sz w:val="24"/>
                <w:highlight w:val="none"/>
              </w:rPr>
              <w:t>：详见</w:t>
            </w:r>
            <w:r>
              <w:rPr>
                <w:rFonts w:hint="eastAsia" w:ascii="仿宋_GB2312" w:hAnsi="仿宋_GB2312" w:eastAsia="仿宋_GB2312" w:cs="仿宋_GB2312"/>
                <w:color w:val="auto"/>
                <w:sz w:val="24"/>
                <w:highlight w:val="none"/>
                <w:u w:val="single"/>
              </w:rPr>
              <w:t>评标办法</w:t>
            </w:r>
            <w:r>
              <w:rPr>
                <w:rFonts w:hint="eastAsia" w:ascii="仿宋_GB2312" w:hAnsi="仿宋_GB2312" w:eastAsia="仿宋_GB2312" w:cs="仿宋_GB2312"/>
                <w:color w:val="auto"/>
                <w:kern w:val="0"/>
                <w:sz w:val="24"/>
                <w:highlight w:val="none"/>
              </w:rPr>
              <w:t>；</w:t>
            </w:r>
          </w:p>
          <w:p w14:paraId="644F363A">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（4）是否需要随样品提交检测报告：☐否；☐是，检测机构的要求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w:t>
            </w:r>
          </w:p>
          <w:p w14:paraId="2642613C">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kern w:val="0"/>
                <w:sz w:val="24"/>
                <w:highlight w:val="none"/>
              </w:rPr>
              <w:t>；地点：；联系人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14:paraId="26005C51">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1B0FE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tc>
      </w:tr>
      <w:tr w14:paraId="2834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AF58E5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E4DEBE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B8BADA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A不组织。</w:t>
            </w:r>
          </w:p>
          <w:p w14:paraId="6ACFDDDC">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☐B组织。</w:t>
            </w:r>
          </w:p>
          <w:p w14:paraId="6889697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（1）在评标时安排每个投标人进行方案讲解演示。每个投标人时间不超过</w:t>
            </w:r>
            <w:r>
              <w:rPr>
                <w:rFonts w:hint="eastAsia" w:ascii="仿宋_GB2312" w:hAnsi="仿宋_GB2312" w:eastAsia="仿宋_GB2312" w:cs="仿宋_GB2312"/>
                <w:color w:val="auto"/>
                <w:sz w:val="24"/>
                <w:szCs w:val="24"/>
                <w:highlight w:val="none"/>
                <w:u w:val="single"/>
              </w:rPr>
              <w:t>20（编制时可根据项目情况进行调整）</w:t>
            </w:r>
            <w:r>
              <w:rPr>
                <w:rFonts w:hint="eastAsia" w:ascii="仿宋_GB2312" w:hAnsi="仿宋_GB2312" w:eastAsia="仿宋_GB2312" w:cs="仿宋_GB2312"/>
                <w:color w:val="auto"/>
                <w:sz w:val="24"/>
                <w:szCs w:val="24"/>
                <w:highlight w:val="none"/>
              </w:rPr>
              <w:t>分钟，讲解次序以投标文件解密时间先后次序为准，讲解演示人员不超过</w:t>
            </w:r>
            <w:r>
              <w:rPr>
                <w:rFonts w:hint="eastAsia" w:ascii="仿宋_GB2312" w:hAnsi="仿宋_GB2312" w:eastAsia="仿宋_GB2312" w:cs="仿宋_GB2312"/>
                <w:color w:val="auto"/>
                <w:sz w:val="24"/>
                <w:szCs w:val="24"/>
                <w:highlight w:val="none"/>
                <w:u w:val="single"/>
              </w:rPr>
              <w:t>3（编制时可根据项目情况进行调整）</w:t>
            </w:r>
            <w:r>
              <w:rPr>
                <w:rFonts w:hint="eastAsia" w:ascii="仿宋_GB2312" w:hAnsi="仿宋_GB2312" w:eastAsia="仿宋_GB2312" w:cs="仿宋_GB2312"/>
                <w:color w:val="auto"/>
                <w:sz w:val="24"/>
                <w:szCs w:val="24"/>
                <w:highlight w:val="none"/>
              </w:rPr>
              <w:t>人。讲解演示结束后按要求解答评标委员会提问。</w:t>
            </w:r>
          </w:p>
          <w:p w14:paraId="0F55DA3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（2）方案讲解演示可选择以下其中一种方式：</w:t>
            </w:r>
          </w:p>
          <w:p w14:paraId="1A531ED6">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☐政采云平台在线讲解演示。政采云平台在线讲解需投标人根据政采云平台操作要求做好准备工作，提前完善软硬件配置环境。</w:t>
            </w:r>
          </w:p>
          <w:p w14:paraId="44A30E67">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☐交易中心现场讲解演示。现场讲解地点为，讲解演示所用电脑等设备由投标人自备。现场讲解演示人员进场时提供讲解人员名单（加盖公章）及身份证明，否则不得讲解演示。</w:t>
            </w:r>
          </w:p>
          <w:p w14:paraId="5F510A17">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72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5EC7ED8">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0F4B64E">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BF4B0A8">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本项目不允许采购进口产品。</w:t>
            </w:r>
          </w:p>
          <w:p w14:paraId="270E17D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EA42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B08E851">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DA7BAE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4515A4B">
            <w:pPr>
              <w:pStyle w:val="7"/>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货物类，单一产品或核心产品为：</w:t>
            </w:r>
            <w:r>
              <w:rPr>
                <w:rFonts w:hint="eastAsia" w:ascii="仿宋_GB2312" w:hAnsi="仿宋_GB2312" w:eastAsia="仿宋_GB2312" w:cs="仿宋_GB2312"/>
                <w:color w:val="auto"/>
                <w:szCs w:val="24"/>
                <w:highlight w:val="none"/>
                <w:u w:val="single"/>
                <w:lang w:val="en-US" w:eastAsia="zh-CN"/>
              </w:rPr>
              <w:t xml:space="preserve">  台式电脑(1)  </w:t>
            </w:r>
          </w:p>
        </w:tc>
      </w:tr>
      <w:tr w14:paraId="752EB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24155D">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61A22A9">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EE5C6B2">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采购标的：详见采购需求，所属行业：详见采购需求。</w:t>
            </w:r>
          </w:p>
        </w:tc>
      </w:tr>
      <w:tr w14:paraId="78B71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84A73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463607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63C1BAB">
            <w:pPr>
              <w:spacing w:line="360" w:lineRule="auto"/>
              <w:ind w:firstLine="480" w:firstLineChars="200"/>
              <w:rPr>
                <w:rFonts w:ascii="仿宋" w:hAnsi="仿宋" w:eastAsia="仿宋"/>
                <w:color w:val="auto"/>
                <w:sz w:val="24"/>
                <w:szCs w:val="24"/>
                <w:highlight w:val="yellow"/>
                <w:lang w:val="zh-CN"/>
              </w:rPr>
            </w:pPr>
            <w:sdt>
              <w:sdtPr>
                <w:rPr>
                  <w:rFonts w:hint="eastAsia" w:ascii="仿宋" w:hAnsi="仿宋" w:eastAsia="仿宋"/>
                  <w:color w:val="auto"/>
                  <w:sz w:val="24"/>
                  <w:szCs w:val="24"/>
                </w:rPr>
                <w:id w:val="-856879835"/>
              </w:sdtPr>
              <w:sdtEndPr>
                <w:rPr>
                  <w:rFonts w:hint="eastAsia" w:ascii="仿宋" w:hAnsi="仿宋" w:eastAsia="仿宋"/>
                  <w:color w:val="auto"/>
                  <w:sz w:val="24"/>
                  <w:szCs w:val="24"/>
                </w:rPr>
              </w:sdtEndPr>
              <w:sdtContent>
                <w:sdt>
                  <w:sdtPr>
                    <w:rPr>
                      <w:rFonts w:hint="eastAsia" w:ascii="仿宋" w:hAnsi="仿宋" w:eastAsia="仿宋"/>
                      <w:color w:val="auto"/>
                      <w:sz w:val="24"/>
                      <w:szCs w:val="24"/>
                    </w:rPr>
                    <w:id w:val="449228950"/>
                  </w:sdtPr>
                  <w:sdtEndPr>
                    <w:rPr>
                      <w:rFonts w:hint="eastAsia" w:ascii="仿宋" w:hAnsi="仿宋" w:eastAsia="仿宋"/>
                      <w:color w:val="auto"/>
                      <w:sz w:val="24"/>
                      <w:szCs w:val="24"/>
                    </w:rPr>
                  </w:sdtEndPr>
                  <w:sdtContent>
                    <w:sdt>
                      <w:sdtPr>
                        <w:rPr>
                          <w:rFonts w:hint="eastAsia" w:ascii="仿宋" w:hAnsi="仿宋" w:eastAsia="仿宋"/>
                          <w:color w:val="auto"/>
                          <w:sz w:val="24"/>
                          <w:szCs w:val="24"/>
                        </w:rPr>
                        <w:id w:val="-1129930481"/>
                      </w:sdtPr>
                      <w:sdtEndPr>
                        <w:rPr>
                          <w:rFonts w:hint="eastAsia" w:ascii="仿宋" w:hAnsi="仿宋" w:eastAsia="仿宋"/>
                          <w:color w:val="auto"/>
                          <w:sz w:val="24"/>
                          <w:szCs w:val="24"/>
                        </w:rPr>
                      </w:sdtEndPr>
                      <w:sdtContent>
                        <w:sdt>
                          <w:sdtPr>
                            <w:rPr>
                              <w:rFonts w:hint="eastAsia" w:ascii="仿宋" w:hAnsi="仿宋" w:eastAsia="仿宋"/>
                              <w:color w:val="auto"/>
                              <w:sz w:val="24"/>
                              <w:szCs w:val="24"/>
                            </w:rPr>
                            <w:id w:val="1126558806"/>
                          </w:sdtPr>
                          <w:sdtEndPr>
                            <w:rPr>
                              <w:rFonts w:hint="eastAsia" w:ascii="仿宋" w:hAnsi="仿宋" w:eastAsia="仿宋"/>
                              <w:color w:val="auto"/>
                              <w:sz w:val="24"/>
                              <w:szCs w:val="24"/>
                            </w:rPr>
                          </w:sdtEndPr>
                          <w:sdtContent>
                            <w:r>
                              <w:rPr>
                                <w:rFonts w:hint="eastAsia" w:ascii="仿宋_GB2312" w:hAnsi="仿宋_GB2312" w:eastAsia="仿宋_GB2312" w:cs="仿宋_GB2312"/>
                                <w:color w:val="auto"/>
                                <w:highlight w:val="none"/>
                                <w:lang w:eastAsia="zh-CN"/>
                              </w:rPr>
                              <w:t>√</w:t>
                            </w:r>
                          </w:sdtContent>
                        </w:sdt>
                      </w:sdtContent>
                    </w:sdt>
                  </w:sdtContent>
                </w:sdt>
              </w:sdtContent>
            </w:sdt>
            <w:r>
              <w:rPr>
                <w:rFonts w:hint="eastAsia" w:ascii="仿宋" w:hAnsi="仿宋" w:eastAsia="仿宋"/>
                <w:color w:val="auto"/>
                <w:sz w:val="24"/>
                <w:szCs w:val="24"/>
                <w:lang w:val="zh-CN"/>
              </w:rPr>
              <w:t>依据国家确定的认证机构出具的、处于有效期之内的节能产品认证证书，对获得证书的产品实施政府优先采购或强制采购；其中，</w:t>
            </w:r>
            <w:r>
              <w:rPr>
                <w:rFonts w:hint="eastAsia" w:ascii="MS Mincho" w:hAnsi="MS Mincho" w:eastAsia="MS Mincho" w:cs="MS Mincho"/>
                <w:color w:val="auto"/>
                <w:sz w:val="24"/>
                <w:szCs w:val="24"/>
                <w:lang w:val="zh-CN"/>
              </w:rPr>
              <w:t>☐</w:t>
            </w:r>
            <w:r>
              <w:rPr>
                <w:rFonts w:hint="eastAsia" w:ascii="仿宋" w:hAnsi="仿宋" w:eastAsia="仿宋"/>
                <w:color w:val="auto"/>
                <w:sz w:val="24"/>
                <w:szCs w:val="24"/>
                <w:lang w:val="zh-CN"/>
              </w:rPr>
              <w:t>对</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lang w:val="zh-CN"/>
              </w:rPr>
              <w:t>实施政府优先采购，</w:t>
            </w:r>
            <w:r>
              <w:rPr>
                <w:rFonts w:hint="eastAsia" w:ascii="仿宋" w:hAnsi="仿宋" w:eastAsia="仿宋"/>
                <w:color w:val="auto"/>
                <w:sz w:val="24"/>
                <w:szCs w:val="24"/>
              </w:rPr>
              <w:t>详</w:t>
            </w:r>
            <w:r>
              <w:rPr>
                <w:rFonts w:hint="eastAsia" w:ascii="仿宋" w:hAnsi="仿宋" w:eastAsia="仿宋"/>
                <w:color w:val="auto"/>
                <w:sz w:val="24"/>
                <w:szCs w:val="24"/>
                <w:lang w:val="zh-CN"/>
              </w:rPr>
              <w:t>见评分标准；</w:t>
            </w:r>
            <w:sdt>
              <w:sdtPr>
                <w:rPr>
                  <w:rFonts w:hint="eastAsia" w:ascii="仿宋" w:hAnsi="仿宋" w:eastAsia="仿宋"/>
                  <w:color w:val="auto"/>
                  <w:sz w:val="24"/>
                  <w:szCs w:val="24"/>
                </w:rPr>
                <w:id w:val="1126558805"/>
              </w:sdtPr>
              <w:sdtEndPr>
                <w:rPr>
                  <w:rFonts w:hint="eastAsia" w:ascii="仿宋" w:hAnsi="仿宋" w:eastAsia="仿宋"/>
                  <w:color w:val="auto"/>
                  <w:sz w:val="24"/>
                  <w:szCs w:val="24"/>
                </w:rPr>
              </w:sdtEndPr>
              <w:sdtContent>
                <w:sdt>
                  <w:sdtPr>
                    <w:rPr>
                      <w:rFonts w:hint="eastAsia" w:ascii="仿宋" w:hAnsi="仿宋" w:eastAsia="仿宋"/>
                      <w:color w:val="auto"/>
                      <w:sz w:val="24"/>
                      <w:szCs w:val="24"/>
                      <w:highlight w:val="yellow"/>
                      <w:lang w:val="zh-CN"/>
                    </w:rPr>
                    <w:id w:val="147468737"/>
                  </w:sdtPr>
                  <w:sdtEndPr>
                    <w:rPr>
                      <w:rFonts w:hint="eastAsia" w:ascii="仿宋" w:hAnsi="仿宋" w:eastAsia="仿宋"/>
                      <w:color w:val="auto"/>
                      <w:sz w:val="24"/>
                      <w:szCs w:val="24"/>
                      <w:highlight w:val="none"/>
                      <w:lang w:val="zh-CN"/>
                    </w:rPr>
                  </w:sdtEndPr>
                  <w:sdtContent>
                    <w:sdt>
                      <w:sdtPr>
                        <w:rPr>
                          <w:rFonts w:hint="eastAsia" w:ascii="仿宋" w:hAnsi="仿宋" w:eastAsia="仿宋"/>
                          <w:color w:val="auto"/>
                          <w:sz w:val="24"/>
                          <w:szCs w:val="24"/>
                          <w:highlight w:val="yellow"/>
                        </w:rPr>
                        <w:id w:val="147471362"/>
                      </w:sdtPr>
                      <w:sdtEndPr>
                        <w:rPr>
                          <w:rFonts w:hint="eastAsia" w:ascii="仿宋" w:hAnsi="仿宋" w:eastAsia="仿宋"/>
                          <w:color w:val="auto"/>
                          <w:sz w:val="24"/>
                          <w:szCs w:val="24"/>
                          <w:highlight w:val="none"/>
                        </w:rPr>
                      </w:sdtEndPr>
                      <w:sdtContent>
                        <w:sdt>
                          <w:sdtPr>
                            <w:rPr>
                              <w:rFonts w:hint="eastAsia" w:ascii="仿宋" w:hAnsi="仿宋" w:eastAsia="仿宋"/>
                              <w:color w:val="auto"/>
                              <w:sz w:val="24"/>
                              <w:szCs w:val="24"/>
                              <w:highlight w:val="yellow"/>
                            </w:rPr>
                            <w:id w:val="147480211"/>
                          </w:sdtPr>
                          <w:sdtEndPr>
                            <w:rPr>
                              <w:rFonts w:hint="eastAsia" w:ascii="仿宋" w:hAnsi="仿宋" w:eastAsia="仿宋"/>
                              <w:color w:val="auto"/>
                              <w:sz w:val="24"/>
                              <w:szCs w:val="24"/>
                              <w:highlight w:val="none"/>
                            </w:rPr>
                          </w:sdtEndPr>
                          <w:sdtContent>
                            <w:sdt>
                              <w:sdtPr>
                                <w:rPr>
                                  <w:rFonts w:hint="eastAsia" w:ascii="仿宋" w:hAnsi="仿宋" w:eastAsia="仿宋"/>
                                  <w:color w:val="auto"/>
                                  <w:sz w:val="24"/>
                                  <w:szCs w:val="24"/>
                                  <w:highlight w:val="yellow"/>
                                </w:rPr>
                                <w:id w:val="147462847"/>
                              </w:sdtPr>
                              <w:sdtEndPr>
                                <w:rPr>
                                  <w:rFonts w:hint="eastAsia" w:ascii="仿宋" w:hAnsi="仿宋" w:eastAsia="仿宋"/>
                                  <w:color w:val="auto"/>
                                  <w:sz w:val="24"/>
                                  <w:szCs w:val="24"/>
                                  <w:highlight w:val="none"/>
                                </w:rPr>
                              </w:sdtEndPr>
                              <w:sdtContent>
                                <w:r>
                                  <w:rPr>
                                    <w:rFonts w:hint="eastAsia" w:ascii="仿宋_GB2312" w:hAnsi="仿宋_GB2312" w:eastAsia="仿宋_GB2312" w:cs="仿宋_GB2312"/>
                                    <w:color w:val="auto"/>
                                    <w:highlight w:val="none"/>
                                    <w:lang w:eastAsia="zh-CN"/>
                                  </w:rPr>
                                  <w:t>√</w:t>
                                </w:r>
                              </w:sdtContent>
                            </w:sdt>
                          </w:sdtContent>
                        </w:sdt>
                      </w:sdtContent>
                    </w:sdt>
                  </w:sdtContent>
                </w:sdt>
              </w:sdtContent>
            </w:sdt>
            <w:r>
              <w:rPr>
                <w:rFonts w:hint="eastAsia" w:ascii="仿宋" w:hAnsi="仿宋" w:eastAsia="仿宋"/>
                <w:color w:val="auto"/>
                <w:sz w:val="24"/>
                <w:szCs w:val="24"/>
              </w:rPr>
              <w:t>▲</w:t>
            </w:r>
            <w:r>
              <w:rPr>
                <w:rFonts w:hint="eastAsia" w:ascii="仿宋" w:hAnsi="仿宋" w:eastAsia="仿宋"/>
                <w:color w:val="auto"/>
                <w:sz w:val="24"/>
                <w:szCs w:val="24"/>
                <w:lang w:val="zh-CN"/>
              </w:rPr>
              <w:t>对</w:t>
            </w:r>
            <w:r>
              <w:rPr>
                <w:rFonts w:hint="eastAsia" w:ascii="仿宋" w:hAnsi="仿宋" w:eastAsia="仿宋"/>
                <w:color w:val="auto"/>
                <w:sz w:val="24"/>
                <w:szCs w:val="24"/>
                <w:u w:val="single"/>
                <w:lang w:val="en-US" w:eastAsia="zh-CN"/>
              </w:rPr>
              <w:t xml:space="preserve">  台式电脑 </w:t>
            </w:r>
            <w:r>
              <w:rPr>
                <w:rFonts w:hint="eastAsia" w:ascii="仿宋" w:hAnsi="仿宋" w:eastAsia="仿宋"/>
                <w:color w:val="auto"/>
                <w:sz w:val="24"/>
                <w:szCs w:val="24"/>
                <w:lang w:val="zh-CN"/>
              </w:rPr>
              <w:t>实施政府强制采购，投标人</w:t>
            </w:r>
            <w:r>
              <w:rPr>
                <w:rFonts w:hint="eastAsia" w:ascii="仿宋" w:hAnsi="仿宋" w:eastAsia="仿宋"/>
                <w:color w:val="auto"/>
                <w:sz w:val="24"/>
                <w:szCs w:val="24"/>
              </w:rPr>
              <w:t>就</w:t>
            </w:r>
            <w:r>
              <w:rPr>
                <w:rFonts w:hint="eastAsia" w:ascii="仿宋" w:hAnsi="仿宋" w:eastAsia="仿宋"/>
                <w:color w:val="auto"/>
                <w:sz w:val="24"/>
                <w:szCs w:val="24"/>
                <w:lang w:val="zh-CN"/>
              </w:rPr>
              <w:t>相应的投标产品未</w:t>
            </w:r>
            <w:r>
              <w:rPr>
                <w:rFonts w:hint="eastAsia" w:ascii="仿宋" w:hAnsi="仿宋" w:eastAsia="仿宋"/>
                <w:color w:val="auto"/>
                <w:sz w:val="24"/>
                <w:szCs w:val="24"/>
              </w:rPr>
              <w:t>提供</w:t>
            </w:r>
            <w:r>
              <w:rPr>
                <w:rFonts w:hint="eastAsia" w:ascii="仿宋" w:hAnsi="仿宋" w:eastAsia="仿宋"/>
                <w:color w:val="auto"/>
                <w:sz w:val="24"/>
                <w:szCs w:val="24"/>
                <w:lang w:val="zh-CN"/>
              </w:rPr>
              <w:t>国家确定的认证机构出具的、处于有效期之内的节能产品认证证书的，投标无效。</w:t>
            </w:r>
          </w:p>
          <w:p w14:paraId="2F271F30">
            <w:pPr>
              <w:spacing w:line="360" w:lineRule="auto"/>
              <w:ind w:firstLine="480" w:firstLineChars="200"/>
              <w:rPr>
                <w:rFonts w:ascii="仿宋" w:hAnsi="仿宋" w:eastAsia="仿宋"/>
                <w:color w:val="auto"/>
                <w:sz w:val="24"/>
                <w:szCs w:val="24"/>
                <w:lang w:val="zh-CN"/>
              </w:rPr>
            </w:pPr>
            <w:sdt>
              <w:sdtPr>
                <w:rPr>
                  <w:rFonts w:hint="eastAsia" w:ascii="仿宋" w:hAnsi="仿宋" w:eastAsia="仿宋"/>
                  <w:color w:val="auto"/>
                  <w:sz w:val="24"/>
                  <w:szCs w:val="24"/>
                  <w:highlight w:val="yellow"/>
                  <w:lang w:val="zh-CN"/>
                </w:rPr>
                <w:id w:val="93515011"/>
              </w:sdtPr>
              <w:sdtEndPr>
                <w:rPr>
                  <w:rFonts w:hint="eastAsia" w:ascii="仿宋" w:hAnsi="仿宋" w:eastAsia="仿宋"/>
                  <w:color w:val="auto"/>
                  <w:sz w:val="24"/>
                  <w:szCs w:val="24"/>
                  <w:highlight w:val="none"/>
                  <w:lang w:val="zh-CN"/>
                </w:rPr>
              </w:sdtEndPr>
              <w:sdtContent>
                <w:sdt>
                  <w:sdtPr>
                    <w:rPr>
                      <w:rFonts w:hint="eastAsia" w:ascii="仿宋" w:hAnsi="仿宋" w:eastAsia="仿宋"/>
                      <w:color w:val="auto"/>
                      <w:sz w:val="24"/>
                      <w:szCs w:val="24"/>
                      <w:highlight w:val="yellow"/>
                    </w:rPr>
                    <w:id w:val="-917398802"/>
                  </w:sdtPr>
                  <w:sdtEndPr>
                    <w:rPr>
                      <w:rFonts w:hint="eastAsia" w:ascii="仿宋" w:hAnsi="仿宋" w:eastAsia="仿宋"/>
                      <w:color w:val="auto"/>
                      <w:sz w:val="24"/>
                      <w:szCs w:val="24"/>
                      <w:highlight w:val="none"/>
                    </w:rPr>
                  </w:sdtEndPr>
                  <w:sdtContent>
                    <w:sdt>
                      <w:sdtPr>
                        <w:rPr>
                          <w:rFonts w:hint="eastAsia" w:ascii="仿宋" w:hAnsi="仿宋" w:eastAsia="仿宋"/>
                          <w:color w:val="auto"/>
                          <w:sz w:val="24"/>
                          <w:szCs w:val="24"/>
                          <w:highlight w:val="yellow"/>
                        </w:rPr>
                        <w:id w:val="332720140"/>
                      </w:sdtPr>
                      <w:sdtEndPr>
                        <w:rPr>
                          <w:rFonts w:hint="eastAsia" w:ascii="仿宋" w:hAnsi="仿宋" w:eastAsia="仿宋"/>
                          <w:color w:val="auto"/>
                          <w:sz w:val="24"/>
                          <w:szCs w:val="24"/>
                          <w:highlight w:val="none"/>
                        </w:rPr>
                      </w:sdtEndPr>
                      <w:sdtContent>
                        <w:sdt>
                          <w:sdtPr>
                            <w:rPr>
                              <w:rFonts w:hint="eastAsia" w:ascii="仿宋" w:hAnsi="仿宋" w:eastAsia="仿宋"/>
                              <w:color w:val="auto"/>
                              <w:sz w:val="24"/>
                              <w:szCs w:val="24"/>
                              <w:highlight w:val="yellow"/>
                            </w:rPr>
                            <w:id w:val="449228952"/>
                          </w:sdtPr>
                          <w:sdtEndPr>
                            <w:rPr>
                              <w:rFonts w:hint="eastAsia" w:ascii="仿宋" w:hAnsi="仿宋" w:eastAsia="仿宋"/>
                              <w:color w:val="auto"/>
                              <w:sz w:val="24"/>
                              <w:szCs w:val="24"/>
                              <w:highlight w:val="none"/>
                            </w:rPr>
                          </w:sdtEndPr>
                          <w:sdtContent>
                            <w:r>
                              <w:rPr>
                                <w:rFonts w:hint="eastAsia" w:ascii="仿宋_GB2312" w:hAnsi="仿宋_GB2312" w:eastAsia="仿宋_GB2312" w:cs="仿宋_GB2312"/>
                                <w:color w:val="auto"/>
                                <w:highlight w:val="none"/>
                                <w:lang w:eastAsia="zh-CN"/>
                              </w:rPr>
                              <w:t>√</w:t>
                            </w:r>
                          </w:sdtContent>
                        </w:sdt>
                      </w:sdtContent>
                    </w:sdt>
                  </w:sdtContent>
                </w:sdt>
              </w:sdtContent>
            </w:sdt>
            <w:r>
              <w:rPr>
                <w:rFonts w:hint="eastAsia" w:ascii="仿宋" w:hAnsi="仿宋" w:eastAsia="仿宋"/>
                <w:color w:val="auto"/>
                <w:sz w:val="24"/>
                <w:szCs w:val="24"/>
                <w:lang w:val="zh-CN"/>
              </w:rPr>
              <w:t>依据国家确定的认证机构出具的、处于有效期之内的环境标志产品认证证书，对获得证书的</w:t>
            </w:r>
            <w:r>
              <w:rPr>
                <w:rFonts w:hint="eastAsia" w:ascii="仿宋" w:hAnsi="仿宋" w:eastAsia="仿宋"/>
                <w:color w:val="auto"/>
                <w:sz w:val="24"/>
                <w:szCs w:val="24"/>
                <w:u w:val="single"/>
                <w:lang w:val="en-US" w:eastAsia="zh-CN"/>
              </w:rPr>
              <w:t xml:space="preserve">  台式电脑   </w:t>
            </w:r>
            <w:r>
              <w:rPr>
                <w:rFonts w:hint="eastAsia" w:ascii="仿宋" w:hAnsi="仿宋" w:eastAsia="仿宋"/>
                <w:color w:val="auto"/>
                <w:sz w:val="24"/>
                <w:szCs w:val="24"/>
                <w:lang w:val="zh-CN"/>
              </w:rPr>
              <w:t>实施政府优先采购，</w:t>
            </w:r>
            <w:r>
              <w:rPr>
                <w:rFonts w:hint="eastAsia" w:ascii="仿宋" w:hAnsi="仿宋" w:eastAsia="仿宋"/>
                <w:color w:val="auto"/>
                <w:sz w:val="24"/>
                <w:szCs w:val="24"/>
              </w:rPr>
              <w:t>详</w:t>
            </w:r>
            <w:r>
              <w:rPr>
                <w:rFonts w:hint="eastAsia" w:ascii="仿宋" w:hAnsi="仿宋" w:eastAsia="仿宋"/>
                <w:color w:val="auto"/>
                <w:sz w:val="24"/>
                <w:szCs w:val="24"/>
                <w:lang w:val="zh-CN"/>
              </w:rPr>
              <w:t>见评分标准。</w:t>
            </w:r>
          </w:p>
          <w:p w14:paraId="7819D616">
            <w:pPr>
              <w:spacing w:line="400" w:lineRule="exact"/>
              <w:contextualSpacing/>
              <w:rPr>
                <w:rFonts w:hint="eastAsia" w:ascii="仿宋_GB2312" w:hAnsi="仿宋_GB2312" w:eastAsia="仿宋_GB2312" w:cs="仿宋_GB2312"/>
                <w:color w:val="auto"/>
                <w:sz w:val="24"/>
                <w:szCs w:val="24"/>
                <w:highlight w:val="none"/>
              </w:rPr>
            </w:pPr>
            <w:sdt>
              <w:sdtPr>
                <w:rPr>
                  <w:rFonts w:hint="eastAsia" w:ascii="仿宋" w:hAnsi="仿宋" w:eastAsia="仿宋"/>
                  <w:color w:val="auto"/>
                  <w:sz w:val="24"/>
                  <w:szCs w:val="24"/>
                </w:rPr>
                <w:id w:val="259426652"/>
              </w:sdtPr>
              <w:sdtEndPr>
                <w:rPr>
                  <w:rFonts w:hint="eastAsia" w:ascii="仿宋" w:hAnsi="仿宋" w:eastAsia="仿宋"/>
                  <w:color w:val="auto"/>
                  <w:sz w:val="24"/>
                  <w:szCs w:val="24"/>
                </w:rPr>
              </w:sdtEndPr>
              <w:sdtContent>
                <w:sdt>
                  <w:sdtPr>
                    <w:rPr>
                      <w:rFonts w:hint="eastAsia" w:ascii="仿宋" w:hAnsi="仿宋" w:eastAsia="仿宋"/>
                      <w:color w:val="auto"/>
                      <w:sz w:val="24"/>
                      <w:szCs w:val="24"/>
                    </w:rPr>
                    <w:id w:val="1216464879"/>
                  </w:sdtPr>
                  <w:sdtEndPr>
                    <w:rPr>
                      <w:rFonts w:hint="eastAsia" w:ascii="仿宋" w:hAnsi="仿宋" w:eastAsia="仿宋"/>
                      <w:color w:val="auto"/>
                      <w:sz w:val="24"/>
                      <w:szCs w:val="24"/>
                    </w:rPr>
                  </w:sdtEndPr>
                  <w:sdtContent>
                    <w:sdt>
                      <w:sdtPr>
                        <w:rPr>
                          <w:rFonts w:hint="eastAsia" w:ascii="仿宋" w:hAnsi="仿宋" w:eastAsia="仿宋"/>
                          <w:color w:val="auto"/>
                          <w:sz w:val="24"/>
                          <w:szCs w:val="24"/>
                        </w:rPr>
                        <w:id w:val="-247203833"/>
                      </w:sdtPr>
                      <w:sdtEndPr>
                        <w:rPr>
                          <w:rFonts w:hint="eastAsia" w:ascii="仿宋" w:hAnsi="仿宋" w:eastAsia="仿宋"/>
                          <w:color w:val="auto"/>
                          <w:sz w:val="24"/>
                          <w:szCs w:val="24"/>
                        </w:rPr>
                      </w:sdtEndPr>
                      <w:sdtContent>
                        <w:sdt>
                          <w:sdtPr>
                            <w:rPr>
                              <w:rFonts w:hint="eastAsia" w:ascii="仿宋" w:hAnsi="仿宋" w:eastAsia="仿宋"/>
                              <w:color w:val="auto"/>
                              <w:sz w:val="24"/>
                              <w:szCs w:val="24"/>
                            </w:rPr>
                            <w:id w:val="2077541739"/>
                          </w:sdtPr>
                          <w:sdtEndPr>
                            <w:rPr>
                              <w:rFonts w:hint="eastAsia" w:ascii="仿宋" w:hAnsi="仿宋" w:eastAsia="仿宋"/>
                              <w:color w:val="auto"/>
                              <w:sz w:val="24"/>
                              <w:szCs w:val="24"/>
                            </w:rPr>
                          </w:sdtEndPr>
                          <w:sdtContent>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sym w:font="Wingdings" w:char="00A8"/>
                            </w:r>
                          </w:sdtContent>
                        </w:sdt>
                      </w:sdtContent>
                    </w:sdt>
                  </w:sdtContent>
                </w:sdt>
              </w:sdtContent>
            </w:sdt>
            <w:r>
              <w:rPr>
                <w:rFonts w:hint="eastAsia" w:ascii="仿宋" w:hAnsi="仿宋" w:eastAsia="仿宋"/>
                <w:color w:val="auto"/>
                <w:sz w:val="24"/>
                <w:szCs w:val="24"/>
              </w:rPr>
              <w:t>无。</w:t>
            </w:r>
          </w:p>
        </w:tc>
      </w:tr>
      <w:tr w14:paraId="25E2B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noWrap w:val="0"/>
            <w:vAlign w:val="center"/>
          </w:tcPr>
          <w:p w14:paraId="657BD476">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2895AAA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政采贷</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E71206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00963254">
            <w:pPr>
              <w:pStyle w:val="6"/>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01F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07198A1">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B17025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C49114C">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备份投标文件的送达地点和签收人员详见招标文件第二部分15.3.；15.4。采购人、采购代理机构不强制或变相强制投标人提交备份投标文件。</w:t>
            </w:r>
          </w:p>
        </w:tc>
      </w:tr>
      <w:tr w14:paraId="377B7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2D17AC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F08941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DD89C8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是否需要履约保证金: </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是</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否</w:t>
            </w:r>
          </w:p>
        </w:tc>
      </w:tr>
      <w:tr w14:paraId="657D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FBD46BC">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36FA02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AE48911">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联合体投标的，联合体各方分别提供与联合体协议中规定的分工内容相应的业绩证明材料，业绩数量以提供材料较少的一方为准。</w:t>
            </w:r>
          </w:p>
          <w:p w14:paraId="6D1E9F23">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☐联合体投标的，联合体各方均需按招标文件第四部分评标办法提供资信证明文件，否则视为不符合相关要求。</w:t>
            </w:r>
          </w:p>
          <w:p w14:paraId="5CBE61B6">
            <w:pPr>
              <w:pStyle w:val="6"/>
              <w:spacing w:line="40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联合体投标的，联合体中有一方或者联合体成员根据分工按招标文件第四部分评标办法提供资信证明文件的，视为符合了相关要求。</w:t>
            </w:r>
          </w:p>
        </w:tc>
      </w:tr>
      <w:bookmarkEnd w:id="10"/>
    </w:tbl>
    <w:p w14:paraId="4897C172">
      <w:pPr>
        <w:spacing w:line="420" w:lineRule="exact"/>
        <w:ind w:firstLine="472" w:firstLineChars="196"/>
        <w:contextualSpacing/>
        <w:rPr>
          <w:rFonts w:hint="eastAsia" w:ascii="仿宋_GB2312" w:hAnsi="仿宋_GB2312" w:eastAsia="仿宋_GB2312" w:cs="仿宋_GB2312"/>
          <w:b/>
          <w:color w:val="auto"/>
          <w:sz w:val="24"/>
          <w:szCs w:val="24"/>
          <w:highlight w:val="none"/>
        </w:rPr>
      </w:pPr>
      <w:bookmarkStart w:id="11" w:name="第三部分"/>
      <w:bookmarkStart w:id="12" w:name="_Toc164416483"/>
      <w:r>
        <w:rPr>
          <w:rFonts w:hint="eastAsia" w:ascii="仿宋_GB2312" w:hAnsi="仿宋_GB2312" w:eastAsia="仿宋_GB2312" w:cs="仿宋_GB2312"/>
          <w:b/>
          <w:color w:val="auto"/>
          <w:sz w:val="24"/>
          <w:szCs w:val="24"/>
          <w:highlight w:val="none"/>
        </w:rPr>
        <w:t>一、总则</w:t>
      </w:r>
    </w:p>
    <w:p w14:paraId="65DAA61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1.适用范围</w:t>
      </w:r>
    </w:p>
    <w:p w14:paraId="4309E3E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本招标文件适用于该项目的招标、投标、开标、资格审查及信用信息查询、评标、定标、合同、验收等行为（法律、法规另有规定的，从其规定）。</w:t>
      </w:r>
    </w:p>
    <w:p w14:paraId="5899C7D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2.定义</w:t>
      </w:r>
    </w:p>
    <w:p w14:paraId="306D9BF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“采购人”系指招标公告中载明的本项目的采购人。</w:t>
      </w:r>
    </w:p>
    <w:p w14:paraId="768DBF3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“采购代理机构”系指招标公告中载明的本项目的采购代理机构。</w:t>
      </w:r>
    </w:p>
    <w:p w14:paraId="3BD9D4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“投标人”系指是指响应招标、参加投标竞争的法人、其他组织或者自然人。</w:t>
      </w:r>
    </w:p>
    <w:p w14:paraId="2B5C803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“负责人”系指法人企业的法定负责人，或其他组织为法律、行政法规规定代表单位行使职权的主要负责人，或自然人本人。</w:t>
      </w:r>
    </w:p>
    <w:p w14:paraId="3EA9D4E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857EA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2.6“电子交易平台”是指本项目政府采购活动所依托的政府采购云平台（https://www.zcygov.cn/）。</w:t>
      </w:r>
    </w:p>
    <w:p w14:paraId="40DE402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 “▲”系指实质性要求条款，“</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 w:val="24"/>
          <w:szCs w:val="24"/>
          <w:highlight w:val="none"/>
        </w:rPr>
        <w:t>”系产品采购项目中单一产品或核心产品，“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sz w:val="24"/>
          <w:szCs w:val="24"/>
          <w:highlight w:val="none"/>
        </w:rPr>
        <w:t>”系指适用本项目的要求，“☐”系指不适用本项目的要求。</w:t>
      </w:r>
    </w:p>
    <w:p w14:paraId="19722EB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 采购项目需要落实的政府采购政策</w:t>
      </w:r>
    </w:p>
    <w:p w14:paraId="192145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4B4F3B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支持绿色发展。</w:t>
      </w:r>
    </w:p>
    <w:p w14:paraId="2EFA37D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B86C5D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3.2.2 修缮、装修类项目采购建材的，采购人应将绿色建筑和绿色建材性能、指标等作为实质性条件纳入招标文件和合同。</w:t>
      </w:r>
    </w:p>
    <w:p w14:paraId="04F7D92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AD980A7">
      <w:pPr>
        <w:pStyle w:val="6"/>
        <w:spacing w:line="42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CEF1D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3.3支持中小企业发展</w:t>
      </w:r>
    </w:p>
    <w:p w14:paraId="1987FEE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B688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符合中小企业划分标准的个体工商户，在政府采购活动中视同中小企业。</w:t>
      </w:r>
    </w:p>
    <w:p w14:paraId="1D66493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3.3.2在政府采购活动中，投标人提供的货物、工程或者服务符合下列情形的，享受中小企业扶持政策：</w:t>
      </w:r>
    </w:p>
    <w:p w14:paraId="05789D7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3.3.2.1在货物采购项目中，货物由中小企业制造，即货物由中小企业生产且使用该中小企业商号或者注册商标；</w:t>
      </w:r>
    </w:p>
    <w:p w14:paraId="550A4EE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3.3.2.2在工程采购项目中，工程由中小企业承建，即工程施工单位为中小企业；</w:t>
      </w:r>
    </w:p>
    <w:p w14:paraId="49C0EEF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3.3.2.3在服务采购项目中，服务由中小企业承接，即提供服务的人员为中小企业依照《中华人民共和国劳动合同法》订立劳动合同的从业人员。</w:t>
      </w:r>
    </w:p>
    <w:p w14:paraId="4336152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在货物采购项目中，投标人提供的货物既有中小企业制造货物，也有大型企业制造货物的，不享受中小企业扶持政策。</w:t>
      </w:r>
    </w:p>
    <w:p w14:paraId="6AE8925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以联合体形式参加政府采购活动，联合体各方均为中小企业的，联合体视同中小企业。其中，联合体各方均为小微企业的，联合体视同小微企业。</w:t>
      </w:r>
    </w:p>
    <w:p w14:paraId="4BE3C74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3.3.3对于未预留份额专门面向中小企业的政府采购项目，以及预留份额政府采购项目中的非预留部分标项，对小型和微型企业的投标报价给予</w:t>
      </w:r>
      <w:r>
        <w:rPr>
          <w:rFonts w:hint="eastAsia" w:ascii="仿宋_GB2312" w:hAnsi="仿宋_GB2312" w:eastAsia="仿宋_GB2312" w:cs="仿宋_GB2312"/>
          <w:color w:val="auto"/>
          <w:sz w:val="24"/>
          <w:szCs w:val="24"/>
          <w:highlight w:val="none"/>
          <w:u w:val="single"/>
        </w:rPr>
        <w:t>10%</w:t>
      </w:r>
      <w:r>
        <w:rPr>
          <w:rFonts w:hint="eastAsia" w:ascii="仿宋_GB2312" w:hAnsi="仿宋_GB2312" w:eastAsia="仿宋_GB2312" w:cs="仿宋_GB2312"/>
          <w:color w:val="auto"/>
          <w:sz w:val="24"/>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4"/>
          <w:szCs w:val="24"/>
          <w:highlight w:val="none"/>
          <w:u w:val="single"/>
        </w:rPr>
        <w:t>4%</w:t>
      </w:r>
      <w:r>
        <w:rPr>
          <w:rFonts w:hint="eastAsia" w:ascii="仿宋_GB2312" w:hAnsi="仿宋_GB2312" w:eastAsia="仿宋_GB2312" w:cs="仿宋_GB2312"/>
          <w:color w:val="auto"/>
          <w:sz w:val="24"/>
          <w:szCs w:val="24"/>
          <w:highlight w:val="none"/>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01617A4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7ECDA34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B08E8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A6CAE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3.3.7中小企业享受扶持政策获得政府采购合同的，小微企业不得将合同分包给大中型企业，中型企业不得将合同分包给大型企业。</w:t>
      </w:r>
    </w:p>
    <w:p w14:paraId="1D498B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3.4支持创新发展</w:t>
      </w:r>
    </w:p>
    <w:p w14:paraId="252B54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 采购人优先采购被认定为首台套产品和“制造精品”的自主创新产品。</w:t>
      </w:r>
    </w:p>
    <w:p w14:paraId="60F87E1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C5EEF6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3.5平等对待内外资企业和符合条件的破产重整企业</w:t>
      </w:r>
    </w:p>
    <w:p w14:paraId="612B4D7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平等对待内外资企业和符合条件的破产重整企业，切实保障企业公平竞争，平等维护企业的合法利益。</w:t>
      </w:r>
    </w:p>
    <w:p w14:paraId="1F44F4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82166E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 询问、质疑、投诉</w:t>
      </w:r>
    </w:p>
    <w:p w14:paraId="7C58437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3571F2F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4.2供应商询问</w:t>
      </w:r>
    </w:p>
    <w:p w14:paraId="46727E5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0216B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4.3供应商质疑</w:t>
      </w:r>
    </w:p>
    <w:p w14:paraId="5D79931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4.3.1提出质疑的供应商应当是参与所质疑项目采购活动的供应商。潜在供应商已依法获取其可质疑的招标文件的，可以对该文件提出质疑。</w:t>
      </w:r>
    </w:p>
    <w:p w14:paraId="0934F36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7B1588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2032D233">
      <w:pPr>
        <w:spacing w:line="360" w:lineRule="auto"/>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0115B056">
      <w:pPr>
        <w:spacing w:line="360" w:lineRule="auto"/>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4.3.2.3对采购结果提出质疑的，质疑期限自采购结果公告期限届满之日起计算。对采购结果提出质疑的，采购代理机构负责答复。</w:t>
      </w:r>
    </w:p>
    <w:p w14:paraId="5F2647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4.3.3供应商提出质疑应当提交质疑函和必要的证明材料。质疑函应当包括下列内容：</w:t>
      </w:r>
    </w:p>
    <w:p w14:paraId="3B4D773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4.3.3.1供应商的姓名或者名称、地址、邮编、联系人及联系电话；</w:t>
      </w:r>
    </w:p>
    <w:p w14:paraId="43BA7F3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4.3.3.2质疑项目的名称、编号；</w:t>
      </w:r>
    </w:p>
    <w:p w14:paraId="3DED6CB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4.3.3.3具体、明确的质疑事项和与质疑事项相关的请求；</w:t>
      </w:r>
    </w:p>
    <w:p w14:paraId="725F02E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4.3.3.4事实依据；</w:t>
      </w:r>
    </w:p>
    <w:p w14:paraId="73634BA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4.3.3.5必要的法律依据；</w:t>
      </w:r>
    </w:p>
    <w:p w14:paraId="7D4CDAB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4.3.3.6提出质疑的日期。</w:t>
      </w:r>
    </w:p>
    <w:p w14:paraId="3D62F0E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供应商线下提交质疑函的，质疑函需一式三份。供应商为自然人的，应当由本人签字；供应商为法人或者其他组织的，应当由法定代表人、主要负责人，或者其授权代表签字或者盖章，并加盖公章。</w:t>
      </w:r>
    </w:p>
    <w:p w14:paraId="7D0B1AD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质疑函范本及制作说明详见附件2。</w:t>
      </w:r>
    </w:p>
    <w:p w14:paraId="1542573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15DE5FC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4.3.5询问或者质疑事项可能影响采购结果的，采购人应当暂停签订合同，已经签订合同的，应当中止履行合同。</w:t>
      </w:r>
    </w:p>
    <w:p w14:paraId="1EF15F9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4.4供应商投诉</w:t>
      </w:r>
    </w:p>
    <w:p w14:paraId="6BD1DFE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8086AA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4.4.2供应商投诉的事项不得超出已质疑事项的范围，基于质疑答复内容提出的投诉事项除外。</w:t>
      </w:r>
    </w:p>
    <w:p w14:paraId="11FD599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4.4.3供应商投诉应当有明确的请求和必要的证明材料。</w:t>
      </w:r>
    </w:p>
    <w:p w14:paraId="1959A89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4.4.5 以联合体形式参加政府采购活动的，其投诉应当由组成联合体的所有供应商共同提出。</w:t>
      </w:r>
    </w:p>
    <w:p w14:paraId="4AB3F44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投诉书范本及制作说明详见附件3。</w:t>
      </w:r>
    </w:p>
    <w:p w14:paraId="6FA317B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二、招标文件的构成、澄清、修改</w:t>
      </w:r>
    </w:p>
    <w:p w14:paraId="2551B84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5．招标文件的构成</w:t>
      </w:r>
    </w:p>
    <w:p w14:paraId="3807B37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14:paraId="4E36483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14:paraId="3DA7883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14:paraId="6AEE6EF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14:paraId="491CEC3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14:paraId="365B6D6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14:paraId="5D03F5E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5.1.6应提交的有关格式范例。</w:t>
      </w:r>
    </w:p>
    <w:p w14:paraId="6B5D21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5.2与本项目有关的澄清或者修改的内容为招标文件的组成部分。</w:t>
      </w:r>
    </w:p>
    <w:p w14:paraId="1A5D5C5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 招标文件的澄清、修改</w:t>
      </w:r>
    </w:p>
    <w:p w14:paraId="590E15A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6.1已获取招标文件的潜在投标人，若有问题需要澄清，应于投标截止时间前，以书面形式向采购代理机构提出。</w:t>
      </w:r>
    </w:p>
    <w:p w14:paraId="197CAF6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CC576B">
      <w:pPr>
        <w:spacing w:line="42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三、投标</w:t>
      </w:r>
    </w:p>
    <w:p w14:paraId="2ADE79B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 招标文件的获取</w:t>
      </w:r>
    </w:p>
    <w:p w14:paraId="611C98C4">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详见招标公告中获取招标文件的时间期限、地点、方式及招标文件售价。</w:t>
      </w:r>
    </w:p>
    <w:p w14:paraId="5C5B5E7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8.开标前答疑会或现场考察</w:t>
      </w:r>
    </w:p>
    <w:p w14:paraId="0ACFE75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3E89B79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9.投标保证金</w:t>
      </w:r>
    </w:p>
    <w:p w14:paraId="531773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本项目不需缴纳投标保证金。</w:t>
      </w:r>
    </w:p>
    <w:p w14:paraId="7AB5F6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 投标文件的语言</w:t>
      </w:r>
    </w:p>
    <w:p w14:paraId="22EB6C6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投标文件及投标人与采购有关的来往通知、函件和文件均应使用中文。</w:t>
      </w:r>
    </w:p>
    <w:p w14:paraId="7A1378F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投标文件的组成</w:t>
      </w:r>
    </w:p>
    <w:p w14:paraId="346AADE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11.1资格文件：</w:t>
      </w:r>
    </w:p>
    <w:p w14:paraId="48E913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11.1.1符合参加政府采购活动应当具备的一般条件的承诺函；</w:t>
      </w:r>
    </w:p>
    <w:p w14:paraId="5A66FFE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11.1.2落实政府采购政策需满足的资格要求（如果有）;</w:t>
      </w:r>
    </w:p>
    <w:p w14:paraId="6B44281B">
      <w:pPr>
        <w:spacing w:line="420" w:lineRule="exact"/>
        <w:ind w:firstLine="465"/>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11.1.3本项目的特定资格要求（如果有）；</w:t>
      </w:r>
    </w:p>
    <w:p w14:paraId="71F3EB8E">
      <w:pPr>
        <w:spacing w:line="420" w:lineRule="exact"/>
        <w:ind w:firstLine="465"/>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11.1.4联合协议（如果有）；</w:t>
      </w:r>
    </w:p>
    <w:p w14:paraId="1B31B76F">
      <w:pPr>
        <w:spacing w:line="420" w:lineRule="exact"/>
        <w:ind w:firstLine="465"/>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11.1.5分包意向协议（如果有）。</w:t>
      </w:r>
    </w:p>
    <w:p w14:paraId="6278CDB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商务技术文件：</w:t>
      </w:r>
    </w:p>
    <w:p w14:paraId="2FDC589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11.2.1投标函；</w:t>
      </w:r>
    </w:p>
    <w:p w14:paraId="4C43948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联合协议（如果有）；</w:t>
      </w:r>
    </w:p>
    <w:p w14:paraId="0BED8C3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分包意向协议（如果有）；</w:t>
      </w:r>
    </w:p>
    <w:p w14:paraId="0E8B1F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符合性审查资料；</w:t>
      </w:r>
    </w:p>
    <w:p w14:paraId="780601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拟投入的项目班子格式；</w:t>
      </w:r>
    </w:p>
    <w:p w14:paraId="43D457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评标标准相应的商务技术资料；</w:t>
      </w:r>
    </w:p>
    <w:p w14:paraId="3B0AC1D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投标标的清单（如果有）；</w:t>
      </w:r>
    </w:p>
    <w:p w14:paraId="0C8C90F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商务技术偏离表（如果有）；</w:t>
      </w:r>
    </w:p>
    <w:p w14:paraId="6D59A66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政府采购供应商廉洁自律承诺书。</w:t>
      </w:r>
    </w:p>
    <w:p w14:paraId="0F9FA3F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11.3报价文件：</w:t>
      </w:r>
    </w:p>
    <w:p w14:paraId="77F674D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11.3.1开标一览表（报价表）；</w:t>
      </w:r>
    </w:p>
    <w:p w14:paraId="4076C66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11.3.2中小企业声明函；</w:t>
      </w:r>
    </w:p>
    <w:p w14:paraId="263E20D8">
      <w:pPr>
        <w:spacing w:line="420" w:lineRule="exact"/>
        <w:ind w:firstLine="480" w:firstLineChars="2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11.3.3详细阐述关于不影响产品质量或者诚信履约的具体原因（如果报价低于项目预算50%的）。</w:t>
      </w:r>
    </w:p>
    <w:p w14:paraId="1D34A7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12.投标文件的编制</w:t>
      </w:r>
    </w:p>
    <w:p w14:paraId="4BE60E5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3A1BD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2178983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12.3使用“政采云电子交易客户端”需要提前申领CA数字证书，申领流程请自行前往“浙江政府采购网-下载专区-电子交易客户端-CA驱动和申领流程”进行查阅。</w:t>
      </w:r>
    </w:p>
    <w:p w14:paraId="47D4E3B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13.投标文件的签署、盖章</w:t>
      </w:r>
    </w:p>
    <w:p w14:paraId="2AAF21E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13.1投标文件按照招标文件第六部分格式要求进行签署、盖章。▲</w:t>
      </w:r>
      <w:r>
        <w:rPr>
          <w:rFonts w:hint="eastAsia" w:ascii="仿宋_GB2312" w:hAnsi="仿宋_GB2312" w:eastAsia="仿宋_GB2312" w:cs="仿宋_GB2312"/>
          <w:b/>
          <w:color w:val="auto"/>
          <w:sz w:val="24"/>
          <w:szCs w:val="24"/>
          <w:highlight w:val="none"/>
        </w:rPr>
        <w:t>投标人的投标文件未按照招标文件要求签署、盖章的，其投标无效</w:t>
      </w:r>
      <w:r>
        <w:rPr>
          <w:rFonts w:hint="eastAsia" w:ascii="仿宋_GB2312" w:hAnsi="仿宋_GB2312" w:eastAsia="仿宋_GB2312" w:cs="仿宋_GB2312"/>
          <w:color w:val="auto"/>
          <w:sz w:val="24"/>
          <w:szCs w:val="24"/>
          <w:highlight w:val="none"/>
        </w:rPr>
        <w:t>。</w:t>
      </w:r>
    </w:p>
    <w:p w14:paraId="78BE349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6370B3F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13.3招标文件对投标文件签署、盖章的要求适用于电子签名。</w:t>
      </w:r>
    </w:p>
    <w:p w14:paraId="6085E5D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14.投标文件的提交、补充、修改、撤回</w:t>
      </w:r>
    </w:p>
    <w:p w14:paraId="5ED8307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82AD1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C06B3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76172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15.备份投标文件</w:t>
      </w:r>
    </w:p>
    <w:p w14:paraId="78296D3F">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97B610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2CD327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0CE64DC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3226F38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15.5投标人仅提交备份投标文件，没有在电子交易平台传输递交投标文件的，投标无效。</w:t>
      </w:r>
    </w:p>
    <w:p w14:paraId="24CD4B8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16.投标文件的无效处理</w:t>
      </w:r>
    </w:p>
    <w:p w14:paraId="5AEB4E9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有招标文件第四部分4.2项规定的情形之一的，投标无效。</w:t>
      </w:r>
    </w:p>
    <w:p w14:paraId="16E5A94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17.投标有效期</w:t>
      </w:r>
    </w:p>
    <w:p w14:paraId="0EA2C311">
      <w:pPr>
        <w:spacing w:line="420" w:lineRule="exact"/>
        <w:ind w:firstLine="480"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17.1投标有效期为从提交投标文件的截止之日起90天。▲</w:t>
      </w:r>
      <w:r>
        <w:rPr>
          <w:rFonts w:hint="eastAsia" w:ascii="仿宋_GB2312" w:hAnsi="仿宋_GB2312" w:eastAsia="仿宋_GB2312" w:cs="仿宋_GB2312"/>
          <w:b/>
          <w:color w:val="auto"/>
          <w:sz w:val="24"/>
          <w:szCs w:val="24"/>
          <w:highlight w:val="none"/>
        </w:rPr>
        <w:t>投标人的投标文件中承诺的投标有效期少于招标文件中载明的投标有效期的，投标无效。</w:t>
      </w:r>
    </w:p>
    <w:p w14:paraId="743DF68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17.2投标文件合格投递后，自投标截止日期起，在投标有效期内有效。</w:t>
      </w:r>
    </w:p>
    <w:p w14:paraId="172EFCB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4535C2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四、开标、资格审查与信用信息查询</w:t>
      </w:r>
    </w:p>
    <w:p w14:paraId="55AC7C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18.开标</w:t>
      </w:r>
    </w:p>
    <w:p w14:paraId="33A420F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18.1采购代理机构按照招标文件规定的时间通过电子交易平台组织开标，所有投标人均应当准时在线参加。</w:t>
      </w:r>
    </w:p>
    <w:p w14:paraId="45AFE571">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6AEF0B0">
      <w:pPr>
        <w:spacing w:line="42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18.3</w:t>
      </w:r>
      <w:r>
        <w:rPr>
          <w:rFonts w:hint="eastAsia" w:ascii="仿宋_GB2312" w:hAnsi="仿宋_GB2312" w:eastAsia="仿宋_GB2312" w:cs="仿宋_GB2312"/>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303BF2D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19.资格审查</w:t>
      </w:r>
    </w:p>
    <w:p w14:paraId="0C364E8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19.1开标后，采购人将依法对投标人的资格进行审查。</w:t>
      </w:r>
    </w:p>
    <w:p w14:paraId="07C9506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19.2采购人依据法律法规和招标文件的规定，对投标人的基本资格条件、特定资格条件进行审查。</w:t>
      </w:r>
    </w:p>
    <w:p w14:paraId="3AACCD5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19.3投标人未按照招标文件要求提供与基本资格条件、特定资格条件相应的有效资格证明材料的，视为投标人不具备招标文件中规定的资格要求，其投标无效。</w:t>
      </w:r>
    </w:p>
    <w:p w14:paraId="40CD21F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19.4对未通过资格审查的投标人，采购人或采购代理机构告知其未通过的原因。</w:t>
      </w:r>
    </w:p>
    <w:p w14:paraId="19B9BAD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19.5合格投标人不足3家的，不再评标。</w:t>
      </w:r>
    </w:p>
    <w:p w14:paraId="7960F36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20.信用信息查询</w:t>
      </w:r>
    </w:p>
    <w:p w14:paraId="22CDF18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20.1信用信息查询渠道及截止时间：采购代理机构将通过“信用中国”网站(www.creditchina.gov.cn)、中国政府采购网(www.ccgp.gov.cn)渠道查询投标人投标截止时间当天的信用记录。</w:t>
      </w:r>
    </w:p>
    <w:p w14:paraId="3A0D6F8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20.2信用信息查询记录和证据留存的具体方式：现场查询的投标人的信用记录、查询结果经确认后将与采购文件一起存档。</w:t>
      </w:r>
    </w:p>
    <w:p w14:paraId="35A8ED1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7CAD436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A005D8">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五、评标</w:t>
      </w:r>
    </w:p>
    <w:p w14:paraId="61FBFDAE">
      <w:pPr>
        <w:spacing w:line="420" w:lineRule="exact"/>
        <w:ind w:firstLine="480" w:firstLineChars="200"/>
        <w:contextualSpacing/>
        <w:rPr>
          <w:rFonts w:hint="eastAsia" w:ascii="仿宋_GB2312" w:hAnsi="仿宋_GB2312" w:eastAsia="仿宋_GB2312" w:cs="仿宋_GB2312"/>
          <w:color w:val="auto"/>
          <w:sz w:val="24"/>
          <w:szCs w:val="24"/>
          <w:highlight w:val="none"/>
        </w:rPr>
      </w:pPr>
      <w:bookmarkStart w:id="13" w:name="_Toc91899903"/>
      <w:r>
        <w:rPr>
          <w:rFonts w:hint="eastAsia" w:ascii="仿宋_GB2312" w:hAnsi="仿宋_GB2312" w:eastAsia="仿宋_GB2312" w:cs="仿宋_GB2312"/>
          <w:color w:val="auto"/>
          <w:sz w:val="24"/>
          <w:szCs w:val="24"/>
          <w:highlight w:val="none"/>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7EB4CC03">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六、定标</w:t>
      </w:r>
    </w:p>
    <w:p w14:paraId="49E5E2E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22.确定中标供应商</w:t>
      </w:r>
    </w:p>
    <w:p w14:paraId="14DA304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3A4A431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23.中标通知与中标结果公告</w:t>
      </w:r>
    </w:p>
    <w:p w14:paraId="39C8E8D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7647838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45D30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23.3公告期限为1个工作日。</w:t>
      </w:r>
    </w:p>
    <w:p w14:paraId="671D64B7">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七、合同授予</w:t>
      </w:r>
    </w:p>
    <w:p w14:paraId="13F9C16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合同主要条款详见第五部分拟签订的合同文本。</w:t>
      </w:r>
    </w:p>
    <w:p w14:paraId="7D075DE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 合同的签订</w:t>
      </w:r>
    </w:p>
    <w:p w14:paraId="77F751AA">
      <w:pPr>
        <w:spacing w:line="420" w:lineRule="exact"/>
        <w:ind w:firstLine="480" w:firstLineChars="200"/>
        <w:contextualSpacing/>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63DD520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25.2中标人按规定的日期、时间、地点，由法定代表人或其授权代表与采购人代表签订合同。如中标人为联合体的，由联合体成员各方法定代表人或其授权代表与采购人代表签订合同。</w:t>
      </w:r>
    </w:p>
    <w:p w14:paraId="186F044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25.3中标供应商拒绝与采购人签订合同的，采购人可以按照评审报告推荐的中标或者成交候选人名单排序，确定下一候选人为中标供应商，也可以重新开展政府采购活动。</w:t>
      </w:r>
    </w:p>
    <w:p w14:paraId="5B47B88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25.4中标供应商放弃中标资格导致重新采购的，应当承担支付专家评审费等费用在内的赔偿责任。</w:t>
      </w:r>
    </w:p>
    <w:p w14:paraId="55EBE8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25.5采购合同由采购人与中标供应商根据招标文件、投标文件等内容通过政府采购电子交易平台在线签订，自动备案。</w:t>
      </w:r>
    </w:p>
    <w:p w14:paraId="2E7CFEF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 履约保证金</w:t>
      </w:r>
    </w:p>
    <w:p w14:paraId="2D6EEEA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8A9E1F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E2CE2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 预付款</w:t>
      </w:r>
    </w:p>
    <w:p w14:paraId="669315C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AE9ED6F">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八、电子交易活动的中止</w:t>
      </w:r>
    </w:p>
    <w:p w14:paraId="5DD71FE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 电子交易活动的中止。采购过程中出现以下情形，导致电子交易平台无法正常运行，或者无法保证电子交易的公平、公正和安全时，采购代理机构可中止电子交易活动：</w:t>
      </w:r>
    </w:p>
    <w:p w14:paraId="2B4F987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28.1电子交易平台发生故障而无法登录访问的；</w:t>
      </w:r>
    </w:p>
    <w:p w14:paraId="4898EC5F">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28.2电子交易平台应用或数据库出现错误，不能进行正常操作的；</w:t>
      </w:r>
    </w:p>
    <w:p w14:paraId="7EAC4914">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28.3电子交易平台发现严重安全漏洞，有潜在泄密危险的；</w:t>
      </w:r>
    </w:p>
    <w:p w14:paraId="5E8A542C">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28.4病毒发作导致不能进行正常操作的；</w:t>
      </w:r>
    </w:p>
    <w:p w14:paraId="6E9445F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28.5其他无法保证电子交易的公平、公正和安全的情况。</w:t>
      </w:r>
    </w:p>
    <w:p w14:paraId="6AF5672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B5D5EE1">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九、验收</w:t>
      </w:r>
    </w:p>
    <w:p w14:paraId="3BA43D7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30.验收</w:t>
      </w:r>
    </w:p>
    <w:p w14:paraId="72831E9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1F0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30.2采购人可以邀请参加本项目的其他投标人或者第三方机构参与验收。参与验收的投标人或者第三方机构的意见作为验收书的参考资料一并存档。</w:t>
      </w:r>
    </w:p>
    <w:p w14:paraId="212F2DC1">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C83D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0969126">
      <w:pPr>
        <w:spacing w:line="540" w:lineRule="exact"/>
        <w:contextualSpacing/>
        <w:rPr>
          <w:rFonts w:hint="eastAsia" w:ascii="仿宋_GB2312" w:hAnsi="仿宋_GB2312" w:eastAsia="仿宋_GB2312" w:cs="仿宋_GB2312"/>
          <w:color w:val="auto"/>
          <w:sz w:val="24"/>
          <w:szCs w:val="24"/>
          <w:highlight w:val="none"/>
        </w:rPr>
      </w:pPr>
      <w:bookmarkStart w:id="14" w:name="_Hlt68057669"/>
      <w:bookmarkEnd w:id="14"/>
      <w:bookmarkStart w:id="15" w:name="_Hlt74729768"/>
      <w:bookmarkEnd w:id="15"/>
      <w:bookmarkStart w:id="16" w:name="_Hlt68072998"/>
      <w:bookmarkEnd w:id="16"/>
      <w:bookmarkStart w:id="17" w:name="_Hlt74714665"/>
      <w:bookmarkEnd w:id="17"/>
      <w:bookmarkStart w:id="18" w:name="_Hlt68403820"/>
      <w:bookmarkEnd w:id="18"/>
      <w:bookmarkStart w:id="19" w:name="_Hlt68072990"/>
      <w:bookmarkEnd w:id="19"/>
      <w:bookmarkStart w:id="20" w:name="_Hlt75236290"/>
      <w:bookmarkEnd w:id="20"/>
      <w:bookmarkStart w:id="21" w:name="_Hlt75236011"/>
      <w:bookmarkEnd w:id="21"/>
      <w:bookmarkStart w:id="22" w:name="_Hlt74730295"/>
      <w:bookmarkEnd w:id="22"/>
      <w:bookmarkStart w:id="23" w:name="_Hlt75236101"/>
      <w:bookmarkEnd w:id="23"/>
      <w:bookmarkStart w:id="24" w:name="_Hlt68073093"/>
      <w:bookmarkEnd w:id="24"/>
      <w:bookmarkStart w:id="25" w:name="_Hlt74707468"/>
      <w:bookmarkEnd w:id="25"/>
    </w:p>
    <w:p w14:paraId="354C41A5">
      <w:pPr>
        <w:spacing w:line="540" w:lineRule="exact"/>
        <w:contextualSpacing/>
        <w:rPr>
          <w:rFonts w:hint="eastAsia" w:ascii="仿宋_GB2312" w:hAnsi="仿宋_GB2312" w:eastAsia="仿宋_GB2312" w:cs="仿宋_GB2312"/>
          <w:color w:val="auto"/>
          <w:sz w:val="24"/>
          <w:szCs w:val="24"/>
          <w:highlight w:val="none"/>
        </w:rPr>
      </w:pPr>
    </w:p>
    <w:p w14:paraId="3F91AD80">
      <w:pPr>
        <w:spacing w:line="540" w:lineRule="exact"/>
        <w:contextualSpacing/>
        <w:rPr>
          <w:rFonts w:hint="eastAsia" w:ascii="仿宋_GB2312" w:hAnsi="仿宋_GB2312" w:eastAsia="仿宋_GB2312" w:cs="仿宋_GB2312"/>
          <w:color w:val="auto"/>
          <w:sz w:val="24"/>
          <w:szCs w:val="24"/>
          <w:highlight w:val="none"/>
        </w:rPr>
      </w:pPr>
    </w:p>
    <w:p w14:paraId="1894B16C">
      <w:pPr>
        <w:spacing w:line="540" w:lineRule="exact"/>
        <w:contextualSpacing/>
        <w:rPr>
          <w:rFonts w:hint="eastAsia" w:ascii="仿宋_GB2312" w:hAnsi="仿宋_GB2312" w:eastAsia="仿宋_GB2312" w:cs="仿宋_GB2312"/>
          <w:color w:val="auto"/>
          <w:sz w:val="24"/>
          <w:szCs w:val="24"/>
          <w:highlight w:val="none"/>
        </w:rPr>
      </w:pPr>
    </w:p>
    <w:p w14:paraId="5A7B79F8">
      <w:pPr>
        <w:spacing w:line="540" w:lineRule="exact"/>
        <w:contextualSpacing/>
        <w:rPr>
          <w:rFonts w:hint="eastAsia" w:ascii="仿宋_GB2312" w:hAnsi="仿宋_GB2312" w:eastAsia="仿宋_GB2312" w:cs="仿宋_GB2312"/>
          <w:color w:val="auto"/>
          <w:sz w:val="24"/>
          <w:szCs w:val="24"/>
          <w:highlight w:val="none"/>
        </w:rPr>
      </w:pPr>
    </w:p>
    <w:p w14:paraId="06DB8EDA">
      <w:pPr>
        <w:spacing w:line="540" w:lineRule="exact"/>
        <w:contextualSpacing/>
        <w:jc w:val="left"/>
        <w:rPr>
          <w:rFonts w:hint="eastAsia" w:ascii="仿宋_GB2312" w:hAnsi="仿宋_GB2312" w:eastAsia="仿宋_GB2312" w:cs="仿宋_GB2312"/>
          <w:color w:val="auto"/>
          <w:sz w:val="24"/>
          <w:szCs w:val="24"/>
          <w:highlight w:val="none"/>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p>
    <w:bookmarkEnd w:id="11"/>
    <w:bookmarkEnd w:id="12"/>
    <w:p w14:paraId="534EF1A2">
      <w:pPr>
        <w:numPr>
          <w:ilvl w:val="0"/>
          <w:numId w:val="2"/>
        </w:numPr>
        <w:jc w:val="center"/>
        <w:outlineLvl w:val="0"/>
        <w:rPr>
          <w:rFonts w:hint="eastAsia" w:ascii="仿宋_GB2312" w:hAnsi="仿宋_GB2312" w:eastAsia="仿宋_GB2312" w:cs="仿宋_GB2312"/>
          <w:b/>
          <w:color w:val="auto"/>
          <w:sz w:val="32"/>
          <w:szCs w:val="32"/>
          <w:highlight w:val="none"/>
        </w:rPr>
      </w:pPr>
      <w:bookmarkStart w:id="26" w:name="第四部分"/>
      <w:r>
        <w:rPr>
          <w:rFonts w:hint="eastAsia" w:ascii="仿宋_GB2312" w:hAnsi="仿宋_GB2312" w:eastAsia="仿宋_GB2312" w:cs="仿宋_GB2312"/>
          <w:b/>
          <w:color w:val="auto"/>
          <w:sz w:val="32"/>
          <w:szCs w:val="32"/>
          <w:highlight w:val="none"/>
        </w:rPr>
        <w:t>采购需求</w:t>
      </w:r>
    </w:p>
    <w:p w14:paraId="01C4E9F7">
      <w:pPr>
        <w:rPr>
          <w:rFonts w:hint="eastAsia" w:ascii="仿宋_GB2312" w:hAnsi="仿宋_GB2312" w:eastAsia="仿宋_GB2312" w:cs="仿宋_GB2312"/>
          <w:color w:val="auto"/>
          <w:sz w:val="24"/>
          <w:szCs w:val="24"/>
          <w:highlight w:val="none"/>
        </w:rPr>
      </w:pPr>
    </w:p>
    <w:p w14:paraId="7BD85B95">
      <w:pPr>
        <w:pStyle w:val="2"/>
        <w:rPr>
          <w:rFonts w:hint="eastAsia" w:ascii="仿宋_GB2312" w:hAnsi="仿宋_GB2312" w:eastAsia="仿宋_GB2312" w:cs="仿宋_GB2312"/>
          <w:color w:val="auto"/>
          <w:sz w:val="24"/>
          <w:szCs w:val="24"/>
          <w14:ligatures w14:val="none"/>
        </w:rPr>
      </w:pPr>
      <w:r>
        <w:rPr>
          <w:rFonts w:hint="eastAsia" w:ascii="仿宋_GB2312" w:hAnsi="仿宋_GB2312" w:eastAsia="仿宋_GB2312" w:cs="仿宋_GB2312"/>
          <w:color w:val="auto"/>
          <w:sz w:val="24"/>
          <w:szCs w:val="24"/>
          <w14:ligatures w14:val="none"/>
        </w:rPr>
        <w:t>一、采购设备清单及控制价</w:t>
      </w:r>
    </w:p>
    <w:tbl>
      <w:tblPr>
        <w:tblStyle w:val="14"/>
        <w:tblW w:w="9420" w:type="dxa"/>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68"/>
        <w:gridCol w:w="1164"/>
        <w:gridCol w:w="1452"/>
        <w:gridCol w:w="1082"/>
        <w:gridCol w:w="1294"/>
        <w:gridCol w:w="1200"/>
      </w:tblGrid>
      <w:tr w14:paraId="64C2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vAlign w:val="center"/>
          </w:tcPr>
          <w:p w14:paraId="70B703C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14:paraId="419F237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标的名称</w:t>
            </w:r>
          </w:p>
        </w:tc>
        <w:tc>
          <w:tcPr>
            <w:tcW w:w="1164" w:type="dxa"/>
            <w:tcBorders>
              <w:top w:val="single" w:color="000000" w:sz="4" w:space="0"/>
              <w:left w:val="single" w:color="000000" w:sz="4" w:space="0"/>
              <w:bottom w:val="single" w:color="000000" w:sz="4" w:space="0"/>
              <w:right w:val="single" w:color="000000" w:sz="4" w:space="0"/>
            </w:tcBorders>
            <w:vAlign w:val="center"/>
          </w:tcPr>
          <w:p w14:paraId="58868E8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数量单位</w:t>
            </w:r>
          </w:p>
        </w:tc>
        <w:tc>
          <w:tcPr>
            <w:tcW w:w="1452" w:type="dxa"/>
            <w:tcBorders>
              <w:top w:val="single" w:color="000000" w:sz="4" w:space="0"/>
              <w:left w:val="single" w:color="000000" w:sz="4" w:space="0"/>
              <w:bottom w:val="single" w:color="000000" w:sz="4" w:space="0"/>
              <w:right w:val="single" w:color="000000" w:sz="4" w:space="0"/>
            </w:tcBorders>
            <w:vAlign w:val="center"/>
          </w:tcPr>
          <w:p w14:paraId="00F583D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技术规范和服务要求</w:t>
            </w:r>
          </w:p>
        </w:tc>
        <w:tc>
          <w:tcPr>
            <w:tcW w:w="1082" w:type="dxa"/>
            <w:tcBorders>
              <w:top w:val="single" w:color="000000" w:sz="4" w:space="0"/>
              <w:left w:val="single" w:color="000000" w:sz="4" w:space="0"/>
              <w:bottom w:val="single" w:color="000000" w:sz="4" w:space="0"/>
              <w:right w:val="single" w:color="000000" w:sz="4" w:space="0"/>
            </w:tcBorders>
            <w:vAlign w:val="center"/>
          </w:tcPr>
          <w:p w14:paraId="0C5DD16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质保</w:t>
            </w:r>
          </w:p>
        </w:tc>
        <w:tc>
          <w:tcPr>
            <w:tcW w:w="1294" w:type="dxa"/>
            <w:tcBorders>
              <w:top w:val="single" w:color="000000" w:sz="4" w:space="0"/>
              <w:left w:val="single" w:color="000000" w:sz="4" w:space="0"/>
              <w:bottom w:val="single" w:color="000000" w:sz="4" w:space="0"/>
              <w:right w:val="single" w:color="auto" w:sz="4" w:space="0"/>
            </w:tcBorders>
            <w:vAlign w:val="center"/>
          </w:tcPr>
          <w:p w14:paraId="0C28FE1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所属行业</w:t>
            </w:r>
          </w:p>
        </w:tc>
        <w:tc>
          <w:tcPr>
            <w:tcW w:w="1200" w:type="dxa"/>
            <w:tcBorders>
              <w:top w:val="single" w:color="000000" w:sz="4" w:space="0"/>
              <w:left w:val="single" w:color="auto" w:sz="4" w:space="0"/>
              <w:bottom w:val="single" w:color="000000" w:sz="4" w:space="0"/>
              <w:right w:val="single" w:color="000000" w:sz="4" w:space="0"/>
            </w:tcBorders>
            <w:vAlign w:val="center"/>
          </w:tcPr>
          <w:p w14:paraId="59638A3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14:paraId="68FE8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960" w:type="dxa"/>
            <w:tcBorders>
              <w:top w:val="single" w:color="000000" w:sz="4" w:space="0"/>
              <w:left w:val="single" w:color="000000" w:sz="4" w:space="0"/>
              <w:right w:val="single" w:color="000000" w:sz="4" w:space="0"/>
            </w:tcBorders>
            <w:vAlign w:val="center"/>
          </w:tcPr>
          <w:p w14:paraId="0EA233E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68" w:type="dxa"/>
            <w:tcBorders>
              <w:top w:val="single" w:color="000000" w:sz="4" w:space="0"/>
              <w:left w:val="single" w:color="000000" w:sz="4" w:space="0"/>
              <w:right w:val="single" w:color="000000" w:sz="4" w:space="0"/>
            </w:tcBorders>
            <w:vAlign w:val="center"/>
          </w:tcPr>
          <w:p w14:paraId="289CEEB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 w:val="24"/>
                <w:szCs w:val="24"/>
              </w:rPr>
              <w:t>台式电脑（1）</w:t>
            </w:r>
          </w:p>
        </w:tc>
        <w:tc>
          <w:tcPr>
            <w:tcW w:w="1164" w:type="dxa"/>
            <w:tcBorders>
              <w:top w:val="single" w:color="000000" w:sz="4" w:space="0"/>
              <w:left w:val="single" w:color="000000" w:sz="4" w:space="0"/>
              <w:bottom w:val="single" w:color="000000" w:sz="4" w:space="0"/>
              <w:right w:val="single" w:color="000000" w:sz="4" w:space="0"/>
            </w:tcBorders>
            <w:vAlign w:val="center"/>
          </w:tcPr>
          <w:p w14:paraId="53D9AE42">
            <w:pPr>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45套</w:t>
            </w:r>
          </w:p>
        </w:tc>
        <w:tc>
          <w:tcPr>
            <w:tcW w:w="1452" w:type="dxa"/>
            <w:vMerge w:val="restart"/>
            <w:tcBorders>
              <w:top w:val="single" w:color="auto" w:sz="4" w:space="0"/>
              <w:left w:val="single" w:color="000000" w:sz="4" w:space="0"/>
              <w:right w:val="single" w:color="000000" w:sz="4" w:space="0"/>
            </w:tcBorders>
            <w:vAlign w:val="center"/>
          </w:tcPr>
          <w:p w14:paraId="40CDE23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详见技术要求</w:t>
            </w:r>
          </w:p>
        </w:tc>
        <w:tc>
          <w:tcPr>
            <w:tcW w:w="1082" w:type="dxa"/>
            <w:vMerge w:val="restart"/>
            <w:tcBorders>
              <w:top w:val="single" w:color="auto" w:sz="4" w:space="0"/>
              <w:left w:val="single" w:color="000000" w:sz="4" w:space="0"/>
              <w:right w:val="single" w:color="000000" w:sz="4" w:space="0"/>
            </w:tcBorders>
            <w:vAlign w:val="center"/>
          </w:tcPr>
          <w:p w14:paraId="5AA7B871">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三年免费硬件质保</w:t>
            </w:r>
          </w:p>
        </w:tc>
        <w:tc>
          <w:tcPr>
            <w:tcW w:w="1294" w:type="dxa"/>
            <w:tcBorders>
              <w:top w:val="single" w:color="auto" w:sz="4" w:space="0"/>
              <w:left w:val="single" w:color="000000" w:sz="4" w:space="0"/>
              <w:right w:val="single" w:color="auto" w:sz="4" w:space="0"/>
            </w:tcBorders>
            <w:vAlign w:val="center"/>
          </w:tcPr>
          <w:p w14:paraId="611782D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w:t>
            </w:r>
          </w:p>
        </w:tc>
        <w:tc>
          <w:tcPr>
            <w:tcW w:w="1200" w:type="dxa"/>
            <w:tcBorders>
              <w:top w:val="single" w:color="auto" w:sz="4" w:space="0"/>
              <w:left w:val="single" w:color="auto" w:sz="4" w:space="0"/>
              <w:right w:val="single" w:color="000000" w:sz="4" w:space="0"/>
            </w:tcBorders>
            <w:vAlign w:val="center"/>
          </w:tcPr>
          <w:p w14:paraId="75A3FDE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价格不超27.94万</w:t>
            </w:r>
          </w:p>
        </w:tc>
      </w:tr>
      <w:tr w14:paraId="4ADD3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60" w:type="dxa"/>
            <w:tcBorders>
              <w:top w:val="single" w:color="000000" w:sz="4" w:space="0"/>
              <w:left w:val="single" w:color="000000" w:sz="4" w:space="0"/>
              <w:right w:val="single" w:color="000000" w:sz="4" w:space="0"/>
            </w:tcBorders>
            <w:vAlign w:val="center"/>
          </w:tcPr>
          <w:p w14:paraId="6CB9E0F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68" w:type="dxa"/>
            <w:tcBorders>
              <w:top w:val="single" w:color="000000" w:sz="4" w:space="0"/>
              <w:left w:val="single" w:color="000000" w:sz="4" w:space="0"/>
              <w:right w:val="single" w:color="000000" w:sz="4" w:space="0"/>
            </w:tcBorders>
            <w:vAlign w:val="center"/>
          </w:tcPr>
          <w:p w14:paraId="71C1EE0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台式电脑（2）</w:t>
            </w:r>
          </w:p>
        </w:tc>
        <w:tc>
          <w:tcPr>
            <w:tcW w:w="1164" w:type="dxa"/>
            <w:tcBorders>
              <w:top w:val="single" w:color="000000" w:sz="4" w:space="0"/>
              <w:left w:val="single" w:color="000000" w:sz="4" w:space="0"/>
              <w:bottom w:val="single" w:color="000000" w:sz="4" w:space="0"/>
              <w:right w:val="single" w:color="000000" w:sz="4" w:space="0"/>
            </w:tcBorders>
            <w:vAlign w:val="center"/>
          </w:tcPr>
          <w:p w14:paraId="77C8AB27">
            <w:pPr>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48套</w:t>
            </w:r>
          </w:p>
        </w:tc>
        <w:tc>
          <w:tcPr>
            <w:tcW w:w="1452" w:type="dxa"/>
            <w:vMerge w:val="continue"/>
            <w:tcBorders>
              <w:top w:val="single" w:color="auto" w:sz="4" w:space="0"/>
              <w:left w:val="single" w:color="000000" w:sz="4" w:space="0"/>
              <w:right w:val="single" w:color="000000" w:sz="4" w:space="0"/>
            </w:tcBorders>
            <w:vAlign w:val="center"/>
          </w:tcPr>
          <w:p w14:paraId="2FBFB729">
            <w:pPr>
              <w:rPr>
                <w:rFonts w:hint="eastAsia" w:ascii="仿宋_GB2312" w:hAnsi="仿宋_GB2312" w:eastAsia="仿宋_GB2312" w:cs="仿宋_GB2312"/>
                <w:color w:val="auto"/>
                <w:sz w:val="24"/>
                <w:szCs w:val="24"/>
              </w:rPr>
            </w:pPr>
          </w:p>
        </w:tc>
        <w:tc>
          <w:tcPr>
            <w:tcW w:w="1082" w:type="dxa"/>
            <w:vMerge w:val="continue"/>
            <w:tcBorders>
              <w:top w:val="single" w:color="auto" w:sz="4" w:space="0"/>
              <w:left w:val="single" w:color="000000" w:sz="4" w:space="0"/>
              <w:right w:val="single" w:color="000000" w:sz="4" w:space="0"/>
            </w:tcBorders>
            <w:vAlign w:val="center"/>
          </w:tcPr>
          <w:p w14:paraId="65055113">
            <w:pPr>
              <w:rPr>
                <w:rFonts w:hint="eastAsia" w:ascii="仿宋_GB2312" w:hAnsi="仿宋_GB2312" w:eastAsia="仿宋_GB2312" w:cs="仿宋_GB2312"/>
                <w:color w:val="auto"/>
                <w:sz w:val="24"/>
                <w:szCs w:val="24"/>
              </w:rPr>
            </w:pPr>
          </w:p>
        </w:tc>
        <w:tc>
          <w:tcPr>
            <w:tcW w:w="1294" w:type="dxa"/>
            <w:tcBorders>
              <w:top w:val="single" w:color="auto" w:sz="4" w:space="0"/>
              <w:left w:val="single" w:color="000000" w:sz="4" w:space="0"/>
              <w:right w:val="single" w:color="auto" w:sz="4" w:space="0"/>
            </w:tcBorders>
            <w:vAlign w:val="center"/>
          </w:tcPr>
          <w:p w14:paraId="1F562CC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工业</w:t>
            </w:r>
          </w:p>
        </w:tc>
        <w:tc>
          <w:tcPr>
            <w:tcW w:w="1200" w:type="dxa"/>
            <w:tcBorders>
              <w:top w:val="single" w:color="auto" w:sz="4" w:space="0"/>
              <w:left w:val="single" w:color="auto" w:sz="4" w:space="0"/>
              <w:right w:val="single" w:color="000000" w:sz="4" w:space="0"/>
            </w:tcBorders>
            <w:vAlign w:val="center"/>
          </w:tcPr>
          <w:p w14:paraId="6C3CE12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价格不超26万</w:t>
            </w:r>
          </w:p>
        </w:tc>
      </w:tr>
    </w:tbl>
    <w:p w14:paraId="0A809193">
      <w:pPr>
        <w:pStyle w:val="19"/>
        <w:ind w:firstLine="0" w:firstLineChars="0"/>
        <w:rPr>
          <w:rFonts w:hint="eastAsia" w:ascii="宋体" w:hAnsi="宋体" w:eastAsia="宋体" w:cs="宋体"/>
          <w:color w:val="auto"/>
        </w:rPr>
      </w:pPr>
    </w:p>
    <w:p w14:paraId="4716B88E">
      <w:pPr>
        <w:pStyle w:val="2"/>
        <w:rPr>
          <w:rFonts w:hint="eastAsia" w:ascii="仿宋_GB2312" w:hAnsi="仿宋_GB2312" w:eastAsia="仿宋_GB2312" w:cs="仿宋_GB2312"/>
          <w:color w:val="auto"/>
          <w:sz w:val="24"/>
          <w:szCs w:val="24"/>
          <w14:ligatures w14:val="none"/>
        </w:rPr>
      </w:pPr>
      <w:r>
        <w:rPr>
          <w:rFonts w:hint="eastAsia" w:ascii="仿宋_GB2312" w:hAnsi="仿宋_GB2312" w:eastAsia="仿宋_GB2312" w:cs="仿宋_GB2312"/>
          <w:color w:val="auto"/>
          <w:sz w:val="24"/>
          <w:szCs w:val="24"/>
          <w14:ligatures w14:val="none"/>
        </w:rPr>
        <w:t>二、技术要求</w:t>
      </w:r>
    </w:p>
    <w:p w14:paraId="03BA1A81">
      <w:pPr>
        <w:pStyle w:val="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 台式电脑（1）</w:t>
      </w:r>
    </w:p>
    <w:tbl>
      <w:tblPr>
        <w:tblStyle w:val="15"/>
        <w:tblW w:w="921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27"/>
        <w:gridCol w:w="1630"/>
        <w:gridCol w:w="5561"/>
      </w:tblGrid>
      <w:tr w14:paraId="2788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noWrap/>
            <w:vAlign w:val="center"/>
          </w:tcPr>
          <w:p w14:paraId="4DAFDF0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0" w:type="auto"/>
            <w:noWrap/>
            <w:vAlign w:val="center"/>
          </w:tcPr>
          <w:p w14:paraId="2FF5DEF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一级指标</w:t>
            </w:r>
          </w:p>
        </w:tc>
        <w:tc>
          <w:tcPr>
            <w:tcW w:w="0" w:type="auto"/>
            <w:vAlign w:val="center"/>
          </w:tcPr>
          <w:p w14:paraId="44FE3627">
            <w:pPr>
              <w:pStyle w:val="6"/>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二级指标</w:t>
            </w:r>
          </w:p>
        </w:tc>
        <w:tc>
          <w:tcPr>
            <w:tcW w:w="0" w:type="auto"/>
            <w:vAlign w:val="center"/>
          </w:tcPr>
          <w:p w14:paraId="2E990A5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指标要求</w:t>
            </w:r>
          </w:p>
        </w:tc>
      </w:tr>
      <w:tr w14:paraId="7030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B0B7A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0" w:type="auto"/>
            <w:vAlign w:val="center"/>
          </w:tcPr>
          <w:p w14:paraId="42F4676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▲CPU规格</w:t>
            </w:r>
          </w:p>
        </w:tc>
        <w:tc>
          <w:tcPr>
            <w:tcW w:w="0" w:type="auto"/>
            <w:vAlign w:val="center"/>
          </w:tcPr>
          <w:p w14:paraId="5861312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信息</w:t>
            </w:r>
          </w:p>
        </w:tc>
        <w:tc>
          <w:tcPr>
            <w:tcW w:w="0" w:type="auto"/>
            <w:vAlign w:val="center"/>
          </w:tcPr>
          <w:p w14:paraId="0745526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≥Intel 酷睿I7-14700、物理核数≥20个，线程数≥28个，主频≥2.1GHz，缓存≥33MB，基础功耗TDP≥65W，内存支持的最高速率≥5600 MT/s、通道数≥2个、位宽≥64bit</w:t>
            </w:r>
          </w:p>
        </w:tc>
      </w:tr>
      <w:tr w14:paraId="2BEC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E6DF55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0" w:type="auto"/>
            <w:vMerge w:val="restart"/>
            <w:vAlign w:val="center"/>
          </w:tcPr>
          <w:p w14:paraId="692DC5F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▲内存规格</w:t>
            </w:r>
          </w:p>
        </w:tc>
        <w:tc>
          <w:tcPr>
            <w:tcW w:w="0" w:type="auto"/>
            <w:vAlign w:val="center"/>
          </w:tcPr>
          <w:p w14:paraId="5B2FC10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▲内存配置容量</w:t>
            </w:r>
          </w:p>
        </w:tc>
        <w:tc>
          <w:tcPr>
            <w:tcW w:w="0" w:type="auto"/>
            <w:vAlign w:val="center"/>
          </w:tcPr>
          <w:p w14:paraId="4A165A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≥16GB</w:t>
            </w:r>
          </w:p>
        </w:tc>
      </w:tr>
      <w:tr w14:paraId="0DF0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DDC073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0" w:type="auto"/>
            <w:vMerge w:val="continue"/>
            <w:vAlign w:val="center"/>
          </w:tcPr>
          <w:p w14:paraId="732C1FC1">
            <w:pPr>
              <w:pStyle w:val="6"/>
              <w:rPr>
                <w:rFonts w:hint="eastAsia" w:ascii="仿宋_GB2312" w:hAnsi="仿宋_GB2312" w:eastAsia="仿宋_GB2312" w:cs="仿宋_GB2312"/>
                <w:color w:val="auto"/>
                <w:sz w:val="24"/>
                <w:szCs w:val="24"/>
              </w:rPr>
            </w:pPr>
          </w:p>
        </w:tc>
        <w:tc>
          <w:tcPr>
            <w:tcW w:w="0" w:type="auto"/>
            <w:vAlign w:val="center"/>
          </w:tcPr>
          <w:p w14:paraId="5FE1CB0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▲内存类型</w:t>
            </w:r>
          </w:p>
        </w:tc>
        <w:tc>
          <w:tcPr>
            <w:tcW w:w="0" w:type="auto"/>
            <w:vAlign w:val="center"/>
          </w:tcPr>
          <w:p w14:paraId="7ACA990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DDR5/LPDDR5/LPDDR5X 及以上内存类型</w:t>
            </w:r>
          </w:p>
        </w:tc>
      </w:tr>
      <w:tr w14:paraId="3BD8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AA0670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0" w:type="auto"/>
            <w:vMerge w:val="continue"/>
            <w:vAlign w:val="center"/>
          </w:tcPr>
          <w:p w14:paraId="27A21577">
            <w:pPr>
              <w:pStyle w:val="6"/>
              <w:rPr>
                <w:rFonts w:hint="eastAsia" w:ascii="仿宋_GB2312" w:hAnsi="仿宋_GB2312" w:eastAsia="仿宋_GB2312" w:cs="仿宋_GB2312"/>
                <w:color w:val="auto"/>
                <w:sz w:val="24"/>
                <w:szCs w:val="24"/>
              </w:rPr>
            </w:pPr>
          </w:p>
        </w:tc>
        <w:tc>
          <w:tcPr>
            <w:tcW w:w="0" w:type="auto"/>
            <w:vAlign w:val="center"/>
          </w:tcPr>
          <w:p w14:paraId="689580D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▲内存条配置数量（板载内存不涉及）</w:t>
            </w:r>
          </w:p>
        </w:tc>
        <w:tc>
          <w:tcPr>
            <w:tcW w:w="0" w:type="auto"/>
            <w:vAlign w:val="center"/>
          </w:tcPr>
          <w:p w14:paraId="7F95038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14:paraId="1595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0" w:type="auto"/>
            <w:vAlign w:val="center"/>
          </w:tcPr>
          <w:p w14:paraId="58A2EDB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0" w:type="auto"/>
            <w:vMerge w:val="restart"/>
            <w:vAlign w:val="center"/>
          </w:tcPr>
          <w:p w14:paraId="1FA8F62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▲主板规格</w:t>
            </w:r>
          </w:p>
        </w:tc>
        <w:tc>
          <w:tcPr>
            <w:tcW w:w="0" w:type="auto"/>
            <w:vAlign w:val="center"/>
          </w:tcPr>
          <w:p w14:paraId="7A6C9FA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▲主板集成模块</w:t>
            </w:r>
          </w:p>
        </w:tc>
        <w:tc>
          <w:tcPr>
            <w:tcW w:w="0" w:type="auto"/>
            <w:vAlign w:val="center"/>
          </w:tcPr>
          <w:p w14:paraId="14AEC78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集成资源扩展模块、计算处理模块、音频扩展模块等，主板的互联拓扑可通过处理器或交换电路实现</w:t>
            </w:r>
          </w:p>
        </w:tc>
      </w:tr>
      <w:tr w14:paraId="57EA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1BE0EF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0" w:type="auto"/>
            <w:vMerge w:val="continue"/>
            <w:vAlign w:val="center"/>
          </w:tcPr>
          <w:p w14:paraId="2336B3B0">
            <w:pPr>
              <w:pStyle w:val="6"/>
              <w:rPr>
                <w:rFonts w:hint="eastAsia" w:ascii="仿宋_GB2312" w:hAnsi="仿宋_GB2312" w:eastAsia="仿宋_GB2312" w:cs="仿宋_GB2312"/>
                <w:color w:val="auto"/>
                <w:sz w:val="24"/>
                <w:szCs w:val="24"/>
              </w:rPr>
            </w:pPr>
          </w:p>
        </w:tc>
        <w:tc>
          <w:tcPr>
            <w:tcW w:w="0" w:type="auto"/>
            <w:vAlign w:val="center"/>
          </w:tcPr>
          <w:p w14:paraId="62E4645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▲主板支持的 CPU和内存情况</w:t>
            </w:r>
          </w:p>
        </w:tc>
        <w:tc>
          <w:tcPr>
            <w:tcW w:w="0" w:type="auto"/>
            <w:vAlign w:val="center"/>
          </w:tcPr>
          <w:p w14:paraId="3233BC7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供应商给出主板支持的 CPU 和内存型号和数量</w:t>
            </w:r>
          </w:p>
        </w:tc>
      </w:tr>
      <w:tr w14:paraId="2286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97C14E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0" w:type="auto"/>
            <w:vMerge w:val="continue"/>
            <w:vAlign w:val="center"/>
          </w:tcPr>
          <w:p w14:paraId="7718238C">
            <w:pPr>
              <w:pStyle w:val="6"/>
              <w:rPr>
                <w:rFonts w:hint="eastAsia" w:ascii="仿宋_GB2312" w:hAnsi="仿宋_GB2312" w:eastAsia="仿宋_GB2312" w:cs="仿宋_GB2312"/>
                <w:color w:val="auto"/>
                <w:sz w:val="24"/>
                <w:szCs w:val="24"/>
              </w:rPr>
            </w:pPr>
          </w:p>
        </w:tc>
        <w:tc>
          <w:tcPr>
            <w:tcW w:w="0" w:type="auto"/>
            <w:vAlign w:val="center"/>
          </w:tcPr>
          <w:p w14:paraId="05B9454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主板内置PCIe 插槽数量</w:t>
            </w:r>
          </w:p>
        </w:tc>
        <w:tc>
          <w:tcPr>
            <w:tcW w:w="0" w:type="auto"/>
            <w:vAlign w:val="center"/>
          </w:tcPr>
          <w:p w14:paraId="524197B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PCIe 插槽数量不少于 4 个</w:t>
            </w:r>
          </w:p>
        </w:tc>
      </w:tr>
      <w:tr w14:paraId="186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14:paraId="25CC1B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0" w:type="auto"/>
            <w:vMerge w:val="continue"/>
            <w:vAlign w:val="center"/>
          </w:tcPr>
          <w:p w14:paraId="56ED2203">
            <w:pPr>
              <w:pStyle w:val="6"/>
              <w:rPr>
                <w:rFonts w:hint="eastAsia" w:ascii="仿宋_GB2312" w:hAnsi="仿宋_GB2312" w:eastAsia="仿宋_GB2312" w:cs="仿宋_GB2312"/>
                <w:color w:val="auto"/>
                <w:sz w:val="24"/>
                <w:szCs w:val="24"/>
              </w:rPr>
            </w:pPr>
          </w:p>
        </w:tc>
        <w:tc>
          <w:tcPr>
            <w:tcW w:w="0" w:type="auto"/>
            <w:vAlign w:val="center"/>
          </w:tcPr>
          <w:p w14:paraId="7954A98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特殊孔位及接口</w:t>
            </w:r>
          </w:p>
        </w:tc>
        <w:tc>
          <w:tcPr>
            <w:tcW w:w="0" w:type="auto"/>
            <w:vAlign w:val="center"/>
          </w:tcPr>
          <w:p w14:paraId="5D3675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7128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A7F432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0" w:type="auto"/>
            <w:vMerge w:val="continue"/>
            <w:vAlign w:val="center"/>
          </w:tcPr>
          <w:p w14:paraId="261F9BFD">
            <w:pPr>
              <w:pStyle w:val="6"/>
              <w:rPr>
                <w:rFonts w:hint="eastAsia" w:ascii="仿宋_GB2312" w:hAnsi="仿宋_GB2312" w:eastAsia="仿宋_GB2312" w:cs="仿宋_GB2312"/>
                <w:color w:val="auto"/>
                <w:sz w:val="24"/>
                <w:szCs w:val="24"/>
              </w:rPr>
            </w:pPr>
          </w:p>
        </w:tc>
        <w:tc>
          <w:tcPr>
            <w:tcW w:w="0" w:type="auto"/>
            <w:vAlign w:val="center"/>
          </w:tcPr>
          <w:p w14:paraId="63FB74B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▲主板其他内置接口</w:t>
            </w:r>
          </w:p>
        </w:tc>
        <w:tc>
          <w:tcPr>
            <w:tcW w:w="0" w:type="auto"/>
            <w:vAlign w:val="center"/>
          </w:tcPr>
          <w:p w14:paraId="0C3838E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供应商给出相关 SATA、M.2、USB 接口数量及占用状态</w:t>
            </w:r>
          </w:p>
        </w:tc>
      </w:tr>
      <w:tr w14:paraId="5638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B63988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0" w:type="auto"/>
            <w:vMerge w:val="continue"/>
            <w:vAlign w:val="center"/>
          </w:tcPr>
          <w:p w14:paraId="45813122">
            <w:pPr>
              <w:pStyle w:val="6"/>
              <w:rPr>
                <w:rFonts w:hint="eastAsia" w:ascii="仿宋_GB2312" w:hAnsi="仿宋_GB2312" w:eastAsia="仿宋_GB2312" w:cs="仿宋_GB2312"/>
                <w:color w:val="auto"/>
                <w:sz w:val="24"/>
                <w:szCs w:val="24"/>
              </w:rPr>
            </w:pPr>
          </w:p>
        </w:tc>
        <w:tc>
          <w:tcPr>
            <w:tcW w:w="0" w:type="auto"/>
            <w:vAlign w:val="center"/>
          </w:tcPr>
          <w:p w14:paraId="7D11C9D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▲单内存插槽最大可支持容量（板载内存不涉及）</w:t>
            </w:r>
          </w:p>
        </w:tc>
        <w:tc>
          <w:tcPr>
            <w:tcW w:w="0" w:type="auto"/>
            <w:vAlign w:val="center"/>
          </w:tcPr>
          <w:p w14:paraId="26D500B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≥32GB</w:t>
            </w:r>
          </w:p>
        </w:tc>
      </w:tr>
      <w:tr w14:paraId="2A19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3B92DB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0" w:type="auto"/>
            <w:vMerge w:val="continue"/>
            <w:vAlign w:val="center"/>
          </w:tcPr>
          <w:p w14:paraId="526B21D2">
            <w:pPr>
              <w:pStyle w:val="6"/>
              <w:rPr>
                <w:rFonts w:hint="eastAsia" w:ascii="仿宋_GB2312" w:hAnsi="仿宋_GB2312" w:eastAsia="仿宋_GB2312" w:cs="仿宋_GB2312"/>
                <w:color w:val="auto"/>
                <w:sz w:val="24"/>
                <w:szCs w:val="24"/>
              </w:rPr>
            </w:pPr>
          </w:p>
        </w:tc>
        <w:tc>
          <w:tcPr>
            <w:tcW w:w="0" w:type="auto"/>
            <w:vAlign w:val="center"/>
          </w:tcPr>
          <w:p w14:paraId="2344B61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▲内存插槽满配时提供的最高内存总容量</w:t>
            </w:r>
          </w:p>
        </w:tc>
        <w:tc>
          <w:tcPr>
            <w:tcW w:w="0" w:type="auto"/>
            <w:vAlign w:val="center"/>
          </w:tcPr>
          <w:p w14:paraId="076AE57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≥128GB</w:t>
            </w:r>
          </w:p>
        </w:tc>
      </w:tr>
      <w:tr w14:paraId="4D1E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392879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0" w:type="auto"/>
            <w:vMerge w:val="restart"/>
            <w:vAlign w:val="center"/>
          </w:tcPr>
          <w:p w14:paraId="1803A95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▲存储设备规格</w:t>
            </w:r>
          </w:p>
        </w:tc>
        <w:tc>
          <w:tcPr>
            <w:tcW w:w="0" w:type="auto"/>
            <w:vAlign w:val="center"/>
          </w:tcPr>
          <w:p w14:paraId="7A960E1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▲固态盘数量</w:t>
            </w:r>
          </w:p>
        </w:tc>
        <w:tc>
          <w:tcPr>
            <w:tcW w:w="0" w:type="auto"/>
            <w:vAlign w:val="center"/>
          </w:tcPr>
          <w:p w14:paraId="2C77F8F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个</w:t>
            </w:r>
          </w:p>
        </w:tc>
      </w:tr>
      <w:tr w14:paraId="7170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BC4FF3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0" w:type="auto"/>
            <w:vMerge w:val="continue"/>
            <w:vAlign w:val="center"/>
          </w:tcPr>
          <w:p w14:paraId="3C2B2132">
            <w:pPr>
              <w:pStyle w:val="6"/>
              <w:rPr>
                <w:rFonts w:hint="eastAsia" w:ascii="仿宋_GB2312" w:hAnsi="仿宋_GB2312" w:eastAsia="仿宋_GB2312" w:cs="仿宋_GB2312"/>
                <w:color w:val="auto"/>
                <w:sz w:val="24"/>
                <w:szCs w:val="24"/>
              </w:rPr>
            </w:pPr>
          </w:p>
        </w:tc>
        <w:tc>
          <w:tcPr>
            <w:tcW w:w="0" w:type="auto"/>
            <w:vAlign w:val="center"/>
          </w:tcPr>
          <w:p w14:paraId="0874121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▲固态存储容量</w:t>
            </w:r>
          </w:p>
        </w:tc>
        <w:tc>
          <w:tcPr>
            <w:tcW w:w="0" w:type="auto"/>
            <w:vAlign w:val="center"/>
          </w:tcPr>
          <w:p w14:paraId="789C553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≥512GB</w:t>
            </w:r>
          </w:p>
        </w:tc>
      </w:tr>
      <w:tr w14:paraId="6246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AB0195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0" w:type="auto"/>
            <w:vMerge w:val="continue"/>
            <w:vAlign w:val="center"/>
          </w:tcPr>
          <w:p w14:paraId="7B04D84E">
            <w:pPr>
              <w:pStyle w:val="6"/>
              <w:rPr>
                <w:rFonts w:hint="eastAsia" w:ascii="仿宋_GB2312" w:hAnsi="仿宋_GB2312" w:eastAsia="仿宋_GB2312" w:cs="仿宋_GB2312"/>
                <w:color w:val="auto"/>
                <w:sz w:val="24"/>
                <w:szCs w:val="24"/>
              </w:rPr>
            </w:pPr>
          </w:p>
        </w:tc>
        <w:tc>
          <w:tcPr>
            <w:tcW w:w="0" w:type="auto"/>
            <w:vAlign w:val="center"/>
          </w:tcPr>
          <w:p w14:paraId="537712F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▲机械硬盘数量</w:t>
            </w:r>
          </w:p>
        </w:tc>
        <w:tc>
          <w:tcPr>
            <w:tcW w:w="0" w:type="auto"/>
            <w:vAlign w:val="center"/>
          </w:tcPr>
          <w:p w14:paraId="7965665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个</w:t>
            </w:r>
          </w:p>
        </w:tc>
      </w:tr>
      <w:tr w14:paraId="6026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29554D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0" w:type="auto"/>
            <w:vMerge w:val="continue"/>
            <w:vAlign w:val="center"/>
          </w:tcPr>
          <w:p w14:paraId="6284F79B">
            <w:pPr>
              <w:pStyle w:val="6"/>
              <w:rPr>
                <w:rFonts w:hint="eastAsia" w:ascii="仿宋_GB2312" w:hAnsi="仿宋_GB2312" w:eastAsia="仿宋_GB2312" w:cs="仿宋_GB2312"/>
                <w:color w:val="auto"/>
                <w:sz w:val="24"/>
                <w:szCs w:val="24"/>
              </w:rPr>
            </w:pPr>
          </w:p>
        </w:tc>
        <w:tc>
          <w:tcPr>
            <w:tcW w:w="0" w:type="auto"/>
            <w:vAlign w:val="center"/>
          </w:tcPr>
          <w:p w14:paraId="46830EC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▲机械硬盘总容量</w:t>
            </w:r>
          </w:p>
        </w:tc>
        <w:tc>
          <w:tcPr>
            <w:tcW w:w="0" w:type="auto"/>
            <w:vAlign w:val="center"/>
          </w:tcPr>
          <w:p w14:paraId="1A34F07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≥2TB</w:t>
            </w:r>
          </w:p>
        </w:tc>
      </w:tr>
      <w:tr w14:paraId="621D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D2DB8D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0" w:type="auto"/>
            <w:vMerge w:val="continue"/>
            <w:vAlign w:val="center"/>
          </w:tcPr>
          <w:p w14:paraId="734ABC9E">
            <w:pPr>
              <w:pStyle w:val="6"/>
              <w:rPr>
                <w:rFonts w:hint="eastAsia" w:ascii="仿宋_GB2312" w:hAnsi="仿宋_GB2312" w:eastAsia="仿宋_GB2312" w:cs="仿宋_GB2312"/>
                <w:color w:val="auto"/>
                <w:sz w:val="24"/>
                <w:szCs w:val="24"/>
              </w:rPr>
            </w:pPr>
          </w:p>
        </w:tc>
        <w:tc>
          <w:tcPr>
            <w:tcW w:w="0" w:type="auto"/>
            <w:vAlign w:val="center"/>
          </w:tcPr>
          <w:p w14:paraId="04F7ABD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▲机械硬盘转速</w:t>
            </w:r>
          </w:p>
        </w:tc>
        <w:tc>
          <w:tcPr>
            <w:tcW w:w="0" w:type="auto"/>
            <w:vAlign w:val="center"/>
          </w:tcPr>
          <w:p w14:paraId="664D47A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≥7200rpm</w:t>
            </w:r>
          </w:p>
        </w:tc>
      </w:tr>
      <w:tr w14:paraId="4FBD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041205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0" w:type="auto"/>
            <w:vMerge w:val="continue"/>
            <w:vAlign w:val="center"/>
          </w:tcPr>
          <w:p w14:paraId="2D286AF6">
            <w:pPr>
              <w:pStyle w:val="6"/>
              <w:rPr>
                <w:rFonts w:hint="eastAsia" w:ascii="仿宋_GB2312" w:hAnsi="仿宋_GB2312" w:eastAsia="仿宋_GB2312" w:cs="仿宋_GB2312"/>
                <w:color w:val="auto"/>
                <w:sz w:val="24"/>
                <w:szCs w:val="24"/>
              </w:rPr>
            </w:pPr>
          </w:p>
        </w:tc>
        <w:tc>
          <w:tcPr>
            <w:tcW w:w="0" w:type="auto"/>
            <w:vAlign w:val="center"/>
          </w:tcPr>
          <w:p w14:paraId="37B32F7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机械硬盘接口协议</w:t>
            </w:r>
          </w:p>
        </w:tc>
        <w:tc>
          <w:tcPr>
            <w:tcW w:w="0" w:type="auto"/>
            <w:vAlign w:val="center"/>
          </w:tcPr>
          <w:p w14:paraId="2CAB862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SATA3.0 及以上或 SAS3.0 及以上接口</w:t>
            </w:r>
          </w:p>
        </w:tc>
      </w:tr>
      <w:tr w14:paraId="3391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26E0FD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0" w:type="auto"/>
            <w:vMerge w:val="continue"/>
            <w:vAlign w:val="center"/>
          </w:tcPr>
          <w:p w14:paraId="5F4F16F7">
            <w:pPr>
              <w:pStyle w:val="6"/>
              <w:rPr>
                <w:rFonts w:hint="eastAsia" w:ascii="仿宋_GB2312" w:hAnsi="仿宋_GB2312" w:eastAsia="仿宋_GB2312" w:cs="仿宋_GB2312"/>
                <w:color w:val="auto"/>
                <w:sz w:val="24"/>
                <w:szCs w:val="24"/>
              </w:rPr>
            </w:pPr>
          </w:p>
        </w:tc>
        <w:tc>
          <w:tcPr>
            <w:tcW w:w="0" w:type="auto"/>
            <w:vAlign w:val="center"/>
          </w:tcPr>
          <w:p w14:paraId="27CCA4C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▲机械硬盘形态</w:t>
            </w:r>
          </w:p>
        </w:tc>
        <w:tc>
          <w:tcPr>
            <w:tcW w:w="0" w:type="auto"/>
            <w:vAlign w:val="center"/>
          </w:tcPr>
          <w:p w14:paraId="684DF5D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 英寸或 3.5 英寸等</w:t>
            </w:r>
          </w:p>
        </w:tc>
      </w:tr>
      <w:tr w14:paraId="3206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51B954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0" w:type="auto"/>
            <w:vMerge w:val="continue"/>
            <w:vAlign w:val="center"/>
          </w:tcPr>
          <w:p w14:paraId="4182B004">
            <w:pPr>
              <w:pStyle w:val="6"/>
              <w:rPr>
                <w:rFonts w:hint="eastAsia" w:ascii="仿宋_GB2312" w:hAnsi="仿宋_GB2312" w:eastAsia="仿宋_GB2312" w:cs="仿宋_GB2312"/>
                <w:color w:val="auto"/>
                <w:sz w:val="24"/>
                <w:szCs w:val="24"/>
              </w:rPr>
            </w:pPr>
          </w:p>
        </w:tc>
        <w:tc>
          <w:tcPr>
            <w:tcW w:w="0" w:type="auto"/>
            <w:vAlign w:val="center"/>
          </w:tcPr>
          <w:p w14:paraId="6546B6C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固态存储接口协议</w:t>
            </w:r>
          </w:p>
        </w:tc>
        <w:tc>
          <w:tcPr>
            <w:tcW w:w="0" w:type="auto"/>
            <w:vAlign w:val="center"/>
          </w:tcPr>
          <w:p w14:paraId="0A47A8A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UFS/SATA/PCIe/NVMe 等类型接口协议</w:t>
            </w:r>
          </w:p>
        </w:tc>
      </w:tr>
      <w:tr w14:paraId="59FF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AD031B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0" w:type="auto"/>
            <w:vMerge w:val="continue"/>
            <w:vAlign w:val="center"/>
          </w:tcPr>
          <w:p w14:paraId="75B6683A">
            <w:pPr>
              <w:pStyle w:val="6"/>
              <w:rPr>
                <w:rFonts w:hint="eastAsia" w:ascii="仿宋_GB2312" w:hAnsi="仿宋_GB2312" w:eastAsia="仿宋_GB2312" w:cs="仿宋_GB2312"/>
                <w:color w:val="auto"/>
                <w:sz w:val="24"/>
                <w:szCs w:val="24"/>
              </w:rPr>
            </w:pPr>
          </w:p>
        </w:tc>
        <w:tc>
          <w:tcPr>
            <w:tcW w:w="0" w:type="auto"/>
            <w:vAlign w:val="center"/>
          </w:tcPr>
          <w:p w14:paraId="57AA1E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▲固态存储形态</w:t>
            </w:r>
          </w:p>
        </w:tc>
        <w:tc>
          <w:tcPr>
            <w:tcW w:w="0" w:type="auto"/>
            <w:vAlign w:val="center"/>
          </w:tcPr>
          <w:p w14:paraId="375EB64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采用插卡或板载等形态，可选用符合M.2 或 2.5 寸 SATA 或 mSATA 等标准的插卡形态</w:t>
            </w:r>
          </w:p>
        </w:tc>
      </w:tr>
      <w:tr w14:paraId="4E90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2AEEEB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0" w:type="auto"/>
            <w:vMerge w:val="continue"/>
            <w:vAlign w:val="center"/>
          </w:tcPr>
          <w:p w14:paraId="2D3E3094">
            <w:pPr>
              <w:pStyle w:val="6"/>
              <w:rPr>
                <w:rFonts w:hint="eastAsia" w:ascii="仿宋_GB2312" w:hAnsi="仿宋_GB2312" w:eastAsia="仿宋_GB2312" w:cs="仿宋_GB2312"/>
                <w:color w:val="auto"/>
                <w:sz w:val="24"/>
                <w:szCs w:val="24"/>
              </w:rPr>
            </w:pPr>
          </w:p>
        </w:tc>
        <w:tc>
          <w:tcPr>
            <w:tcW w:w="0" w:type="auto"/>
            <w:vAlign w:val="center"/>
          </w:tcPr>
          <w:p w14:paraId="3D7F727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存储设备扩展盘位</w:t>
            </w:r>
          </w:p>
        </w:tc>
        <w:tc>
          <w:tcPr>
            <w:tcW w:w="0" w:type="auto"/>
            <w:vAlign w:val="center"/>
          </w:tcPr>
          <w:p w14:paraId="49C4A0E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14:paraId="5300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DB3E5A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0" w:type="auto"/>
            <w:vMerge w:val="continue"/>
            <w:vAlign w:val="center"/>
          </w:tcPr>
          <w:p w14:paraId="27BC6078">
            <w:pPr>
              <w:pStyle w:val="6"/>
              <w:rPr>
                <w:rFonts w:hint="eastAsia" w:ascii="仿宋_GB2312" w:hAnsi="仿宋_GB2312" w:eastAsia="仿宋_GB2312" w:cs="仿宋_GB2312"/>
                <w:color w:val="auto"/>
                <w:sz w:val="24"/>
                <w:szCs w:val="24"/>
              </w:rPr>
            </w:pPr>
          </w:p>
        </w:tc>
        <w:tc>
          <w:tcPr>
            <w:tcW w:w="0" w:type="auto"/>
            <w:vAlign w:val="center"/>
          </w:tcPr>
          <w:p w14:paraId="2AD83D2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▲存储设备其他参数要求</w:t>
            </w:r>
          </w:p>
        </w:tc>
        <w:tc>
          <w:tcPr>
            <w:tcW w:w="0" w:type="auto"/>
            <w:vAlign w:val="center"/>
          </w:tcPr>
          <w:p w14:paraId="3AA4324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a)固态盘应符合 SJ/T 11654 相关规定；</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b)机械硬盘准备时间应不大于 30s；侧面固定螺丝孔数量可为 4 孔或 6 孔；工作状态环境温度应满足 5℃~55℃ ;其它参数应符合 GB/T 12628 相关规定</w:t>
            </w:r>
          </w:p>
        </w:tc>
      </w:tr>
      <w:tr w14:paraId="3C7E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075D0A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0" w:type="auto"/>
            <w:vMerge w:val="restart"/>
            <w:vAlign w:val="center"/>
          </w:tcPr>
          <w:p w14:paraId="20ADC12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▲显卡规格</w:t>
            </w:r>
          </w:p>
        </w:tc>
        <w:tc>
          <w:tcPr>
            <w:tcW w:w="0" w:type="auto"/>
            <w:vAlign w:val="center"/>
          </w:tcPr>
          <w:p w14:paraId="55242D3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▲显卡类型</w:t>
            </w:r>
          </w:p>
        </w:tc>
        <w:tc>
          <w:tcPr>
            <w:tcW w:w="0" w:type="auto"/>
            <w:vAlign w:val="center"/>
          </w:tcPr>
          <w:p w14:paraId="48A0399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集成显卡</w:t>
            </w:r>
          </w:p>
        </w:tc>
      </w:tr>
      <w:tr w14:paraId="46D0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5A0A76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0" w:type="auto"/>
            <w:vMerge w:val="continue"/>
            <w:vAlign w:val="center"/>
          </w:tcPr>
          <w:p w14:paraId="7E8891D2">
            <w:pPr>
              <w:pStyle w:val="6"/>
              <w:rPr>
                <w:rFonts w:hint="eastAsia" w:ascii="仿宋_GB2312" w:hAnsi="仿宋_GB2312" w:eastAsia="仿宋_GB2312" w:cs="仿宋_GB2312"/>
                <w:color w:val="auto"/>
                <w:sz w:val="24"/>
                <w:szCs w:val="24"/>
              </w:rPr>
            </w:pPr>
          </w:p>
        </w:tc>
        <w:tc>
          <w:tcPr>
            <w:tcW w:w="0" w:type="auto"/>
            <w:vAlign w:val="center"/>
          </w:tcPr>
          <w:p w14:paraId="3F364CC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▲独立显卡显存类型</w:t>
            </w:r>
          </w:p>
        </w:tc>
        <w:tc>
          <w:tcPr>
            <w:tcW w:w="0" w:type="auto"/>
            <w:vAlign w:val="center"/>
          </w:tcPr>
          <w:p w14:paraId="56CA236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74D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3097B1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0" w:type="auto"/>
            <w:vMerge w:val="continue"/>
            <w:vAlign w:val="center"/>
          </w:tcPr>
          <w:p w14:paraId="40C1DBBA">
            <w:pPr>
              <w:pStyle w:val="6"/>
              <w:rPr>
                <w:rFonts w:hint="eastAsia" w:ascii="仿宋_GB2312" w:hAnsi="仿宋_GB2312" w:eastAsia="仿宋_GB2312" w:cs="仿宋_GB2312"/>
                <w:color w:val="auto"/>
                <w:sz w:val="24"/>
                <w:szCs w:val="24"/>
              </w:rPr>
            </w:pPr>
          </w:p>
        </w:tc>
        <w:tc>
          <w:tcPr>
            <w:tcW w:w="0" w:type="auto"/>
            <w:vAlign w:val="center"/>
          </w:tcPr>
          <w:p w14:paraId="74C9BD9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▲独立显卡显存位宽</w:t>
            </w:r>
          </w:p>
        </w:tc>
        <w:tc>
          <w:tcPr>
            <w:tcW w:w="0" w:type="auto"/>
            <w:vAlign w:val="center"/>
          </w:tcPr>
          <w:p w14:paraId="4D74DBFA">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419C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CA456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0" w:type="auto"/>
            <w:vMerge w:val="continue"/>
            <w:vAlign w:val="center"/>
          </w:tcPr>
          <w:p w14:paraId="7C5135BE">
            <w:pPr>
              <w:pStyle w:val="6"/>
              <w:rPr>
                <w:rFonts w:hint="eastAsia" w:ascii="仿宋_GB2312" w:hAnsi="仿宋_GB2312" w:eastAsia="仿宋_GB2312" w:cs="仿宋_GB2312"/>
                <w:color w:val="auto"/>
                <w:sz w:val="24"/>
                <w:szCs w:val="24"/>
              </w:rPr>
            </w:pPr>
          </w:p>
        </w:tc>
        <w:tc>
          <w:tcPr>
            <w:tcW w:w="0" w:type="auto"/>
            <w:vAlign w:val="center"/>
          </w:tcPr>
          <w:p w14:paraId="0BDC101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▲独立显卡显存容量</w:t>
            </w:r>
          </w:p>
        </w:tc>
        <w:tc>
          <w:tcPr>
            <w:tcW w:w="0" w:type="auto"/>
            <w:vAlign w:val="center"/>
          </w:tcPr>
          <w:p w14:paraId="0008F09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563D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D6D6C0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0" w:type="auto"/>
            <w:vMerge w:val="continue"/>
            <w:vAlign w:val="center"/>
          </w:tcPr>
          <w:p w14:paraId="0DFEFF98">
            <w:pPr>
              <w:pStyle w:val="6"/>
              <w:rPr>
                <w:rFonts w:hint="eastAsia" w:ascii="仿宋_GB2312" w:hAnsi="仿宋_GB2312" w:eastAsia="仿宋_GB2312" w:cs="仿宋_GB2312"/>
                <w:color w:val="auto"/>
                <w:sz w:val="24"/>
                <w:szCs w:val="24"/>
              </w:rPr>
            </w:pPr>
          </w:p>
        </w:tc>
        <w:tc>
          <w:tcPr>
            <w:tcW w:w="0" w:type="auto"/>
            <w:vAlign w:val="center"/>
          </w:tcPr>
          <w:p w14:paraId="591C6ED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独立显卡接口协议</w:t>
            </w:r>
          </w:p>
        </w:tc>
        <w:tc>
          <w:tcPr>
            <w:tcW w:w="0" w:type="auto"/>
            <w:vAlign w:val="center"/>
          </w:tcPr>
          <w:p w14:paraId="2A5BD9A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167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235BF1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0" w:type="auto"/>
            <w:vMerge w:val="restart"/>
            <w:vAlign w:val="center"/>
          </w:tcPr>
          <w:p w14:paraId="3819A71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▲显示设备规格</w:t>
            </w:r>
          </w:p>
        </w:tc>
        <w:tc>
          <w:tcPr>
            <w:tcW w:w="0" w:type="auto"/>
            <w:vAlign w:val="center"/>
          </w:tcPr>
          <w:p w14:paraId="715E571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▲显示屏屏占比</w:t>
            </w:r>
          </w:p>
        </w:tc>
        <w:tc>
          <w:tcPr>
            <w:tcW w:w="0" w:type="auto"/>
            <w:vAlign w:val="center"/>
          </w:tcPr>
          <w:p w14:paraId="269E157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r>
      <w:tr w14:paraId="730E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3533EB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0" w:type="auto"/>
            <w:vMerge w:val="continue"/>
            <w:vAlign w:val="center"/>
          </w:tcPr>
          <w:p w14:paraId="238BE078">
            <w:pPr>
              <w:pStyle w:val="6"/>
              <w:rPr>
                <w:rFonts w:hint="eastAsia" w:ascii="仿宋_GB2312" w:hAnsi="仿宋_GB2312" w:eastAsia="仿宋_GB2312" w:cs="仿宋_GB2312"/>
                <w:color w:val="auto"/>
                <w:sz w:val="24"/>
                <w:szCs w:val="24"/>
              </w:rPr>
            </w:pPr>
          </w:p>
        </w:tc>
        <w:tc>
          <w:tcPr>
            <w:tcW w:w="0" w:type="auto"/>
            <w:vAlign w:val="center"/>
          </w:tcPr>
          <w:p w14:paraId="4DE2D80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▲显示屏分辨率</w:t>
            </w:r>
          </w:p>
        </w:tc>
        <w:tc>
          <w:tcPr>
            <w:tcW w:w="0" w:type="auto"/>
            <w:vAlign w:val="center"/>
          </w:tcPr>
          <w:p w14:paraId="3068E5E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≥1920x1080</w:t>
            </w:r>
          </w:p>
        </w:tc>
      </w:tr>
      <w:tr w14:paraId="4362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A4CC3B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0" w:type="auto"/>
            <w:vMerge w:val="continue"/>
            <w:vAlign w:val="center"/>
          </w:tcPr>
          <w:p w14:paraId="7A73B0C3">
            <w:pPr>
              <w:pStyle w:val="6"/>
              <w:rPr>
                <w:rFonts w:hint="eastAsia" w:ascii="仿宋_GB2312" w:hAnsi="仿宋_GB2312" w:eastAsia="仿宋_GB2312" w:cs="仿宋_GB2312"/>
                <w:color w:val="auto"/>
                <w:sz w:val="24"/>
                <w:szCs w:val="24"/>
              </w:rPr>
            </w:pPr>
          </w:p>
        </w:tc>
        <w:tc>
          <w:tcPr>
            <w:tcW w:w="0" w:type="auto"/>
            <w:vAlign w:val="center"/>
          </w:tcPr>
          <w:p w14:paraId="2643872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显示屏像素密度</w:t>
            </w:r>
          </w:p>
        </w:tc>
        <w:tc>
          <w:tcPr>
            <w:tcW w:w="0" w:type="auto"/>
            <w:vAlign w:val="center"/>
          </w:tcPr>
          <w:p w14:paraId="2C151A7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 像素/英寸</w:t>
            </w:r>
          </w:p>
        </w:tc>
      </w:tr>
      <w:tr w14:paraId="69CF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CC0DA4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0" w:type="auto"/>
            <w:vMerge w:val="continue"/>
            <w:vAlign w:val="center"/>
          </w:tcPr>
          <w:p w14:paraId="63F70518">
            <w:pPr>
              <w:pStyle w:val="6"/>
              <w:rPr>
                <w:rFonts w:hint="eastAsia" w:ascii="仿宋_GB2312" w:hAnsi="仿宋_GB2312" w:eastAsia="仿宋_GB2312" w:cs="仿宋_GB2312"/>
                <w:color w:val="auto"/>
                <w:sz w:val="24"/>
                <w:szCs w:val="24"/>
              </w:rPr>
            </w:pPr>
          </w:p>
        </w:tc>
        <w:tc>
          <w:tcPr>
            <w:tcW w:w="0" w:type="auto"/>
            <w:vAlign w:val="center"/>
          </w:tcPr>
          <w:p w14:paraId="1F8FBDF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显示屏可视角度</w:t>
            </w:r>
          </w:p>
        </w:tc>
        <w:tc>
          <w:tcPr>
            <w:tcW w:w="0" w:type="auto"/>
            <w:vAlign w:val="center"/>
          </w:tcPr>
          <w:p w14:paraId="58CDF06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水平≥170 °</w:t>
            </w:r>
          </w:p>
        </w:tc>
      </w:tr>
      <w:tr w14:paraId="1FE2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41E344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0" w:type="auto"/>
            <w:vMerge w:val="continue"/>
            <w:vAlign w:val="center"/>
          </w:tcPr>
          <w:p w14:paraId="1DA9C187">
            <w:pPr>
              <w:pStyle w:val="6"/>
              <w:rPr>
                <w:rFonts w:hint="eastAsia" w:ascii="仿宋_GB2312" w:hAnsi="仿宋_GB2312" w:eastAsia="仿宋_GB2312" w:cs="仿宋_GB2312"/>
                <w:color w:val="auto"/>
                <w:sz w:val="24"/>
                <w:szCs w:val="24"/>
              </w:rPr>
            </w:pPr>
          </w:p>
        </w:tc>
        <w:tc>
          <w:tcPr>
            <w:tcW w:w="0" w:type="auto"/>
            <w:vAlign w:val="center"/>
          </w:tcPr>
          <w:p w14:paraId="3A604B0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▲显示屏尺寸</w:t>
            </w:r>
          </w:p>
        </w:tc>
        <w:tc>
          <w:tcPr>
            <w:tcW w:w="0" w:type="auto"/>
            <w:vAlign w:val="center"/>
          </w:tcPr>
          <w:p w14:paraId="0D412C1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≥23.8 英寸</w:t>
            </w:r>
          </w:p>
        </w:tc>
      </w:tr>
      <w:tr w14:paraId="1751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93E1D9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0" w:type="auto"/>
            <w:vMerge w:val="continue"/>
            <w:vAlign w:val="center"/>
          </w:tcPr>
          <w:p w14:paraId="2ED901CD">
            <w:pPr>
              <w:pStyle w:val="6"/>
              <w:rPr>
                <w:rFonts w:hint="eastAsia" w:ascii="仿宋_GB2312" w:hAnsi="仿宋_GB2312" w:eastAsia="仿宋_GB2312" w:cs="仿宋_GB2312"/>
                <w:color w:val="auto"/>
                <w:sz w:val="24"/>
                <w:szCs w:val="24"/>
              </w:rPr>
            </w:pPr>
          </w:p>
        </w:tc>
        <w:tc>
          <w:tcPr>
            <w:tcW w:w="0" w:type="auto"/>
            <w:vAlign w:val="center"/>
          </w:tcPr>
          <w:p w14:paraId="20DD042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▲显示屏屏幕比例</w:t>
            </w:r>
          </w:p>
        </w:tc>
        <w:tc>
          <w:tcPr>
            <w:tcW w:w="0" w:type="auto"/>
            <w:vAlign w:val="center"/>
          </w:tcPr>
          <w:p w14:paraId="697AF9D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16:9</w:t>
            </w:r>
          </w:p>
        </w:tc>
      </w:tr>
      <w:tr w14:paraId="6A61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DE5D4F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0" w:type="auto"/>
            <w:vMerge w:val="continue"/>
            <w:vAlign w:val="center"/>
          </w:tcPr>
          <w:p w14:paraId="4BFD1D25">
            <w:pPr>
              <w:pStyle w:val="6"/>
              <w:rPr>
                <w:rFonts w:hint="eastAsia" w:ascii="仿宋_GB2312" w:hAnsi="仿宋_GB2312" w:eastAsia="仿宋_GB2312" w:cs="仿宋_GB2312"/>
                <w:color w:val="auto"/>
                <w:sz w:val="24"/>
                <w:szCs w:val="24"/>
              </w:rPr>
            </w:pPr>
          </w:p>
        </w:tc>
        <w:tc>
          <w:tcPr>
            <w:tcW w:w="0" w:type="auto"/>
            <w:vAlign w:val="center"/>
          </w:tcPr>
          <w:p w14:paraId="10B4B5F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▲显示器外观颜色</w:t>
            </w:r>
          </w:p>
        </w:tc>
        <w:tc>
          <w:tcPr>
            <w:tcW w:w="0" w:type="auto"/>
            <w:vAlign w:val="center"/>
          </w:tcPr>
          <w:p w14:paraId="4BF3D35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黑色</w:t>
            </w:r>
          </w:p>
        </w:tc>
      </w:tr>
      <w:tr w14:paraId="169E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867098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0" w:type="auto"/>
            <w:vMerge w:val="continue"/>
            <w:vAlign w:val="center"/>
          </w:tcPr>
          <w:p w14:paraId="0A065AF1">
            <w:pPr>
              <w:pStyle w:val="6"/>
              <w:rPr>
                <w:rFonts w:hint="eastAsia" w:ascii="仿宋_GB2312" w:hAnsi="仿宋_GB2312" w:eastAsia="仿宋_GB2312" w:cs="仿宋_GB2312"/>
                <w:color w:val="auto"/>
                <w:sz w:val="24"/>
                <w:szCs w:val="24"/>
              </w:rPr>
            </w:pPr>
          </w:p>
        </w:tc>
        <w:tc>
          <w:tcPr>
            <w:tcW w:w="0" w:type="auto"/>
            <w:vAlign w:val="center"/>
          </w:tcPr>
          <w:p w14:paraId="43BE6E8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▲显示屏防蓝光</w:t>
            </w:r>
          </w:p>
        </w:tc>
        <w:tc>
          <w:tcPr>
            <w:tcW w:w="0" w:type="auto"/>
            <w:vAlign w:val="center"/>
          </w:tcPr>
          <w:p w14:paraId="49D78AC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支持防蓝光模式，蓝光加权辐射亮度比应≤0.0012W/(·cd·sr)（瓦每坎特拉每球面度）</w:t>
            </w:r>
          </w:p>
        </w:tc>
      </w:tr>
      <w:tr w14:paraId="2700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01870A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0" w:type="auto"/>
            <w:vMerge w:val="continue"/>
            <w:vAlign w:val="center"/>
          </w:tcPr>
          <w:p w14:paraId="25721C3A">
            <w:pPr>
              <w:pStyle w:val="6"/>
              <w:rPr>
                <w:rFonts w:hint="eastAsia" w:ascii="仿宋_GB2312" w:hAnsi="仿宋_GB2312" w:eastAsia="仿宋_GB2312" w:cs="仿宋_GB2312"/>
                <w:color w:val="auto"/>
                <w:sz w:val="24"/>
                <w:szCs w:val="24"/>
              </w:rPr>
            </w:pPr>
          </w:p>
        </w:tc>
        <w:tc>
          <w:tcPr>
            <w:tcW w:w="0" w:type="auto"/>
            <w:vAlign w:val="center"/>
          </w:tcPr>
          <w:p w14:paraId="72E1693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▲显示屏低频闪</w:t>
            </w:r>
          </w:p>
        </w:tc>
        <w:tc>
          <w:tcPr>
            <w:tcW w:w="0" w:type="auto"/>
            <w:vAlign w:val="center"/>
          </w:tcPr>
          <w:p w14:paraId="04AE612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显示屏应支持低频闪≤-35dB</w:t>
            </w:r>
          </w:p>
        </w:tc>
      </w:tr>
      <w:tr w14:paraId="67AF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B0D274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0" w:type="auto"/>
            <w:vMerge w:val="continue"/>
            <w:vAlign w:val="center"/>
          </w:tcPr>
          <w:p w14:paraId="50C13903">
            <w:pPr>
              <w:pStyle w:val="6"/>
              <w:rPr>
                <w:rFonts w:hint="eastAsia" w:ascii="仿宋_GB2312" w:hAnsi="仿宋_GB2312" w:eastAsia="仿宋_GB2312" w:cs="仿宋_GB2312"/>
                <w:color w:val="auto"/>
                <w:sz w:val="24"/>
                <w:szCs w:val="24"/>
              </w:rPr>
            </w:pPr>
          </w:p>
        </w:tc>
        <w:tc>
          <w:tcPr>
            <w:tcW w:w="0" w:type="auto"/>
            <w:vAlign w:val="center"/>
          </w:tcPr>
          <w:p w14:paraId="6F41332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▲显示屏防炫目</w:t>
            </w:r>
          </w:p>
        </w:tc>
        <w:tc>
          <w:tcPr>
            <w:tcW w:w="0" w:type="auto"/>
            <w:vAlign w:val="center"/>
          </w:tcPr>
          <w:p w14:paraId="2435F18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显示屏镜面反射率≤10%</w:t>
            </w:r>
          </w:p>
        </w:tc>
      </w:tr>
      <w:tr w14:paraId="59AB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50DFD3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0" w:type="auto"/>
            <w:vMerge w:val="restart"/>
            <w:vAlign w:val="center"/>
          </w:tcPr>
          <w:p w14:paraId="2D71FF4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▲外设规格</w:t>
            </w:r>
          </w:p>
        </w:tc>
        <w:tc>
          <w:tcPr>
            <w:tcW w:w="0" w:type="auto"/>
            <w:vAlign w:val="center"/>
          </w:tcPr>
          <w:p w14:paraId="7DA2088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传声器数量</w:t>
            </w:r>
          </w:p>
        </w:tc>
        <w:tc>
          <w:tcPr>
            <w:tcW w:w="0" w:type="auto"/>
            <w:vAlign w:val="center"/>
          </w:tcPr>
          <w:p w14:paraId="65F1A00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042D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544B64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0" w:type="auto"/>
            <w:vMerge w:val="continue"/>
            <w:vAlign w:val="center"/>
          </w:tcPr>
          <w:p w14:paraId="64CF48C8">
            <w:pPr>
              <w:pStyle w:val="6"/>
              <w:rPr>
                <w:rFonts w:hint="eastAsia" w:ascii="仿宋_GB2312" w:hAnsi="仿宋_GB2312" w:eastAsia="仿宋_GB2312" w:cs="仿宋_GB2312"/>
                <w:color w:val="auto"/>
                <w:sz w:val="24"/>
                <w:szCs w:val="24"/>
              </w:rPr>
            </w:pPr>
          </w:p>
        </w:tc>
        <w:tc>
          <w:tcPr>
            <w:tcW w:w="0" w:type="auto"/>
            <w:vAlign w:val="center"/>
          </w:tcPr>
          <w:p w14:paraId="08B6F0E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扬声器数量</w:t>
            </w:r>
          </w:p>
        </w:tc>
        <w:tc>
          <w:tcPr>
            <w:tcW w:w="0" w:type="auto"/>
            <w:vAlign w:val="center"/>
          </w:tcPr>
          <w:p w14:paraId="552F4DB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A56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E2824C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0" w:type="auto"/>
            <w:vMerge w:val="continue"/>
            <w:vAlign w:val="center"/>
          </w:tcPr>
          <w:p w14:paraId="239932D8">
            <w:pPr>
              <w:pStyle w:val="6"/>
              <w:rPr>
                <w:rFonts w:hint="eastAsia" w:ascii="仿宋_GB2312" w:hAnsi="仿宋_GB2312" w:eastAsia="仿宋_GB2312" w:cs="仿宋_GB2312"/>
                <w:color w:val="auto"/>
                <w:sz w:val="24"/>
                <w:szCs w:val="24"/>
              </w:rPr>
            </w:pPr>
          </w:p>
        </w:tc>
        <w:tc>
          <w:tcPr>
            <w:tcW w:w="0" w:type="auto"/>
            <w:vAlign w:val="center"/>
          </w:tcPr>
          <w:p w14:paraId="6CFCFC9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▲鼠标数量</w:t>
            </w:r>
          </w:p>
        </w:tc>
        <w:tc>
          <w:tcPr>
            <w:tcW w:w="0" w:type="auto"/>
            <w:vAlign w:val="center"/>
          </w:tcPr>
          <w:p w14:paraId="130D508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个</w:t>
            </w:r>
          </w:p>
        </w:tc>
      </w:tr>
      <w:tr w14:paraId="3770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A874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0" w:type="auto"/>
            <w:vMerge w:val="continue"/>
            <w:vAlign w:val="center"/>
          </w:tcPr>
          <w:p w14:paraId="56002E5B">
            <w:pPr>
              <w:pStyle w:val="6"/>
              <w:rPr>
                <w:rFonts w:hint="eastAsia" w:ascii="仿宋_GB2312" w:hAnsi="仿宋_GB2312" w:eastAsia="仿宋_GB2312" w:cs="仿宋_GB2312"/>
                <w:color w:val="auto"/>
                <w:sz w:val="24"/>
                <w:szCs w:val="24"/>
              </w:rPr>
            </w:pPr>
          </w:p>
        </w:tc>
        <w:tc>
          <w:tcPr>
            <w:tcW w:w="0" w:type="auto"/>
            <w:vAlign w:val="center"/>
          </w:tcPr>
          <w:p w14:paraId="0C624F6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▲键盘数量</w:t>
            </w:r>
          </w:p>
        </w:tc>
        <w:tc>
          <w:tcPr>
            <w:tcW w:w="0" w:type="auto"/>
            <w:vAlign w:val="center"/>
          </w:tcPr>
          <w:p w14:paraId="692E2A2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个</w:t>
            </w:r>
          </w:p>
        </w:tc>
      </w:tr>
      <w:tr w14:paraId="19DC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EDEA92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0" w:type="auto"/>
            <w:vMerge w:val="continue"/>
            <w:vAlign w:val="center"/>
          </w:tcPr>
          <w:p w14:paraId="610270B3">
            <w:pPr>
              <w:pStyle w:val="6"/>
              <w:rPr>
                <w:rFonts w:hint="eastAsia" w:ascii="仿宋_GB2312" w:hAnsi="仿宋_GB2312" w:eastAsia="仿宋_GB2312" w:cs="仿宋_GB2312"/>
                <w:color w:val="auto"/>
                <w:sz w:val="24"/>
                <w:szCs w:val="24"/>
              </w:rPr>
            </w:pPr>
          </w:p>
        </w:tc>
        <w:tc>
          <w:tcPr>
            <w:tcW w:w="0" w:type="auto"/>
            <w:vAlign w:val="center"/>
          </w:tcPr>
          <w:p w14:paraId="00075C5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摄像头数量</w:t>
            </w:r>
          </w:p>
        </w:tc>
        <w:tc>
          <w:tcPr>
            <w:tcW w:w="0" w:type="auto"/>
            <w:vAlign w:val="center"/>
          </w:tcPr>
          <w:p w14:paraId="470847C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231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D4BA02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0" w:type="auto"/>
            <w:vMerge w:val="continue"/>
            <w:vAlign w:val="center"/>
          </w:tcPr>
          <w:p w14:paraId="71D1F1DC">
            <w:pPr>
              <w:pStyle w:val="6"/>
              <w:rPr>
                <w:rFonts w:hint="eastAsia" w:ascii="仿宋_GB2312" w:hAnsi="仿宋_GB2312" w:eastAsia="仿宋_GB2312" w:cs="仿宋_GB2312"/>
                <w:color w:val="auto"/>
                <w:sz w:val="24"/>
                <w:szCs w:val="24"/>
              </w:rPr>
            </w:pPr>
          </w:p>
        </w:tc>
        <w:tc>
          <w:tcPr>
            <w:tcW w:w="0" w:type="auto"/>
            <w:vAlign w:val="center"/>
          </w:tcPr>
          <w:p w14:paraId="3C3A76E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光驱数量</w:t>
            </w:r>
          </w:p>
        </w:tc>
        <w:tc>
          <w:tcPr>
            <w:tcW w:w="0" w:type="auto"/>
            <w:vAlign w:val="center"/>
          </w:tcPr>
          <w:p w14:paraId="71DE403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574E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B50F8F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0" w:type="auto"/>
            <w:vMerge w:val="continue"/>
            <w:vAlign w:val="center"/>
          </w:tcPr>
          <w:p w14:paraId="3EB0DCF6">
            <w:pPr>
              <w:pStyle w:val="6"/>
              <w:rPr>
                <w:rFonts w:hint="eastAsia" w:ascii="仿宋_GB2312" w:hAnsi="仿宋_GB2312" w:eastAsia="仿宋_GB2312" w:cs="仿宋_GB2312"/>
                <w:color w:val="auto"/>
                <w:sz w:val="24"/>
                <w:szCs w:val="24"/>
              </w:rPr>
            </w:pPr>
          </w:p>
        </w:tc>
        <w:tc>
          <w:tcPr>
            <w:tcW w:w="0" w:type="auto"/>
            <w:vAlign w:val="center"/>
          </w:tcPr>
          <w:p w14:paraId="23BAB24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▲键盘按键数目</w:t>
            </w:r>
          </w:p>
        </w:tc>
        <w:tc>
          <w:tcPr>
            <w:tcW w:w="0" w:type="auto"/>
            <w:vAlign w:val="center"/>
          </w:tcPr>
          <w:p w14:paraId="1BD9044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104 键</w:t>
            </w:r>
          </w:p>
        </w:tc>
      </w:tr>
      <w:tr w14:paraId="06C4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640B9A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0" w:type="auto"/>
            <w:vMerge w:val="continue"/>
            <w:vAlign w:val="center"/>
          </w:tcPr>
          <w:p w14:paraId="1CC16AB4">
            <w:pPr>
              <w:pStyle w:val="6"/>
              <w:rPr>
                <w:rFonts w:hint="eastAsia" w:ascii="仿宋_GB2312" w:hAnsi="仿宋_GB2312" w:eastAsia="仿宋_GB2312" w:cs="仿宋_GB2312"/>
                <w:color w:val="auto"/>
                <w:sz w:val="24"/>
                <w:szCs w:val="24"/>
              </w:rPr>
            </w:pPr>
          </w:p>
        </w:tc>
        <w:tc>
          <w:tcPr>
            <w:tcW w:w="0" w:type="auto"/>
            <w:vAlign w:val="center"/>
          </w:tcPr>
          <w:p w14:paraId="5C4EC3B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摄像头像素</w:t>
            </w:r>
          </w:p>
        </w:tc>
        <w:tc>
          <w:tcPr>
            <w:tcW w:w="0" w:type="auto"/>
            <w:vAlign w:val="center"/>
          </w:tcPr>
          <w:p w14:paraId="45AF6A9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B50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16D3C2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0" w:type="auto"/>
            <w:vMerge w:val="continue"/>
            <w:vAlign w:val="center"/>
          </w:tcPr>
          <w:p w14:paraId="0A132519">
            <w:pPr>
              <w:pStyle w:val="6"/>
              <w:rPr>
                <w:rFonts w:hint="eastAsia" w:ascii="仿宋_GB2312" w:hAnsi="仿宋_GB2312" w:eastAsia="仿宋_GB2312" w:cs="仿宋_GB2312"/>
                <w:color w:val="auto"/>
                <w:sz w:val="24"/>
                <w:szCs w:val="24"/>
              </w:rPr>
            </w:pPr>
          </w:p>
        </w:tc>
        <w:tc>
          <w:tcPr>
            <w:tcW w:w="0" w:type="auto"/>
            <w:vAlign w:val="center"/>
          </w:tcPr>
          <w:p w14:paraId="27D8CC8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摄像头分辨率</w:t>
            </w:r>
          </w:p>
        </w:tc>
        <w:tc>
          <w:tcPr>
            <w:tcW w:w="0" w:type="auto"/>
            <w:vAlign w:val="center"/>
          </w:tcPr>
          <w:p w14:paraId="5456FA1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499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D57B65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0" w:type="auto"/>
            <w:vMerge w:val="continue"/>
            <w:vAlign w:val="center"/>
          </w:tcPr>
          <w:p w14:paraId="08752AEC">
            <w:pPr>
              <w:pStyle w:val="6"/>
              <w:rPr>
                <w:rFonts w:hint="eastAsia" w:ascii="仿宋_GB2312" w:hAnsi="仿宋_GB2312" w:eastAsia="仿宋_GB2312" w:cs="仿宋_GB2312"/>
                <w:color w:val="auto"/>
                <w:sz w:val="24"/>
                <w:szCs w:val="24"/>
              </w:rPr>
            </w:pPr>
          </w:p>
        </w:tc>
        <w:tc>
          <w:tcPr>
            <w:tcW w:w="0" w:type="auto"/>
            <w:vAlign w:val="center"/>
          </w:tcPr>
          <w:p w14:paraId="0EBAD6E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扬声器功率</w:t>
            </w:r>
          </w:p>
        </w:tc>
        <w:tc>
          <w:tcPr>
            <w:tcW w:w="0" w:type="auto"/>
            <w:vAlign w:val="center"/>
          </w:tcPr>
          <w:p w14:paraId="2E2D270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63B6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445609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0" w:type="auto"/>
            <w:vMerge w:val="continue"/>
            <w:vAlign w:val="center"/>
          </w:tcPr>
          <w:p w14:paraId="77F09E85">
            <w:pPr>
              <w:pStyle w:val="6"/>
              <w:rPr>
                <w:rFonts w:hint="eastAsia" w:ascii="仿宋_GB2312" w:hAnsi="仿宋_GB2312" w:eastAsia="仿宋_GB2312" w:cs="仿宋_GB2312"/>
                <w:color w:val="auto"/>
                <w:sz w:val="24"/>
                <w:szCs w:val="24"/>
              </w:rPr>
            </w:pPr>
          </w:p>
        </w:tc>
        <w:tc>
          <w:tcPr>
            <w:tcW w:w="0" w:type="auto"/>
            <w:vAlign w:val="center"/>
          </w:tcPr>
          <w:p w14:paraId="46E76AC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扬声器频率范围</w:t>
            </w:r>
          </w:p>
        </w:tc>
        <w:tc>
          <w:tcPr>
            <w:tcW w:w="0" w:type="auto"/>
            <w:vAlign w:val="center"/>
          </w:tcPr>
          <w:p w14:paraId="028C408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E30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D57CF2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0" w:type="auto"/>
            <w:vMerge w:val="continue"/>
            <w:vAlign w:val="center"/>
          </w:tcPr>
          <w:p w14:paraId="6E9EB333">
            <w:pPr>
              <w:pStyle w:val="6"/>
              <w:rPr>
                <w:rFonts w:hint="eastAsia" w:ascii="仿宋_GB2312" w:hAnsi="仿宋_GB2312" w:eastAsia="仿宋_GB2312" w:cs="仿宋_GB2312"/>
                <w:color w:val="auto"/>
                <w:sz w:val="24"/>
                <w:szCs w:val="24"/>
              </w:rPr>
            </w:pPr>
          </w:p>
        </w:tc>
        <w:tc>
          <w:tcPr>
            <w:tcW w:w="0" w:type="auto"/>
            <w:vAlign w:val="center"/>
          </w:tcPr>
          <w:p w14:paraId="48C8D6F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扬声器总谐波失真</w:t>
            </w:r>
          </w:p>
        </w:tc>
        <w:tc>
          <w:tcPr>
            <w:tcW w:w="0" w:type="auto"/>
            <w:vAlign w:val="center"/>
          </w:tcPr>
          <w:p w14:paraId="2371EFA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7248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F3EEA6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0" w:type="auto"/>
            <w:vMerge w:val="continue"/>
            <w:vAlign w:val="center"/>
          </w:tcPr>
          <w:p w14:paraId="3DF8BC8C">
            <w:pPr>
              <w:pStyle w:val="6"/>
              <w:rPr>
                <w:rFonts w:hint="eastAsia" w:ascii="仿宋_GB2312" w:hAnsi="仿宋_GB2312" w:eastAsia="仿宋_GB2312" w:cs="仿宋_GB2312"/>
                <w:color w:val="auto"/>
                <w:sz w:val="24"/>
                <w:szCs w:val="24"/>
              </w:rPr>
            </w:pPr>
          </w:p>
        </w:tc>
        <w:tc>
          <w:tcPr>
            <w:tcW w:w="0" w:type="auto"/>
            <w:vAlign w:val="center"/>
          </w:tcPr>
          <w:p w14:paraId="6CB3190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扬声器最大声压级</w:t>
            </w:r>
          </w:p>
        </w:tc>
        <w:tc>
          <w:tcPr>
            <w:tcW w:w="0" w:type="auto"/>
            <w:vAlign w:val="center"/>
          </w:tcPr>
          <w:p w14:paraId="10C8DD36">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24F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4D0861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0" w:type="auto"/>
            <w:vMerge w:val="continue"/>
            <w:vAlign w:val="center"/>
          </w:tcPr>
          <w:p w14:paraId="6527F2CB">
            <w:pPr>
              <w:pStyle w:val="6"/>
              <w:rPr>
                <w:rFonts w:hint="eastAsia" w:ascii="仿宋_GB2312" w:hAnsi="仿宋_GB2312" w:eastAsia="仿宋_GB2312" w:cs="仿宋_GB2312"/>
                <w:color w:val="auto"/>
                <w:sz w:val="24"/>
                <w:szCs w:val="24"/>
              </w:rPr>
            </w:pPr>
          </w:p>
        </w:tc>
        <w:tc>
          <w:tcPr>
            <w:tcW w:w="0" w:type="auto"/>
            <w:vAlign w:val="center"/>
          </w:tcPr>
          <w:p w14:paraId="28D4BE0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▲键盘连接方式</w:t>
            </w:r>
          </w:p>
        </w:tc>
        <w:tc>
          <w:tcPr>
            <w:tcW w:w="0" w:type="auto"/>
            <w:vAlign w:val="center"/>
          </w:tcPr>
          <w:p w14:paraId="65DCA89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w:t>
            </w:r>
          </w:p>
        </w:tc>
      </w:tr>
      <w:tr w14:paraId="647B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ED278B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0" w:type="auto"/>
            <w:vMerge w:val="continue"/>
            <w:vAlign w:val="center"/>
          </w:tcPr>
          <w:p w14:paraId="6FA06A09">
            <w:pPr>
              <w:pStyle w:val="6"/>
              <w:rPr>
                <w:rFonts w:hint="eastAsia" w:ascii="仿宋_GB2312" w:hAnsi="仿宋_GB2312" w:eastAsia="仿宋_GB2312" w:cs="仿宋_GB2312"/>
                <w:color w:val="auto"/>
                <w:sz w:val="24"/>
                <w:szCs w:val="24"/>
              </w:rPr>
            </w:pPr>
          </w:p>
        </w:tc>
        <w:tc>
          <w:tcPr>
            <w:tcW w:w="0" w:type="auto"/>
            <w:vAlign w:val="center"/>
          </w:tcPr>
          <w:p w14:paraId="599AFC0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▲键盘键程</w:t>
            </w:r>
          </w:p>
        </w:tc>
        <w:tc>
          <w:tcPr>
            <w:tcW w:w="0" w:type="auto"/>
            <w:vAlign w:val="center"/>
          </w:tcPr>
          <w:p w14:paraId="7B9C1D2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3.0mm</w:t>
            </w:r>
          </w:p>
        </w:tc>
      </w:tr>
      <w:tr w14:paraId="7177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439C8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0" w:type="auto"/>
            <w:vMerge w:val="continue"/>
            <w:vAlign w:val="center"/>
          </w:tcPr>
          <w:p w14:paraId="563F6947">
            <w:pPr>
              <w:pStyle w:val="6"/>
              <w:rPr>
                <w:rFonts w:hint="eastAsia" w:ascii="仿宋_GB2312" w:hAnsi="仿宋_GB2312" w:eastAsia="仿宋_GB2312" w:cs="仿宋_GB2312"/>
                <w:color w:val="auto"/>
                <w:sz w:val="24"/>
                <w:szCs w:val="24"/>
              </w:rPr>
            </w:pPr>
          </w:p>
        </w:tc>
        <w:tc>
          <w:tcPr>
            <w:tcW w:w="0" w:type="auto"/>
            <w:vAlign w:val="center"/>
          </w:tcPr>
          <w:p w14:paraId="0458D1A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▲键盘按键压力</w:t>
            </w:r>
          </w:p>
        </w:tc>
        <w:tc>
          <w:tcPr>
            <w:tcW w:w="0" w:type="auto"/>
            <w:vAlign w:val="center"/>
          </w:tcPr>
          <w:p w14:paraId="5B41C55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按键压力应在 0.54 N±0.14N</w:t>
            </w:r>
          </w:p>
        </w:tc>
      </w:tr>
      <w:tr w14:paraId="6A8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D788CA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w:t>
            </w:r>
          </w:p>
        </w:tc>
        <w:tc>
          <w:tcPr>
            <w:tcW w:w="0" w:type="auto"/>
            <w:vMerge w:val="continue"/>
            <w:vAlign w:val="center"/>
          </w:tcPr>
          <w:p w14:paraId="0DA13D00">
            <w:pPr>
              <w:pStyle w:val="6"/>
              <w:rPr>
                <w:rFonts w:hint="eastAsia" w:ascii="仿宋_GB2312" w:hAnsi="仿宋_GB2312" w:eastAsia="仿宋_GB2312" w:cs="仿宋_GB2312"/>
                <w:color w:val="auto"/>
                <w:sz w:val="24"/>
                <w:szCs w:val="24"/>
              </w:rPr>
            </w:pPr>
          </w:p>
        </w:tc>
        <w:tc>
          <w:tcPr>
            <w:tcW w:w="0" w:type="auto"/>
            <w:vAlign w:val="center"/>
          </w:tcPr>
          <w:p w14:paraId="2613DA9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▲有线键盘连接线</w:t>
            </w:r>
          </w:p>
        </w:tc>
        <w:tc>
          <w:tcPr>
            <w:tcW w:w="0" w:type="auto"/>
            <w:vAlign w:val="center"/>
          </w:tcPr>
          <w:p w14:paraId="6F2348C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 米</w:t>
            </w:r>
          </w:p>
        </w:tc>
      </w:tr>
      <w:tr w14:paraId="2D73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CA3BFF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55</w:t>
            </w:r>
          </w:p>
        </w:tc>
        <w:tc>
          <w:tcPr>
            <w:tcW w:w="0" w:type="auto"/>
            <w:vMerge w:val="continue"/>
            <w:vAlign w:val="center"/>
          </w:tcPr>
          <w:p w14:paraId="2C774F32">
            <w:pPr>
              <w:pStyle w:val="6"/>
              <w:rPr>
                <w:rFonts w:hint="eastAsia" w:ascii="仿宋_GB2312" w:hAnsi="仿宋_GB2312" w:eastAsia="仿宋_GB2312" w:cs="仿宋_GB2312"/>
                <w:color w:val="auto"/>
                <w:sz w:val="24"/>
                <w:szCs w:val="24"/>
              </w:rPr>
            </w:pPr>
          </w:p>
        </w:tc>
        <w:tc>
          <w:tcPr>
            <w:tcW w:w="0" w:type="auto"/>
            <w:vAlign w:val="center"/>
          </w:tcPr>
          <w:p w14:paraId="337E0F7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▲键盘颜色</w:t>
            </w:r>
          </w:p>
        </w:tc>
        <w:tc>
          <w:tcPr>
            <w:tcW w:w="0" w:type="auto"/>
            <w:vAlign w:val="center"/>
          </w:tcPr>
          <w:p w14:paraId="29894EB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黑色</w:t>
            </w:r>
          </w:p>
        </w:tc>
      </w:tr>
      <w:tr w14:paraId="4FC5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B31996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56</w:t>
            </w:r>
          </w:p>
        </w:tc>
        <w:tc>
          <w:tcPr>
            <w:tcW w:w="0" w:type="auto"/>
            <w:vMerge w:val="continue"/>
            <w:vAlign w:val="center"/>
          </w:tcPr>
          <w:p w14:paraId="74A0E15C">
            <w:pPr>
              <w:pStyle w:val="6"/>
              <w:rPr>
                <w:rFonts w:hint="eastAsia" w:ascii="仿宋_GB2312" w:hAnsi="仿宋_GB2312" w:eastAsia="仿宋_GB2312" w:cs="仿宋_GB2312"/>
                <w:color w:val="auto"/>
                <w:sz w:val="24"/>
                <w:szCs w:val="24"/>
              </w:rPr>
            </w:pPr>
          </w:p>
        </w:tc>
        <w:tc>
          <w:tcPr>
            <w:tcW w:w="0" w:type="auto"/>
            <w:vAlign w:val="center"/>
          </w:tcPr>
          <w:p w14:paraId="2664D67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键盘其他要求</w:t>
            </w:r>
          </w:p>
        </w:tc>
        <w:tc>
          <w:tcPr>
            <w:tcW w:w="0" w:type="auto"/>
            <w:vAlign w:val="center"/>
          </w:tcPr>
          <w:p w14:paraId="43C3119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键盘外观结构、连接方式、主要功能、安全、电磁兼容性、可靠性应符合 GB/T14081 的相关规定</w:t>
            </w:r>
          </w:p>
        </w:tc>
      </w:tr>
      <w:tr w14:paraId="41B9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E6FBF9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57</w:t>
            </w:r>
          </w:p>
        </w:tc>
        <w:tc>
          <w:tcPr>
            <w:tcW w:w="0" w:type="auto"/>
            <w:vMerge w:val="continue"/>
            <w:vAlign w:val="center"/>
          </w:tcPr>
          <w:p w14:paraId="462F763E">
            <w:pPr>
              <w:pStyle w:val="6"/>
              <w:rPr>
                <w:rFonts w:hint="eastAsia" w:ascii="仿宋_GB2312" w:hAnsi="仿宋_GB2312" w:eastAsia="仿宋_GB2312" w:cs="仿宋_GB2312"/>
                <w:color w:val="auto"/>
                <w:sz w:val="24"/>
                <w:szCs w:val="24"/>
              </w:rPr>
            </w:pPr>
          </w:p>
        </w:tc>
        <w:tc>
          <w:tcPr>
            <w:tcW w:w="0" w:type="auto"/>
            <w:vAlign w:val="center"/>
          </w:tcPr>
          <w:p w14:paraId="04DE2D1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▲鼠标连接方式</w:t>
            </w:r>
          </w:p>
        </w:tc>
        <w:tc>
          <w:tcPr>
            <w:tcW w:w="0" w:type="auto"/>
            <w:vAlign w:val="center"/>
          </w:tcPr>
          <w:p w14:paraId="1317185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有线或无线</w:t>
            </w:r>
          </w:p>
        </w:tc>
      </w:tr>
      <w:tr w14:paraId="0D11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3189AB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58</w:t>
            </w:r>
          </w:p>
        </w:tc>
        <w:tc>
          <w:tcPr>
            <w:tcW w:w="0" w:type="auto"/>
            <w:vMerge w:val="continue"/>
            <w:vAlign w:val="center"/>
          </w:tcPr>
          <w:p w14:paraId="0CD1ED38">
            <w:pPr>
              <w:pStyle w:val="6"/>
              <w:rPr>
                <w:rFonts w:hint="eastAsia" w:ascii="仿宋_GB2312" w:hAnsi="仿宋_GB2312" w:eastAsia="仿宋_GB2312" w:cs="仿宋_GB2312"/>
                <w:color w:val="auto"/>
                <w:sz w:val="24"/>
                <w:szCs w:val="24"/>
              </w:rPr>
            </w:pPr>
          </w:p>
        </w:tc>
        <w:tc>
          <w:tcPr>
            <w:tcW w:w="0" w:type="auto"/>
            <w:vAlign w:val="center"/>
          </w:tcPr>
          <w:p w14:paraId="13229B8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▲有线鼠标连接线</w:t>
            </w:r>
          </w:p>
        </w:tc>
        <w:tc>
          <w:tcPr>
            <w:tcW w:w="0" w:type="auto"/>
            <w:vAlign w:val="center"/>
          </w:tcPr>
          <w:p w14:paraId="5B5602D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 米</w:t>
            </w:r>
          </w:p>
        </w:tc>
      </w:tr>
      <w:tr w14:paraId="62C7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BF1E36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59</w:t>
            </w:r>
          </w:p>
        </w:tc>
        <w:tc>
          <w:tcPr>
            <w:tcW w:w="0" w:type="auto"/>
            <w:vMerge w:val="continue"/>
            <w:vAlign w:val="center"/>
          </w:tcPr>
          <w:p w14:paraId="53C09A01">
            <w:pPr>
              <w:pStyle w:val="6"/>
              <w:rPr>
                <w:rFonts w:hint="eastAsia" w:ascii="仿宋_GB2312" w:hAnsi="仿宋_GB2312" w:eastAsia="仿宋_GB2312" w:cs="仿宋_GB2312"/>
                <w:color w:val="auto"/>
                <w:sz w:val="24"/>
                <w:szCs w:val="24"/>
              </w:rPr>
            </w:pPr>
          </w:p>
        </w:tc>
        <w:tc>
          <w:tcPr>
            <w:tcW w:w="0" w:type="auto"/>
            <w:vAlign w:val="center"/>
          </w:tcPr>
          <w:p w14:paraId="1F6BDCB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▲鼠标 DPI分辨率</w:t>
            </w:r>
          </w:p>
        </w:tc>
        <w:tc>
          <w:tcPr>
            <w:tcW w:w="0" w:type="auto"/>
            <w:vAlign w:val="center"/>
          </w:tcPr>
          <w:p w14:paraId="23324AB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800~1600</w:t>
            </w:r>
          </w:p>
        </w:tc>
      </w:tr>
      <w:tr w14:paraId="0831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7BA27C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0" w:type="auto"/>
            <w:vMerge w:val="continue"/>
            <w:vAlign w:val="center"/>
          </w:tcPr>
          <w:p w14:paraId="63CF2449">
            <w:pPr>
              <w:pStyle w:val="6"/>
              <w:rPr>
                <w:rFonts w:hint="eastAsia" w:ascii="仿宋_GB2312" w:hAnsi="仿宋_GB2312" w:eastAsia="仿宋_GB2312" w:cs="仿宋_GB2312"/>
                <w:color w:val="auto"/>
                <w:sz w:val="24"/>
                <w:szCs w:val="24"/>
              </w:rPr>
            </w:pPr>
          </w:p>
        </w:tc>
        <w:tc>
          <w:tcPr>
            <w:tcW w:w="0" w:type="auto"/>
            <w:vAlign w:val="center"/>
          </w:tcPr>
          <w:p w14:paraId="10384AE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▲鼠标颜色</w:t>
            </w:r>
          </w:p>
        </w:tc>
        <w:tc>
          <w:tcPr>
            <w:tcW w:w="0" w:type="auto"/>
            <w:vAlign w:val="center"/>
          </w:tcPr>
          <w:p w14:paraId="0D717E7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黑色</w:t>
            </w:r>
          </w:p>
        </w:tc>
      </w:tr>
      <w:tr w14:paraId="3A40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E4E8E1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w:t>
            </w:r>
          </w:p>
        </w:tc>
        <w:tc>
          <w:tcPr>
            <w:tcW w:w="0" w:type="auto"/>
            <w:vMerge w:val="continue"/>
            <w:vAlign w:val="center"/>
          </w:tcPr>
          <w:p w14:paraId="2DAC58FF">
            <w:pPr>
              <w:pStyle w:val="6"/>
              <w:rPr>
                <w:rFonts w:hint="eastAsia" w:ascii="仿宋_GB2312" w:hAnsi="仿宋_GB2312" w:eastAsia="仿宋_GB2312" w:cs="仿宋_GB2312"/>
                <w:color w:val="auto"/>
                <w:sz w:val="24"/>
                <w:szCs w:val="24"/>
              </w:rPr>
            </w:pPr>
          </w:p>
        </w:tc>
        <w:tc>
          <w:tcPr>
            <w:tcW w:w="0" w:type="auto"/>
            <w:vAlign w:val="center"/>
          </w:tcPr>
          <w:p w14:paraId="19E1FB1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▲鼠标其他要求</w:t>
            </w:r>
          </w:p>
        </w:tc>
        <w:tc>
          <w:tcPr>
            <w:tcW w:w="0" w:type="auto"/>
            <w:vAlign w:val="center"/>
          </w:tcPr>
          <w:p w14:paraId="5760D2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其它参数应符合 GB/T 26245 的相关规定</w:t>
            </w:r>
          </w:p>
        </w:tc>
      </w:tr>
      <w:tr w14:paraId="3DBA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4C5B97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w:t>
            </w:r>
          </w:p>
        </w:tc>
        <w:tc>
          <w:tcPr>
            <w:tcW w:w="0" w:type="auto"/>
            <w:vMerge w:val="continue"/>
            <w:vAlign w:val="center"/>
          </w:tcPr>
          <w:p w14:paraId="474298A3">
            <w:pPr>
              <w:pStyle w:val="6"/>
              <w:rPr>
                <w:rFonts w:hint="eastAsia" w:ascii="仿宋_GB2312" w:hAnsi="仿宋_GB2312" w:eastAsia="仿宋_GB2312" w:cs="仿宋_GB2312"/>
                <w:color w:val="auto"/>
                <w:sz w:val="24"/>
                <w:szCs w:val="24"/>
              </w:rPr>
            </w:pPr>
          </w:p>
        </w:tc>
        <w:tc>
          <w:tcPr>
            <w:tcW w:w="0" w:type="auto"/>
            <w:vAlign w:val="center"/>
          </w:tcPr>
          <w:p w14:paraId="397B8EA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内置光驱</w:t>
            </w:r>
          </w:p>
        </w:tc>
        <w:tc>
          <w:tcPr>
            <w:tcW w:w="0" w:type="auto"/>
            <w:vAlign w:val="center"/>
          </w:tcPr>
          <w:p w14:paraId="057DF30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支持内置光驱</w:t>
            </w:r>
          </w:p>
        </w:tc>
      </w:tr>
      <w:tr w14:paraId="2C8C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E29D72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w:t>
            </w:r>
          </w:p>
        </w:tc>
        <w:tc>
          <w:tcPr>
            <w:tcW w:w="0" w:type="auto"/>
            <w:vMerge w:val="restart"/>
            <w:vAlign w:val="center"/>
          </w:tcPr>
          <w:p w14:paraId="318B052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▲网络设备规格</w:t>
            </w:r>
          </w:p>
        </w:tc>
        <w:tc>
          <w:tcPr>
            <w:tcW w:w="0" w:type="auto"/>
            <w:vAlign w:val="center"/>
          </w:tcPr>
          <w:p w14:paraId="59984D5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▲有线网卡数量</w:t>
            </w:r>
          </w:p>
        </w:tc>
        <w:tc>
          <w:tcPr>
            <w:tcW w:w="0" w:type="auto"/>
            <w:vAlign w:val="center"/>
          </w:tcPr>
          <w:p w14:paraId="53C908B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14:paraId="47F0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CF3559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w:t>
            </w:r>
          </w:p>
        </w:tc>
        <w:tc>
          <w:tcPr>
            <w:tcW w:w="0" w:type="auto"/>
            <w:vMerge w:val="continue"/>
            <w:vAlign w:val="center"/>
          </w:tcPr>
          <w:p w14:paraId="0E3195E2">
            <w:pPr>
              <w:pStyle w:val="6"/>
              <w:rPr>
                <w:rFonts w:hint="eastAsia" w:ascii="仿宋_GB2312" w:hAnsi="仿宋_GB2312" w:eastAsia="仿宋_GB2312" w:cs="仿宋_GB2312"/>
                <w:color w:val="auto"/>
                <w:sz w:val="24"/>
                <w:szCs w:val="24"/>
              </w:rPr>
            </w:pPr>
          </w:p>
        </w:tc>
        <w:tc>
          <w:tcPr>
            <w:tcW w:w="0" w:type="auto"/>
            <w:vAlign w:val="center"/>
          </w:tcPr>
          <w:p w14:paraId="572620E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无线网卡及天线数量</w:t>
            </w:r>
          </w:p>
        </w:tc>
        <w:tc>
          <w:tcPr>
            <w:tcW w:w="0" w:type="auto"/>
            <w:vAlign w:val="center"/>
          </w:tcPr>
          <w:p w14:paraId="284DD90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14:paraId="16F9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D9BB95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w:t>
            </w:r>
          </w:p>
        </w:tc>
        <w:tc>
          <w:tcPr>
            <w:tcW w:w="0" w:type="auto"/>
            <w:vMerge w:val="continue"/>
            <w:vAlign w:val="center"/>
          </w:tcPr>
          <w:p w14:paraId="53385F5C">
            <w:pPr>
              <w:pStyle w:val="6"/>
              <w:rPr>
                <w:rFonts w:hint="eastAsia" w:ascii="仿宋_GB2312" w:hAnsi="仿宋_GB2312" w:eastAsia="仿宋_GB2312" w:cs="仿宋_GB2312"/>
                <w:color w:val="auto"/>
                <w:sz w:val="24"/>
                <w:szCs w:val="24"/>
              </w:rPr>
            </w:pPr>
          </w:p>
        </w:tc>
        <w:tc>
          <w:tcPr>
            <w:tcW w:w="0" w:type="auto"/>
            <w:vAlign w:val="center"/>
          </w:tcPr>
          <w:p w14:paraId="76C2BD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单无线网卡天线数量</w:t>
            </w:r>
          </w:p>
        </w:tc>
        <w:tc>
          <w:tcPr>
            <w:tcW w:w="0" w:type="auto"/>
            <w:vAlign w:val="center"/>
          </w:tcPr>
          <w:p w14:paraId="2177E94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14:paraId="0A64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828659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66</w:t>
            </w:r>
          </w:p>
        </w:tc>
        <w:tc>
          <w:tcPr>
            <w:tcW w:w="0" w:type="auto"/>
            <w:vMerge w:val="restart"/>
            <w:vAlign w:val="center"/>
          </w:tcPr>
          <w:p w14:paraId="1172218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▲外部接口规格</w:t>
            </w:r>
          </w:p>
        </w:tc>
        <w:tc>
          <w:tcPr>
            <w:tcW w:w="0" w:type="auto"/>
            <w:vAlign w:val="center"/>
          </w:tcPr>
          <w:p w14:paraId="3512081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▲USB 接口数量</w:t>
            </w:r>
          </w:p>
        </w:tc>
        <w:tc>
          <w:tcPr>
            <w:tcW w:w="0" w:type="auto"/>
            <w:vAlign w:val="center"/>
          </w:tcPr>
          <w:p w14:paraId="55F4C0A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机箱前面板应提供不少于 3 个 USB 接口（含 2 个 USB3.0 及以上接口）</w:t>
            </w:r>
          </w:p>
        </w:tc>
      </w:tr>
      <w:tr w14:paraId="2AF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760E8D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67</w:t>
            </w:r>
          </w:p>
        </w:tc>
        <w:tc>
          <w:tcPr>
            <w:tcW w:w="0" w:type="auto"/>
            <w:vMerge w:val="continue"/>
            <w:vAlign w:val="center"/>
          </w:tcPr>
          <w:p w14:paraId="5693B6AC">
            <w:pPr>
              <w:pStyle w:val="6"/>
              <w:rPr>
                <w:rFonts w:hint="eastAsia" w:ascii="仿宋_GB2312" w:hAnsi="仿宋_GB2312" w:eastAsia="仿宋_GB2312" w:cs="仿宋_GB2312"/>
                <w:color w:val="auto"/>
                <w:sz w:val="24"/>
                <w:szCs w:val="24"/>
              </w:rPr>
            </w:pPr>
          </w:p>
        </w:tc>
        <w:tc>
          <w:tcPr>
            <w:tcW w:w="0" w:type="auto"/>
            <w:vAlign w:val="center"/>
          </w:tcPr>
          <w:p w14:paraId="289E3EA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USB 母座接口要求</w:t>
            </w:r>
          </w:p>
        </w:tc>
        <w:tc>
          <w:tcPr>
            <w:tcW w:w="0" w:type="auto"/>
            <w:vAlign w:val="center"/>
          </w:tcPr>
          <w:p w14:paraId="51FAF7D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707E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E770B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68</w:t>
            </w:r>
          </w:p>
        </w:tc>
        <w:tc>
          <w:tcPr>
            <w:tcW w:w="0" w:type="auto"/>
            <w:vMerge w:val="continue"/>
            <w:vAlign w:val="center"/>
          </w:tcPr>
          <w:p w14:paraId="59BDE8EA">
            <w:pPr>
              <w:pStyle w:val="6"/>
              <w:rPr>
                <w:rFonts w:hint="eastAsia" w:ascii="仿宋_GB2312" w:hAnsi="仿宋_GB2312" w:eastAsia="仿宋_GB2312" w:cs="仿宋_GB2312"/>
                <w:color w:val="auto"/>
                <w:sz w:val="24"/>
                <w:szCs w:val="24"/>
              </w:rPr>
            </w:pPr>
          </w:p>
        </w:tc>
        <w:tc>
          <w:tcPr>
            <w:tcW w:w="0" w:type="auto"/>
            <w:vAlign w:val="center"/>
          </w:tcPr>
          <w:p w14:paraId="3B8BA0A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▲视频接口数量</w:t>
            </w:r>
          </w:p>
        </w:tc>
        <w:tc>
          <w:tcPr>
            <w:tcW w:w="0" w:type="auto"/>
            <w:vAlign w:val="center"/>
          </w:tcPr>
          <w:p w14:paraId="6461CFB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14:paraId="002F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A1877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69</w:t>
            </w:r>
          </w:p>
        </w:tc>
        <w:tc>
          <w:tcPr>
            <w:tcW w:w="0" w:type="auto"/>
            <w:vMerge w:val="continue"/>
            <w:vAlign w:val="center"/>
          </w:tcPr>
          <w:p w14:paraId="3282135A">
            <w:pPr>
              <w:pStyle w:val="6"/>
              <w:rPr>
                <w:rFonts w:hint="eastAsia" w:ascii="仿宋_GB2312" w:hAnsi="仿宋_GB2312" w:eastAsia="仿宋_GB2312" w:cs="仿宋_GB2312"/>
                <w:color w:val="auto"/>
                <w:sz w:val="24"/>
                <w:szCs w:val="24"/>
              </w:rPr>
            </w:pPr>
          </w:p>
        </w:tc>
        <w:tc>
          <w:tcPr>
            <w:tcW w:w="0" w:type="auto"/>
            <w:vAlign w:val="center"/>
          </w:tcPr>
          <w:p w14:paraId="6E3F714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▲音频接口数量</w:t>
            </w:r>
          </w:p>
        </w:tc>
        <w:tc>
          <w:tcPr>
            <w:tcW w:w="0" w:type="auto"/>
            <w:vAlign w:val="center"/>
          </w:tcPr>
          <w:p w14:paraId="4AF0A16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14:paraId="489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CEC475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c>
          <w:tcPr>
            <w:tcW w:w="0" w:type="auto"/>
            <w:vMerge w:val="continue"/>
            <w:vAlign w:val="center"/>
          </w:tcPr>
          <w:p w14:paraId="49E0963F">
            <w:pPr>
              <w:pStyle w:val="6"/>
              <w:rPr>
                <w:rFonts w:hint="eastAsia" w:ascii="仿宋_GB2312" w:hAnsi="仿宋_GB2312" w:eastAsia="仿宋_GB2312" w:cs="仿宋_GB2312"/>
                <w:color w:val="auto"/>
                <w:sz w:val="24"/>
                <w:szCs w:val="24"/>
              </w:rPr>
            </w:pPr>
          </w:p>
        </w:tc>
        <w:tc>
          <w:tcPr>
            <w:tcW w:w="0" w:type="auto"/>
            <w:vAlign w:val="center"/>
          </w:tcPr>
          <w:p w14:paraId="7F2CB1F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存储卡接口数量</w:t>
            </w:r>
          </w:p>
        </w:tc>
        <w:tc>
          <w:tcPr>
            <w:tcW w:w="0" w:type="auto"/>
            <w:vAlign w:val="center"/>
          </w:tcPr>
          <w:p w14:paraId="0EBA9F3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7622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426CC6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w:t>
            </w:r>
          </w:p>
        </w:tc>
        <w:tc>
          <w:tcPr>
            <w:tcW w:w="0" w:type="auto"/>
            <w:vMerge w:val="restart"/>
            <w:vAlign w:val="center"/>
          </w:tcPr>
          <w:p w14:paraId="1070ABC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▲整机基础规格</w:t>
            </w:r>
          </w:p>
        </w:tc>
        <w:tc>
          <w:tcPr>
            <w:tcW w:w="0" w:type="auto"/>
            <w:vAlign w:val="center"/>
          </w:tcPr>
          <w:p w14:paraId="14D0672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▲整机外观</w:t>
            </w:r>
          </w:p>
        </w:tc>
        <w:tc>
          <w:tcPr>
            <w:tcW w:w="0" w:type="auto"/>
            <w:vAlign w:val="center"/>
          </w:tcPr>
          <w:p w14:paraId="376D055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 产品表面不应有凹痕、划伤、裂缝、变形和污染等。表面涂层均匀，不应起泡、龟裂、脱落和磨损，金属零部件无锈蚀及其它机械损伤；</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产品表面说明功能的文字、符号、标志，应清晰、端正、牢固</w:t>
            </w:r>
          </w:p>
        </w:tc>
      </w:tr>
      <w:tr w14:paraId="78F1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094C8B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w:t>
            </w:r>
          </w:p>
        </w:tc>
        <w:tc>
          <w:tcPr>
            <w:tcW w:w="0" w:type="auto"/>
            <w:vMerge w:val="continue"/>
            <w:vAlign w:val="center"/>
          </w:tcPr>
          <w:p w14:paraId="6BFAB8C3">
            <w:pPr>
              <w:pStyle w:val="6"/>
              <w:rPr>
                <w:rFonts w:hint="eastAsia" w:ascii="仿宋_GB2312" w:hAnsi="仿宋_GB2312" w:eastAsia="仿宋_GB2312" w:cs="仿宋_GB2312"/>
                <w:color w:val="auto"/>
                <w:sz w:val="24"/>
                <w:szCs w:val="24"/>
              </w:rPr>
            </w:pPr>
          </w:p>
        </w:tc>
        <w:tc>
          <w:tcPr>
            <w:tcW w:w="0" w:type="auto"/>
            <w:vAlign w:val="center"/>
          </w:tcPr>
          <w:p w14:paraId="52C6888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▲状态指示灯</w:t>
            </w:r>
          </w:p>
        </w:tc>
        <w:tc>
          <w:tcPr>
            <w:tcW w:w="0" w:type="auto"/>
            <w:vAlign w:val="center"/>
          </w:tcPr>
          <w:p w14:paraId="1C0A49C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在产品显著位置提供状态指示功能，如运行状态，并由供应商提供详细参数</w:t>
            </w:r>
          </w:p>
        </w:tc>
      </w:tr>
      <w:tr w14:paraId="23DF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D50793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w:t>
            </w:r>
          </w:p>
        </w:tc>
        <w:tc>
          <w:tcPr>
            <w:tcW w:w="0" w:type="auto"/>
            <w:vMerge w:val="continue"/>
            <w:vAlign w:val="center"/>
          </w:tcPr>
          <w:p w14:paraId="559B14B3">
            <w:pPr>
              <w:pStyle w:val="6"/>
              <w:rPr>
                <w:rFonts w:hint="eastAsia" w:ascii="仿宋_GB2312" w:hAnsi="仿宋_GB2312" w:eastAsia="仿宋_GB2312" w:cs="仿宋_GB2312"/>
                <w:color w:val="auto"/>
                <w:sz w:val="24"/>
                <w:szCs w:val="24"/>
              </w:rPr>
            </w:pPr>
          </w:p>
        </w:tc>
        <w:tc>
          <w:tcPr>
            <w:tcW w:w="0" w:type="auto"/>
            <w:vAlign w:val="center"/>
          </w:tcPr>
          <w:p w14:paraId="04A3241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▲整机结构</w:t>
            </w:r>
          </w:p>
        </w:tc>
        <w:tc>
          <w:tcPr>
            <w:tcW w:w="0" w:type="auto"/>
            <w:vAlign w:val="center"/>
          </w:tcPr>
          <w:p w14:paraId="7AFE8A5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 机箱应符合 GB/T 4208、GB/T 26246的相关规定；</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产品内部结构应符合通用部件的安装需求；</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c) 所有输入输出接口应符合相关国家或行业标准；</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d) 产品零部件应紧固无松动，可插拔部件应可靠连接，开关、按钮和其它控制部件应灵活可靠，布局应方便使用；</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e) 所有 I/O 连接器及需插接线缆的部位应预留采购人操作空间，方便插拔解锁与插拔线缆；</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f) 可插拔板卡插槽部位应预留安装、拆卸或更换板卡空间；</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g) 拆装可能接触到的金属剪口或金属尖角部位应做防划伤处理，以保证安全；</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h) 整机内部走线应规整，固线结构和位置要合理可靠并做防割线处理，需便于理线和插拔操作，走线应不影响系统各主要部件组装和拆卸；</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i) 如需通过孔走线，过线孔应做防割线处理；</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j) 各插头位置和插拔方向应合理，应做到插拔无障碍设计，具备防呆设计，有效避免误操作；</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k) 各主要部件拆装无障碍，使用常规工具拆装，无特殊拆装工具需求；</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l) 各主要部件拆装步骤要少，各自拆装需避免相互干扰；</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m) 对于整机或零部件外表面为高亮面的，应粘贴保护膜，保护膜需粘贴牢固，运输、组装等过程不易脱落，撕下无残留；</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n) 其它要求应符合 GB/T 9813.1 的相关规定</w:t>
            </w:r>
          </w:p>
        </w:tc>
      </w:tr>
      <w:tr w14:paraId="4A01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7296B7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74</w:t>
            </w:r>
          </w:p>
        </w:tc>
        <w:tc>
          <w:tcPr>
            <w:tcW w:w="0" w:type="auto"/>
            <w:vMerge w:val="continue"/>
            <w:vAlign w:val="center"/>
          </w:tcPr>
          <w:p w14:paraId="2CEA59FB">
            <w:pPr>
              <w:pStyle w:val="6"/>
              <w:rPr>
                <w:rFonts w:hint="eastAsia" w:ascii="仿宋_GB2312" w:hAnsi="仿宋_GB2312" w:eastAsia="仿宋_GB2312" w:cs="仿宋_GB2312"/>
                <w:color w:val="auto"/>
                <w:sz w:val="24"/>
                <w:szCs w:val="24"/>
              </w:rPr>
            </w:pPr>
          </w:p>
        </w:tc>
        <w:tc>
          <w:tcPr>
            <w:tcW w:w="0" w:type="auto"/>
            <w:vAlign w:val="center"/>
          </w:tcPr>
          <w:p w14:paraId="4D1635E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▲机箱防护要求</w:t>
            </w:r>
          </w:p>
        </w:tc>
        <w:tc>
          <w:tcPr>
            <w:tcW w:w="0" w:type="auto"/>
            <w:vAlign w:val="center"/>
          </w:tcPr>
          <w:p w14:paraId="3BF3EBB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机箱应符合 GB/T 4208 中 IP20 防护要求</w:t>
            </w:r>
          </w:p>
        </w:tc>
      </w:tr>
      <w:tr w14:paraId="344C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A09AF6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w:t>
            </w:r>
          </w:p>
        </w:tc>
        <w:tc>
          <w:tcPr>
            <w:tcW w:w="0" w:type="auto"/>
            <w:vMerge w:val="continue"/>
            <w:vAlign w:val="center"/>
          </w:tcPr>
          <w:p w14:paraId="150C678F">
            <w:pPr>
              <w:pStyle w:val="6"/>
              <w:rPr>
                <w:rFonts w:hint="eastAsia" w:ascii="仿宋_GB2312" w:hAnsi="仿宋_GB2312" w:eastAsia="仿宋_GB2312" w:cs="仿宋_GB2312"/>
                <w:color w:val="auto"/>
                <w:sz w:val="24"/>
                <w:szCs w:val="24"/>
              </w:rPr>
            </w:pPr>
          </w:p>
        </w:tc>
        <w:tc>
          <w:tcPr>
            <w:tcW w:w="0" w:type="auto"/>
            <w:vAlign w:val="center"/>
          </w:tcPr>
          <w:p w14:paraId="3A8883F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▲整机噪音</w:t>
            </w:r>
          </w:p>
        </w:tc>
        <w:tc>
          <w:tcPr>
            <w:tcW w:w="0" w:type="auto"/>
            <w:vAlign w:val="center"/>
          </w:tcPr>
          <w:p w14:paraId="19E1AF1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产品工作在空闲状态下，产品的声功率级应不超过 4.5 Bel</w:t>
            </w:r>
          </w:p>
        </w:tc>
      </w:tr>
      <w:tr w14:paraId="4A1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681228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76</w:t>
            </w:r>
          </w:p>
        </w:tc>
        <w:tc>
          <w:tcPr>
            <w:tcW w:w="0" w:type="auto"/>
            <w:vMerge w:val="continue"/>
            <w:vAlign w:val="center"/>
          </w:tcPr>
          <w:p w14:paraId="6DD79587">
            <w:pPr>
              <w:pStyle w:val="6"/>
              <w:rPr>
                <w:rFonts w:hint="eastAsia" w:ascii="仿宋_GB2312" w:hAnsi="仿宋_GB2312" w:eastAsia="仿宋_GB2312" w:cs="仿宋_GB2312"/>
                <w:color w:val="auto"/>
                <w:sz w:val="24"/>
                <w:szCs w:val="24"/>
              </w:rPr>
            </w:pPr>
          </w:p>
        </w:tc>
        <w:tc>
          <w:tcPr>
            <w:tcW w:w="0" w:type="auto"/>
            <w:vAlign w:val="center"/>
          </w:tcPr>
          <w:p w14:paraId="346FF7E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▲整机散热</w:t>
            </w:r>
          </w:p>
        </w:tc>
        <w:tc>
          <w:tcPr>
            <w:tcW w:w="0" w:type="auto"/>
            <w:vAlign w:val="center"/>
          </w:tcPr>
          <w:p w14:paraId="0AC790A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在环境温度 25℃及处理器满载情况下，产品表面温度应符合如下要求：</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a) 出风口在机箱后面板情况下，出风口温度不高于 55℃ ;</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可触及面温度不高于 45℃ ;</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c) 显示器表面温度：显示屏不高于38℃ , 显示屏上下灯带位置温度（如涉及）不高于 40℃ , 出风口温度不高于 45℃</w:t>
            </w:r>
          </w:p>
        </w:tc>
      </w:tr>
      <w:tr w14:paraId="4C38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AFB7FA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77</w:t>
            </w:r>
          </w:p>
        </w:tc>
        <w:tc>
          <w:tcPr>
            <w:tcW w:w="0" w:type="auto"/>
            <w:vMerge w:val="continue"/>
            <w:vAlign w:val="center"/>
          </w:tcPr>
          <w:p w14:paraId="5B572405">
            <w:pPr>
              <w:pStyle w:val="6"/>
              <w:rPr>
                <w:rFonts w:hint="eastAsia" w:ascii="仿宋_GB2312" w:hAnsi="仿宋_GB2312" w:eastAsia="仿宋_GB2312" w:cs="仿宋_GB2312"/>
                <w:color w:val="auto"/>
                <w:sz w:val="24"/>
                <w:szCs w:val="24"/>
              </w:rPr>
            </w:pPr>
          </w:p>
        </w:tc>
        <w:tc>
          <w:tcPr>
            <w:tcW w:w="0" w:type="auto"/>
            <w:vAlign w:val="center"/>
          </w:tcPr>
          <w:p w14:paraId="3CD2493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▲整机能效限定值</w:t>
            </w:r>
          </w:p>
        </w:tc>
        <w:tc>
          <w:tcPr>
            <w:tcW w:w="0" w:type="auto"/>
            <w:vAlign w:val="center"/>
          </w:tcPr>
          <w:p w14:paraId="2B2D7D6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产品能效限定值应达到 GB 28380-2012标准中能效等级 2 级及以上</w:t>
            </w:r>
          </w:p>
        </w:tc>
      </w:tr>
      <w:tr w14:paraId="4A5A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66EBC4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78</w:t>
            </w:r>
          </w:p>
        </w:tc>
        <w:tc>
          <w:tcPr>
            <w:tcW w:w="0" w:type="auto"/>
            <w:vMerge w:val="continue"/>
            <w:vAlign w:val="center"/>
          </w:tcPr>
          <w:p w14:paraId="200354B6">
            <w:pPr>
              <w:pStyle w:val="6"/>
              <w:rPr>
                <w:rFonts w:hint="eastAsia" w:ascii="仿宋_GB2312" w:hAnsi="仿宋_GB2312" w:eastAsia="仿宋_GB2312" w:cs="仿宋_GB2312"/>
                <w:color w:val="auto"/>
                <w:sz w:val="24"/>
                <w:szCs w:val="24"/>
              </w:rPr>
            </w:pPr>
          </w:p>
        </w:tc>
        <w:tc>
          <w:tcPr>
            <w:tcW w:w="0" w:type="auto"/>
            <w:vAlign w:val="center"/>
          </w:tcPr>
          <w:p w14:paraId="1F19B6E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▲机身材质</w:t>
            </w:r>
          </w:p>
        </w:tc>
        <w:tc>
          <w:tcPr>
            <w:tcW w:w="0" w:type="auto"/>
            <w:vAlign w:val="center"/>
          </w:tcPr>
          <w:p w14:paraId="1639BA3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塑料/金属等</w:t>
            </w:r>
          </w:p>
        </w:tc>
      </w:tr>
      <w:tr w14:paraId="38DA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E8FEA4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79</w:t>
            </w:r>
          </w:p>
        </w:tc>
        <w:tc>
          <w:tcPr>
            <w:tcW w:w="0" w:type="auto"/>
            <w:vMerge w:val="continue"/>
            <w:vAlign w:val="center"/>
          </w:tcPr>
          <w:p w14:paraId="50E554E7">
            <w:pPr>
              <w:pStyle w:val="6"/>
              <w:rPr>
                <w:rFonts w:hint="eastAsia" w:ascii="仿宋_GB2312" w:hAnsi="仿宋_GB2312" w:eastAsia="仿宋_GB2312" w:cs="仿宋_GB2312"/>
                <w:color w:val="auto"/>
                <w:sz w:val="24"/>
                <w:szCs w:val="24"/>
              </w:rPr>
            </w:pPr>
          </w:p>
        </w:tc>
        <w:tc>
          <w:tcPr>
            <w:tcW w:w="0" w:type="auto"/>
            <w:vAlign w:val="center"/>
          </w:tcPr>
          <w:p w14:paraId="001E4A3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▲机身颜色</w:t>
            </w:r>
          </w:p>
        </w:tc>
        <w:tc>
          <w:tcPr>
            <w:tcW w:w="0" w:type="auto"/>
            <w:vAlign w:val="center"/>
          </w:tcPr>
          <w:p w14:paraId="1AE9B22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灰色/黑色等商务色系</w:t>
            </w:r>
          </w:p>
        </w:tc>
      </w:tr>
      <w:tr w14:paraId="098F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401E3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c>
          <w:tcPr>
            <w:tcW w:w="0" w:type="auto"/>
            <w:vMerge w:val="continue"/>
            <w:vAlign w:val="center"/>
          </w:tcPr>
          <w:p w14:paraId="36006E98">
            <w:pPr>
              <w:pStyle w:val="6"/>
              <w:rPr>
                <w:rFonts w:hint="eastAsia" w:ascii="仿宋_GB2312" w:hAnsi="仿宋_GB2312" w:eastAsia="仿宋_GB2312" w:cs="仿宋_GB2312"/>
                <w:color w:val="auto"/>
                <w:sz w:val="24"/>
                <w:szCs w:val="24"/>
              </w:rPr>
            </w:pPr>
          </w:p>
        </w:tc>
        <w:tc>
          <w:tcPr>
            <w:tcW w:w="0" w:type="auto"/>
            <w:vAlign w:val="center"/>
          </w:tcPr>
          <w:p w14:paraId="3BD4C6F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▲机箱尺寸容量</w:t>
            </w:r>
          </w:p>
        </w:tc>
        <w:tc>
          <w:tcPr>
            <w:tcW w:w="0" w:type="auto"/>
            <w:vAlign w:val="center"/>
          </w:tcPr>
          <w:p w14:paraId="351B545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机箱体积应不大于 30L</w:t>
            </w:r>
          </w:p>
        </w:tc>
      </w:tr>
      <w:tr w14:paraId="4A3E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F8600B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81</w:t>
            </w:r>
          </w:p>
        </w:tc>
        <w:tc>
          <w:tcPr>
            <w:tcW w:w="0" w:type="auto"/>
            <w:vMerge w:val="restart"/>
            <w:vAlign w:val="center"/>
          </w:tcPr>
          <w:p w14:paraId="2AEEBDF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▲CPU性能</w:t>
            </w:r>
          </w:p>
        </w:tc>
        <w:tc>
          <w:tcPr>
            <w:tcW w:w="0" w:type="auto"/>
            <w:vAlign w:val="center"/>
          </w:tcPr>
          <w:p w14:paraId="3B81598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物理核数</w:t>
            </w:r>
          </w:p>
        </w:tc>
        <w:tc>
          <w:tcPr>
            <w:tcW w:w="0" w:type="auto"/>
            <w:vAlign w:val="center"/>
          </w:tcPr>
          <w:p w14:paraId="1B2A04E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r>
      <w:tr w14:paraId="6FF0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557A97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w:t>
            </w:r>
          </w:p>
        </w:tc>
        <w:tc>
          <w:tcPr>
            <w:tcW w:w="0" w:type="auto"/>
            <w:vMerge w:val="continue"/>
            <w:vAlign w:val="center"/>
          </w:tcPr>
          <w:p w14:paraId="31FDF956">
            <w:pPr>
              <w:pStyle w:val="6"/>
              <w:rPr>
                <w:rFonts w:hint="eastAsia" w:ascii="仿宋_GB2312" w:hAnsi="仿宋_GB2312" w:eastAsia="仿宋_GB2312" w:cs="仿宋_GB2312"/>
                <w:color w:val="auto"/>
                <w:sz w:val="24"/>
                <w:szCs w:val="24"/>
              </w:rPr>
            </w:pPr>
          </w:p>
        </w:tc>
        <w:tc>
          <w:tcPr>
            <w:tcW w:w="0" w:type="auto"/>
            <w:vAlign w:val="center"/>
          </w:tcPr>
          <w:p w14:paraId="30DF05E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主频</w:t>
            </w:r>
          </w:p>
        </w:tc>
        <w:tc>
          <w:tcPr>
            <w:tcW w:w="0" w:type="auto"/>
            <w:vAlign w:val="center"/>
          </w:tcPr>
          <w:p w14:paraId="7A264A3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≥2.1GHz</w:t>
            </w:r>
          </w:p>
        </w:tc>
      </w:tr>
      <w:tr w14:paraId="7527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321421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w:t>
            </w:r>
          </w:p>
        </w:tc>
        <w:tc>
          <w:tcPr>
            <w:tcW w:w="0" w:type="auto"/>
            <w:vMerge w:val="continue"/>
            <w:vAlign w:val="center"/>
          </w:tcPr>
          <w:p w14:paraId="494095AD">
            <w:pPr>
              <w:pStyle w:val="6"/>
              <w:rPr>
                <w:rFonts w:hint="eastAsia" w:ascii="仿宋_GB2312" w:hAnsi="仿宋_GB2312" w:eastAsia="仿宋_GB2312" w:cs="仿宋_GB2312"/>
                <w:color w:val="auto"/>
                <w:sz w:val="24"/>
                <w:szCs w:val="24"/>
              </w:rPr>
            </w:pPr>
          </w:p>
        </w:tc>
        <w:tc>
          <w:tcPr>
            <w:tcW w:w="0" w:type="auto"/>
            <w:vAlign w:val="center"/>
          </w:tcPr>
          <w:p w14:paraId="12F54C7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末级缓存容量</w:t>
            </w:r>
          </w:p>
        </w:tc>
        <w:tc>
          <w:tcPr>
            <w:tcW w:w="0" w:type="auto"/>
            <w:vAlign w:val="center"/>
          </w:tcPr>
          <w:p w14:paraId="1BA1790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≥33MB</w:t>
            </w:r>
          </w:p>
        </w:tc>
      </w:tr>
      <w:tr w14:paraId="7625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0F7B20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84</w:t>
            </w:r>
          </w:p>
        </w:tc>
        <w:tc>
          <w:tcPr>
            <w:tcW w:w="0" w:type="auto"/>
            <w:vMerge w:val="continue"/>
            <w:vAlign w:val="center"/>
          </w:tcPr>
          <w:p w14:paraId="069A9240">
            <w:pPr>
              <w:pStyle w:val="6"/>
              <w:rPr>
                <w:rFonts w:hint="eastAsia" w:ascii="仿宋_GB2312" w:hAnsi="仿宋_GB2312" w:eastAsia="仿宋_GB2312" w:cs="仿宋_GB2312"/>
                <w:color w:val="auto"/>
                <w:sz w:val="24"/>
                <w:szCs w:val="24"/>
              </w:rPr>
            </w:pPr>
          </w:p>
        </w:tc>
        <w:tc>
          <w:tcPr>
            <w:tcW w:w="0" w:type="auto"/>
            <w:vAlign w:val="center"/>
          </w:tcPr>
          <w:p w14:paraId="32C7C47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▲CPU 支持的内存最高速率</w:t>
            </w:r>
          </w:p>
        </w:tc>
        <w:tc>
          <w:tcPr>
            <w:tcW w:w="0" w:type="auto"/>
            <w:vAlign w:val="center"/>
          </w:tcPr>
          <w:p w14:paraId="4A80FD4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≥5600 MT/s</w:t>
            </w:r>
          </w:p>
        </w:tc>
      </w:tr>
      <w:tr w14:paraId="51AD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42702F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w:t>
            </w:r>
          </w:p>
        </w:tc>
        <w:tc>
          <w:tcPr>
            <w:tcW w:w="0" w:type="auto"/>
            <w:vAlign w:val="center"/>
          </w:tcPr>
          <w:p w14:paraId="2D9D4D5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▲内存性能</w:t>
            </w:r>
          </w:p>
        </w:tc>
        <w:tc>
          <w:tcPr>
            <w:tcW w:w="0" w:type="auto"/>
            <w:vAlign w:val="center"/>
          </w:tcPr>
          <w:p w14:paraId="73401D4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▲内存读写速率</w:t>
            </w:r>
          </w:p>
        </w:tc>
        <w:tc>
          <w:tcPr>
            <w:tcW w:w="0" w:type="auto"/>
            <w:vAlign w:val="center"/>
          </w:tcPr>
          <w:p w14:paraId="30D9642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≥5600 MT/s</w:t>
            </w:r>
          </w:p>
        </w:tc>
      </w:tr>
      <w:tr w14:paraId="4BFD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913182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86</w:t>
            </w:r>
          </w:p>
        </w:tc>
        <w:tc>
          <w:tcPr>
            <w:tcW w:w="0" w:type="auto"/>
            <w:vMerge w:val="restart"/>
            <w:vAlign w:val="center"/>
          </w:tcPr>
          <w:p w14:paraId="07B2EE5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▲显卡性能</w:t>
            </w:r>
          </w:p>
        </w:tc>
        <w:tc>
          <w:tcPr>
            <w:tcW w:w="0" w:type="auto"/>
            <w:vAlign w:val="center"/>
          </w:tcPr>
          <w:p w14:paraId="4A1B4AC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▲显示分辨率</w:t>
            </w:r>
          </w:p>
        </w:tc>
        <w:tc>
          <w:tcPr>
            <w:tcW w:w="0" w:type="auto"/>
            <w:vAlign w:val="center"/>
          </w:tcPr>
          <w:p w14:paraId="7240C0A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≥1920x1080</w:t>
            </w:r>
          </w:p>
        </w:tc>
      </w:tr>
      <w:tr w14:paraId="0D7A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C406D3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87</w:t>
            </w:r>
          </w:p>
        </w:tc>
        <w:tc>
          <w:tcPr>
            <w:tcW w:w="0" w:type="auto"/>
            <w:vMerge w:val="continue"/>
            <w:vAlign w:val="center"/>
          </w:tcPr>
          <w:p w14:paraId="39774B55">
            <w:pPr>
              <w:pStyle w:val="6"/>
              <w:rPr>
                <w:rFonts w:hint="eastAsia" w:ascii="仿宋_GB2312" w:hAnsi="仿宋_GB2312" w:eastAsia="仿宋_GB2312" w:cs="仿宋_GB2312"/>
                <w:color w:val="auto"/>
                <w:sz w:val="24"/>
                <w:szCs w:val="24"/>
              </w:rPr>
            </w:pPr>
          </w:p>
        </w:tc>
        <w:tc>
          <w:tcPr>
            <w:tcW w:w="0" w:type="auto"/>
            <w:vAlign w:val="center"/>
          </w:tcPr>
          <w:p w14:paraId="200B2BA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▲显卡显示芯片核心频率</w:t>
            </w:r>
          </w:p>
        </w:tc>
        <w:tc>
          <w:tcPr>
            <w:tcW w:w="0" w:type="auto"/>
            <w:vAlign w:val="center"/>
          </w:tcPr>
          <w:p w14:paraId="5DB631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≥300MHz</w:t>
            </w:r>
          </w:p>
        </w:tc>
      </w:tr>
      <w:tr w14:paraId="5BC0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1C2E02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88</w:t>
            </w:r>
          </w:p>
        </w:tc>
        <w:tc>
          <w:tcPr>
            <w:tcW w:w="0" w:type="auto"/>
            <w:vMerge w:val="continue"/>
            <w:vAlign w:val="center"/>
          </w:tcPr>
          <w:p w14:paraId="4D263EEB">
            <w:pPr>
              <w:pStyle w:val="6"/>
              <w:rPr>
                <w:rFonts w:hint="eastAsia" w:ascii="仿宋_GB2312" w:hAnsi="仿宋_GB2312" w:eastAsia="仿宋_GB2312" w:cs="仿宋_GB2312"/>
                <w:color w:val="auto"/>
                <w:sz w:val="24"/>
                <w:szCs w:val="24"/>
              </w:rPr>
            </w:pPr>
          </w:p>
        </w:tc>
        <w:tc>
          <w:tcPr>
            <w:tcW w:w="0" w:type="auto"/>
            <w:vAlign w:val="center"/>
          </w:tcPr>
          <w:p w14:paraId="6656FDF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▲显存等效频率</w:t>
            </w:r>
          </w:p>
        </w:tc>
        <w:tc>
          <w:tcPr>
            <w:tcW w:w="0" w:type="auto"/>
            <w:vAlign w:val="center"/>
          </w:tcPr>
          <w:p w14:paraId="6B032E8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≥1000MT/s</w:t>
            </w:r>
          </w:p>
        </w:tc>
      </w:tr>
      <w:tr w14:paraId="2A57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F000E8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89</w:t>
            </w:r>
          </w:p>
        </w:tc>
        <w:tc>
          <w:tcPr>
            <w:tcW w:w="0" w:type="auto"/>
            <w:vMerge w:val="continue"/>
            <w:vAlign w:val="center"/>
          </w:tcPr>
          <w:p w14:paraId="10D82A4E">
            <w:pPr>
              <w:pStyle w:val="6"/>
              <w:rPr>
                <w:rFonts w:hint="eastAsia" w:ascii="仿宋_GB2312" w:hAnsi="仿宋_GB2312" w:eastAsia="仿宋_GB2312" w:cs="仿宋_GB2312"/>
                <w:color w:val="auto"/>
                <w:sz w:val="24"/>
                <w:szCs w:val="24"/>
              </w:rPr>
            </w:pPr>
          </w:p>
        </w:tc>
        <w:tc>
          <w:tcPr>
            <w:tcW w:w="0" w:type="auto"/>
            <w:vAlign w:val="center"/>
          </w:tcPr>
          <w:p w14:paraId="73B41C8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▲显卡可支持多屏同时显示数量</w:t>
            </w:r>
          </w:p>
        </w:tc>
        <w:tc>
          <w:tcPr>
            <w:tcW w:w="0" w:type="auto"/>
            <w:vAlign w:val="center"/>
          </w:tcPr>
          <w:p w14:paraId="6DBD63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显卡应支持 2 块屏幕同时显示，分辨率应不低于 1920×1080</w:t>
            </w:r>
          </w:p>
        </w:tc>
      </w:tr>
      <w:tr w14:paraId="6CC9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47F90F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0" w:type="auto"/>
            <w:vMerge w:val="restart"/>
            <w:vAlign w:val="center"/>
          </w:tcPr>
          <w:p w14:paraId="3F5E3AA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▲显示设备性能</w:t>
            </w:r>
          </w:p>
        </w:tc>
        <w:tc>
          <w:tcPr>
            <w:tcW w:w="0" w:type="auto"/>
            <w:vAlign w:val="center"/>
          </w:tcPr>
          <w:p w14:paraId="7309570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▲显示屏刷新率</w:t>
            </w:r>
          </w:p>
        </w:tc>
        <w:tc>
          <w:tcPr>
            <w:tcW w:w="0" w:type="auto"/>
            <w:vAlign w:val="center"/>
          </w:tcPr>
          <w:p w14:paraId="5AF33A7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≥75Hz</w:t>
            </w:r>
          </w:p>
        </w:tc>
      </w:tr>
      <w:tr w14:paraId="4768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F4A05B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w:t>
            </w:r>
          </w:p>
        </w:tc>
        <w:tc>
          <w:tcPr>
            <w:tcW w:w="0" w:type="auto"/>
            <w:vMerge w:val="continue"/>
            <w:vAlign w:val="center"/>
          </w:tcPr>
          <w:p w14:paraId="0142936E">
            <w:pPr>
              <w:pStyle w:val="6"/>
              <w:rPr>
                <w:rFonts w:hint="eastAsia" w:ascii="仿宋_GB2312" w:hAnsi="仿宋_GB2312" w:eastAsia="仿宋_GB2312" w:cs="仿宋_GB2312"/>
                <w:color w:val="auto"/>
                <w:sz w:val="24"/>
                <w:szCs w:val="24"/>
              </w:rPr>
            </w:pPr>
          </w:p>
        </w:tc>
        <w:tc>
          <w:tcPr>
            <w:tcW w:w="0" w:type="auto"/>
            <w:vAlign w:val="center"/>
          </w:tcPr>
          <w:p w14:paraId="66E715F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▲显示屏位深</w:t>
            </w:r>
          </w:p>
        </w:tc>
        <w:tc>
          <w:tcPr>
            <w:tcW w:w="0" w:type="auto"/>
            <w:vAlign w:val="center"/>
          </w:tcPr>
          <w:p w14:paraId="2F54FC5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 位</w:t>
            </w:r>
          </w:p>
        </w:tc>
      </w:tr>
      <w:tr w14:paraId="472A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2EF1D2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w:t>
            </w:r>
          </w:p>
        </w:tc>
        <w:tc>
          <w:tcPr>
            <w:tcW w:w="0" w:type="auto"/>
            <w:vMerge w:val="continue"/>
            <w:vAlign w:val="center"/>
          </w:tcPr>
          <w:p w14:paraId="27877A3C">
            <w:pPr>
              <w:pStyle w:val="6"/>
              <w:rPr>
                <w:rFonts w:hint="eastAsia" w:ascii="仿宋_GB2312" w:hAnsi="仿宋_GB2312" w:eastAsia="仿宋_GB2312" w:cs="仿宋_GB2312"/>
                <w:color w:val="auto"/>
                <w:sz w:val="24"/>
                <w:szCs w:val="24"/>
              </w:rPr>
            </w:pPr>
          </w:p>
        </w:tc>
        <w:tc>
          <w:tcPr>
            <w:tcW w:w="0" w:type="auto"/>
            <w:vAlign w:val="center"/>
          </w:tcPr>
          <w:p w14:paraId="58D081E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▲显示屏色域</w:t>
            </w:r>
          </w:p>
        </w:tc>
        <w:tc>
          <w:tcPr>
            <w:tcW w:w="0" w:type="auto"/>
            <w:vAlign w:val="center"/>
          </w:tcPr>
          <w:p w14:paraId="530E2E7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 sRGB</w:t>
            </w:r>
          </w:p>
        </w:tc>
      </w:tr>
      <w:tr w14:paraId="6BD6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0D2CF8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w:t>
            </w:r>
          </w:p>
        </w:tc>
        <w:tc>
          <w:tcPr>
            <w:tcW w:w="0" w:type="auto"/>
            <w:vMerge w:val="continue"/>
            <w:vAlign w:val="center"/>
          </w:tcPr>
          <w:p w14:paraId="46C0C526">
            <w:pPr>
              <w:pStyle w:val="6"/>
              <w:rPr>
                <w:rFonts w:hint="eastAsia" w:ascii="仿宋_GB2312" w:hAnsi="仿宋_GB2312" w:eastAsia="仿宋_GB2312" w:cs="仿宋_GB2312"/>
                <w:color w:val="auto"/>
                <w:sz w:val="24"/>
                <w:szCs w:val="24"/>
              </w:rPr>
            </w:pPr>
          </w:p>
        </w:tc>
        <w:tc>
          <w:tcPr>
            <w:tcW w:w="0" w:type="auto"/>
            <w:vAlign w:val="center"/>
          </w:tcPr>
          <w:p w14:paraId="1072436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▲显示屏色准</w:t>
            </w:r>
          </w:p>
        </w:tc>
        <w:tc>
          <w:tcPr>
            <w:tcW w:w="0" w:type="auto"/>
            <w:vAlign w:val="center"/>
          </w:tcPr>
          <w:p w14:paraId="17293AF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△E ≤ 4</w:t>
            </w:r>
          </w:p>
        </w:tc>
      </w:tr>
      <w:tr w14:paraId="34BC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7388D8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94</w:t>
            </w:r>
          </w:p>
        </w:tc>
        <w:tc>
          <w:tcPr>
            <w:tcW w:w="0" w:type="auto"/>
            <w:vMerge w:val="continue"/>
            <w:vAlign w:val="center"/>
          </w:tcPr>
          <w:p w14:paraId="281EC2B6">
            <w:pPr>
              <w:pStyle w:val="6"/>
              <w:rPr>
                <w:rFonts w:hint="eastAsia" w:ascii="仿宋_GB2312" w:hAnsi="仿宋_GB2312" w:eastAsia="仿宋_GB2312" w:cs="仿宋_GB2312"/>
                <w:color w:val="auto"/>
                <w:sz w:val="24"/>
                <w:szCs w:val="24"/>
              </w:rPr>
            </w:pPr>
          </w:p>
        </w:tc>
        <w:tc>
          <w:tcPr>
            <w:tcW w:w="0" w:type="auto"/>
            <w:vAlign w:val="center"/>
          </w:tcPr>
          <w:p w14:paraId="10CC96E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▲显示屏响应时间</w:t>
            </w:r>
          </w:p>
        </w:tc>
        <w:tc>
          <w:tcPr>
            <w:tcW w:w="0" w:type="auto"/>
            <w:vAlign w:val="center"/>
          </w:tcPr>
          <w:p w14:paraId="6487736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≤8ms</w:t>
            </w:r>
          </w:p>
        </w:tc>
      </w:tr>
      <w:tr w14:paraId="236A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D6E36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w:t>
            </w:r>
          </w:p>
        </w:tc>
        <w:tc>
          <w:tcPr>
            <w:tcW w:w="0" w:type="auto"/>
            <w:vMerge w:val="continue"/>
            <w:vAlign w:val="center"/>
          </w:tcPr>
          <w:p w14:paraId="5C716A57">
            <w:pPr>
              <w:pStyle w:val="6"/>
              <w:rPr>
                <w:rFonts w:hint="eastAsia" w:ascii="仿宋_GB2312" w:hAnsi="仿宋_GB2312" w:eastAsia="仿宋_GB2312" w:cs="仿宋_GB2312"/>
                <w:color w:val="auto"/>
                <w:sz w:val="24"/>
                <w:szCs w:val="24"/>
              </w:rPr>
            </w:pPr>
          </w:p>
        </w:tc>
        <w:tc>
          <w:tcPr>
            <w:tcW w:w="0" w:type="auto"/>
            <w:vAlign w:val="center"/>
          </w:tcPr>
          <w:p w14:paraId="6966A86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▲显示屏亮度</w:t>
            </w:r>
          </w:p>
        </w:tc>
        <w:tc>
          <w:tcPr>
            <w:tcW w:w="0" w:type="auto"/>
            <w:vAlign w:val="center"/>
          </w:tcPr>
          <w:p w14:paraId="10B8887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≥250 尼特</w:t>
            </w:r>
          </w:p>
        </w:tc>
      </w:tr>
      <w:tr w14:paraId="030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33396A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w:t>
            </w:r>
          </w:p>
        </w:tc>
        <w:tc>
          <w:tcPr>
            <w:tcW w:w="0" w:type="auto"/>
            <w:vMerge w:val="continue"/>
            <w:vAlign w:val="center"/>
          </w:tcPr>
          <w:p w14:paraId="55A7BEE1">
            <w:pPr>
              <w:pStyle w:val="6"/>
              <w:rPr>
                <w:rFonts w:hint="eastAsia" w:ascii="仿宋_GB2312" w:hAnsi="仿宋_GB2312" w:eastAsia="仿宋_GB2312" w:cs="仿宋_GB2312"/>
                <w:color w:val="auto"/>
                <w:sz w:val="24"/>
                <w:szCs w:val="24"/>
              </w:rPr>
            </w:pPr>
          </w:p>
        </w:tc>
        <w:tc>
          <w:tcPr>
            <w:tcW w:w="0" w:type="auto"/>
            <w:vAlign w:val="center"/>
          </w:tcPr>
          <w:p w14:paraId="187F32C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▲显示屏亮度一致性</w:t>
            </w:r>
          </w:p>
        </w:tc>
        <w:tc>
          <w:tcPr>
            <w:tcW w:w="0" w:type="auto"/>
            <w:vAlign w:val="center"/>
          </w:tcPr>
          <w:p w14:paraId="2D22731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r>
      <w:tr w14:paraId="4F5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B1039D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97</w:t>
            </w:r>
          </w:p>
        </w:tc>
        <w:tc>
          <w:tcPr>
            <w:tcW w:w="0" w:type="auto"/>
            <w:vMerge w:val="continue"/>
            <w:vAlign w:val="center"/>
          </w:tcPr>
          <w:p w14:paraId="4A439B66">
            <w:pPr>
              <w:pStyle w:val="6"/>
              <w:rPr>
                <w:rFonts w:hint="eastAsia" w:ascii="仿宋_GB2312" w:hAnsi="仿宋_GB2312" w:eastAsia="仿宋_GB2312" w:cs="仿宋_GB2312"/>
                <w:color w:val="auto"/>
                <w:sz w:val="24"/>
                <w:szCs w:val="24"/>
              </w:rPr>
            </w:pPr>
          </w:p>
        </w:tc>
        <w:tc>
          <w:tcPr>
            <w:tcW w:w="0" w:type="auto"/>
            <w:vAlign w:val="center"/>
          </w:tcPr>
          <w:p w14:paraId="6E4C75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▲显示屏对比度</w:t>
            </w:r>
          </w:p>
        </w:tc>
        <w:tc>
          <w:tcPr>
            <w:tcW w:w="0" w:type="auto"/>
            <w:vAlign w:val="center"/>
          </w:tcPr>
          <w:p w14:paraId="0239AC1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≥500：1</w:t>
            </w:r>
          </w:p>
        </w:tc>
      </w:tr>
      <w:tr w14:paraId="05D7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A793E2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98</w:t>
            </w:r>
          </w:p>
        </w:tc>
        <w:tc>
          <w:tcPr>
            <w:tcW w:w="0" w:type="auto"/>
            <w:vMerge w:val="continue"/>
            <w:vAlign w:val="center"/>
          </w:tcPr>
          <w:p w14:paraId="12EFE222">
            <w:pPr>
              <w:pStyle w:val="6"/>
              <w:rPr>
                <w:rFonts w:hint="eastAsia" w:ascii="仿宋_GB2312" w:hAnsi="仿宋_GB2312" w:eastAsia="仿宋_GB2312" w:cs="仿宋_GB2312"/>
                <w:color w:val="auto"/>
                <w:sz w:val="24"/>
                <w:szCs w:val="24"/>
              </w:rPr>
            </w:pPr>
          </w:p>
        </w:tc>
        <w:tc>
          <w:tcPr>
            <w:tcW w:w="0" w:type="auto"/>
            <w:vAlign w:val="center"/>
          </w:tcPr>
          <w:p w14:paraId="6CB0488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▲显示屏其他参数</w:t>
            </w:r>
          </w:p>
        </w:tc>
        <w:tc>
          <w:tcPr>
            <w:tcW w:w="0" w:type="auto"/>
            <w:vAlign w:val="center"/>
          </w:tcPr>
          <w:p w14:paraId="69BFD2E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其它参数应符合 SJ/T 11292 的相关规定</w:t>
            </w:r>
          </w:p>
        </w:tc>
      </w:tr>
      <w:tr w14:paraId="5848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8C85A3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0" w:type="auto"/>
            <w:vMerge w:val="restart"/>
            <w:vAlign w:val="center"/>
          </w:tcPr>
          <w:p w14:paraId="798E42D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▲网络设备性能</w:t>
            </w:r>
          </w:p>
        </w:tc>
        <w:tc>
          <w:tcPr>
            <w:tcW w:w="0" w:type="auto"/>
            <w:vAlign w:val="center"/>
          </w:tcPr>
          <w:p w14:paraId="5C839DF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▲有线网卡速率</w:t>
            </w:r>
          </w:p>
        </w:tc>
        <w:tc>
          <w:tcPr>
            <w:tcW w:w="0" w:type="auto"/>
            <w:vAlign w:val="center"/>
          </w:tcPr>
          <w:p w14:paraId="0C31E3A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最高速率应不低于 1000Mbps，应支持10Mbps、100Mbps、1000Mbps 速率自适应</w:t>
            </w:r>
          </w:p>
        </w:tc>
      </w:tr>
      <w:tr w14:paraId="3D7C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AD5F08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0" w:type="auto"/>
            <w:vMerge w:val="continue"/>
            <w:vAlign w:val="center"/>
          </w:tcPr>
          <w:p w14:paraId="448D8F8C">
            <w:pPr>
              <w:pStyle w:val="6"/>
              <w:rPr>
                <w:rFonts w:hint="eastAsia" w:ascii="仿宋_GB2312" w:hAnsi="仿宋_GB2312" w:eastAsia="仿宋_GB2312" w:cs="仿宋_GB2312"/>
                <w:color w:val="auto"/>
                <w:sz w:val="24"/>
                <w:szCs w:val="24"/>
              </w:rPr>
            </w:pPr>
          </w:p>
        </w:tc>
        <w:tc>
          <w:tcPr>
            <w:tcW w:w="0" w:type="auto"/>
            <w:vAlign w:val="center"/>
          </w:tcPr>
          <w:p w14:paraId="4F665F9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支持无线网络通信技术协议</w:t>
            </w:r>
          </w:p>
        </w:tc>
        <w:tc>
          <w:tcPr>
            <w:tcW w:w="0" w:type="auto"/>
            <w:vAlign w:val="center"/>
          </w:tcPr>
          <w:p w14:paraId="6D0A063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WAP I 或 WiFi5.0 及以上协议</w:t>
            </w:r>
          </w:p>
        </w:tc>
      </w:tr>
      <w:tr w14:paraId="32AB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FB6C36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101</w:t>
            </w:r>
          </w:p>
        </w:tc>
        <w:tc>
          <w:tcPr>
            <w:tcW w:w="0" w:type="auto"/>
            <w:vMerge w:val="continue"/>
            <w:vAlign w:val="center"/>
          </w:tcPr>
          <w:p w14:paraId="44081438">
            <w:pPr>
              <w:pStyle w:val="6"/>
              <w:rPr>
                <w:rFonts w:hint="eastAsia" w:ascii="仿宋_GB2312" w:hAnsi="仿宋_GB2312" w:eastAsia="仿宋_GB2312" w:cs="仿宋_GB2312"/>
                <w:color w:val="auto"/>
                <w:sz w:val="24"/>
                <w:szCs w:val="24"/>
              </w:rPr>
            </w:pPr>
          </w:p>
        </w:tc>
        <w:tc>
          <w:tcPr>
            <w:tcW w:w="0" w:type="auto"/>
            <w:vAlign w:val="center"/>
          </w:tcPr>
          <w:p w14:paraId="654A517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无线网卡频宽</w:t>
            </w:r>
          </w:p>
        </w:tc>
        <w:tc>
          <w:tcPr>
            <w:tcW w:w="0" w:type="auto"/>
            <w:vAlign w:val="center"/>
          </w:tcPr>
          <w:p w14:paraId="29E5BA2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≥20MHz</w:t>
            </w:r>
          </w:p>
        </w:tc>
      </w:tr>
      <w:tr w14:paraId="1A0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3B52AE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w:t>
            </w:r>
          </w:p>
        </w:tc>
        <w:tc>
          <w:tcPr>
            <w:tcW w:w="0" w:type="auto"/>
            <w:vMerge w:val="restart"/>
            <w:vAlign w:val="center"/>
          </w:tcPr>
          <w:p w14:paraId="63D3855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▲主板功能</w:t>
            </w:r>
          </w:p>
        </w:tc>
        <w:tc>
          <w:tcPr>
            <w:tcW w:w="0" w:type="auto"/>
            <w:vAlign w:val="center"/>
          </w:tcPr>
          <w:p w14:paraId="21C2528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▲内存扩展接口(板载内存不涉及)</w:t>
            </w:r>
          </w:p>
        </w:tc>
        <w:tc>
          <w:tcPr>
            <w:tcW w:w="0" w:type="auto"/>
            <w:vAlign w:val="center"/>
          </w:tcPr>
          <w:p w14:paraId="47BA46B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 个</w:t>
            </w:r>
          </w:p>
        </w:tc>
      </w:tr>
      <w:tr w14:paraId="732A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B8BC08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w:t>
            </w:r>
          </w:p>
        </w:tc>
        <w:tc>
          <w:tcPr>
            <w:tcW w:w="0" w:type="auto"/>
            <w:vMerge w:val="continue"/>
            <w:vAlign w:val="center"/>
          </w:tcPr>
          <w:p w14:paraId="1B6DC107">
            <w:pPr>
              <w:pStyle w:val="6"/>
              <w:rPr>
                <w:rFonts w:hint="eastAsia" w:ascii="仿宋_GB2312" w:hAnsi="仿宋_GB2312" w:eastAsia="仿宋_GB2312" w:cs="仿宋_GB2312"/>
                <w:color w:val="auto"/>
                <w:sz w:val="24"/>
                <w:szCs w:val="24"/>
              </w:rPr>
            </w:pPr>
          </w:p>
        </w:tc>
        <w:tc>
          <w:tcPr>
            <w:tcW w:w="0" w:type="auto"/>
            <w:vAlign w:val="center"/>
          </w:tcPr>
          <w:p w14:paraId="717F31C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存储扩展接口(板载存储不涉及)</w:t>
            </w:r>
          </w:p>
        </w:tc>
        <w:tc>
          <w:tcPr>
            <w:tcW w:w="0" w:type="auto"/>
            <w:vAlign w:val="center"/>
          </w:tcPr>
          <w:p w14:paraId="082C9A9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供应商给出主板支持存储扩展接口类型，如 UFS3.0、SATA3.0、SAS3.0、M.2等类型接口</w:t>
            </w:r>
          </w:p>
        </w:tc>
      </w:tr>
      <w:tr w14:paraId="0994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0A272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104</w:t>
            </w:r>
          </w:p>
        </w:tc>
        <w:tc>
          <w:tcPr>
            <w:tcW w:w="0" w:type="auto"/>
            <w:vMerge w:val="continue"/>
            <w:vAlign w:val="center"/>
          </w:tcPr>
          <w:p w14:paraId="3C59ECD0">
            <w:pPr>
              <w:pStyle w:val="6"/>
              <w:rPr>
                <w:rFonts w:hint="eastAsia" w:ascii="仿宋_GB2312" w:hAnsi="仿宋_GB2312" w:eastAsia="仿宋_GB2312" w:cs="仿宋_GB2312"/>
                <w:color w:val="auto"/>
                <w:sz w:val="24"/>
                <w:szCs w:val="24"/>
              </w:rPr>
            </w:pPr>
          </w:p>
        </w:tc>
        <w:tc>
          <w:tcPr>
            <w:tcW w:w="0" w:type="auto"/>
            <w:vAlign w:val="center"/>
          </w:tcPr>
          <w:p w14:paraId="467CCF2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 USB瞬间过流保护</w:t>
            </w:r>
          </w:p>
        </w:tc>
        <w:tc>
          <w:tcPr>
            <w:tcW w:w="0" w:type="auto"/>
            <w:vAlign w:val="center"/>
          </w:tcPr>
          <w:p w14:paraId="5C1CD74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支持有瞬间过流保护功能</w:t>
            </w:r>
          </w:p>
        </w:tc>
      </w:tr>
      <w:tr w14:paraId="6D35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CFE321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105</w:t>
            </w:r>
          </w:p>
        </w:tc>
        <w:tc>
          <w:tcPr>
            <w:tcW w:w="0" w:type="auto"/>
            <w:vMerge w:val="continue"/>
            <w:vAlign w:val="center"/>
          </w:tcPr>
          <w:p w14:paraId="3297EFC4">
            <w:pPr>
              <w:pStyle w:val="6"/>
              <w:rPr>
                <w:rFonts w:hint="eastAsia" w:ascii="仿宋_GB2312" w:hAnsi="仿宋_GB2312" w:eastAsia="仿宋_GB2312" w:cs="仿宋_GB2312"/>
                <w:color w:val="auto"/>
                <w:sz w:val="24"/>
                <w:szCs w:val="24"/>
              </w:rPr>
            </w:pPr>
          </w:p>
        </w:tc>
        <w:tc>
          <w:tcPr>
            <w:tcW w:w="0" w:type="auto"/>
            <w:vAlign w:val="center"/>
          </w:tcPr>
          <w:p w14:paraId="074D3FD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▲主板防静电保护</w:t>
            </w:r>
          </w:p>
        </w:tc>
        <w:tc>
          <w:tcPr>
            <w:tcW w:w="0" w:type="auto"/>
            <w:vAlign w:val="center"/>
          </w:tcPr>
          <w:p w14:paraId="214D9F8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支持防静电保护功能</w:t>
            </w:r>
          </w:p>
        </w:tc>
      </w:tr>
      <w:tr w14:paraId="6A59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3AD9C2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106</w:t>
            </w:r>
          </w:p>
        </w:tc>
        <w:tc>
          <w:tcPr>
            <w:tcW w:w="0" w:type="auto"/>
            <w:vMerge w:val="continue"/>
            <w:vAlign w:val="center"/>
          </w:tcPr>
          <w:p w14:paraId="3412B0E0">
            <w:pPr>
              <w:pStyle w:val="6"/>
              <w:rPr>
                <w:rFonts w:hint="eastAsia" w:ascii="仿宋_GB2312" w:hAnsi="仿宋_GB2312" w:eastAsia="仿宋_GB2312" w:cs="仿宋_GB2312"/>
                <w:color w:val="auto"/>
                <w:sz w:val="24"/>
                <w:szCs w:val="24"/>
              </w:rPr>
            </w:pPr>
          </w:p>
        </w:tc>
        <w:tc>
          <w:tcPr>
            <w:tcW w:w="0" w:type="auto"/>
            <w:vAlign w:val="center"/>
          </w:tcPr>
          <w:p w14:paraId="17D18A6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▲I/O 接口功能</w:t>
            </w:r>
          </w:p>
        </w:tc>
        <w:tc>
          <w:tcPr>
            <w:tcW w:w="0" w:type="auto"/>
            <w:vAlign w:val="center"/>
          </w:tcPr>
          <w:p w14:paraId="32FA68E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r>
      <w:tr w14:paraId="354C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F8379D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107</w:t>
            </w:r>
          </w:p>
        </w:tc>
        <w:tc>
          <w:tcPr>
            <w:tcW w:w="0" w:type="auto"/>
            <w:vMerge w:val="restart"/>
            <w:vAlign w:val="center"/>
          </w:tcPr>
          <w:p w14:paraId="6DA1058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▲显卡功能</w:t>
            </w:r>
          </w:p>
        </w:tc>
        <w:tc>
          <w:tcPr>
            <w:tcW w:w="0" w:type="auto"/>
            <w:vAlign w:val="center"/>
          </w:tcPr>
          <w:p w14:paraId="72CA1F2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▲显卡外接显示接口</w:t>
            </w:r>
          </w:p>
        </w:tc>
        <w:tc>
          <w:tcPr>
            <w:tcW w:w="0" w:type="auto"/>
            <w:vAlign w:val="center"/>
          </w:tcPr>
          <w:p w14:paraId="38450BE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显卡至少支持 VGA、HDMI、DVI、DP、Type-C 中 1 种显示接口，并与显示器接口相匹配</w:t>
            </w:r>
          </w:p>
        </w:tc>
      </w:tr>
      <w:tr w14:paraId="124E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BD3B24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108</w:t>
            </w:r>
          </w:p>
        </w:tc>
        <w:tc>
          <w:tcPr>
            <w:tcW w:w="0" w:type="auto"/>
            <w:vMerge w:val="continue"/>
            <w:vAlign w:val="center"/>
          </w:tcPr>
          <w:p w14:paraId="1238E95B">
            <w:pPr>
              <w:pStyle w:val="6"/>
              <w:rPr>
                <w:rFonts w:hint="eastAsia" w:ascii="仿宋_GB2312" w:hAnsi="仿宋_GB2312" w:eastAsia="仿宋_GB2312" w:cs="仿宋_GB2312"/>
                <w:color w:val="auto"/>
                <w:sz w:val="24"/>
                <w:szCs w:val="24"/>
              </w:rPr>
            </w:pPr>
          </w:p>
        </w:tc>
        <w:tc>
          <w:tcPr>
            <w:tcW w:w="0" w:type="auto"/>
            <w:vAlign w:val="center"/>
          </w:tcPr>
          <w:p w14:paraId="0B15B4C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独立显卡数量</w:t>
            </w:r>
          </w:p>
        </w:tc>
        <w:tc>
          <w:tcPr>
            <w:tcW w:w="0" w:type="auto"/>
            <w:vAlign w:val="center"/>
          </w:tcPr>
          <w:p w14:paraId="37978C1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14:paraId="0ADD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E6950F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109</w:t>
            </w:r>
          </w:p>
        </w:tc>
        <w:tc>
          <w:tcPr>
            <w:tcW w:w="0" w:type="auto"/>
            <w:vMerge w:val="restart"/>
            <w:vAlign w:val="center"/>
          </w:tcPr>
          <w:p w14:paraId="2C964FC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▲显示设备功能</w:t>
            </w:r>
          </w:p>
        </w:tc>
        <w:tc>
          <w:tcPr>
            <w:tcW w:w="0" w:type="auto"/>
            <w:vAlign w:val="center"/>
          </w:tcPr>
          <w:p w14:paraId="5B25363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▲显示器接口</w:t>
            </w:r>
          </w:p>
        </w:tc>
        <w:tc>
          <w:tcPr>
            <w:tcW w:w="0" w:type="auto"/>
            <w:vAlign w:val="center"/>
          </w:tcPr>
          <w:p w14:paraId="40F64C9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显示器应与显卡外接显示接口匹配</w:t>
            </w:r>
          </w:p>
        </w:tc>
      </w:tr>
      <w:tr w14:paraId="705F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8528C2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110</w:t>
            </w:r>
          </w:p>
        </w:tc>
        <w:tc>
          <w:tcPr>
            <w:tcW w:w="0" w:type="auto"/>
            <w:vMerge w:val="continue"/>
            <w:vAlign w:val="center"/>
          </w:tcPr>
          <w:p w14:paraId="2151DA99">
            <w:pPr>
              <w:pStyle w:val="6"/>
              <w:rPr>
                <w:rFonts w:hint="eastAsia" w:ascii="仿宋_GB2312" w:hAnsi="仿宋_GB2312" w:eastAsia="仿宋_GB2312" w:cs="仿宋_GB2312"/>
                <w:color w:val="auto"/>
                <w:sz w:val="24"/>
                <w:szCs w:val="24"/>
              </w:rPr>
            </w:pPr>
          </w:p>
        </w:tc>
        <w:tc>
          <w:tcPr>
            <w:tcW w:w="0" w:type="auto"/>
            <w:vAlign w:val="center"/>
          </w:tcPr>
          <w:p w14:paraId="7DF7761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▲显示器支架</w:t>
            </w:r>
          </w:p>
        </w:tc>
        <w:tc>
          <w:tcPr>
            <w:tcW w:w="0" w:type="auto"/>
            <w:vAlign w:val="center"/>
          </w:tcPr>
          <w:p w14:paraId="0397D95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显示器应提供显示器支架，根据采购人需求支持屏幕旋转、升降等</w:t>
            </w:r>
          </w:p>
        </w:tc>
      </w:tr>
      <w:tr w14:paraId="08D5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2A54AE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w:t>
            </w:r>
          </w:p>
        </w:tc>
        <w:tc>
          <w:tcPr>
            <w:tcW w:w="0" w:type="auto"/>
            <w:vMerge w:val="continue"/>
            <w:vAlign w:val="center"/>
          </w:tcPr>
          <w:p w14:paraId="1000253D">
            <w:pPr>
              <w:pStyle w:val="6"/>
              <w:rPr>
                <w:rFonts w:hint="eastAsia" w:ascii="仿宋_GB2312" w:hAnsi="仿宋_GB2312" w:eastAsia="仿宋_GB2312" w:cs="仿宋_GB2312"/>
                <w:color w:val="auto"/>
                <w:sz w:val="24"/>
                <w:szCs w:val="24"/>
              </w:rPr>
            </w:pPr>
          </w:p>
        </w:tc>
        <w:tc>
          <w:tcPr>
            <w:tcW w:w="0" w:type="auto"/>
            <w:vAlign w:val="center"/>
          </w:tcPr>
          <w:p w14:paraId="216FC4D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▲显示器参数调节</w:t>
            </w:r>
          </w:p>
        </w:tc>
        <w:tc>
          <w:tcPr>
            <w:tcW w:w="0" w:type="auto"/>
            <w:vAlign w:val="center"/>
          </w:tcPr>
          <w:p w14:paraId="1BA6B3C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a)提供 OSD 选单按钮用于调节色彩、模式等；</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b)支持色温、亮度、对比度调节</w:t>
            </w:r>
          </w:p>
        </w:tc>
      </w:tr>
      <w:tr w14:paraId="73CD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DAF83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w:t>
            </w:r>
          </w:p>
        </w:tc>
        <w:tc>
          <w:tcPr>
            <w:tcW w:w="0" w:type="auto"/>
            <w:vMerge w:val="restart"/>
            <w:vAlign w:val="center"/>
          </w:tcPr>
          <w:p w14:paraId="2D4FF86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外设功能</w:t>
            </w:r>
          </w:p>
        </w:tc>
        <w:tc>
          <w:tcPr>
            <w:tcW w:w="0" w:type="auto"/>
            <w:vAlign w:val="center"/>
          </w:tcPr>
          <w:p w14:paraId="0AC4C81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摄像头物理隐私保护开关</w:t>
            </w:r>
          </w:p>
        </w:tc>
        <w:tc>
          <w:tcPr>
            <w:tcW w:w="0" w:type="auto"/>
            <w:vAlign w:val="center"/>
          </w:tcPr>
          <w:p w14:paraId="1B0D9C8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4A19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2BDF93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w:t>
            </w:r>
          </w:p>
        </w:tc>
        <w:tc>
          <w:tcPr>
            <w:tcW w:w="0" w:type="auto"/>
            <w:vMerge w:val="continue"/>
            <w:vAlign w:val="center"/>
          </w:tcPr>
          <w:p w14:paraId="1FB625A4">
            <w:pPr>
              <w:pStyle w:val="6"/>
              <w:rPr>
                <w:rFonts w:hint="eastAsia" w:ascii="仿宋_GB2312" w:hAnsi="仿宋_GB2312" w:eastAsia="仿宋_GB2312" w:cs="仿宋_GB2312"/>
                <w:color w:val="auto"/>
                <w:sz w:val="24"/>
                <w:szCs w:val="24"/>
              </w:rPr>
            </w:pPr>
          </w:p>
        </w:tc>
        <w:tc>
          <w:tcPr>
            <w:tcW w:w="0" w:type="auto"/>
            <w:vAlign w:val="center"/>
          </w:tcPr>
          <w:p w14:paraId="1AADFCD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传声器降噪</w:t>
            </w:r>
          </w:p>
        </w:tc>
        <w:tc>
          <w:tcPr>
            <w:tcW w:w="0" w:type="auto"/>
            <w:vAlign w:val="center"/>
          </w:tcPr>
          <w:p w14:paraId="2545443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1F20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51077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114</w:t>
            </w:r>
          </w:p>
        </w:tc>
        <w:tc>
          <w:tcPr>
            <w:tcW w:w="0" w:type="auto"/>
            <w:vMerge w:val="continue"/>
            <w:vAlign w:val="center"/>
          </w:tcPr>
          <w:p w14:paraId="68BBC645">
            <w:pPr>
              <w:pStyle w:val="6"/>
              <w:rPr>
                <w:rFonts w:hint="eastAsia" w:ascii="仿宋_GB2312" w:hAnsi="仿宋_GB2312" w:eastAsia="仿宋_GB2312" w:cs="仿宋_GB2312"/>
                <w:color w:val="auto"/>
                <w:sz w:val="24"/>
                <w:szCs w:val="24"/>
              </w:rPr>
            </w:pPr>
          </w:p>
        </w:tc>
        <w:tc>
          <w:tcPr>
            <w:tcW w:w="0" w:type="auto"/>
            <w:vAlign w:val="center"/>
          </w:tcPr>
          <w:p w14:paraId="6683EB1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键盘背光</w:t>
            </w:r>
          </w:p>
        </w:tc>
        <w:tc>
          <w:tcPr>
            <w:tcW w:w="0" w:type="auto"/>
            <w:vAlign w:val="center"/>
          </w:tcPr>
          <w:p w14:paraId="524554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00E6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331204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115</w:t>
            </w:r>
          </w:p>
        </w:tc>
        <w:tc>
          <w:tcPr>
            <w:tcW w:w="0" w:type="auto"/>
            <w:vMerge w:val="continue"/>
            <w:vAlign w:val="center"/>
          </w:tcPr>
          <w:p w14:paraId="4073DD1A">
            <w:pPr>
              <w:pStyle w:val="6"/>
              <w:rPr>
                <w:rFonts w:hint="eastAsia" w:ascii="仿宋_GB2312" w:hAnsi="仿宋_GB2312" w:eastAsia="仿宋_GB2312" w:cs="仿宋_GB2312"/>
                <w:color w:val="auto"/>
                <w:sz w:val="24"/>
                <w:szCs w:val="24"/>
              </w:rPr>
            </w:pPr>
          </w:p>
        </w:tc>
        <w:tc>
          <w:tcPr>
            <w:tcW w:w="0" w:type="auto"/>
            <w:vAlign w:val="center"/>
          </w:tcPr>
          <w:p w14:paraId="41385B6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光驱功能</w:t>
            </w:r>
          </w:p>
        </w:tc>
        <w:tc>
          <w:tcPr>
            <w:tcW w:w="0" w:type="auto"/>
            <w:vAlign w:val="center"/>
          </w:tcPr>
          <w:p w14:paraId="2E85FF1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光驱应支持只读、刻录等类型；最大读取速度 CD 不低于 24×150KB/s；最大读取速度 DVD 不低于8×358KB/s；最大刻录速度CD 不低于24×150KB/s；最大刻录速度 DVD 不低于 6×1358KB/s；兼容光盘类型包含只读光盘、可读写光盘、可擦写光盘等</w:t>
            </w:r>
          </w:p>
        </w:tc>
      </w:tr>
      <w:tr w14:paraId="7E35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973E08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116</w:t>
            </w:r>
          </w:p>
        </w:tc>
        <w:tc>
          <w:tcPr>
            <w:tcW w:w="0" w:type="auto"/>
            <w:vMerge w:val="restart"/>
            <w:vAlign w:val="center"/>
          </w:tcPr>
          <w:p w14:paraId="0C62EB4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▲存储功能</w:t>
            </w:r>
          </w:p>
        </w:tc>
        <w:tc>
          <w:tcPr>
            <w:tcW w:w="0" w:type="auto"/>
            <w:vAlign w:val="center"/>
          </w:tcPr>
          <w:p w14:paraId="03F06AA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▲存储功能</w:t>
            </w:r>
          </w:p>
        </w:tc>
        <w:tc>
          <w:tcPr>
            <w:tcW w:w="0" w:type="auto"/>
            <w:vAlign w:val="center"/>
          </w:tcPr>
          <w:p w14:paraId="37E6476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 SATA 固态存储/PCIe 固态存储/UFS 固态存储/SATA 硬磁盘等存储部件提供存储功能</w:t>
            </w:r>
          </w:p>
        </w:tc>
      </w:tr>
      <w:tr w14:paraId="611C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9CDA41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117</w:t>
            </w:r>
          </w:p>
        </w:tc>
        <w:tc>
          <w:tcPr>
            <w:tcW w:w="0" w:type="auto"/>
            <w:vMerge w:val="continue"/>
            <w:vAlign w:val="center"/>
          </w:tcPr>
          <w:p w14:paraId="13C55863">
            <w:pPr>
              <w:pStyle w:val="6"/>
              <w:rPr>
                <w:rFonts w:hint="eastAsia" w:ascii="仿宋_GB2312" w:hAnsi="仿宋_GB2312" w:eastAsia="仿宋_GB2312" w:cs="仿宋_GB2312"/>
                <w:color w:val="auto"/>
                <w:sz w:val="24"/>
                <w:szCs w:val="24"/>
              </w:rPr>
            </w:pPr>
          </w:p>
        </w:tc>
        <w:tc>
          <w:tcPr>
            <w:tcW w:w="0" w:type="auto"/>
            <w:vAlign w:val="center"/>
          </w:tcPr>
          <w:p w14:paraId="43D1E70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内置控制器固态存储加密</w:t>
            </w:r>
          </w:p>
        </w:tc>
        <w:tc>
          <w:tcPr>
            <w:tcW w:w="0" w:type="auto"/>
            <w:vAlign w:val="center"/>
          </w:tcPr>
          <w:p w14:paraId="06E02AB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固态存储通过内置控制器硬件支持加密，不依赖处理器，保障数据安全性，但不得影响存储性能。</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a) 支持加密功能，且加密功能开启不影响 SSD 读写性能；</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支持固件加密、安全启动和安全升级；</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c) 支持数据的安全擦除</w:t>
            </w:r>
          </w:p>
        </w:tc>
      </w:tr>
      <w:tr w14:paraId="5ADE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97F6F2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118</w:t>
            </w:r>
          </w:p>
        </w:tc>
        <w:tc>
          <w:tcPr>
            <w:tcW w:w="0" w:type="auto"/>
            <w:vMerge w:val="restart"/>
            <w:vAlign w:val="center"/>
          </w:tcPr>
          <w:p w14:paraId="0BB251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▲网络设备功能</w:t>
            </w:r>
          </w:p>
        </w:tc>
        <w:tc>
          <w:tcPr>
            <w:tcW w:w="0" w:type="auto"/>
            <w:vAlign w:val="center"/>
          </w:tcPr>
          <w:p w14:paraId="6EABAC2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▲网络功能</w:t>
            </w:r>
          </w:p>
        </w:tc>
        <w:tc>
          <w:tcPr>
            <w:tcW w:w="0" w:type="auto"/>
            <w:vAlign w:val="center"/>
          </w:tcPr>
          <w:p w14:paraId="2358A2F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a)支持网络连接、网络开启/关闭功能；b)支持访问网络和数据交换功能</w:t>
            </w:r>
          </w:p>
        </w:tc>
      </w:tr>
      <w:tr w14:paraId="0527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BA9DC9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119</w:t>
            </w:r>
          </w:p>
        </w:tc>
        <w:tc>
          <w:tcPr>
            <w:tcW w:w="0" w:type="auto"/>
            <w:vMerge w:val="continue"/>
            <w:vAlign w:val="center"/>
          </w:tcPr>
          <w:p w14:paraId="67A970B9">
            <w:pPr>
              <w:pStyle w:val="6"/>
              <w:rPr>
                <w:rFonts w:hint="eastAsia" w:ascii="仿宋_GB2312" w:hAnsi="仿宋_GB2312" w:eastAsia="仿宋_GB2312" w:cs="仿宋_GB2312"/>
                <w:color w:val="auto"/>
                <w:sz w:val="24"/>
                <w:szCs w:val="24"/>
              </w:rPr>
            </w:pPr>
          </w:p>
        </w:tc>
        <w:tc>
          <w:tcPr>
            <w:tcW w:w="0" w:type="auto"/>
            <w:vAlign w:val="center"/>
          </w:tcPr>
          <w:p w14:paraId="7F09DB4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无线网卡频段</w:t>
            </w:r>
          </w:p>
        </w:tc>
        <w:tc>
          <w:tcPr>
            <w:tcW w:w="0" w:type="auto"/>
            <w:vAlign w:val="center"/>
          </w:tcPr>
          <w:p w14:paraId="18498A3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支持双频段</w:t>
            </w:r>
          </w:p>
        </w:tc>
      </w:tr>
      <w:tr w14:paraId="7D1E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B90315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w:t>
            </w:r>
          </w:p>
        </w:tc>
        <w:tc>
          <w:tcPr>
            <w:tcW w:w="0" w:type="auto"/>
            <w:vMerge w:val="continue"/>
            <w:vAlign w:val="center"/>
          </w:tcPr>
          <w:p w14:paraId="0BBE2234">
            <w:pPr>
              <w:pStyle w:val="6"/>
              <w:rPr>
                <w:rFonts w:hint="eastAsia" w:ascii="仿宋_GB2312" w:hAnsi="仿宋_GB2312" w:eastAsia="仿宋_GB2312" w:cs="仿宋_GB2312"/>
                <w:color w:val="auto"/>
                <w:sz w:val="24"/>
                <w:szCs w:val="24"/>
              </w:rPr>
            </w:pPr>
          </w:p>
        </w:tc>
        <w:tc>
          <w:tcPr>
            <w:tcW w:w="0" w:type="auto"/>
            <w:vAlign w:val="center"/>
          </w:tcPr>
          <w:p w14:paraId="25A1825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物理开关</w:t>
            </w:r>
          </w:p>
        </w:tc>
        <w:tc>
          <w:tcPr>
            <w:tcW w:w="0" w:type="auto"/>
            <w:vAlign w:val="center"/>
          </w:tcPr>
          <w:p w14:paraId="3EF2C9A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BC0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45427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w:t>
            </w:r>
          </w:p>
        </w:tc>
        <w:tc>
          <w:tcPr>
            <w:tcW w:w="0" w:type="auto"/>
            <w:vMerge w:val="continue"/>
            <w:vAlign w:val="center"/>
          </w:tcPr>
          <w:p w14:paraId="1CDB1F08">
            <w:pPr>
              <w:pStyle w:val="6"/>
              <w:rPr>
                <w:rFonts w:hint="eastAsia" w:ascii="仿宋_GB2312" w:hAnsi="仿宋_GB2312" w:eastAsia="仿宋_GB2312" w:cs="仿宋_GB2312"/>
                <w:color w:val="auto"/>
                <w:sz w:val="24"/>
                <w:szCs w:val="24"/>
              </w:rPr>
            </w:pPr>
          </w:p>
        </w:tc>
        <w:tc>
          <w:tcPr>
            <w:tcW w:w="0" w:type="auto"/>
            <w:vAlign w:val="center"/>
          </w:tcPr>
          <w:p w14:paraId="666E5E7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▲数据传输</w:t>
            </w:r>
          </w:p>
        </w:tc>
        <w:tc>
          <w:tcPr>
            <w:tcW w:w="0" w:type="auto"/>
            <w:vAlign w:val="center"/>
          </w:tcPr>
          <w:p w14:paraId="019DFFB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支持数据传输能力，并提供数据流量和异常日志记录功能</w:t>
            </w:r>
          </w:p>
        </w:tc>
      </w:tr>
      <w:tr w14:paraId="47DD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0E68BA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122</w:t>
            </w:r>
          </w:p>
        </w:tc>
        <w:tc>
          <w:tcPr>
            <w:tcW w:w="0" w:type="auto"/>
            <w:vMerge w:val="continue"/>
            <w:vAlign w:val="center"/>
          </w:tcPr>
          <w:p w14:paraId="06603CE9">
            <w:pPr>
              <w:pStyle w:val="6"/>
              <w:rPr>
                <w:rFonts w:hint="eastAsia" w:ascii="仿宋_GB2312" w:hAnsi="仿宋_GB2312" w:eastAsia="仿宋_GB2312" w:cs="仿宋_GB2312"/>
                <w:color w:val="auto"/>
                <w:sz w:val="24"/>
                <w:szCs w:val="24"/>
              </w:rPr>
            </w:pPr>
          </w:p>
        </w:tc>
        <w:tc>
          <w:tcPr>
            <w:tcW w:w="0" w:type="auto"/>
            <w:vAlign w:val="center"/>
          </w:tcPr>
          <w:p w14:paraId="02F277A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蓝牙协议</w:t>
            </w:r>
          </w:p>
        </w:tc>
        <w:tc>
          <w:tcPr>
            <w:tcW w:w="0" w:type="auto"/>
            <w:vAlign w:val="center"/>
          </w:tcPr>
          <w:p w14:paraId="198051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若支持蓝牙模块，蓝牙协议不低于 5.0版本</w:t>
            </w:r>
          </w:p>
        </w:tc>
      </w:tr>
      <w:tr w14:paraId="7C0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5127FB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123</w:t>
            </w:r>
          </w:p>
        </w:tc>
        <w:tc>
          <w:tcPr>
            <w:tcW w:w="0" w:type="auto"/>
            <w:vMerge w:val="continue"/>
            <w:vAlign w:val="center"/>
          </w:tcPr>
          <w:p w14:paraId="0CEB2658">
            <w:pPr>
              <w:pStyle w:val="6"/>
              <w:rPr>
                <w:rFonts w:hint="eastAsia" w:ascii="仿宋_GB2312" w:hAnsi="仿宋_GB2312" w:eastAsia="仿宋_GB2312" w:cs="仿宋_GB2312"/>
                <w:color w:val="auto"/>
                <w:sz w:val="24"/>
                <w:szCs w:val="24"/>
              </w:rPr>
            </w:pPr>
          </w:p>
        </w:tc>
        <w:tc>
          <w:tcPr>
            <w:tcW w:w="0" w:type="auto"/>
            <w:vAlign w:val="center"/>
          </w:tcPr>
          <w:p w14:paraId="196F71A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▲有线网卡接口类型</w:t>
            </w:r>
          </w:p>
        </w:tc>
        <w:tc>
          <w:tcPr>
            <w:tcW w:w="0" w:type="auto"/>
            <w:vAlign w:val="center"/>
          </w:tcPr>
          <w:p w14:paraId="503131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RJ45 接口</w:t>
            </w:r>
          </w:p>
        </w:tc>
      </w:tr>
      <w:tr w14:paraId="1B90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83D8A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124</w:t>
            </w:r>
          </w:p>
        </w:tc>
        <w:tc>
          <w:tcPr>
            <w:tcW w:w="0" w:type="auto"/>
            <w:vMerge w:val="continue"/>
            <w:vAlign w:val="center"/>
          </w:tcPr>
          <w:p w14:paraId="1BD16248">
            <w:pPr>
              <w:pStyle w:val="6"/>
              <w:rPr>
                <w:rFonts w:hint="eastAsia" w:ascii="仿宋_GB2312" w:hAnsi="仿宋_GB2312" w:eastAsia="仿宋_GB2312" w:cs="仿宋_GB2312"/>
                <w:color w:val="auto"/>
                <w:sz w:val="24"/>
                <w:szCs w:val="24"/>
              </w:rPr>
            </w:pPr>
          </w:p>
        </w:tc>
        <w:tc>
          <w:tcPr>
            <w:tcW w:w="0" w:type="auto"/>
            <w:vAlign w:val="center"/>
          </w:tcPr>
          <w:p w14:paraId="64677EF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无线网卡标准</w:t>
            </w:r>
          </w:p>
        </w:tc>
        <w:tc>
          <w:tcPr>
            <w:tcW w:w="0" w:type="auto"/>
            <w:vAlign w:val="center"/>
          </w:tcPr>
          <w:p w14:paraId="1A654D9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若配备无线网卡，产品应符合 GB15629.11 所有部分</w:t>
            </w:r>
          </w:p>
        </w:tc>
      </w:tr>
      <w:tr w14:paraId="5589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94DEC0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125</w:t>
            </w:r>
          </w:p>
        </w:tc>
        <w:tc>
          <w:tcPr>
            <w:tcW w:w="0" w:type="auto"/>
            <w:vMerge w:val="continue"/>
            <w:vAlign w:val="center"/>
          </w:tcPr>
          <w:p w14:paraId="17A12930">
            <w:pPr>
              <w:pStyle w:val="6"/>
              <w:rPr>
                <w:rFonts w:hint="eastAsia" w:ascii="仿宋_GB2312" w:hAnsi="仿宋_GB2312" w:eastAsia="仿宋_GB2312" w:cs="仿宋_GB2312"/>
                <w:color w:val="auto"/>
                <w:sz w:val="24"/>
                <w:szCs w:val="24"/>
              </w:rPr>
            </w:pPr>
          </w:p>
        </w:tc>
        <w:tc>
          <w:tcPr>
            <w:tcW w:w="0" w:type="auto"/>
            <w:vAlign w:val="center"/>
          </w:tcPr>
          <w:p w14:paraId="5399873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▲网络设备拆装</w:t>
            </w:r>
          </w:p>
        </w:tc>
        <w:tc>
          <w:tcPr>
            <w:tcW w:w="0" w:type="auto"/>
            <w:vAlign w:val="center"/>
          </w:tcPr>
          <w:p w14:paraId="0F9A02A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网络设备支持物理拆装，包括无线网卡和蓝牙模块等</w:t>
            </w:r>
          </w:p>
        </w:tc>
      </w:tr>
      <w:tr w14:paraId="7D85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3ECE6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126</w:t>
            </w:r>
          </w:p>
        </w:tc>
        <w:tc>
          <w:tcPr>
            <w:tcW w:w="0" w:type="auto"/>
            <w:vMerge w:val="restart"/>
            <w:vAlign w:val="center"/>
          </w:tcPr>
          <w:p w14:paraId="66DE45E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▲外部接口功能</w:t>
            </w:r>
          </w:p>
        </w:tc>
        <w:tc>
          <w:tcPr>
            <w:tcW w:w="0" w:type="auto"/>
            <w:vAlign w:val="center"/>
          </w:tcPr>
          <w:p w14:paraId="54F666B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▲音频接口类型</w:t>
            </w:r>
          </w:p>
        </w:tc>
        <w:tc>
          <w:tcPr>
            <w:tcW w:w="0" w:type="auto"/>
            <w:vAlign w:val="center"/>
          </w:tcPr>
          <w:p w14:paraId="296A0D3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3.5mm 孔径 3 段式或 4 段式接口</w:t>
            </w:r>
          </w:p>
        </w:tc>
      </w:tr>
      <w:tr w14:paraId="6073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FF2A9A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127</w:t>
            </w:r>
          </w:p>
        </w:tc>
        <w:tc>
          <w:tcPr>
            <w:tcW w:w="0" w:type="auto"/>
            <w:vMerge w:val="continue"/>
            <w:vAlign w:val="center"/>
          </w:tcPr>
          <w:p w14:paraId="1351D93C">
            <w:pPr>
              <w:pStyle w:val="6"/>
              <w:rPr>
                <w:rFonts w:hint="eastAsia" w:ascii="仿宋_GB2312" w:hAnsi="仿宋_GB2312" w:eastAsia="仿宋_GB2312" w:cs="仿宋_GB2312"/>
                <w:color w:val="auto"/>
                <w:sz w:val="24"/>
                <w:szCs w:val="24"/>
              </w:rPr>
            </w:pPr>
          </w:p>
        </w:tc>
        <w:tc>
          <w:tcPr>
            <w:tcW w:w="0" w:type="auto"/>
            <w:vAlign w:val="center"/>
          </w:tcPr>
          <w:p w14:paraId="299B97B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▲视频接口类型</w:t>
            </w:r>
          </w:p>
        </w:tc>
        <w:tc>
          <w:tcPr>
            <w:tcW w:w="0" w:type="auto"/>
            <w:vAlign w:val="center"/>
          </w:tcPr>
          <w:p w14:paraId="7C386A0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至少支持 VGA、HDMI、DVI、DP、Type-C中 1 种显示接口</w:t>
            </w:r>
          </w:p>
        </w:tc>
      </w:tr>
      <w:tr w14:paraId="2216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19D4C3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128</w:t>
            </w:r>
          </w:p>
        </w:tc>
        <w:tc>
          <w:tcPr>
            <w:tcW w:w="0" w:type="auto"/>
            <w:vMerge w:val="continue"/>
            <w:vAlign w:val="center"/>
          </w:tcPr>
          <w:p w14:paraId="5EF3A601">
            <w:pPr>
              <w:pStyle w:val="6"/>
              <w:rPr>
                <w:rFonts w:hint="eastAsia" w:ascii="仿宋_GB2312" w:hAnsi="仿宋_GB2312" w:eastAsia="仿宋_GB2312" w:cs="仿宋_GB2312"/>
                <w:color w:val="auto"/>
                <w:sz w:val="24"/>
                <w:szCs w:val="24"/>
              </w:rPr>
            </w:pPr>
          </w:p>
        </w:tc>
        <w:tc>
          <w:tcPr>
            <w:tcW w:w="0" w:type="auto"/>
            <w:vAlign w:val="center"/>
          </w:tcPr>
          <w:p w14:paraId="539C7C1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▲HDMI、DP、Type-C 显示接口要求</w:t>
            </w:r>
          </w:p>
        </w:tc>
        <w:tc>
          <w:tcPr>
            <w:tcW w:w="0" w:type="auto"/>
            <w:vAlign w:val="center"/>
          </w:tcPr>
          <w:p w14:paraId="56798AA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若提供 HDMI 或 DP 或 Type-C 作为显示接口，应支持音频和视频同步输出</w:t>
            </w:r>
          </w:p>
        </w:tc>
      </w:tr>
      <w:tr w14:paraId="1E33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752234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129</w:t>
            </w:r>
          </w:p>
        </w:tc>
        <w:tc>
          <w:tcPr>
            <w:tcW w:w="0" w:type="auto"/>
            <w:vMerge w:val="continue"/>
            <w:vAlign w:val="center"/>
          </w:tcPr>
          <w:p w14:paraId="14AEE4A3">
            <w:pPr>
              <w:pStyle w:val="6"/>
              <w:rPr>
                <w:rFonts w:hint="eastAsia" w:ascii="仿宋_GB2312" w:hAnsi="仿宋_GB2312" w:eastAsia="仿宋_GB2312" w:cs="仿宋_GB2312"/>
                <w:color w:val="auto"/>
                <w:sz w:val="24"/>
                <w:szCs w:val="24"/>
              </w:rPr>
            </w:pPr>
          </w:p>
        </w:tc>
        <w:tc>
          <w:tcPr>
            <w:tcW w:w="0" w:type="auto"/>
            <w:vAlign w:val="center"/>
          </w:tcPr>
          <w:p w14:paraId="0A8DEF8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其他接口</w:t>
            </w:r>
          </w:p>
        </w:tc>
        <w:tc>
          <w:tcPr>
            <w:tcW w:w="0" w:type="auto"/>
            <w:vAlign w:val="center"/>
          </w:tcPr>
          <w:p w14:paraId="63B5CF2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 支持串行接口，可实现 GB/T 6107的功能；</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支持并行接口，可实现 GB/T18235.1 的功能</w:t>
            </w:r>
          </w:p>
        </w:tc>
      </w:tr>
      <w:tr w14:paraId="6339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C954CA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130</w:t>
            </w:r>
          </w:p>
        </w:tc>
        <w:tc>
          <w:tcPr>
            <w:tcW w:w="0" w:type="auto"/>
            <w:vMerge w:val="continue"/>
            <w:vAlign w:val="center"/>
          </w:tcPr>
          <w:p w14:paraId="72411F6D">
            <w:pPr>
              <w:pStyle w:val="6"/>
              <w:rPr>
                <w:rFonts w:hint="eastAsia" w:ascii="仿宋_GB2312" w:hAnsi="仿宋_GB2312" w:eastAsia="仿宋_GB2312" w:cs="仿宋_GB2312"/>
                <w:color w:val="auto"/>
                <w:sz w:val="24"/>
                <w:szCs w:val="24"/>
              </w:rPr>
            </w:pPr>
          </w:p>
        </w:tc>
        <w:tc>
          <w:tcPr>
            <w:tcW w:w="0" w:type="auto"/>
            <w:vAlign w:val="center"/>
          </w:tcPr>
          <w:p w14:paraId="37F35DA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存储卡接口类型</w:t>
            </w:r>
          </w:p>
        </w:tc>
        <w:tc>
          <w:tcPr>
            <w:tcW w:w="0" w:type="auto"/>
            <w:vAlign w:val="center"/>
          </w:tcPr>
          <w:p w14:paraId="04FDCB2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135A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D11245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131</w:t>
            </w:r>
          </w:p>
        </w:tc>
        <w:tc>
          <w:tcPr>
            <w:tcW w:w="0" w:type="auto"/>
            <w:vAlign w:val="center"/>
          </w:tcPr>
          <w:p w14:paraId="1A80A4E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▲电源功能</w:t>
            </w:r>
          </w:p>
        </w:tc>
        <w:tc>
          <w:tcPr>
            <w:tcW w:w="0" w:type="auto"/>
            <w:vAlign w:val="center"/>
          </w:tcPr>
          <w:p w14:paraId="23E1A84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▲电源线适配能力</w:t>
            </w:r>
          </w:p>
        </w:tc>
        <w:tc>
          <w:tcPr>
            <w:tcW w:w="0" w:type="auto"/>
            <w:vAlign w:val="center"/>
          </w:tcPr>
          <w:p w14:paraId="092489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电源适配器电线组件应符合 GB/T15934 的要求，可拆线的插头和连接器可以不做要求</w:t>
            </w:r>
          </w:p>
        </w:tc>
      </w:tr>
      <w:tr w14:paraId="5B97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292DAD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132</w:t>
            </w:r>
          </w:p>
        </w:tc>
        <w:tc>
          <w:tcPr>
            <w:tcW w:w="0" w:type="auto"/>
            <w:vMerge w:val="restart"/>
            <w:vAlign w:val="center"/>
          </w:tcPr>
          <w:p w14:paraId="5D9BA52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▲操作系统及软件功能</w:t>
            </w:r>
          </w:p>
        </w:tc>
        <w:tc>
          <w:tcPr>
            <w:tcW w:w="0" w:type="auto"/>
            <w:vAlign w:val="center"/>
          </w:tcPr>
          <w:p w14:paraId="2176CC6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▲中文信息处理要求</w:t>
            </w:r>
          </w:p>
        </w:tc>
        <w:tc>
          <w:tcPr>
            <w:tcW w:w="0" w:type="auto"/>
            <w:vAlign w:val="center"/>
          </w:tcPr>
          <w:p w14:paraId="62F836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 18030 的相关规定</w:t>
            </w:r>
          </w:p>
        </w:tc>
      </w:tr>
      <w:tr w14:paraId="1D5A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A42EE3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133</w:t>
            </w:r>
          </w:p>
        </w:tc>
        <w:tc>
          <w:tcPr>
            <w:tcW w:w="0" w:type="auto"/>
            <w:vMerge w:val="continue"/>
            <w:vAlign w:val="center"/>
          </w:tcPr>
          <w:p w14:paraId="29FF2935">
            <w:pPr>
              <w:pStyle w:val="6"/>
              <w:rPr>
                <w:rFonts w:hint="eastAsia" w:ascii="仿宋_GB2312" w:hAnsi="仿宋_GB2312" w:eastAsia="仿宋_GB2312" w:cs="仿宋_GB2312"/>
                <w:color w:val="auto"/>
                <w:sz w:val="24"/>
                <w:szCs w:val="24"/>
              </w:rPr>
            </w:pPr>
          </w:p>
        </w:tc>
        <w:tc>
          <w:tcPr>
            <w:tcW w:w="0" w:type="auto"/>
            <w:vAlign w:val="center"/>
          </w:tcPr>
          <w:p w14:paraId="20D467F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▲操作系统备份及还原功能</w:t>
            </w:r>
          </w:p>
        </w:tc>
        <w:tc>
          <w:tcPr>
            <w:tcW w:w="0" w:type="auto"/>
            <w:vAlign w:val="center"/>
          </w:tcPr>
          <w:p w14:paraId="1BCB9BB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支持操作系统备份及还原功能</w:t>
            </w:r>
          </w:p>
        </w:tc>
      </w:tr>
      <w:tr w14:paraId="3C67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73EE4D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134</w:t>
            </w:r>
          </w:p>
        </w:tc>
        <w:tc>
          <w:tcPr>
            <w:tcW w:w="0" w:type="auto"/>
            <w:vMerge w:val="continue"/>
            <w:vAlign w:val="center"/>
          </w:tcPr>
          <w:p w14:paraId="1C79B02D">
            <w:pPr>
              <w:pStyle w:val="6"/>
              <w:rPr>
                <w:rFonts w:hint="eastAsia" w:ascii="仿宋_GB2312" w:hAnsi="仿宋_GB2312" w:eastAsia="仿宋_GB2312" w:cs="仿宋_GB2312"/>
                <w:color w:val="auto"/>
                <w:sz w:val="24"/>
                <w:szCs w:val="24"/>
              </w:rPr>
            </w:pPr>
          </w:p>
        </w:tc>
        <w:tc>
          <w:tcPr>
            <w:tcW w:w="0" w:type="auto"/>
            <w:vAlign w:val="center"/>
          </w:tcPr>
          <w:p w14:paraId="6B2ACB0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▲固件备份还原能力</w:t>
            </w:r>
          </w:p>
        </w:tc>
        <w:tc>
          <w:tcPr>
            <w:tcW w:w="0" w:type="auto"/>
            <w:vAlign w:val="center"/>
          </w:tcPr>
          <w:p w14:paraId="2272079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支持备份及还原固件的功能</w:t>
            </w:r>
          </w:p>
        </w:tc>
      </w:tr>
      <w:tr w14:paraId="1891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A22840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135</w:t>
            </w:r>
          </w:p>
        </w:tc>
        <w:tc>
          <w:tcPr>
            <w:tcW w:w="0" w:type="auto"/>
            <w:vMerge w:val="continue"/>
            <w:vAlign w:val="center"/>
          </w:tcPr>
          <w:p w14:paraId="0D53274B">
            <w:pPr>
              <w:pStyle w:val="6"/>
              <w:rPr>
                <w:rFonts w:hint="eastAsia" w:ascii="仿宋_GB2312" w:hAnsi="仿宋_GB2312" w:eastAsia="仿宋_GB2312" w:cs="仿宋_GB2312"/>
                <w:color w:val="auto"/>
                <w:sz w:val="24"/>
                <w:szCs w:val="24"/>
              </w:rPr>
            </w:pPr>
          </w:p>
        </w:tc>
        <w:tc>
          <w:tcPr>
            <w:tcW w:w="0" w:type="auto"/>
            <w:vAlign w:val="center"/>
          </w:tcPr>
          <w:p w14:paraId="6C4A56E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▲操作系统及驱动升级</w:t>
            </w:r>
          </w:p>
        </w:tc>
        <w:tc>
          <w:tcPr>
            <w:tcW w:w="0" w:type="auto"/>
            <w:vAlign w:val="center"/>
          </w:tcPr>
          <w:p w14:paraId="4306C86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支持通过网络、闪存盘等方式对操作系统、驱动进行升级</w:t>
            </w:r>
          </w:p>
        </w:tc>
      </w:tr>
      <w:tr w14:paraId="1930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3B9671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136</w:t>
            </w:r>
          </w:p>
        </w:tc>
        <w:tc>
          <w:tcPr>
            <w:tcW w:w="0" w:type="auto"/>
            <w:vMerge w:val="continue"/>
            <w:vAlign w:val="center"/>
          </w:tcPr>
          <w:p w14:paraId="4D46FBE3">
            <w:pPr>
              <w:pStyle w:val="6"/>
              <w:rPr>
                <w:rFonts w:hint="eastAsia" w:ascii="仿宋_GB2312" w:hAnsi="仿宋_GB2312" w:eastAsia="仿宋_GB2312" w:cs="仿宋_GB2312"/>
                <w:color w:val="auto"/>
                <w:sz w:val="24"/>
                <w:szCs w:val="24"/>
              </w:rPr>
            </w:pPr>
          </w:p>
        </w:tc>
        <w:tc>
          <w:tcPr>
            <w:tcW w:w="0" w:type="auto"/>
            <w:vAlign w:val="center"/>
          </w:tcPr>
          <w:p w14:paraId="77DA20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▲固件升级</w:t>
            </w:r>
          </w:p>
        </w:tc>
        <w:tc>
          <w:tcPr>
            <w:tcW w:w="0" w:type="auto"/>
            <w:vAlign w:val="center"/>
          </w:tcPr>
          <w:p w14:paraId="1676592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支持通过网络、闪存盘等方式对固件进行升级</w:t>
            </w:r>
          </w:p>
        </w:tc>
      </w:tr>
      <w:tr w14:paraId="126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D91B65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137</w:t>
            </w:r>
          </w:p>
        </w:tc>
        <w:tc>
          <w:tcPr>
            <w:tcW w:w="0" w:type="auto"/>
            <w:vMerge w:val="continue"/>
            <w:vAlign w:val="center"/>
          </w:tcPr>
          <w:p w14:paraId="2CFB1EDE">
            <w:pPr>
              <w:pStyle w:val="6"/>
              <w:rPr>
                <w:rFonts w:hint="eastAsia" w:ascii="仿宋_GB2312" w:hAnsi="仿宋_GB2312" w:eastAsia="仿宋_GB2312" w:cs="仿宋_GB2312"/>
                <w:color w:val="auto"/>
                <w:sz w:val="24"/>
                <w:szCs w:val="24"/>
              </w:rPr>
            </w:pPr>
          </w:p>
        </w:tc>
        <w:tc>
          <w:tcPr>
            <w:tcW w:w="0" w:type="auto"/>
            <w:vAlign w:val="center"/>
          </w:tcPr>
          <w:p w14:paraId="1EEC745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▲BIOS 支持关闭通讯接口</w:t>
            </w:r>
          </w:p>
        </w:tc>
        <w:tc>
          <w:tcPr>
            <w:tcW w:w="0" w:type="auto"/>
            <w:vAlign w:val="center"/>
          </w:tcPr>
          <w:p w14:paraId="2730E71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BIOS 关闭以太网及 USB 接口</w:t>
            </w:r>
          </w:p>
        </w:tc>
      </w:tr>
      <w:tr w14:paraId="1EF6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5E1020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138</w:t>
            </w:r>
          </w:p>
        </w:tc>
        <w:tc>
          <w:tcPr>
            <w:tcW w:w="0" w:type="auto"/>
            <w:vMerge w:val="continue"/>
            <w:vAlign w:val="center"/>
          </w:tcPr>
          <w:p w14:paraId="6BF2269C">
            <w:pPr>
              <w:pStyle w:val="6"/>
              <w:rPr>
                <w:rFonts w:hint="eastAsia" w:ascii="仿宋_GB2312" w:hAnsi="仿宋_GB2312" w:eastAsia="仿宋_GB2312" w:cs="仿宋_GB2312"/>
                <w:color w:val="auto"/>
                <w:sz w:val="24"/>
                <w:szCs w:val="24"/>
              </w:rPr>
            </w:pPr>
          </w:p>
        </w:tc>
        <w:tc>
          <w:tcPr>
            <w:tcW w:w="0" w:type="auto"/>
            <w:vAlign w:val="center"/>
          </w:tcPr>
          <w:p w14:paraId="5D2684B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▲固件查看信息</w:t>
            </w:r>
          </w:p>
        </w:tc>
        <w:tc>
          <w:tcPr>
            <w:tcW w:w="0" w:type="auto"/>
            <w:vAlign w:val="center"/>
          </w:tcPr>
          <w:p w14:paraId="3C2E4D1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支持查看固件版本、内存信息、主板信息、处理器信息和系统时间信息等功能</w:t>
            </w:r>
          </w:p>
        </w:tc>
      </w:tr>
      <w:tr w14:paraId="129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70FF31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139</w:t>
            </w:r>
          </w:p>
        </w:tc>
        <w:tc>
          <w:tcPr>
            <w:tcW w:w="0" w:type="auto"/>
            <w:vMerge w:val="continue"/>
            <w:vAlign w:val="center"/>
          </w:tcPr>
          <w:p w14:paraId="05026161">
            <w:pPr>
              <w:pStyle w:val="6"/>
              <w:rPr>
                <w:rFonts w:hint="eastAsia" w:ascii="仿宋_GB2312" w:hAnsi="仿宋_GB2312" w:eastAsia="仿宋_GB2312" w:cs="仿宋_GB2312"/>
                <w:color w:val="auto"/>
                <w:sz w:val="24"/>
                <w:szCs w:val="24"/>
              </w:rPr>
            </w:pPr>
          </w:p>
        </w:tc>
        <w:tc>
          <w:tcPr>
            <w:tcW w:w="0" w:type="auto"/>
            <w:vAlign w:val="center"/>
          </w:tcPr>
          <w:p w14:paraId="17E3FAB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▲固件设置启动顺序</w:t>
            </w:r>
          </w:p>
        </w:tc>
        <w:tc>
          <w:tcPr>
            <w:tcW w:w="0" w:type="auto"/>
            <w:vAlign w:val="center"/>
          </w:tcPr>
          <w:p w14:paraId="3F876CD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支持设置启动顺序功能，并按照设置的启动顺序启动</w:t>
            </w:r>
          </w:p>
        </w:tc>
      </w:tr>
      <w:tr w14:paraId="566C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ED1A34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140</w:t>
            </w:r>
          </w:p>
        </w:tc>
        <w:tc>
          <w:tcPr>
            <w:tcW w:w="0" w:type="auto"/>
            <w:vMerge w:val="continue"/>
            <w:vAlign w:val="center"/>
          </w:tcPr>
          <w:p w14:paraId="32B234CC">
            <w:pPr>
              <w:pStyle w:val="6"/>
              <w:rPr>
                <w:rFonts w:hint="eastAsia" w:ascii="仿宋_GB2312" w:hAnsi="仿宋_GB2312" w:eastAsia="仿宋_GB2312" w:cs="仿宋_GB2312"/>
                <w:color w:val="auto"/>
                <w:sz w:val="24"/>
                <w:szCs w:val="24"/>
              </w:rPr>
            </w:pPr>
          </w:p>
        </w:tc>
        <w:tc>
          <w:tcPr>
            <w:tcW w:w="0" w:type="auto"/>
            <w:vAlign w:val="center"/>
          </w:tcPr>
          <w:p w14:paraId="118C3B8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▲固件设置口令</w:t>
            </w:r>
          </w:p>
        </w:tc>
        <w:tc>
          <w:tcPr>
            <w:tcW w:w="0" w:type="auto"/>
            <w:vAlign w:val="center"/>
          </w:tcPr>
          <w:p w14:paraId="55A94F4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支持设置口令、修改口令、验证口令功能</w:t>
            </w:r>
          </w:p>
        </w:tc>
      </w:tr>
      <w:tr w14:paraId="2FE8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0E013A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p>
        </w:tc>
        <w:tc>
          <w:tcPr>
            <w:tcW w:w="0" w:type="auto"/>
            <w:vMerge w:val="continue"/>
            <w:vAlign w:val="center"/>
          </w:tcPr>
          <w:p w14:paraId="0AE143F8">
            <w:pPr>
              <w:pStyle w:val="6"/>
              <w:rPr>
                <w:rFonts w:hint="eastAsia" w:ascii="仿宋_GB2312" w:hAnsi="仿宋_GB2312" w:eastAsia="仿宋_GB2312" w:cs="仿宋_GB2312"/>
                <w:color w:val="auto"/>
                <w:sz w:val="24"/>
                <w:szCs w:val="24"/>
              </w:rPr>
            </w:pPr>
          </w:p>
        </w:tc>
        <w:tc>
          <w:tcPr>
            <w:tcW w:w="0" w:type="auto"/>
            <w:vAlign w:val="center"/>
          </w:tcPr>
          <w:p w14:paraId="3AF309A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▲固件设置网络引导</w:t>
            </w:r>
          </w:p>
        </w:tc>
        <w:tc>
          <w:tcPr>
            <w:tcW w:w="0" w:type="auto"/>
            <w:vAlign w:val="center"/>
          </w:tcPr>
          <w:p w14:paraId="309A10B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支持网络引导启动和关闭功能</w:t>
            </w:r>
          </w:p>
        </w:tc>
      </w:tr>
      <w:tr w14:paraId="534C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F7EC0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w:t>
            </w:r>
          </w:p>
        </w:tc>
        <w:tc>
          <w:tcPr>
            <w:tcW w:w="0" w:type="auto"/>
            <w:vMerge w:val="restart"/>
            <w:vAlign w:val="center"/>
          </w:tcPr>
          <w:p w14:paraId="7A7027D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生物识别功能</w:t>
            </w:r>
          </w:p>
        </w:tc>
        <w:tc>
          <w:tcPr>
            <w:tcW w:w="0" w:type="auto"/>
            <w:vAlign w:val="center"/>
          </w:tcPr>
          <w:p w14:paraId="0C216F5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指纹识别</w:t>
            </w:r>
          </w:p>
        </w:tc>
        <w:tc>
          <w:tcPr>
            <w:tcW w:w="0" w:type="auto"/>
            <w:vAlign w:val="center"/>
          </w:tcPr>
          <w:p w14:paraId="662E74B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5D33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E6154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143</w:t>
            </w:r>
          </w:p>
        </w:tc>
        <w:tc>
          <w:tcPr>
            <w:tcW w:w="0" w:type="auto"/>
            <w:vMerge w:val="continue"/>
            <w:vAlign w:val="center"/>
          </w:tcPr>
          <w:p w14:paraId="33B76A92">
            <w:pPr>
              <w:pStyle w:val="6"/>
              <w:rPr>
                <w:rFonts w:hint="eastAsia" w:ascii="仿宋_GB2312" w:hAnsi="仿宋_GB2312" w:eastAsia="仿宋_GB2312" w:cs="仿宋_GB2312"/>
                <w:color w:val="auto"/>
                <w:sz w:val="24"/>
                <w:szCs w:val="24"/>
              </w:rPr>
            </w:pPr>
          </w:p>
        </w:tc>
        <w:tc>
          <w:tcPr>
            <w:tcW w:w="0" w:type="auto"/>
            <w:vAlign w:val="center"/>
          </w:tcPr>
          <w:p w14:paraId="368CC6E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人脸识别</w:t>
            </w:r>
          </w:p>
        </w:tc>
        <w:tc>
          <w:tcPr>
            <w:tcW w:w="0" w:type="auto"/>
            <w:vAlign w:val="center"/>
          </w:tcPr>
          <w:p w14:paraId="40DEB82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1D8D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2F099E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144</w:t>
            </w:r>
          </w:p>
        </w:tc>
        <w:tc>
          <w:tcPr>
            <w:tcW w:w="0" w:type="auto"/>
            <w:vMerge w:val="continue"/>
            <w:vAlign w:val="center"/>
          </w:tcPr>
          <w:p w14:paraId="4F371EEF">
            <w:pPr>
              <w:pStyle w:val="6"/>
              <w:rPr>
                <w:rFonts w:hint="eastAsia" w:ascii="仿宋_GB2312" w:hAnsi="仿宋_GB2312" w:eastAsia="仿宋_GB2312" w:cs="仿宋_GB2312"/>
                <w:color w:val="auto"/>
                <w:sz w:val="24"/>
                <w:szCs w:val="24"/>
              </w:rPr>
            </w:pPr>
          </w:p>
        </w:tc>
        <w:tc>
          <w:tcPr>
            <w:tcW w:w="0" w:type="auto"/>
            <w:vAlign w:val="center"/>
          </w:tcPr>
          <w:p w14:paraId="17452B2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静脉识别</w:t>
            </w:r>
          </w:p>
        </w:tc>
        <w:tc>
          <w:tcPr>
            <w:tcW w:w="0" w:type="auto"/>
            <w:vAlign w:val="center"/>
          </w:tcPr>
          <w:p w14:paraId="4E5F277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6FB8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8937CB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145</w:t>
            </w:r>
          </w:p>
        </w:tc>
        <w:tc>
          <w:tcPr>
            <w:tcW w:w="0" w:type="auto"/>
            <w:vMerge w:val="restart"/>
            <w:vAlign w:val="center"/>
          </w:tcPr>
          <w:p w14:paraId="62B0113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硬件加速功能</w:t>
            </w:r>
          </w:p>
        </w:tc>
        <w:tc>
          <w:tcPr>
            <w:tcW w:w="0" w:type="auto"/>
            <w:vAlign w:val="center"/>
          </w:tcPr>
          <w:p w14:paraId="23D8ABF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NPU/GPU等A I 加速模块</w:t>
            </w:r>
          </w:p>
        </w:tc>
        <w:tc>
          <w:tcPr>
            <w:tcW w:w="0" w:type="auto"/>
            <w:vAlign w:val="center"/>
          </w:tcPr>
          <w:p w14:paraId="19F937FA">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7C6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501F84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146</w:t>
            </w:r>
          </w:p>
        </w:tc>
        <w:tc>
          <w:tcPr>
            <w:tcW w:w="0" w:type="auto"/>
            <w:vMerge w:val="continue"/>
            <w:vAlign w:val="center"/>
          </w:tcPr>
          <w:p w14:paraId="22693B53">
            <w:pPr>
              <w:pStyle w:val="6"/>
              <w:rPr>
                <w:rFonts w:hint="eastAsia" w:ascii="仿宋_GB2312" w:hAnsi="仿宋_GB2312" w:eastAsia="仿宋_GB2312" w:cs="仿宋_GB2312"/>
                <w:color w:val="auto"/>
                <w:sz w:val="24"/>
                <w:szCs w:val="24"/>
              </w:rPr>
            </w:pPr>
          </w:p>
        </w:tc>
        <w:tc>
          <w:tcPr>
            <w:tcW w:w="0" w:type="auto"/>
            <w:vAlign w:val="center"/>
          </w:tcPr>
          <w:p w14:paraId="76FC9DD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视频编解码加速模块</w:t>
            </w:r>
          </w:p>
        </w:tc>
        <w:tc>
          <w:tcPr>
            <w:tcW w:w="0" w:type="auto"/>
            <w:vAlign w:val="center"/>
          </w:tcPr>
          <w:p w14:paraId="396F1F7E">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42F0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493DC3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147</w:t>
            </w:r>
          </w:p>
        </w:tc>
        <w:tc>
          <w:tcPr>
            <w:tcW w:w="0" w:type="auto"/>
            <w:vMerge w:val="continue"/>
            <w:vAlign w:val="center"/>
          </w:tcPr>
          <w:p w14:paraId="111EE6B2">
            <w:pPr>
              <w:pStyle w:val="6"/>
              <w:rPr>
                <w:rFonts w:hint="eastAsia" w:ascii="仿宋_GB2312" w:hAnsi="仿宋_GB2312" w:eastAsia="仿宋_GB2312" w:cs="仿宋_GB2312"/>
                <w:color w:val="auto"/>
                <w:sz w:val="24"/>
                <w:szCs w:val="24"/>
              </w:rPr>
            </w:pPr>
          </w:p>
        </w:tc>
        <w:tc>
          <w:tcPr>
            <w:tcW w:w="0" w:type="auto"/>
            <w:vAlign w:val="center"/>
          </w:tcPr>
          <w:p w14:paraId="598754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影像处理加速模块</w:t>
            </w:r>
          </w:p>
        </w:tc>
        <w:tc>
          <w:tcPr>
            <w:tcW w:w="0" w:type="auto"/>
            <w:vAlign w:val="center"/>
          </w:tcPr>
          <w:p w14:paraId="4043553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69D8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45CDFE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148</w:t>
            </w:r>
          </w:p>
        </w:tc>
        <w:tc>
          <w:tcPr>
            <w:tcW w:w="0" w:type="auto"/>
            <w:vMerge w:val="restart"/>
            <w:vAlign w:val="center"/>
          </w:tcPr>
          <w:p w14:paraId="49AA013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▲存储设备可靠性</w:t>
            </w:r>
          </w:p>
        </w:tc>
        <w:tc>
          <w:tcPr>
            <w:tcW w:w="0" w:type="auto"/>
            <w:vAlign w:val="center"/>
          </w:tcPr>
          <w:p w14:paraId="0643CD1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▲固态存储寿命</w:t>
            </w:r>
          </w:p>
        </w:tc>
        <w:tc>
          <w:tcPr>
            <w:tcW w:w="0" w:type="auto"/>
            <w:vAlign w:val="center"/>
          </w:tcPr>
          <w:p w14:paraId="1F518E6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TBW ≥ 80TB（条件：240GB 硬盘容量）</w:t>
            </w:r>
          </w:p>
        </w:tc>
      </w:tr>
      <w:tr w14:paraId="28EC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E3FE74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149</w:t>
            </w:r>
          </w:p>
        </w:tc>
        <w:tc>
          <w:tcPr>
            <w:tcW w:w="0" w:type="auto"/>
            <w:vMerge w:val="continue"/>
            <w:vAlign w:val="center"/>
          </w:tcPr>
          <w:p w14:paraId="346D05FA">
            <w:pPr>
              <w:pStyle w:val="6"/>
              <w:rPr>
                <w:rFonts w:hint="eastAsia" w:ascii="仿宋_GB2312" w:hAnsi="仿宋_GB2312" w:eastAsia="仿宋_GB2312" w:cs="仿宋_GB2312"/>
                <w:color w:val="auto"/>
                <w:sz w:val="24"/>
                <w:szCs w:val="24"/>
              </w:rPr>
            </w:pPr>
          </w:p>
        </w:tc>
        <w:tc>
          <w:tcPr>
            <w:tcW w:w="0" w:type="auto"/>
            <w:vAlign w:val="center"/>
          </w:tcPr>
          <w:p w14:paraId="42AC9B9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▲机械硬盘寿命</w:t>
            </w:r>
          </w:p>
        </w:tc>
        <w:tc>
          <w:tcPr>
            <w:tcW w:w="0" w:type="auto"/>
            <w:vAlign w:val="center"/>
          </w:tcPr>
          <w:p w14:paraId="0C4F504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通电时间≥5 万小时</w:t>
            </w:r>
          </w:p>
        </w:tc>
      </w:tr>
      <w:tr w14:paraId="3439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646472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w:t>
            </w:r>
          </w:p>
        </w:tc>
        <w:tc>
          <w:tcPr>
            <w:tcW w:w="0" w:type="auto"/>
            <w:vAlign w:val="center"/>
          </w:tcPr>
          <w:p w14:paraId="1272869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▲显示设备可靠性</w:t>
            </w:r>
          </w:p>
        </w:tc>
        <w:tc>
          <w:tcPr>
            <w:tcW w:w="0" w:type="auto"/>
            <w:vAlign w:val="center"/>
          </w:tcPr>
          <w:p w14:paraId="5F9494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▲显示屏屏幕失效点</w:t>
            </w:r>
          </w:p>
        </w:tc>
        <w:tc>
          <w:tcPr>
            <w:tcW w:w="0" w:type="auto"/>
            <w:vAlign w:val="center"/>
          </w:tcPr>
          <w:p w14:paraId="50EED95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9813.2 的要求</w:t>
            </w:r>
          </w:p>
        </w:tc>
      </w:tr>
      <w:tr w14:paraId="1DD8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0CFB9C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w:t>
            </w:r>
          </w:p>
        </w:tc>
        <w:tc>
          <w:tcPr>
            <w:tcW w:w="0" w:type="auto"/>
            <w:vMerge w:val="restart"/>
            <w:vAlign w:val="center"/>
          </w:tcPr>
          <w:p w14:paraId="638AD72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▲外设可靠性</w:t>
            </w:r>
          </w:p>
        </w:tc>
        <w:tc>
          <w:tcPr>
            <w:tcW w:w="0" w:type="auto"/>
            <w:vAlign w:val="center"/>
          </w:tcPr>
          <w:p w14:paraId="620B87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▲键盘按键寿命</w:t>
            </w:r>
          </w:p>
        </w:tc>
        <w:tc>
          <w:tcPr>
            <w:tcW w:w="0" w:type="auto"/>
            <w:vAlign w:val="center"/>
          </w:tcPr>
          <w:p w14:paraId="60AD355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 万次</w:t>
            </w:r>
          </w:p>
        </w:tc>
      </w:tr>
      <w:tr w14:paraId="07E8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3D053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152</w:t>
            </w:r>
          </w:p>
        </w:tc>
        <w:tc>
          <w:tcPr>
            <w:tcW w:w="0" w:type="auto"/>
            <w:vMerge w:val="continue"/>
            <w:vAlign w:val="center"/>
          </w:tcPr>
          <w:p w14:paraId="5082EF63">
            <w:pPr>
              <w:pStyle w:val="6"/>
              <w:rPr>
                <w:rFonts w:hint="eastAsia" w:ascii="仿宋_GB2312" w:hAnsi="仿宋_GB2312" w:eastAsia="仿宋_GB2312" w:cs="仿宋_GB2312"/>
                <w:color w:val="auto"/>
                <w:sz w:val="24"/>
                <w:szCs w:val="24"/>
              </w:rPr>
            </w:pPr>
          </w:p>
        </w:tc>
        <w:tc>
          <w:tcPr>
            <w:tcW w:w="0" w:type="auto"/>
            <w:vAlign w:val="center"/>
          </w:tcPr>
          <w:p w14:paraId="27F72BF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▲鼠标按键寿命</w:t>
            </w:r>
          </w:p>
        </w:tc>
        <w:tc>
          <w:tcPr>
            <w:tcW w:w="0" w:type="auto"/>
            <w:vAlign w:val="center"/>
          </w:tcPr>
          <w:p w14:paraId="17BE384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 万次</w:t>
            </w:r>
          </w:p>
        </w:tc>
      </w:tr>
      <w:tr w14:paraId="20EB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386332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153</w:t>
            </w:r>
          </w:p>
        </w:tc>
        <w:tc>
          <w:tcPr>
            <w:tcW w:w="0" w:type="auto"/>
            <w:vMerge w:val="continue"/>
            <w:vAlign w:val="center"/>
          </w:tcPr>
          <w:p w14:paraId="548D8560">
            <w:pPr>
              <w:pStyle w:val="6"/>
              <w:rPr>
                <w:rFonts w:hint="eastAsia" w:ascii="仿宋_GB2312" w:hAnsi="仿宋_GB2312" w:eastAsia="仿宋_GB2312" w:cs="仿宋_GB2312"/>
                <w:color w:val="auto"/>
                <w:sz w:val="24"/>
                <w:szCs w:val="24"/>
              </w:rPr>
            </w:pPr>
          </w:p>
        </w:tc>
        <w:tc>
          <w:tcPr>
            <w:tcW w:w="0" w:type="auto"/>
            <w:vAlign w:val="center"/>
          </w:tcPr>
          <w:p w14:paraId="42AB81C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▲键盘鼠标线材寿命</w:t>
            </w:r>
          </w:p>
        </w:tc>
        <w:tc>
          <w:tcPr>
            <w:tcW w:w="0" w:type="auto"/>
            <w:vAlign w:val="center"/>
          </w:tcPr>
          <w:p w14:paraId="59234C6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键盘鼠标所用线材经±60 °弯折不低于 3000 次，功能、外观完好</w:t>
            </w:r>
          </w:p>
        </w:tc>
      </w:tr>
      <w:tr w14:paraId="7C61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925D29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154</w:t>
            </w:r>
          </w:p>
        </w:tc>
        <w:tc>
          <w:tcPr>
            <w:tcW w:w="0" w:type="auto"/>
            <w:vMerge w:val="continue"/>
            <w:vAlign w:val="center"/>
          </w:tcPr>
          <w:p w14:paraId="51A8823D">
            <w:pPr>
              <w:pStyle w:val="6"/>
              <w:rPr>
                <w:rFonts w:hint="eastAsia" w:ascii="仿宋_GB2312" w:hAnsi="仿宋_GB2312" w:eastAsia="仿宋_GB2312" w:cs="仿宋_GB2312"/>
                <w:color w:val="auto"/>
                <w:sz w:val="24"/>
                <w:szCs w:val="24"/>
              </w:rPr>
            </w:pPr>
          </w:p>
        </w:tc>
        <w:tc>
          <w:tcPr>
            <w:tcW w:w="0" w:type="auto"/>
            <w:vAlign w:val="center"/>
          </w:tcPr>
          <w:p w14:paraId="79BA81B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▲风扇寿命</w:t>
            </w:r>
          </w:p>
        </w:tc>
        <w:tc>
          <w:tcPr>
            <w:tcW w:w="0" w:type="auto"/>
            <w:vAlign w:val="center"/>
          </w:tcPr>
          <w:p w14:paraId="2B9D47C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 万小时</w:t>
            </w:r>
          </w:p>
        </w:tc>
      </w:tr>
      <w:tr w14:paraId="4413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77A69F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155</w:t>
            </w:r>
          </w:p>
        </w:tc>
        <w:tc>
          <w:tcPr>
            <w:tcW w:w="0" w:type="auto"/>
            <w:vMerge w:val="restart"/>
            <w:vAlign w:val="center"/>
          </w:tcPr>
          <w:p w14:paraId="32FB306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▲整机可靠性要求</w:t>
            </w:r>
          </w:p>
        </w:tc>
        <w:tc>
          <w:tcPr>
            <w:tcW w:w="0" w:type="auto"/>
            <w:vAlign w:val="center"/>
          </w:tcPr>
          <w:p w14:paraId="6D3AAF0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▲电磁兼容性要求的抗扰度</w:t>
            </w:r>
          </w:p>
        </w:tc>
        <w:tc>
          <w:tcPr>
            <w:tcW w:w="0" w:type="auto"/>
            <w:vAlign w:val="center"/>
          </w:tcPr>
          <w:p w14:paraId="4E7740C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9254.2 的规定</w:t>
            </w:r>
          </w:p>
        </w:tc>
      </w:tr>
      <w:tr w14:paraId="5D21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C243BC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156</w:t>
            </w:r>
          </w:p>
        </w:tc>
        <w:tc>
          <w:tcPr>
            <w:tcW w:w="0" w:type="auto"/>
            <w:vMerge w:val="continue"/>
            <w:vAlign w:val="center"/>
          </w:tcPr>
          <w:p w14:paraId="0CC162E7">
            <w:pPr>
              <w:pStyle w:val="6"/>
              <w:rPr>
                <w:rFonts w:hint="eastAsia" w:ascii="仿宋_GB2312" w:hAnsi="仿宋_GB2312" w:eastAsia="仿宋_GB2312" w:cs="仿宋_GB2312"/>
                <w:color w:val="auto"/>
                <w:sz w:val="24"/>
                <w:szCs w:val="24"/>
              </w:rPr>
            </w:pPr>
          </w:p>
        </w:tc>
        <w:tc>
          <w:tcPr>
            <w:tcW w:w="0" w:type="auto"/>
            <w:vAlign w:val="center"/>
          </w:tcPr>
          <w:p w14:paraId="627D15A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▲环境条件要求的气候环境适应性</w:t>
            </w:r>
          </w:p>
        </w:tc>
        <w:tc>
          <w:tcPr>
            <w:tcW w:w="0" w:type="auto"/>
            <w:vAlign w:val="center"/>
          </w:tcPr>
          <w:p w14:paraId="46B7E4F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9813.1 中规定</w:t>
            </w:r>
          </w:p>
        </w:tc>
      </w:tr>
      <w:tr w14:paraId="2C99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8153B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157</w:t>
            </w:r>
          </w:p>
        </w:tc>
        <w:tc>
          <w:tcPr>
            <w:tcW w:w="0" w:type="auto"/>
            <w:vMerge w:val="continue"/>
            <w:vAlign w:val="center"/>
          </w:tcPr>
          <w:p w14:paraId="401EDD4B">
            <w:pPr>
              <w:pStyle w:val="6"/>
              <w:rPr>
                <w:rFonts w:hint="eastAsia" w:ascii="仿宋_GB2312" w:hAnsi="仿宋_GB2312" w:eastAsia="仿宋_GB2312" w:cs="仿宋_GB2312"/>
                <w:color w:val="auto"/>
                <w:sz w:val="24"/>
                <w:szCs w:val="24"/>
              </w:rPr>
            </w:pPr>
          </w:p>
        </w:tc>
        <w:tc>
          <w:tcPr>
            <w:tcW w:w="0" w:type="auto"/>
            <w:vAlign w:val="center"/>
          </w:tcPr>
          <w:p w14:paraId="79B8A56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▲环境条件要求的振动适应性</w:t>
            </w:r>
          </w:p>
        </w:tc>
        <w:tc>
          <w:tcPr>
            <w:tcW w:w="0" w:type="auto"/>
            <w:vAlign w:val="center"/>
          </w:tcPr>
          <w:p w14:paraId="3D23C57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9813.1 中规定</w:t>
            </w:r>
          </w:p>
        </w:tc>
      </w:tr>
      <w:tr w14:paraId="2599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014BFF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158</w:t>
            </w:r>
          </w:p>
        </w:tc>
        <w:tc>
          <w:tcPr>
            <w:tcW w:w="0" w:type="auto"/>
            <w:vMerge w:val="continue"/>
            <w:vAlign w:val="center"/>
          </w:tcPr>
          <w:p w14:paraId="05395C5D">
            <w:pPr>
              <w:pStyle w:val="6"/>
              <w:rPr>
                <w:rFonts w:hint="eastAsia" w:ascii="仿宋_GB2312" w:hAnsi="仿宋_GB2312" w:eastAsia="仿宋_GB2312" w:cs="仿宋_GB2312"/>
                <w:color w:val="auto"/>
                <w:sz w:val="24"/>
                <w:szCs w:val="24"/>
              </w:rPr>
            </w:pPr>
          </w:p>
        </w:tc>
        <w:tc>
          <w:tcPr>
            <w:tcW w:w="0" w:type="auto"/>
            <w:vAlign w:val="center"/>
          </w:tcPr>
          <w:p w14:paraId="3B639CD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▲环境条件要求的冲击适应性</w:t>
            </w:r>
          </w:p>
        </w:tc>
        <w:tc>
          <w:tcPr>
            <w:tcW w:w="0" w:type="auto"/>
            <w:vAlign w:val="center"/>
          </w:tcPr>
          <w:p w14:paraId="376C53C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9813.1 中规定</w:t>
            </w:r>
          </w:p>
        </w:tc>
      </w:tr>
      <w:tr w14:paraId="79CE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C43F4A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159</w:t>
            </w:r>
          </w:p>
        </w:tc>
        <w:tc>
          <w:tcPr>
            <w:tcW w:w="0" w:type="auto"/>
            <w:vMerge w:val="continue"/>
            <w:vAlign w:val="center"/>
          </w:tcPr>
          <w:p w14:paraId="7072284C">
            <w:pPr>
              <w:pStyle w:val="6"/>
              <w:rPr>
                <w:rFonts w:hint="eastAsia" w:ascii="仿宋_GB2312" w:hAnsi="仿宋_GB2312" w:eastAsia="仿宋_GB2312" w:cs="仿宋_GB2312"/>
                <w:color w:val="auto"/>
                <w:sz w:val="24"/>
                <w:szCs w:val="24"/>
              </w:rPr>
            </w:pPr>
          </w:p>
        </w:tc>
        <w:tc>
          <w:tcPr>
            <w:tcW w:w="0" w:type="auto"/>
            <w:vAlign w:val="center"/>
          </w:tcPr>
          <w:p w14:paraId="05597BB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▲环境条件要求的碰撞适应性</w:t>
            </w:r>
          </w:p>
        </w:tc>
        <w:tc>
          <w:tcPr>
            <w:tcW w:w="0" w:type="auto"/>
            <w:vAlign w:val="center"/>
          </w:tcPr>
          <w:p w14:paraId="2A7193D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9813.1 中规定</w:t>
            </w:r>
          </w:p>
        </w:tc>
      </w:tr>
      <w:tr w14:paraId="1A05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58F02D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160</w:t>
            </w:r>
          </w:p>
        </w:tc>
        <w:tc>
          <w:tcPr>
            <w:tcW w:w="0" w:type="auto"/>
            <w:vMerge w:val="continue"/>
            <w:vAlign w:val="center"/>
          </w:tcPr>
          <w:p w14:paraId="690FC58D">
            <w:pPr>
              <w:pStyle w:val="6"/>
              <w:rPr>
                <w:rFonts w:hint="eastAsia" w:ascii="仿宋_GB2312" w:hAnsi="仿宋_GB2312" w:eastAsia="仿宋_GB2312" w:cs="仿宋_GB2312"/>
                <w:color w:val="auto"/>
                <w:sz w:val="24"/>
                <w:szCs w:val="24"/>
              </w:rPr>
            </w:pPr>
          </w:p>
        </w:tc>
        <w:tc>
          <w:tcPr>
            <w:tcW w:w="0" w:type="auto"/>
            <w:vAlign w:val="center"/>
          </w:tcPr>
          <w:p w14:paraId="66A2883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▲环境条件要求的运输包装件跌落适应性</w:t>
            </w:r>
          </w:p>
        </w:tc>
        <w:tc>
          <w:tcPr>
            <w:tcW w:w="0" w:type="auto"/>
            <w:vAlign w:val="center"/>
          </w:tcPr>
          <w:p w14:paraId="199CAAD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9813.1 中规定</w:t>
            </w:r>
          </w:p>
        </w:tc>
      </w:tr>
      <w:tr w14:paraId="2E3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0BEAD7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161</w:t>
            </w:r>
          </w:p>
        </w:tc>
        <w:tc>
          <w:tcPr>
            <w:tcW w:w="0" w:type="auto"/>
            <w:vMerge w:val="continue"/>
            <w:vAlign w:val="center"/>
          </w:tcPr>
          <w:p w14:paraId="2A58E1D7">
            <w:pPr>
              <w:pStyle w:val="6"/>
              <w:rPr>
                <w:rFonts w:hint="eastAsia" w:ascii="仿宋_GB2312" w:hAnsi="仿宋_GB2312" w:eastAsia="仿宋_GB2312" w:cs="仿宋_GB2312"/>
                <w:color w:val="auto"/>
                <w:sz w:val="24"/>
                <w:szCs w:val="24"/>
              </w:rPr>
            </w:pPr>
          </w:p>
        </w:tc>
        <w:tc>
          <w:tcPr>
            <w:tcW w:w="0" w:type="auto"/>
            <w:vAlign w:val="center"/>
          </w:tcPr>
          <w:p w14:paraId="41EB014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▲MTBF 测试</w:t>
            </w:r>
          </w:p>
        </w:tc>
        <w:tc>
          <w:tcPr>
            <w:tcW w:w="0" w:type="auto"/>
            <w:vAlign w:val="center"/>
          </w:tcPr>
          <w:p w14:paraId="095663E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MTBF(m1)≥3 万小时</w:t>
            </w:r>
          </w:p>
        </w:tc>
      </w:tr>
      <w:tr w14:paraId="6246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352BC6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162</w:t>
            </w:r>
          </w:p>
        </w:tc>
        <w:tc>
          <w:tcPr>
            <w:tcW w:w="0" w:type="auto"/>
            <w:vMerge w:val="restart"/>
            <w:vAlign w:val="center"/>
          </w:tcPr>
          <w:p w14:paraId="639DB99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▲兼容要求</w:t>
            </w:r>
          </w:p>
        </w:tc>
        <w:tc>
          <w:tcPr>
            <w:tcW w:w="0" w:type="auto"/>
            <w:vAlign w:val="center"/>
          </w:tcPr>
          <w:p w14:paraId="084691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▲常用软件兼容</w:t>
            </w:r>
          </w:p>
        </w:tc>
        <w:tc>
          <w:tcPr>
            <w:tcW w:w="0" w:type="auto"/>
            <w:vAlign w:val="center"/>
          </w:tcPr>
          <w:p w14:paraId="36351BA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支持流式软件、版式软件、浏览器、邮件采购人端、解压软件、多媒体、图形图像处理等常用软件</w:t>
            </w:r>
          </w:p>
        </w:tc>
      </w:tr>
      <w:tr w14:paraId="5057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C578DE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163</w:t>
            </w:r>
          </w:p>
        </w:tc>
        <w:tc>
          <w:tcPr>
            <w:tcW w:w="0" w:type="auto"/>
            <w:vMerge w:val="continue"/>
            <w:vAlign w:val="center"/>
          </w:tcPr>
          <w:p w14:paraId="3BF1C7BC">
            <w:pPr>
              <w:pStyle w:val="6"/>
              <w:rPr>
                <w:rFonts w:hint="eastAsia" w:ascii="仿宋_GB2312" w:hAnsi="仿宋_GB2312" w:eastAsia="仿宋_GB2312" w:cs="仿宋_GB2312"/>
                <w:color w:val="auto"/>
                <w:sz w:val="24"/>
                <w:szCs w:val="24"/>
              </w:rPr>
            </w:pPr>
          </w:p>
        </w:tc>
        <w:tc>
          <w:tcPr>
            <w:tcW w:w="0" w:type="auto"/>
            <w:vAlign w:val="center"/>
          </w:tcPr>
          <w:p w14:paraId="0F557F2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▲数据库兼容</w:t>
            </w:r>
          </w:p>
        </w:tc>
        <w:tc>
          <w:tcPr>
            <w:tcW w:w="0" w:type="auto"/>
            <w:vAlign w:val="center"/>
          </w:tcPr>
          <w:p w14:paraId="7DDCF6B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兼容 3 个及以上厂商的数据库产品</w:t>
            </w:r>
          </w:p>
        </w:tc>
      </w:tr>
      <w:tr w14:paraId="5F98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40DDAB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164</w:t>
            </w:r>
          </w:p>
        </w:tc>
        <w:tc>
          <w:tcPr>
            <w:tcW w:w="0" w:type="auto"/>
            <w:vMerge w:val="continue"/>
            <w:vAlign w:val="center"/>
          </w:tcPr>
          <w:p w14:paraId="33E27FBC">
            <w:pPr>
              <w:pStyle w:val="6"/>
              <w:rPr>
                <w:rFonts w:hint="eastAsia" w:ascii="仿宋_GB2312" w:hAnsi="仿宋_GB2312" w:eastAsia="仿宋_GB2312" w:cs="仿宋_GB2312"/>
                <w:color w:val="auto"/>
                <w:sz w:val="24"/>
                <w:szCs w:val="24"/>
              </w:rPr>
            </w:pPr>
          </w:p>
        </w:tc>
        <w:tc>
          <w:tcPr>
            <w:tcW w:w="0" w:type="auto"/>
            <w:vAlign w:val="center"/>
          </w:tcPr>
          <w:p w14:paraId="663A209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▲中间件兼容</w:t>
            </w:r>
          </w:p>
        </w:tc>
        <w:tc>
          <w:tcPr>
            <w:tcW w:w="0" w:type="auto"/>
            <w:vAlign w:val="center"/>
          </w:tcPr>
          <w:p w14:paraId="1448022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兼容 3 个及以上厂商中间件产品</w:t>
            </w:r>
          </w:p>
        </w:tc>
      </w:tr>
      <w:tr w14:paraId="127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45C5AD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165</w:t>
            </w:r>
          </w:p>
        </w:tc>
        <w:tc>
          <w:tcPr>
            <w:tcW w:w="0" w:type="auto"/>
            <w:vMerge w:val="continue"/>
            <w:vAlign w:val="center"/>
          </w:tcPr>
          <w:p w14:paraId="434C5701">
            <w:pPr>
              <w:pStyle w:val="6"/>
              <w:rPr>
                <w:rFonts w:hint="eastAsia" w:ascii="仿宋_GB2312" w:hAnsi="仿宋_GB2312" w:eastAsia="仿宋_GB2312" w:cs="仿宋_GB2312"/>
                <w:color w:val="auto"/>
                <w:sz w:val="24"/>
                <w:szCs w:val="24"/>
              </w:rPr>
            </w:pPr>
          </w:p>
        </w:tc>
        <w:tc>
          <w:tcPr>
            <w:tcW w:w="0" w:type="auto"/>
            <w:vAlign w:val="center"/>
          </w:tcPr>
          <w:p w14:paraId="3AEECFC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▲平台软件兼容</w:t>
            </w:r>
          </w:p>
        </w:tc>
        <w:tc>
          <w:tcPr>
            <w:tcW w:w="0" w:type="auto"/>
            <w:vAlign w:val="center"/>
          </w:tcPr>
          <w:p w14:paraId="7C1ABD4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兼容 3 个及以上厂商云计算及大数据平台</w:t>
            </w:r>
          </w:p>
        </w:tc>
      </w:tr>
      <w:tr w14:paraId="1730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3B214D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166</w:t>
            </w:r>
          </w:p>
        </w:tc>
        <w:tc>
          <w:tcPr>
            <w:tcW w:w="0" w:type="auto"/>
            <w:vAlign w:val="center"/>
          </w:tcPr>
          <w:p w14:paraId="38E6A0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▲包装及运输要求</w:t>
            </w:r>
          </w:p>
        </w:tc>
        <w:tc>
          <w:tcPr>
            <w:tcW w:w="0" w:type="auto"/>
            <w:vAlign w:val="center"/>
          </w:tcPr>
          <w:p w14:paraId="7A84C41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▲标志、包装、运输和贮存</w:t>
            </w:r>
          </w:p>
        </w:tc>
        <w:tc>
          <w:tcPr>
            <w:tcW w:w="0" w:type="auto"/>
            <w:vAlign w:val="center"/>
          </w:tcPr>
          <w:p w14:paraId="21231ED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9813.1 和商品包装政府采购需求标准的相关规定</w:t>
            </w:r>
          </w:p>
        </w:tc>
      </w:tr>
      <w:tr w14:paraId="0C99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DA94BB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167</w:t>
            </w:r>
          </w:p>
        </w:tc>
        <w:tc>
          <w:tcPr>
            <w:tcW w:w="0" w:type="auto"/>
            <w:vMerge w:val="restart"/>
            <w:vAlign w:val="center"/>
          </w:tcPr>
          <w:p w14:paraId="19309A3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▲服务要求</w:t>
            </w:r>
          </w:p>
        </w:tc>
        <w:tc>
          <w:tcPr>
            <w:tcW w:w="0" w:type="auto"/>
            <w:vAlign w:val="center"/>
          </w:tcPr>
          <w:p w14:paraId="7FDD46E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▲配置检查工具</w:t>
            </w:r>
          </w:p>
        </w:tc>
        <w:tc>
          <w:tcPr>
            <w:tcW w:w="0" w:type="auto"/>
            <w:vAlign w:val="center"/>
          </w:tcPr>
          <w:p w14:paraId="42A3AF3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供应商提供自检测试工具</w:t>
            </w:r>
          </w:p>
        </w:tc>
      </w:tr>
      <w:tr w14:paraId="0103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45D6A2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168</w:t>
            </w:r>
          </w:p>
        </w:tc>
        <w:tc>
          <w:tcPr>
            <w:tcW w:w="0" w:type="auto"/>
            <w:vMerge w:val="continue"/>
            <w:vAlign w:val="center"/>
          </w:tcPr>
          <w:p w14:paraId="62B453D8">
            <w:pPr>
              <w:pStyle w:val="6"/>
              <w:rPr>
                <w:rFonts w:hint="eastAsia" w:ascii="仿宋_GB2312" w:hAnsi="仿宋_GB2312" w:eastAsia="仿宋_GB2312" w:cs="仿宋_GB2312"/>
                <w:color w:val="auto"/>
                <w:sz w:val="24"/>
                <w:szCs w:val="24"/>
              </w:rPr>
            </w:pPr>
          </w:p>
        </w:tc>
        <w:tc>
          <w:tcPr>
            <w:tcW w:w="0" w:type="auto"/>
            <w:vAlign w:val="center"/>
          </w:tcPr>
          <w:p w14:paraId="1A875C1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▲服务响应</w:t>
            </w:r>
          </w:p>
        </w:tc>
        <w:tc>
          <w:tcPr>
            <w:tcW w:w="0" w:type="auto"/>
            <w:vAlign w:val="center"/>
          </w:tcPr>
          <w:p w14:paraId="052E848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a)供应商提供电话、电子邮件、远程连接等多种形式服务；</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b)供应商提供同城 4h、异地 12h 技术响应服务，2 个工作日解决问题，对于未能解决的问题和故障应提供可行的升级方案，并提供周转设备或更换设备；</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c)建立全国技术服务体系和服务团体，符合专业服务体系标准要求，提供原厂中文服务；</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d)服务周期内提供产品的维修、换件和升级服务</w:t>
            </w:r>
          </w:p>
        </w:tc>
      </w:tr>
      <w:tr w14:paraId="2506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0CD761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169</w:t>
            </w:r>
          </w:p>
        </w:tc>
        <w:tc>
          <w:tcPr>
            <w:tcW w:w="0" w:type="auto"/>
            <w:vMerge w:val="continue"/>
            <w:vAlign w:val="center"/>
          </w:tcPr>
          <w:p w14:paraId="53CC64FC">
            <w:pPr>
              <w:pStyle w:val="6"/>
              <w:rPr>
                <w:rFonts w:hint="eastAsia" w:ascii="仿宋_GB2312" w:hAnsi="仿宋_GB2312" w:eastAsia="仿宋_GB2312" w:cs="仿宋_GB2312"/>
                <w:color w:val="auto"/>
                <w:sz w:val="24"/>
                <w:szCs w:val="24"/>
              </w:rPr>
            </w:pPr>
          </w:p>
        </w:tc>
        <w:tc>
          <w:tcPr>
            <w:tcW w:w="0" w:type="auto"/>
            <w:vAlign w:val="center"/>
          </w:tcPr>
          <w:p w14:paraId="6B2AE64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▲服务周期</w:t>
            </w:r>
          </w:p>
        </w:tc>
        <w:tc>
          <w:tcPr>
            <w:tcW w:w="0" w:type="auto"/>
            <w:vAlign w:val="center"/>
          </w:tcPr>
          <w:p w14:paraId="10AA8E2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 设备停产后应继续提供质量保障服务（含备品备件），服务终止时间与最后一批设备交付时间间隔不低于6 年；</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产品停止服务时间应提前 1 年告知；</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c) 应明确产品发布日期</w:t>
            </w:r>
          </w:p>
        </w:tc>
      </w:tr>
      <w:tr w14:paraId="2256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7C0BD0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170</w:t>
            </w:r>
          </w:p>
        </w:tc>
        <w:tc>
          <w:tcPr>
            <w:tcW w:w="0" w:type="auto"/>
            <w:vMerge w:val="continue"/>
            <w:vAlign w:val="center"/>
          </w:tcPr>
          <w:p w14:paraId="090C1391">
            <w:pPr>
              <w:pStyle w:val="6"/>
              <w:rPr>
                <w:rFonts w:hint="eastAsia" w:ascii="仿宋_GB2312" w:hAnsi="仿宋_GB2312" w:eastAsia="仿宋_GB2312" w:cs="仿宋_GB2312"/>
                <w:color w:val="auto"/>
                <w:sz w:val="24"/>
                <w:szCs w:val="24"/>
              </w:rPr>
            </w:pPr>
          </w:p>
        </w:tc>
        <w:tc>
          <w:tcPr>
            <w:tcW w:w="0" w:type="auto"/>
            <w:vAlign w:val="center"/>
          </w:tcPr>
          <w:p w14:paraId="3955389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▲预装操作系统</w:t>
            </w:r>
          </w:p>
        </w:tc>
        <w:tc>
          <w:tcPr>
            <w:tcW w:w="0" w:type="auto"/>
            <w:vAlign w:val="center"/>
          </w:tcPr>
          <w:p w14:paraId="65CB517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预装符合桌面操作系统政府采购需求标准的正版操作系统</w:t>
            </w:r>
          </w:p>
        </w:tc>
      </w:tr>
      <w:tr w14:paraId="5390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4C8212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171</w:t>
            </w:r>
          </w:p>
        </w:tc>
        <w:tc>
          <w:tcPr>
            <w:tcW w:w="0" w:type="auto"/>
            <w:vMerge w:val="continue"/>
            <w:vAlign w:val="center"/>
          </w:tcPr>
          <w:p w14:paraId="58A2F6F8">
            <w:pPr>
              <w:pStyle w:val="6"/>
              <w:rPr>
                <w:rFonts w:hint="eastAsia" w:ascii="仿宋_GB2312" w:hAnsi="仿宋_GB2312" w:eastAsia="仿宋_GB2312" w:cs="仿宋_GB2312"/>
                <w:color w:val="auto"/>
                <w:sz w:val="24"/>
                <w:szCs w:val="24"/>
              </w:rPr>
            </w:pPr>
          </w:p>
        </w:tc>
        <w:tc>
          <w:tcPr>
            <w:tcW w:w="0" w:type="auto"/>
            <w:vAlign w:val="center"/>
          </w:tcPr>
          <w:p w14:paraId="022C23E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▲培训服务</w:t>
            </w:r>
          </w:p>
        </w:tc>
        <w:tc>
          <w:tcPr>
            <w:tcW w:w="0" w:type="auto"/>
            <w:vAlign w:val="center"/>
          </w:tcPr>
          <w:p w14:paraId="73A6AEE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供应商提供培训材料、产品手册、培训视频等培训相关内容</w:t>
            </w:r>
          </w:p>
        </w:tc>
      </w:tr>
      <w:tr w14:paraId="371C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01A69A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172</w:t>
            </w:r>
          </w:p>
        </w:tc>
        <w:tc>
          <w:tcPr>
            <w:tcW w:w="0" w:type="auto"/>
            <w:vMerge w:val="continue"/>
            <w:vAlign w:val="center"/>
          </w:tcPr>
          <w:p w14:paraId="75714FB4">
            <w:pPr>
              <w:pStyle w:val="6"/>
              <w:rPr>
                <w:rFonts w:hint="eastAsia" w:ascii="仿宋_GB2312" w:hAnsi="仿宋_GB2312" w:eastAsia="仿宋_GB2312" w:cs="仿宋_GB2312"/>
                <w:color w:val="auto"/>
                <w:sz w:val="24"/>
                <w:szCs w:val="24"/>
              </w:rPr>
            </w:pPr>
          </w:p>
        </w:tc>
        <w:tc>
          <w:tcPr>
            <w:tcW w:w="0" w:type="auto"/>
            <w:vAlign w:val="center"/>
          </w:tcPr>
          <w:p w14:paraId="54BB56C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▲典型问题解决手册</w:t>
            </w:r>
          </w:p>
        </w:tc>
        <w:tc>
          <w:tcPr>
            <w:tcW w:w="0" w:type="auto"/>
            <w:vAlign w:val="center"/>
          </w:tcPr>
          <w:p w14:paraId="03FC792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供应商提供典型问题解决说明文档或视频</w:t>
            </w:r>
          </w:p>
        </w:tc>
      </w:tr>
      <w:tr w14:paraId="667A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089AE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173</w:t>
            </w:r>
          </w:p>
        </w:tc>
        <w:tc>
          <w:tcPr>
            <w:tcW w:w="0" w:type="auto"/>
            <w:vMerge w:val="continue"/>
            <w:vAlign w:val="center"/>
          </w:tcPr>
          <w:p w14:paraId="1E7F2ECF">
            <w:pPr>
              <w:pStyle w:val="6"/>
              <w:rPr>
                <w:rFonts w:hint="eastAsia" w:ascii="仿宋_GB2312" w:hAnsi="仿宋_GB2312" w:eastAsia="仿宋_GB2312" w:cs="仿宋_GB2312"/>
                <w:color w:val="auto"/>
                <w:sz w:val="24"/>
                <w:szCs w:val="24"/>
              </w:rPr>
            </w:pPr>
          </w:p>
        </w:tc>
        <w:tc>
          <w:tcPr>
            <w:tcW w:w="0" w:type="auto"/>
            <w:vAlign w:val="center"/>
          </w:tcPr>
          <w:p w14:paraId="6FC0410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▲厂家升级软件与扩容服务</w:t>
            </w:r>
          </w:p>
        </w:tc>
        <w:tc>
          <w:tcPr>
            <w:tcW w:w="0" w:type="auto"/>
            <w:vAlign w:val="center"/>
          </w:tcPr>
          <w:p w14:paraId="725776D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供应商提供上门升级部件/软件与扩容的增值服务</w:t>
            </w:r>
          </w:p>
        </w:tc>
      </w:tr>
      <w:tr w14:paraId="7101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99755C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174</w:t>
            </w:r>
          </w:p>
        </w:tc>
        <w:tc>
          <w:tcPr>
            <w:tcW w:w="0" w:type="auto"/>
            <w:vMerge w:val="continue"/>
            <w:vAlign w:val="center"/>
          </w:tcPr>
          <w:p w14:paraId="10001720">
            <w:pPr>
              <w:pStyle w:val="6"/>
              <w:rPr>
                <w:rFonts w:hint="eastAsia" w:ascii="仿宋_GB2312" w:hAnsi="仿宋_GB2312" w:eastAsia="仿宋_GB2312" w:cs="仿宋_GB2312"/>
                <w:color w:val="auto"/>
                <w:sz w:val="24"/>
                <w:szCs w:val="24"/>
              </w:rPr>
            </w:pPr>
          </w:p>
        </w:tc>
        <w:tc>
          <w:tcPr>
            <w:tcW w:w="0" w:type="auto"/>
            <w:vAlign w:val="center"/>
          </w:tcPr>
          <w:p w14:paraId="3134516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▲整机质量服务要求</w:t>
            </w:r>
          </w:p>
        </w:tc>
        <w:tc>
          <w:tcPr>
            <w:tcW w:w="0" w:type="auto"/>
            <w:vAlign w:val="center"/>
          </w:tcPr>
          <w:p w14:paraId="6DD991A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免费服务周期（含换件和维修）应不小于 3 年</w:t>
            </w:r>
          </w:p>
        </w:tc>
      </w:tr>
      <w:tr w14:paraId="1943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10C2BC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175</w:t>
            </w:r>
          </w:p>
        </w:tc>
        <w:tc>
          <w:tcPr>
            <w:tcW w:w="0" w:type="auto"/>
            <w:vMerge w:val="continue"/>
            <w:vAlign w:val="center"/>
          </w:tcPr>
          <w:p w14:paraId="3D1BB7D5">
            <w:pPr>
              <w:pStyle w:val="6"/>
              <w:rPr>
                <w:rFonts w:hint="eastAsia" w:ascii="仿宋_GB2312" w:hAnsi="仿宋_GB2312" w:eastAsia="仿宋_GB2312" w:cs="仿宋_GB2312"/>
                <w:color w:val="auto"/>
                <w:sz w:val="24"/>
                <w:szCs w:val="24"/>
              </w:rPr>
            </w:pPr>
          </w:p>
        </w:tc>
        <w:tc>
          <w:tcPr>
            <w:tcW w:w="0" w:type="auto"/>
            <w:vAlign w:val="center"/>
          </w:tcPr>
          <w:p w14:paraId="59BC0F4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▲合格证书要求</w:t>
            </w:r>
          </w:p>
        </w:tc>
        <w:tc>
          <w:tcPr>
            <w:tcW w:w="0" w:type="auto"/>
            <w:vAlign w:val="center"/>
          </w:tcPr>
          <w:p w14:paraId="1C56C01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供应商提供产品合格证</w:t>
            </w:r>
          </w:p>
        </w:tc>
      </w:tr>
      <w:tr w14:paraId="4136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A00397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176</w:t>
            </w:r>
          </w:p>
        </w:tc>
        <w:tc>
          <w:tcPr>
            <w:tcW w:w="0" w:type="auto"/>
            <w:vMerge w:val="continue"/>
            <w:vAlign w:val="center"/>
          </w:tcPr>
          <w:p w14:paraId="57B4E801">
            <w:pPr>
              <w:pStyle w:val="6"/>
              <w:rPr>
                <w:rFonts w:hint="eastAsia" w:ascii="仿宋_GB2312" w:hAnsi="仿宋_GB2312" w:eastAsia="仿宋_GB2312" w:cs="仿宋_GB2312"/>
                <w:color w:val="auto"/>
                <w:sz w:val="24"/>
                <w:szCs w:val="24"/>
              </w:rPr>
            </w:pPr>
          </w:p>
        </w:tc>
        <w:tc>
          <w:tcPr>
            <w:tcW w:w="0" w:type="auto"/>
            <w:vAlign w:val="center"/>
          </w:tcPr>
          <w:p w14:paraId="18EF2E4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▲开箱组装/使用指导要求</w:t>
            </w:r>
          </w:p>
        </w:tc>
        <w:tc>
          <w:tcPr>
            <w:tcW w:w="0" w:type="auto"/>
            <w:vAlign w:val="center"/>
          </w:tcPr>
          <w:p w14:paraId="3422D87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供应商提供开箱组装/使用指导</w:t>
            </w:r>
          </w:p>
        </w:tc>
      </w:tr>
      <w:tr w14:paraId="4E56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F25560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177</w:t>
            </w:r>
          </w:p>
        </w:tc>
        <w:tc>
          <w:tcPr>
            <w:tcW w:w="0" w:type="auto"/>
            <w:vMerge w:val="continue"/>
            <w:vAlign w:val="center"/>
          </w:tcPr>
          <w:p w14:paraId="48ABFC79">
            <w:pPr>
              <w:pStyle w:val="6"/>
              <w:rPr>
                <w:rFonts w:hint="eastAsia" w:ascii="仿宋_GB2312" w:hAnsi="仿宋_GB2312" w:eastAsia="仿宋_GB2312" w:cs="仿宋_GB2312"/>
                <w:color w:val="auto"/>
                <w:sz w:val="24"/>
                <w:szCs w:val="24"/>
              </w:rPr>
            </w:pPr>
          </w:p>
        </w:tc>
        <w:tc>
          <w:tcPr>
            <w:tcW w:w="0" w:type="auto"/>
            <w:vAlign w:val="center"/>
          </w:tcPr>
          <w:p w14:paraId="1FC7183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▲驱动下载服务要求</w:t>
            </w:r>
          </w:p>
        </w:tc>
        <w:tc>
          <w:tcPr>
            <w:tcW w:w="0" w:type="auto"/>
            <w:vAlign w:val="center"/>
          </w:tcPr>
          <w:p w14:paraId="06ED2A3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供应商提供驱动光盘或下载方式</w:t>
            </w:r>
          </w:p>
        </w:tc>
      </w:tr>
      <w:tr w14:paraId="7F8E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3C1185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178</w:t>
            </w:r>
          </w:p>
        </w:tc>
        <w:tc>
          <w:tcPr>
            <w:tcW w:w="0" w:type="auto"/>
            <w:vMerge w:val="continue"/>
            <w:vAlign w:val="center"/>
          </w:tcPr>
          <w:p w14:paraId="406A6185">
            <w:pPr>
              <w:pStyle w:val="6"/>
              <w:rPr>
                <w:rFonts w:hint="eastAsia" w:ascii="仿宋_GB2312" w:hAnsi="仿宋_GB2312" w:eastAsia="仿宋_GB2312" w:cs="仿宋_GB2312"/>
                <w:color w:val="auto"/>
                <w:sz w:val="24"/>
                <w:szCs w:val="24"/>
              </w:rPr>
            </w:pPr>
          </w:p>
        </w:tc>
        <w:tc>
          <w:tcPr>
            <w:tcW w:w="0" w:type="auto"/>
            <w:vAlign w:val="center"/>
          </w:tcPr>
          <w:p w14:paraId="3837DCE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▲兼容适配软件下载服务要求</w:t>
            </w:r>
          </w:p>
        </w:tc>
        <w:tc>
          <w:tcPr>
            <w:tcW w:w="0" w:type="auto"/>
            <w:vAlign w:val="center"/>
          </w:tcPr>
          <w:p w14:paraId="66EEAF9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供应商提供兼容适配软件下载渠道（光盘、网站）</w:t>
            </w:r>
          </w:p>
        </w:tc>
      </w:tr>
      <w:tr w14:paraId="2C24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EF59A8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179</w:t>
            </w:r>
          </w:p>
        </w:tc>
        <w:tc>
          <w:tcPr>
            <w:tcW w:w="0" w:type="auto"/>
            <w:vMerge w:val="continue"/>
            <w:vAlign w:val="center"/>
          </w:tcPr>
          <w:p w14:paraId="0E934A4B">
            <w:pPr>
              <w:pStyle w:val="6"/>
              <w:rPr>
                <w:rFonts w:hint="eastAsia" w:ascii="仿宋_GB2312" w:hAnsi="仿宋_GB2312" w:eastAsia="仿宋_GB2312" w:cs="仿宋_GB2312"/>
                <w:color w:val="auto"/>
                <w:sz w:val="24"/>
                <w:szCs w:val="24"/>
              </w:rPr>
            </w:pPr>
          </w:p>
        </w:tc>
        <w:tc>
          <w:tcPr>
            <w:tcW w:w="0" w:type="auto"/>
            <w:vAlign w:val="center"/>
          </w:tcPr>
          <w:p w14:paraId="1051496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跨架构平台应用兼容</w:t>
            </w:r>
          </w:p>
        </w:tc>
        <w:tc>
          <w:tcPr>
            <w:tcW w:w="0" w:type="auto"/>
            <w:vAlign w:val="center"/>
          </w:tcPr>
          <w:p w14:paraId="0FF015C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66A8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98C45F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180</w:t>
            </w:r>
          </w:p>
        </w:tc>
        <w:tc>
          <w:tcPr>
            <w:tcW w:w="0" w:type="auto"/>
            <w:vAlign w:val="center"/>
          </w:tcPr>
          <w:p w14:paraId="7AFEA61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▲供应链合规性</w:t>
            </w:r>
          </w:p>
        </w:tc>
        <w:tc>
          <w:tcPr>
            <w:tcW w:w="0" w:type="auto"/>
            <w:vAlign w:val="center"/>
          </w:tcPr>
          <w:p w14:paraId="7A307E0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▲产品部件保障</w:t>
            </w:r>
          </w:p>
        </w:tc>
        <w:tc>
          <w:tcPr>
            <w:tcW w:w="0" w:type="auto"/>
            <w:vAlign w:val="center"/>
          </w:tcPr>
          <w:p w14:paraId="31EC7D2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供应商保障产品主要部件，提供 6 年的备件服务能力（自购买之日起），或提供可兼容原设备的升级换代产品</w:t>
            </w:r>
          </w:p>
        </w:tc>
      </w:tr>
      <w:tr w14:paraId="7DF4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722E1C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w:t>
            </w:r>
          </w:p>
        </w:tc>
        <w:tc>
          <w:tcPr>
            <w:tcW w:w="0" w:type="auto"/>
            <w:vMerge w:val="restart"/>
            <w:vAlign w:val="center"/>
          </w:tcPr>
          <w:p w14:paraId="553940C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▲供应链质量</w:t>
            </w:r>
          </w:p>
        </w:tc>
        <w:tc>
          <w:tcPr>
            <w:tcW w:w="0" w:type="auto"/>
            <w:vAlign w:val="center"/>
          </w:tcPr>
          <w:p w14:paraId="1FE3D96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▲抗干扰性</w:t>
            </w:r>
          </w:p>
        </w:tc>
        <w:tc>
          <w:tcPr>
            <w:tcW w:w="0" w:type="auto"/>
            <w:vAlign w:val="center"/>
          </w:tcPr>
          <w:p w14:paraId="5F853DA9">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当产品部件出现供应风险时，供应商应通知采购人并提供风险应对方案确保产品的服务保障</w:t>
            </w:r>
          </w:p>
        </w:tc>
      </w:tr>
      <w:tr w14:paraId="52F9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C3E5FB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w:t>
            </w:r>
          </w:p>
        </w:tc>
        <w:tc>
          <w:tcPr>
            <w:tcW w:w="0" w:type="auto"/>
            <w:vMerge w:val="continue"/>
            <w:vAlign w:val="center"/>
          </w:tcPr>
          <w:p w14:paraId="6265CE7F">
            <w:pPr>
              <w:pStyle w:val="6"/>
              <w:rPr>
                <w:rFonts w:hint="eastAsia" w:ascii="仿宋_GB2312" w:hAnsi="仿宋_GB2312" w:eastAsia="仿宋_GB2312" w:cs="仿宋_GB2312"/>
                <w:color w:val="auto"/>
                <w:sz w:val="24"/>
                <w:szCs w:val="24"/>
              </w:rPr>
            </w:pPr>
          </w:p>
        </w:tc>
        <w:tc>
          <w:tcPr>
            <w:tcW w:w="0" w:type="auto"/>
            <w:vAlign w:val="center"/>
          </w:tcPr>
          <w:p w14:paraId="5010985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▲供应能力证明</w:t>
            </w:r>
          </w:p>
        </w:tc>
        <w:tc>
          <w:tcPr>
            <w:tcW w:w="0" w:type="auto"/>
            <w:vAlign w:val="center"/>
          </w:tcPr>
          <w:p w14:paraId="406CA7B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供应商提供供应链稳定承诺书，确保产品的部件在产品服务周期内稳定供货</w:t>
            </w:r>
          </w:p>
        </w:tc>
      </w:tr>
      <w:tr w14:paraId="7ED0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5379BC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183</w:t>
            </w:r>
          </w:p>
        </w:tc>
        <w:tc>
          <w:tcPr>
            <w:tcW w:w="0" w:type="auto"/>
            <w:vAlign w:val="center"/>
          </w:tcPr>
          <w:p w14:paraId="117FCC6D">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▲关键部件安全要求</w:t>
            </w:r>
          </w:p>
        </w:tc>
        <w:tc>
          <w:tcPr>
            <w:tcW w:w="0" w:type="auto"/>
            <w:vAlign w:val="center"/>
          </w:tcPr>
          <w:p w14:paraId="702F39E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▲关键部件安全要求</w:t>
            </w:r>
          </w:p>
        </w:tc>
        <w:tc>
          <w:tcPr>
            <w:tcW w:w="0" w:type="auto"/>
            <w:vAlign w:val="center"/>
          </w:tcPr>
          <w:p w14:paraId="243C5A87">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343C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A93F1F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184</w:t>
            </w:r>
          </w:p>
        </w:tc>
        <w:tc>
          <w:tcPr>
            <w:tcW w:w="0" w:type="auto"/>
            <w:vMerge w:val="restart"/>
            <w:vAlign w:val="center"/>
          </w:tcPr>
          <w:p w14:paraId="1358D2E1">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▲整机安全性要求</w:t>
            </w:r>
          </w:p>
        </w:tc>
        <w:tc>
          <w:tcPr>
            <w:tcW w:w="0" w:type="auto"/>
            <w:vAlign w:val="center"/>
          </w:tcPr>
          <w:p w14:paraId="3A57D5B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▲密码算法实现</w:t>
            </w:r>
          </w:p>
        </w:tc>
        <w:tc>
          <w:tcPr>
            <w:tcW w:w="0" w:type="auto"/>
            <w:vAlign w:val="center"/>
          </w:tcPr>
          <w:p w14:paraId="424889F9">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不涉及</w:t>
            </w:r>
          </w:p>
        </w:tc>
      </w:tr>
      <w:tr w14:paraId="25FB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17E279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185</w:t>
            </w:r>
          </w:p>
        </w:tc>
        <w:tc>
          <w:tcPr>
            <w:tcW w:w="0" w:type="auto"/>
            <w:vMerge w:val="continue"/>
            <w:vAlign w:val="center"/>
          </w:tcPr>
          <w:p w14:paraId="3BEE6150">
            <w:pPr>
              <w:pStyle w:val="6"/>
              <w:rPr>
                <w:rFonts w:hint="eastAsia" w:ascii="仿宋_GB2312" w:hAnsi="仿宋_GB2312" w:eastAsia="仿宋_GB2312" w:cs="仿宋_GB2312"/>
                <w:color w:val="auto"/>
                <w:sz w:val="24"/>
                <w:szCs w:val="24"/>
              </w:rPr>
            </w:pPr>
          </w:p>
        </w:tc>
        <w:tc>
          <w:tcPr>
            <w:tcW w:w="0" w:type="auto"/>
            <w:vAlign w:val="center"/>
          </w:tcPr>
          <w:p w14:paraId="46BF526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USB 端口管控</w:t>
            </w:r>
          </w:p>
        </w:tc>
        <w:tc>
          <w:tcPr>
            <w:tcW w:w="0" w:type="auto"/>
            <w:vAlign w:val="center"/>
          </w:tcPr>
          <w:p w14:paraId="1D31FB6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USB 端口管控</w:t>
            </w:r>
          </w:p>
        </w:tc>
      </w:tr>
      <w:tr w14:paraId="5D5C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DD8FCC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186</w:t>
            </w:r>
          </w:p>
        </w:tc>
        <w:tc>
          <w:tcPr>
            <w:tcW w:w="0" w:type="auto"/>
            <w:vMerge w:val="continue"/>
            <w:vAlign w:val="center"/>
          </w:tcPr>
          <w:p w14:paraId="083EFDB1">
            <w:pPr>
              <w:pStyle w:val="6"/>
              <w:rPr>
                <w:rFonts w:hint="eastAsia" w:ascii="仿宋_GB2312" w:hAnsi="仿宋_GB2312" w:eastAsia="仿宋_GB2312" w:cs="仿宋_GB2312"/>
                <w:color w:val="auto"/>
                <w:sz w:val="24"/>
                <w:szCs w:val="24"/>
              </w:rPr>
            </w:pPr>
          </w:p>
        </w:tc>
        <w:tc>
          <w:tcPr>
            <w:tcW w:w="0" w:type="auto"/>
            <w:vAlign w:val="center"/>
          </w:tcPr>
          <w:p w14:paraId="53868F2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安全物理锁</w:t>
            </w:r>
          </w:p>
        </w:tc>
        <w:tc>
          <w:tcPr>
            <w:tcW w:w="0" w:type="auto"/>
            <w:vAlign w:val="center"/>
          </w:tcPr>
          <w:p w14:paraId="6686DC24">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支持安全物理锁</w:t>
            </w:r>
          </w:p>
        </w:tc>
      </w:tr>
      <w:tr w14:paraId="0525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E8ED83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187</w:t>
            </w:r>
          </w:p>
        </w:tc>
        <w:tc>
          <w:tcPr>
            <w:tcW w:w="0" w:type="auto"/>
            <w:vMerge w:val="continue"/>
            <w:vAlign w:val="center"/>
          </w:tcPr>
          <w:p w14:paraId="34D1C963">
            <w:pPr>
              <w:pStyle w:val="6"/>
              <w:rPr>
                <w:rFonts w:hint="eastAsia" w:ascii="仿宋_GB2312" w:hAnsi="仿宋_GB2312" w:eastAsia="仿宋_GB2312" w:cs="仿宋_GB2312"/>
                <w:color w:val="auto"/>
                <w:sz w:val="24"/>
                <w:szCs w:val="24"/>
              </w:rPr>
            </w:pPr>
          </w:p>
        </w:tc>
        <w:tc>
          <w:tcPr>
            <w:tcW w:w="0" w:type="auto"/>
            <w:vAlign w:val="center"/>
          </w:tcPr>
          <w:p w14:paraId="5C9FD5C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▲信息安全基本要求</w:t>
            </w:r>
          </w:p>
        </w:tc>
        <w:tc>
          <w:tcPr>
            <w:tcW w:w="0" w:type="auto"/>
            <w:vAlign w:val="center"/>
          </w:tcPr>
          <w:p w14:paraId="7BF546F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 产品应符合 GB/T 39276 的 5.2 的规定；</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b) 生产厂商应建立漏洞跟踪表，保证产品版本涉及到的漏洞(如驱动程序等)可查看；</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c) 产品不得包含已知的恶意代码或漏洞，不存在未声明的指令、功能、接口</w:t>
            </w:r>
          </w:p>
        </w:tc>
      </w:tr>
      <w:tr w14:paraId="5408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348C6F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188</w:t>
            </w:r>
          </w:p>
        </w:tc>
        <w:tc>
          <w:tcPr>
            <w:tcW w:w="0" w:type="auto"/>
            <w:vMerge w:val="continue"/>
            <w:vAlign w:val="center"/>
          </w:tcPr>
          <w:p w14:paraId="45237849">
            <w:pPr>
              <w:pStyle w:val="6"/>
              <w:rPr>
                <w:rFonts w:hint="eastAsia" w:ascii="仿宋_GB2312" w:hAnsi="仿宋_GB2312" w:eastAsia="仿宋_GB2312" w:cs="仿宋_GB2312"/>
                <w:color w:val="auto"/>
                <w:sz w:val="24"/>
                <w:szCs w:val="24"/>
              </w:rPr>
            </w:pPr>
          </w:p>
        </w:tc>
        <w:tc>
          <w:tcPr>
            <w:tcW w:w="0" w:type="auto"/>
            <w:vAlign w:val="center"/>
          </w:tcPr>
          <w:p w14:paraId="2212CE3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▲固件安全启动</w:t>
            </w:r>
          </w:p>
        </w:tc>
        <w:tc>
          <w:tcPr>
            <w:tcW w:w="0" w:type="auto"/>
            <w:vAlign w:val="center"/>
          </w:tcPr>
          <w:p w14:paraId="43F175CA">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支持固件安全启动功能，固件启动过程中只有通过启动校验才能正常启动</w:t>
            </w:r>
          </w:p>
        </w:tc>
      </w:tr>
      <w:tr w14:paraId="6772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AB4B61F">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189</w:t>
            </w:r>
          </w:p>
        </w:tc>
        <w:tc>
          <w:tcPr>
            <w:tcW w:w="0" w:type="auto"/>
            <w:vMerge w:val="continue"/>
            <w:vAlign w:val="center"/>
          </w:tcPr>
          <w:p w14:paraId="4C6E81F7">
            <w:pPr>
              <w:pStyle w:val="6"/>
              <w:rPr>
                <w:rFonts w:hint="eastAsia" w:ascii="仿宋_GB2312" w:hAnsi="仿宋_GB2312" w:eastAsia="仿宋_GB2312" w:cs="仿宋_GB2312"/>
                <w:color w:val="auto"/>
                <w:sz w:val="24"/>
                <w:szCs w:val="24"/>
              </w:rPr>
            </w:pPr>
          </w:p>
        </w:tc>
        <w:tc>
          <w:tcPr>
            <w:tcW w:w="0" w:type="auto"/>
            <w:vAlign w:val="center"/>
          </w:tcPr>
          <w:p w14:paraId="40A6C4F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▲限用物质的限量要求</w:t>
            </w:r>
          </w:p>
        </w:tc>
        <w:tc>
          <w:tcPr>
            <w:tcW w:w="0" w:type="auto"/>
            <w:vAlign w:val="center"/>
          </w:tcPr>
          <w:p w14:paraId="38CCC2A3">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GB/T 26572 中规定</w:t>
            </w:r>
          </w:p>
        </w:tc>
      </w:tr>
      <w:tr w14:paraId="234F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72E084FA">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190</w:t>
            </w:r>
          </w:p>
        </w:tc>
        <w:tc>
          <w:tcPr>
            <w:tcW w:w="0" w:type="auto"/>
            <w:vMerge w:val="restart"/>
            <w:vAlign w:val="center"/>
          </w:tcPr>
          <w:p w14:paraId="3B041468">
            <w:pPr>
              <w:pStyle w:val="6"/>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硬盘保护套件</w:t>
            </w:r>
          </w:p>
        </w:tc>
        <w:tc>
          <w:tcPr>
            <w:tcW w:w="0" w:type="auto"/>
            <w:vAlign w:val="center"/>
          </w:tcPr>
          <w:p w14:paraId="40B34A38">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兼容性</w:t>
            </w:r>
          </w:p>
        </w:tc>
        <w:tc>
          <w:tcPr>
            <w:tcW w:w="0" w:type="auto"/>
            <w:vAlign w:val="center"/>
          </w:tcPr>
          <w:p w14:paraId="19216014">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原厂预装同品牌硬盘保护套件（出厂预装，不接受后加软件）</w:t>
            </w:r>
          </w:p>
        </w:tc>
      </w:tr>
      <w:tr w14:paraId="1184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13FB906">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191</w:t>
            </w:r>
          </w:p>
        </w:tc>
        <w:tc>
          <w:tcPr>
            <w:tcW w:w="0" w:type="auto"/>
            <w:vMerge w:val="continue"/>
            <w:vAlign w:val="center"/>
          </w:tcPr>
          <w:p w14:paraId="705EBD49">
            <w:pPr>
              <w:pStyle w:val="6"/>
              <w:rPr>
                <w:rFonts w:hint="eastAsia" w:ascii="仿宋_GB2312" w:hAnsi="仿宋_GB2312" w:eastAsia="仿宋_GB2312" w:cs="仿宋_GB2312"/>
                <w:color w:val="auto"/>
                <w:kern w:val="0"/>
                <w:sz w:val="24"/>
                <w:szCs w:val="24"/>
              </w:rPr>
            </w:pPr>
          </w:p>
        </w:tc>
        <w:tc>
          <w:tcPr>
            <w:tcW w:w="0" w:type="auto"/>
            <w:vAlign w:val="center"/>
          </w:tcPr>
          <w:p w14:paraId="3F99D9C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底层架构</w:t>
            </w:r>
          </w:p>
        </w:tc>
        <w:tc>
          <w:tcPr>
            <w:tcW w:w="0" w:type="auto"/>
          </w:tcPr>
          <w:p w14:paraId="5BB9CBC1">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所有功能全部架构基于Windows平台，简单易懂，方便操作；</w:t>
            </w:r>
          </w:p>
        </w:tc>
      </w:tr>
      <w:tr w14:paraId="22C5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457A374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192</w:t>
            </w:r>
          </w:p>
        </w:tc>
        <w:tc>
          <w:tcPr>
            <w:tcW w:w="0" w:type="auto"/>
            <w:vMerge w:val="continue"/>
            <w:vAlign w:val="center"/>
          </w:tcPr>
          <w:p w14:paraId="09B65F82">
            <w:pPr>
              <w:pStyle w:val="6"/>
              <w:rPr>
                <w:rFonts w:hint="eastAsia" w:ascii="仿宋_GB2312" w:hAnsi="仿宋_GB2312" w:eastAsia="仿宋_GB2312" w:cs="仿宋_GB2312"/>
                <w:color w:val="auto"/>
                <w:kern w:val="0"/>
                <w:sz w:val="24"/>
                <w:szCs w:val="24"/>
              </w:rPr>
            </w:pPr>
          </w:p>
        </w:tc>
        <w:tc>
          <w:tcPr>
            <w:tcW w:w="0" w:type="auto"/>
            <w:vAlign w:val="center"/>
          </w:tcPr>
          <w:p w14:paraId="5835397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双硬盘保护同传</w:t>
            </w:r>
          </w:p>
        </w:tc>
        <w:tc>
          <w:tcPr>
            <w:tcW w:w="0" w:type="auto"/>
          </w:tcPr>
          <w:p w14:paraId="625E35EF">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支持双硬盘保护同传（各种规格的SSD及机械硬盘），双硬盘环境混合硬盘跨硬盘安装多操作系统；</w:t>
            </w:r>
          </w:p>
        </w:tc>
      </w:tr>
      <w:tr w14:paraId="5C3B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082EC6B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193</w:t>
            </w:r>
          </w:p>
        </w:tc>
        <w:tc>
          <w:tcPr>
            <w:tcW w:w="0" w:type="auto"/>
            <w:vMerge w:val="continue"/>
            <w:vAlign w:val="center"/>
          </w:tcPr>
          <w:p w14:paraId="1FCC994B">
            <w:pPr>
              <w:pStyle w:val="6"/>
              <w:rPr>
                <w:rFonts w:hint="eastAsia" w:ascii="仿宋_GB2312" w:hAnsi="仿宋_GB2312" w:eastAsia="仿宋_GB2312" w:cs="仿宋_GB2312"/>
                <w:color w:val="auto"/>
                <w:kern w:val="0"/>
                <w:sz w:val="24"/>
                <w:szCs w:val="24"/>
              </w:rPr>
            </w:pPr>
          </w:p>
        </w:tc>
        <w:tc>
          <w:tcPr>
            <w:tcW w:w="0" w:type="auto"/>
            <w:vAlign w:val="center"/>
          </w:tcPr>
          <w:p w14:paraId="6A36BD2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操作系统</w:t>
            </w:r>
          </w:p>
        </w:tc>
        <w:tc>
          <w:tcPr>
            <w:tcW w:w="0" w:type="auto"/>
          </w:tcPr>
          <w:p w14:paraId="4ACE4E3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最多支持创建64个操作系统，可隐藏操作系统不让使用，支持数据分区自动清除，支持共享保护分区；</w:t>
            </w:r>
          </w:p>
        </w:tc>
      </w:tr>
      <w:tr w14:paraId="2CE9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13B55558">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194</w:t>
            </w:r>
          </w:p>
        </w:tc>
        <w:tc>
          <w:tcPr>
            <w:tcW w:w="0" w:type="auto"/>
            <w:vMerge w:val="continue"/>
            <w:vAlign w:val="center"/>
          </w:tcPr>
          <w:p w14:paraId="1F0D700E">
            <w:pPr>
              <w:pStyle w:val="6"/>
              <w:rPr>
                <w:rFonts w:hint="eastAsia" w:ascii="仿宋_GB2312" w:hAnsi="仿宋_GB2312" w:eastAsia="仿宋_GB2312" w:cs="仿宋_GB2312"/>
                <w:color w:val="auto"/>
                <w:kern w:val="0"/>
                <w:sz w:val="24"/>
                <w:szCs w:val="24"/>
              </w:rPr>
            </w:pPr>
          </w:p>
        </w:tc>
        <w:tc>
          <w:tcPr>
            <w:tcW w:w="0" w:type="auto"/>
            <w:vAlign w:val="center"/>
          </w:tcPr>
          <w:p w14:paraId="726016B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树状多点还原</w:t>
            </w:r>
          </w:p>
        </w:tc>
        <w:tc>
          <w:tcPr>
            <w:tcW w:w="0" w:type="auto"/>
          </w:tcPr>
          <w:p w14:paraId="12BCBA6D">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采用树状多点还原技术，最高支持建立254个还原点，每个还原点皆各自独立； </w:t>
            </w:r>
          </w:p>
        </w:tc>
      </w:tr>
      <w:tr w14:paraId="1619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1AAD7DFD">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195</w:t>
            </w:r>
          </w:p>
        </w:tc>
        <w:tc>
          <w:tcPr>
            <w:tcW w:w="0" w:type="auto"/>
            <w:vMerge w:val="continue"/>
            <w:vAlign w:val="center"/>
          </w:tcPr>
          <w:p w14:paraId="47A6B190">
            <w:pPr>
              <w:pStyle w:val="6"/>
              <w:rPr>
                <w:rFonts w:hint="eastAsia" w:ascii="仿宋_GB2312" w:hAnsi="仿宋_GB2312" w:eastAsia="仿宋_GB2312" w:cs="仿宋_GB2312"/>
                <w:color w:val="auto"/>
                <w:kern w:val="0"/>
                <w:sz w:val="24"/>
                <w:szCs w:val="24"/>
              </w:rPr>
            </w:pPr>
          </w:p>
        </w:tc>
        <w:tc>
          <w:tcPr>
            <w:tcW w:w="0" w:type="auto"/>
            <w:vAlign w:val="center"/>
          </w:tcPr>
          <w:p w14:paraId="5A46B49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网络同传</w:t>
            </w:r>
          </w:p>
        </w:tc>
        <w:tc>
          <w:tcPr>
            <w:tcW w:w="0" w:type="auto"/>
          </w:tcPr>
          <w:p w14:paraId="4DD4A9BA">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支持网络同传功能，可方便快速的进行远程系统部署并监控客户端的网卡发包率，硬盘读写速度（提供功能截图证明）；</w:t>
            </w:r>
          </w:p>
        </w:tc>
      </w:tr>
      <w:tr w14:paraId="2CC0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4AA4CE48">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196</w:t>
            </w:r>
          </w:p>
        </w:tc>
        <w:tc>
          <w:tcPr>
            <w:tcW w:w="0" w:type="auto"/>
            <w:vMerge w:val="continue"/>
            <w:vAlign w:val="center"/>
          </w:tcPr>
          <w:p w14:paraId="4C02A88A">
            <w:pPr>
              <w:pStyle w:val="6"/>
              <w:rPr>
                <w:rFonts w:hint="eastAsia" w:ascii="仿宋_GB2312" w:hAnsi="仿宋_GB2312" w:eastAsia="仿宋_GB2312" w:cs="仿宋_GB2312"/>
                <w:color w:val="auto"/>
                <w:kern w:val="0"/>
                <w:sz w:val="24"/>
                <w:szCs w:val="24"/>
              </w:rPr>
            </w:pPr>
          </w:p>
        </w:tc>
        <w:tc>
          <w:tcPr>
            <w:tcW w:w="0" w:type="auto"/>
            <w:vAlign w:val="center"/>
          </w:tcPr>
          <w:p w14:paraId="2567C9DB">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远程功能</w:t>
            </w:r>
          </w:p>
        </w:tc>
        <w:tc>
          <w:tcPr>
            <w:tcW w:w="0" w:type="auto"/>
          </w:tcPr>
          <w:p w14:paraId="705D1F9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支持远程喚醒、远程重新启动、远程关机功能（提供功能截图证明）；</w:t>
            </w:r>
          </w:p>
        </w:tc>
      </w:tr>
      <w:tr w14:paraId="62F8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058E78C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197</w:t>
            </w:r>
          </w:p>
        </w:tc>
        <w:tc>
          <w:tcPr>
            <w:tcW w:w="0" w:type="auto"/>
            <w:vMerge w:val="continue"/>
            <w:vAlign w:val="center"/>
          </w:tcPr>
          <w:p w14:paraId="225B97E8">
            <w:pPr>
              <w:pStyle w:val="6"/>
              <w:rPr>
                <w:rFonts w:hint="eastAsia" w:ascii="仿宋_GB2312" w:hAnsi="仿宋_GB2312" w:eastAsia="仿宋_GB2312" w:cs="仿宋_GB2312"/>
                <w:color w:val="auto"/>
                <w:kern w:val="0"/>
                <w:sz w:val="24"/>
                <w:szCs w:val="24"/>
              </w:rPr>
            </w:pPr>
          </w:p>
        </w:tc>
        <w:tc>
          <w:tcPr>
            <w:tcW w:w="0" w:type="auto"/>
            <w:vAlign w:val="center"/>
          </w:tcPr>
          <w:p w14:paraId="4F2C8012">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网页过滤</w:t>
            </w:r>
          </w:p>
        </w:tc>
        <w:tc>
          <w:tcPr>
            <w:tcW w:w="0" w:type="auto"/>
          </w:tcPr>
          <w:p w14:paraId="5EE7602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网页过滤功能，可控制客户端是否能上网，或者设定机房内计算机内外网的访问黑白名单（提供功能截图证明）；</w:t>
            </w:r>
          </w:p>
        </w:tc>
      </w:tr>
      <w:tr w14:paraId="33ED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44C5CB9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198</w:t>
            </w:r>
          </w:p>
        </w:tc>
        <w:tc>
          <w:tcPr>
            <w:tcW w:w="0" w:type="auto"/>
            <w:vMerge w:val="continue"/>
            <w:vAlign w:val="center"/>
          </w:tcPr>
          <w:p w14:paraId="2FA9D8D4">
            <w:pPr>
              <w:pStyle w:val="6"/>
              <w:rPr>
                <w:rFonts w:hint="eastAsia" w:ascii="仿宋_GB2312" w:hAnsi="仿宋_GB2312" w:eastAsia="仿宋_GB2312" w:cs="仿宋_GB2312"/>
                <w:color w:val="auto"/>
                <w:kern w:val="0"/>
                <w:sz w:val="24"/>
                <w:szCs w:val="24"/>
              </w:rPr>
            </w:pPr>
          </w:p>
        </w:tc>
        <w:tc>
          <w:tcPr>
            <w:tcW w:w="0" w:type="auto"/>
            <w:vAlign w:val="center"/>
          </w:tcPr>
          <w:p w14:paraId="74EDA157">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智能定位</w:t>
            </w:r>
          </w:p>
        </w:tc>
        <w:tc>
          <w:tcPr>
            <w:tcW w:w="0" w:type="auto"/>
          </w:tcPr>
          <w:p w14:paraId="1230FDE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支持智能定位故障及功能，可监测网卡丢包率、硬盘读写率、最慢机IP，自动调节延迟；</w:t>
            </w:r>
          </w:p>
        </w:tc>
      </w:tr>
      <w:tr w14:paraId="6D51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870CDA1">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199</w:t>
            </w:r>
          </w:p>
        </w:tc>
        <w:tc>
          <w:tcPr>
            <w:tcW w:w="0" w:type="auto"/>
            <w:vMerge w:val="continue"/>
            <w:vAlign w:val="center"/>
          </w:tcPr>
          <w:p w14:paraId="266CDA8C">
            <w:pPr>
              <w:pStyle w:val="6"/>
              <w:rPr>
                <w:rFonts w:hint="eastAsia" w:ascii="仿宋_GB2312" w:hAnsi="仿宋_GB2312" w:eastAsia="仿宋_GB2312" w:cs="仿宋_GB2312"/>
                <w:color w:val="auto"/>
                <w:kern w:val="0"/>
                <w:sz w:val="24"/>
                <w:szCs w:val="24"/>
              </w:rPr>
            </w:pPr>
          </w:p>
        </w:tc>
        <w:tc>
          <w:tcPr>
            <w:tcW w:w="0" w:type="auto"/>
            <w:vAlign w:val="center"/>
          </w:tcPr>
          <w:p w14:paraId="16349B45">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外设管控</w:t>
            </w:r>
          </w:p>
        </w:tc>
        <w:tc>
          <w:tcPr>
            <w:tcW w:w="0" w:type="auto"/>
          </w:tcPr>
          <w:p w14:paraId="03427D86">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支持客户端禁止使用USB、DVD/CD-ROM存储设备（提供功能截图证明）；</w:t>
            </w:r>
          </w:p>
        </w:tc>
      </w:tr>
      <w:tr w14:paraId="218A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13B0354B">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w:t>
            </w:r>
          </w:p>
        </w:tc>
        <w:tc>
          <w:tcPr>
            <w:tcW w:w="0" w:type="auto"/>
            <w:vMerge w:val="continue"/>
            <w:vAlign w:val="center"/>
          </w:tcPr>
          <w:p w14:paraId="48C28D69">
            <w:pPr>
              <w:pStyle w:val="6"/>
              <w:rPr>
                <w:rFonts w:hint="eastAsia" w:ascii="仿宋_GB2312" w:hAnsi="仿宋_GB2312" w:eastAsia="仿宋_GB2312" w:cs="仿宋_GB2312"/>
                <w:color w:val="auto"/>
                <w:kern w:val="0"/>
                <w:sz w:val="24"/>
                <w:szCs w:val="24"/>
              </w:rPr>
            </w:pPr>
          </w:p>
        </w:tc>
        <w:tc>
          <w:tcPr>
            <w:tcW w:w="0" w:type="auto"/>
            <w:vAlign w:val="center"/>
          </w:tcPr>
          <w:p w14:paraId="158B2780">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BIOS同传及恢复</w:t>
            </w:r>
          </w:p>
        </w:tc>
        <w:tc>
          <w:tcPr>
            <w:tcW w:w="0" w:type="auto"/>
          </w:tcPr>
          <w:p w14:paraId="04B8A35E">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支持BIOS同传及恢复，发送端修改BIOS设置后可同传至客户端机器；</w:t>
            </w:r>
          </w:p>
        </w:tc>
      </w:tr>
      <w:tr w14:paraId="334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5C654BC8">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w:t>
            </w:r>
          </w:p>
        </w:tc>
        <w:tc>
          <w:tcPr>
            <w:tcW w:w="0" w:type="auto"/>
            <w:vMerge w:val="continue"/>
            <w:vAlign w:val="center"/>
          </w:tcPr>
          <w:p w14:paraId="09D60D96">
            <w:pPr>
              <w:pStyle w:val="6"/>
              <w:rPr>
                <w:rFonts w:hint="eastAsia" w:ascii="仿宋_GB2312" w:hAnsi="仿宋_GB2312" w:eastAsia="仿宋_GB2312" w:cs="仿宋_GB2312"/>
                <w:color w:val="auto"/>
                <w:kern w:val="0"/>
                <w:sz w:val="24"/>
                <w:szCs w:val="24"/>
              </w:rPr>
            </w:pPr>
          </w:p>
        </w:tc>
        <w:tc>
          <w:tcPr>
            <w:tcW w:w="0" w:type="auto"/>
            <w:vAlign w:val="center"/>
          </w:tcPr>
          <w:p w14:paraId="28C604FE">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开机选单</w:t>
            </w:r>
          </w:p>
        </w:tc>
        <w:tc>
          <w:tcPr>
            <w:tcW w:w="0" w:type="auto"/>
          </w:tcPr>
          <w:p w14:paraId="70DE47A6">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支持【开机选单】不动作时自动关机功能和自动进入操作系统（提供功能截图证明）；</w:t>
            </w:r>
          </w:p>
        </w:tc>
      </w:tr>
      <w:tr w14:paraId="3A13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0BAAB58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p>
        </w:tc>
        <w:tc>
          <w:tcPr>
            <w:tcW w:w="0" w:type="auto"/>
            <w:vMerge w:val="continue"/>
            <w:vAlign w:val="center"/>
          </w:tcPr>
          <w:p w14:paraId="69EE9123">
            <w:pPr>
              <w:pStyle w:val="6"/>
              <w:rPr>
                <w:rFonts w:hint="eastAsia" w:ascii="仿宋_GB2312" w:hAnsi="仿宋_GB2312" w:eastAsia="仿宋_GB2312" w:cs="仿宋_GB2312"/>
                <w:color w:val="auto"/>
                <w:kern w:val="0"/>
                <w:sz w:val="24"/>
                <w:szCs w:val="24"/>
              </w:rPr>
            </w:pPr>
          </w:p>
        </w:tc>
        <w:tc>
          <w:tcPr>
            <w:tcW w:w="0" w:type="auto"/>
            <w:vAlign w:val="center"/>
          </w:tcPr>
          <w:p w14:paraId="0F6AB676">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w:t>
            </w:r>
            <w:r>
              <w:rPr>
                <w:rFonts w:hint="eastAsia" w:ascii="仿宋_GB2312" w:hAnsi="仿宋_GB2312" w:eastAsia="仿宋_GB2312" w:cs="仿宋_GB2312"/>
                <w:color w:val="auto"/>
                <w:sz w:val="24"/>
                <w:szCs w:val="24"/>
              </w:rPr>
              <w:t>软件自动注册</w:t>
            </w:r>
          </w:p>
        </w:tc>
        <w:tc>
          <w:tcPr>
            <w:tcW w:w="0" w:type="auto"/>
          </w:tcPr>
          <w:p w14:paraId="3CCC8EC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支持软件自动注册和KMS（提供功能截图证明）；</w:t>
            </w:r>
          </w:p>
        </w:tc>
      </w:tr>
      <w:tr w14:paraId="62BE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60CFBA11">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203</w:t>
            </w:r>
          </w:p>
        </w:tc>
        <w:tc>
          <w:tcPr>
            <w:tcW w:w="0" w:type="auto"/>
            <w:vMerge w:val="continue"/>
            <w:vAlign w:val="center"/>
          </w:tcPr>
          <w:p w14:paraId="5F8079FC">
            <w:pPr>
              <w:pStyle w:val="6"/>
              <w:rPr>
                <w:rFonts w:hint="eastAsia" w:ascii="仿宋_GB2312" w:hAnsi="仿宋_GB2312" w:eastAsia="仿宋_GB2312" w:cs="仿宋_GB2312"/>
                <w:color w:val="auto"/>
                <w:kern w:val="0"/>
                <w:sz w:val="24"/>
                <w:szCs w:val="24"/>
              </w:rPr>
            </w:pPr>
          </w:p>
        </w:tc>
        <w:tc>
          <w:tcPr>
            <w:tcW w:w="0" w:type="auto"/>
            <w:vAlign w:val="center"/>
          </w:tcPr>
          <w:p w14:paraId="4CD37B6C">
            <w:pPr>
              <w:pStyle w:val="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虚拟磁盘</w:t>
            </w:r>
          </w:p>
        </w:tc>
        <w:tc>
          <w:tcPr>
            <w:tcW w:w="0" w:type="auto"/>
          </w:tcPr>
          <w:p w14:paraId="61EFEF96">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支持通过虚拟磁盘功能加载进度环境的高级模式，可在不进入系统的情况下拷贝有效数据。</w:t>
            </w:r>
          </w:p>
        </w:tc>
      </w:tr>
    </w:tbl>
    <w:p w14:paraId="0E1E4720">
      <w:pPr>
        <w:pStyle w:val="6"/>
        <w:rPr>
          <w:color w:val="auto"/>
        </w:rPr>
      </w:pPr>
    </w:p>
    <w:p w14:paraId="082C6116">
      <w:pPr>
        <w:pStyle w:val="4"/>
        <w:rPr>
          <w:rStyle w:val="17"/>
          <w:i w:val="0"/>
          <w:color w:val="auto"/>
        </w:rPr>
      </w:pPr>
      <w:r>
        <w:rPr>
          <w:rStyle w:val="17"/>
          <w:rFonts w:hint="eastAsia"/>
          <w:i w:val="0"/>
          <w:color w:val="auto"/>
        </w:rPr>
        <w:t>2.2 台式电脑</w:t>
      </w:r>
      <w:r>
        <w:rPr>
          <w:rFonts w:hint="eastAsia"/>
          <w:color w:val="auto"/>
        </w:rPr>
        <w:t>（</w:t>
      </w:r>
      <w:r>
        <w:rPr>
          <w:color w:val="auto"/>
        </w:rPr>
        <w:t>2</w:t>
      </w:r>
      <w:r>
        <w:rPr>
          <w:rFonts w:hint="eastAsia"/>
          <w:color w:val="auto"/>
        </w:rPr>
        <w:t>）</w:t>
      </w:r>
    </w:p>
    <w:tbl>
      <w:tblPr>
        <w:tblStyle w:val="15"/>
        <w:tblW w:w="921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20"/>
        <w:gridCol w:w="1612"/>
        <w:gridCol w:w="5746"/>
      </w:tblGrid>
      <w:tr w14:paraId="4552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noWrap/>
            <w:vAlign w:val="center"/>
          </w:tcPr>
          <w:p w14:paraId="5C8D1471">
            <w:pPr>
              <w:pStyle w:val="6"/>
              <w:rPr>
                <w:color w:val="auto"/>
              </w:rPr>
            </w:pPr>
            <w:r>
              <w:rPr>
                <w:rFonts w:hint="eastAsia"/>
                <w:color w:val="auto"/>
              </w:rPr>
              <w:t>序号</w:t>
            </w:r>
          </w:p>
        </w:tc>
        <w:tc>
          <w:tcPr>
            <w:tcW w:w="0" w:type="auto"/>
            <w:noWrap/>
            <w:vAlign w:val="center"/>
          </w:tcPr>
          <w:p w14:paraId="7C5593F4">
            <w:pPr>
              <w:pStyle w:val="6"/>
              <w:rPr>
                <w:rFonts w:hint="eastAsia"/>
                <w:color w:val="auto"/>
              </w:rPr>
            </w:pPr>
            <w:r>
              <w:rPr>
                <w:rFonts w:hint="eastAsia"/>
                <w:color w:val="auto"/>
              </w:rPr>
              <w:t>一级指标</w:t>
            </w:r>
          </w:p>
        </w:tc>
        <w:tc>
          <w:tcPr>
            <w:tcW w:w="0" w:type="auto"/>
            <w:vAlign w:val="center"/>
          </w:tcPr>
          <w:p w14:paraId="20144B78">
            <w:pPr>
              <w:pStyle w:val="6"/>
              <w:rPr>
                <w:rFonts w:hint="eastAsia"/>
                <w:b/>
                <w:bCs/>
                <w:color w:val="auto"/>
              </w:rPr>
            </w:pPr>
            <w:r>
              <w:rPr>
                <w:rFonts w:hint="eastAsia"/>
                <w:b/>
                <w:bCs/>
                <w:color w:val="auto"/>
              </w:rPr>
              <w:t>二级指标</w:t>
            </w:r>
          </w:p>
        </w:tc>
        <w:tc>
          <w:tcPr>
            <w:tcW w:w="0" w:type="auto"/>
            <w:vAlign w:val="center"/>
          </w:tcPr>
          <w:p w14:paraId="768B4CA6">
            <w:pPr>
              <w:pStyle w:val="6"/>
              <w:rPr>
                <w:rFonts w:hint="eastAsia"/>
                <w:color w:val="auto"/>
              </w:rPr>
            </w:pPr>
            <w:r>
              <w:rPr>
                <w:rFonts w:hint="eastAsia"/>
                <w:b/>
                <w:bCs/>
                <w:color w:val="auto"/>
              </w:rPr>
              <w:t>指标要求</w:t>
            </w:r>
          </w:p>
        </w:tc>
      </w:tr>
      <w:tr w14:paraId="421D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B799400">
            <w:pPr>
              <w:pStyle w:val="6"/>
              <w:rPr>
                <w:rFonts w:hint="eastAsia"/>
                <w:color w:val="auto"/>
              </w:rPr>
            </w:pPr>
            <w:r>
              <w:rPr>
                <w:rFonts w:hint="eastAsia"/>
                <w:color w:val="auto"/>
              </w:rPr>
              <w:t>1</w:t>
            </w:r>
          </w:p>
        </w:tc>
        <w:tc>
          <w:tcPr>
            <w:tcW w:w="0" w:type="auto"/>
            <w:vAlign w:val="center"/>
          </w:tcPr>
          <w:p w14:paraId="3F07DCFF">
            <w:pPr>
              <w:pStyle w:val="6"/>
              <w:rPr>
                <w:rFonts w:hint="eastAsia"/>
                <w:color w:val="auto"/>
              </w:rPr>
            </w:pPr>
            <w:r>
              <w:rPr>
                <w:rFonts w:hint="eastAsia"/>
                <w:color w:val="auto"/>
              </w:rPr>
              <w:t>▲CPU规格</w:t>
            </w:r>
          </w:p>
        </w:tc>
        <w:tc>
          <w:tcPr>
            <w:tcW w:w="0" w:type="auto"/>
            <w:vAlign w:val="center"/>
          </w:tcPr>
          <w:p w14:paraId="10ECE5B1">
            <w:pPr>
              <w:pStyle w:val="6"/>
              <w:rPr>
                <w:rFonts w:hint="eastAsia"/>
                <w:color w:val="auto"/>
              </w:rPr>
            </w:pPr>
            <w:r>
              <w:rPr>
                <w:rFonts w:hint="eastAsia"/>
                <w:color w:val="auto"/>
              </w:rPr>
              <w:t>▲CPU 信息</w:t>
            </w:r>
          </w:p>
        </w:tc>
        <w:tc>
          <w:tcPr>
            <w:tcW w:w="0" w:type="auto"/>
            <w:vAlign w:val="center"/>
          </w:tcPr>
          <w:p w14:paraId="2092FF12">
            <w:pPr>
              <w:pStyle w:val="6"/>
              <w:rPr>
                <w:rFonts w:hint="eastAsia"/>
                <w:color w:val="auto"/>
              </w:rPr>
            </w:pPr>
            <w:r>
              <w:rPr>
                <w:color w:val="auto"/>
              </w:rPr>
              <w:t>≥Intel 酷睿I5-14500、物理核数≥14个，线程数≥20个，主频≥2.6GHz，缓存≥24MB，基础功耗TDP≥65W，内存支持的最高速率≥5600MT/s、通道数≥2个、</w:t>
            </w:r>
            <w:r>
              <w:rPr>
                <w:rFonts w:hint="eastAsia"/>
                <w:color w:val="auto"/>
              </w:rPr>
              <w:t>位宽</w:t>
            </w:r>
            <w:r>
              <w:rPr>
                <w:color w:val="auto"/>
              </w:rPr>
              <w:t>≥64bit</w:t>
            </w:r>
          </w:p>
        </w:tc>
      </w:tr>
      <w:tr w14:paraId="0B33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C1C971E">
            <w:pPr>
              <w:pStyle w:val="6"/>
              <w:rPr>
                <w:rFonts w:hint="eastAsia"/>
                <w:color w:val="auto"/>
              </w:rPr>
            </w:pPr>
            <w:r>
              <w:rPr>
                <w:rFonts w:hint="eastAsia"/>
                <w:color w:val="auto"/>
              </w:rPr>
              <w:t>2</w:t>
            </w:r>
          </w:p>
        </w:tc>
        <w:tc>
          <w:tcPr>
            <w:tcW w:w="0" w:type="auto"/>
            <w:vMerge w:val="restart"/>
            <w:vAlign w:val="center"/>
          </w:tcPr>
          <w:p w14:paraId="415D75EB">
            <w:pPr>
              <w:pStyle w:val="6"/>
              <w:rPr>
                <w:rFonts w:hint="eastAsia"/>
                <w:color w:val="auto"/>
              </w:rPr>
            </w:pPr>
            <w:r>
              <w:rPr>
                <w:rFonts w:hint="eastAsia"/>
                <w:color w:val="auto"/>
              </w:rPr>
              <w:t>▲内存规格</w:t>
            </w:r>
          </w:p>
        </w:tc>
        <w:tc>
          <w:tcPr>
            <w:tcW w:w="0" w:type="auto"/>
            <w:vAlign w:val="center"/>
          </w:tcPr>
          <w:p w14:paraId="08D649C3">
            <w:pPr>
              <w:pStyle w:val="6"/>
              <w:rPr>
                <w:rFonts w:hint="eastAsia"/>
                <w:color w:val="auto"/>
              </w:rPr>
            </w:pPr>
            <w:r>
              <w:rPr>
                <w:rFonts w:hint="eastAsia"/>
                <w:color w:val="auto"/>
              </w:rPr>
              <w:t>▲内存配置容量</w:t>
            </w:r>
          </w:p>
        </w:tc>
        <w:tc>
          <w:tcPr>
            <w:tcW w:w="0" w:type="auto"/>
            <w:vAlign w:val="center"/>
          </w:tcPr>
          <w:p w14:paraId="41AA3AB1">
            <w:pPr>
              <w:pStyle w:val="6"/>
              <w:rPr>
                <w:rFonts w:hint="eastAsia"/>
                <w:color w:val="auto"/>
              </w:rPr>
            </w:pPr>
            <w:r>
              <w:rPr>
                <w:rFonts w:hint="eastAsia"/>
                <w:color w:val="auto"/>
              </w:rPr>
              <w:t>≥</w:t>
            </w:r>
            <w:r>
              <w:rPr>
                <w:color w:val="auto"/>
              </w:rPr>
              <w:t>16</w:t>
            </w:r>
            <w:r>
              <w:rPr>
                <w:rFonts w:hint="eastAsia"/>
                <w:color w:val="auto"/>
              </w:rPr>
              <w:t>GB</w:t>
            </w:r>
          </w:p>
        </w:tc>
      </w:tr>
      <w:tr w14:paraId="262C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28A4517">
            <w:pPr>
              <w:pStyle w:val="6"/>
              <w:rPr>
                <w:rFonts w:hint="eastAsia"/>
                <w:color w:val="auto"/>
              </w:rPr>
            </w:pPr>
            <w:r>
              <w:rPr>
                <w:rFonts w:hint="eastAsia"/>
                <w:color w:val="auto"/>
              </w:rPr>
              <w:t>3</w:t>
            </w:r>
          </w:p>
        </w:tc>
        <w:tc>
          <w:tcPr>
            <w:tcW w:w="0" w:type="auto"/>
            <w:vMerge w:val="continue"/>
            <w:vAlign w:val="center"/>
          </w:tcPr>
          <w:p w14:paraId="76B94B5D">
            <w:pPr>
              <w:pStyle w:val="6"/>
              <w:rPr>
                <w:color w:val="auto"/>
              </w:rPr>
            </w:pPr>
          </w:p>
        </w:tc>
        <w:tc>
          <w:tcPr>
            <w:tcW w:w="0" w:type="auto"/>
            <w:vAlign w:val="center"/>
          </w:tcPr>
          <w:p w14:paraId="736FFAD9">
            <w:pPr>
              <w:pStyle w:val="6"/>
              <w:rPr>
                <w:rFonts w:hint="eastAsia"/>
                <w:color w:val="auto"/>
              </w:rPr>
            </w:pPr>
            <w:r>
              <w:rPr>
                <w:rFonts w:hint="eastAsia"/>
                <w:color w:val="auto"/>
              </w:rPr>
              <w:t>▲内存类型</w:t>
            </w:r>
          </w:p>
        </w:tc>
        <w:tc>
          <w:tcPr>
            <w:tcW w:w="0" w:type="auto"/>
            <w:vAlign w:val="center"/>
          </w:tcPr>
          <w:p w14:paraId="321CDA3E">
            <w:pPr>
              <w:pStyle w:val="6"/>
              <w:rPr>
                <w:rFonts w:hint="eastAsia"/>
                <w:color w:val="auto"/>
              </w:rPr>
            </w:pPr>
            <w:r>
              <w:rPr>
                <w:rFonts w:hint="eastAsia"/>
                <w:color w:val="auto"/>
              </w:rPr>
              <w:t>支持 DDR</w:t>
            </w:r>
            <w:r>
              <w:rPr>
                <w:color w:val="auto"/>
              </w:rPr>
              <w:t>5</w:t>
            </w:r>
            <w:r>
              <w:rPr>
                <w:rFonts w:hint="eastAsia"/>
                <w:color w:val="auto"/>
              </w:rPr>
              <w:t>/LPDDR</w:t>
            </w:r>
            <w:r>
              <w:rPr>
                <w:color w:val="auto"/>
              </w:rPr>
              <w:t>5</w:t>
            </w:r>
            <w:r>
              <w:rPr>
                <w:rFonts w:hint="eastAsia"/>
                <w:color w:val="auto"/>
              </w:rPr>
              <w:t>/LPDDR</w:t>
            </w:r>
            <w:r>
              <w:rPr>
                <w:color w:val="auto"/>
              </w:rPr>
              <w:t>5</w:t>
            </w:r>
            <w:r>
              <w:rPr>
                <w:rFonts w:hint="eastAsia"/>
                <w:color w:val="auto"/>
              </w:rPr>
              <w:t>X 及以上内存类型</w:t>
            </w:r>
          </w:p>
        </w:tc>
      </w:tr>
      <w:tr w14:paraId="3E9A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91F250">
            <w:pPr>
              <w:pStyle w:val="6"/>
              <w:rPr>
                <w:rFonts w:hint="eastAsia"/>
                <w:color w:val="auto"/>
              </w:rPr>
            </w:pPr>
            <w:r>
              <w:rPr>
                <w:rFonts w:hint="eastAsia"/>
                <w:color w:val="auto"/>
              </w:rPr>
              <w:t>4</w:t>
            </w:r>
          </w:p>
        </w:tc>
        <w:tc>
          <w:tcPr>
            <w:tcW w:w="0" w:type="auto"/>
            <w:vMerge w:val="continue"/>
            <w:vAlign w:val="center"/>
          </w:tcPr>
          <w:p w14:paraId="732A0F17">
            <w:pPr>
              <w:pStyle w:val="6"/>
              <w:rPr>
                <w:color w:val="auto"/>
              </w:rPr>
            </w:pPr>
          </w:p>
        </w:tc>
        <w:tc>
          <w:tcPr>
            <w:tcW w:w="0" w:type="auto"/>
            <w:vAlign w:val="center"/>
          </w:tcPr>
          <w:p w14:paraId="674FD3E8">
            <w:pPr>
              <w:pStyle w:val="6"/>
              <w:rPr>
                <w:rFonts w:hint="eastAsia"/>
                <w:color w:val="auto"/>
              </w:rPr>
            </w:pPr>
            <w:r>
              <w:rPr>
                <w:rFonts w:hint="eastAsia"/>
                <w:color w:val="auto"/>
              </w:rPr>
              <w:t>▲内存条配置数量（板载内存不涉及）</w:t>
            </w:r>
          </w:p>
        </w:tc>
        <w:tc>
          <w:tcPr>
            <w:tcW w:w="0" w:type="auto"/>
            <w:vAlign w:val="center"/>
          </w:tcPr>
          <w:p w14:paraId="5E873D2D">
            <w:pPr>
              <w:pStyle w:val="6"/>
              <w:rPr>
                <w:rFonts w:hint="eastAsia"/>
                <w:color w:val="auto"/>
              </w:rPr>
            </w:pPr>
            <w:r>
              <w:rPr>
                <w:rFonts w:hint="eastAsia"/>
                <w:color w:val="auto"/>
              </w:rPr>
              <w:t>≥1</w:t>
            </w:r>
          </w:p>
        </w:tc>
      </w:tr>
      <w:tr w14:paraId="1BE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0" w:type="auto"/>
            <w:vAlign w:val="center"/>
          </w:tcPr>
          <w:p w14:paraId="650BBEDE">
            <w:pPr>
              <w:pStyle w:val="6"/>
              <w:rPr>
                <w:rFonts w:hint="eastAsia"/>
                <w:color w:val="auto"/>
              </w:rPr>
            </w:pPr>
            <w:r>
              <w:rPr>
                <w:rFonts w:hint="eastAsia"/>
                <w:color w:val="auto"/>
              </w:rPr>
              <w:t>5</w:t>
            </w:r>
          </w:p>
        </w:tc>
        <w:tc>
          <w:tcPr>
            <w:tcW w:w="0" w:type="auto"/>
            <w:vMerge w:val="restart"/>
            <w:vAlign w:val="center"/>
          </w:tcPr>
          <w:p w14:paraId="1532D0C5">
            <w:pPr>
              <w:pStyle w:val="6"/>
              <w:rPr>
                <w:rFonts w:hint="eastAsia"/>
                <w:color w:val="auto"/>
              </w:rPr>
            </w:pPr>
            <w:r>
              <w:rPr>
                <w:rFonts w:hint="eastAsia"/>
                <w:color w:val="auto"/>
              </w:rPr>
              <w:t>▲主板规格</w:t>
            </w:r>
          </w:p>
        </w:tc>
        <w:tc>
          <w:tcPr>
            <w:tcW w:w="0" w:type="auto"/>
            <w:vAlign w:val="center"/>
          </w:tcPr>
          <w:p w14:paraId="57FF7940">
            <w:pPr>
              <w:pStyle w:val="6"/>
              <w:rPr>
                <w:rFonts w:hint="eastAsia"/>
                <w:color w:val="auto"/>
              </w:rPr>
            </w:pPr>
            <w:r>
              <w:rPr>
                <w:rFonts w:hint="eastAsia"/>
                <w:color w:val="auto"/>
              </w:rPr>
              <w:t>▲主板集成模块</w:t>
            </w:r>
          </w:p>
        </w:tc>
        <w:tc>
          <w:tcPr>
            <w:tcW w:w="0" w:type="auto"/>
            <w:vAlign w:val="center"/>
          </w:tcPr>
          <w:p w14:paraId="084A4EB0">
            <w:pPr>
              <w:pStyle w:val="6"/>
              <w:rPr>
                <w:rFonts w:hint="eastAsia"/>
                <w:color w:val="auto"/>
              </w:rPr>
            </w:pPr>
            <w:r>
              <w:rPr>
                <w:rFonts w:hint="eastAsia"/>
                <w:color w:val="auto"/>
              </w:rPr>
              <w:t>集成资源扩展模块、计算处理模块、音频扩展模块等，主板的互联拓扑可通过处理器或交换电路实现</w:t>
            </w:r>
          </w:p>
        </w:tc>
      </w:tr>
      <w:tr w14:paraId="1D46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FCA44A9">
            <w:pPr>
              <w:pStyle w:val="6"/>
              <w:rPr>
                <w:rFonts w:hint="eastAsia"/>
                <w:color w:val="auto"/>
              </w:rPr>
            </w:pPr>
            <w:r>
              <w:rPr>
                <w:rFonts w:hint="eastAsia"/>
                <w:color w:val="auto"/>
              </w:rPr>
              <w:t>6</w:t>
            </w:r>
          </w:p>
        </w:tc>
        <w:tc>
          <w:tcPr>
            <w:tcW w:w="0" w:type="auto"/>
            <w:vMerge w:val="continue"/>
            <w:vAlign w:val="center"/>
          </w:tcPr>
          <w:p w14:paraId="2C7E77C0">
            <w:pPr>
              <w:pStyle w:val="6"/>
              <w:rPr>
                <w:color w:val="auto"/>
              </w:rPr>
            </w:pPr>
          </w:p>
        </w:tc>
        <w:tc>
          <w:tcPr>
            <w:tcW w:w="0" w:type="auto"/>
            <w:vAlign w:val="center"/>
          </w:tcPr>
          <w:p w14:paraId="15CB1CF1">
            <w:pPr>
              <w:pStyle w:val="6"/>
              <w:rPr>
                <w:rFonts w:hint="eastAsia"/>
                <w:color w:val="auto"/>
              </w:rPr>
            </w:pPr>
            <w:r>
              <w:rPr>
                <w:rFonts w:hint="eastAsia"/>
                <w:color w:val="auto"/>
              </w:rPr>
              <w:t>▲主板支持的 CPU和内存情况</w:t>
            </w:r>
          </w:p>
        </w:tc>
        <w:tc>
          <w:tcPr>
            <w:tcW w:w="0" w:type="auto"/>
            <w:vAlign w:val="center"/>
          </w:tcPr>
          <w:p w14:paraId="68CE5DFE">
            <w:pPr>
              <w:pStyle w:val="6"/>
              <w:rPr>
                <w:rFonts w:hint="eastAsia"/>
                <w:color w:val="auto"/>
              </w:rPr>
            </w:pPr>
            <w:r>
              <w:rPr>
                <w:rFonts w:hint="eastAsia"/>
                <w:color w:val="auto"/>
              </w:rPr>
              <w:t>供应商给出主板支持的 CPU 和内存型号和数量</w:t>
            </w:r>
          </w:p>
        </w:tc>
      </w:tr>
      <w:tr w14:paraId="3D90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2309628">
            <w:pPr>
              <w:pStyle w:val="6"/>
              <w:rPr>
                <w:rFonts w:hint="eastAsia"/>
                <w:color w:val="auto"/>
              </w:rPr>
            </w:pPr>
            <w:r>
              <w:rPr>
                <w:rFonts w:hint="eastAsia"/>
                <w:color w:val="auto"/>
              </w:rPr>
              <w:t>7</w:t>
            </w:r>
          </w:p>
        </w:tc>
        <w:tc>
          <w:tcPr>
            <w:tcW w:w="0" w:type="auto"/>
            <w:vMerge w:val="continue"/>
            <w:vAlign w:val="center"/>
          </w:tcPr>
          <w:p w14:paraId="399A022C">
            <w:pPr>
              <w:pStyle w:val="6"/>
              <w:rPr>
                <w:color w:val="auto"/>
              </w:rPr>
            </w:pPr>
          </w:p>
        </w:tc>
        <w:tc>
          <w:tcPr>
            <w:tcW w:w="0" w:type="auto"/>
            <w:vAlign w:val="center"/>
          </w:tcPr>
          <w:p w14:paraId="55F4588D">
            <w:pPr>
              <w:pStyle w:val="6"/>
              <w:rPr>
                <w:rFonts w:hint="eastAsia"/>
                <w:color w:val="auto"/>
              </w:rPr>
            </w:pPr>
            <w:r>
              <w:rPr>
                <w:rFonts w:hint="eastAsia"/>
                <w:color w:val="auto"/>
              </w:rPr>
              <w:t>主板内置PCIe 插槽数量</w:t>
            </w:r>
          </w:p>
        </w:tc>
        <w:tc>
          <w:tcPr>
            <w:tcW w:w="0" w:type="auto"/>
            <w:vAlign w:val="center"/>
          </w:tcPr>
          <w:p w14:paraId="026F878C">
            <w:pPr>
              <w:pStyle w:val="6"/>
              <w:rPr>
                <w:rFonts w:hint="eastAsia"/>
                <w:color w:val="auto"/>
              </w:rPr>
            </w:pPr>
            <w:r>
              <w:rPr>
                <w:rFonts w:hint="eastAsia"/>
                <w:color w:val="auto"/>
              </w:rPr>
              <w:t xml:space="preserve">支持 PCIe 插槽数量不少于 </w:t>
            </w:r>
            <w:r>
              <w:rPr>
                <w:color w:val="auto"/>
              </w:rPr>
              <w:t>4</w:t>
            </w:r>
            <w:r>
              <w:rPr>
                <w:rFonts w:hint="eastAsia"/>
                <w:color w:val="auto"/>
              </w:rPr>
              <w:t xml:space="preserve"> 个</w:t>
            </w:r>
          </w:p>
        </w:tc>
      </w:tr>
      <w:tr w14:paraId="4E7E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14:paraId="7D6E78EF">
            <w:pPr>
              <w:pStyle w:val="6"/>
              <w:rPr>
                <w:rFonts w:hint="eastAsia"/>
                <w:color w:val="auto"/>
              </w:rPr>
            </w:pPr>
            <w:r>
              <w:rPr>
                <w:rFonts w:hint="eastAsia"/>
                <w:color w:val="auto"/>
              </w:rPr>
              <w:t>8</w:t>
            </w:r>
          </w:p>
        </w:tc>
        <w:tc>
          <w:tcPr>
            <w:tcW w:w="0" w:type="auto"/>
            <w:vMerge w:val="continue"/>
            <w:vAlign w:val="center"/>
          </w:tcPr>
          <w:p w14:paraId="4CEAAA69">
            <w:pPr>
              <w:pStyle w:val="6"/>
              <w:rPr>
                <w:color w:val="auto"/>
              </w:rPr>
            </w:pPr>
          </w:p>
        </w:tc>
        <w:tc>
          <w:tcPr>
            <w:tcW w:w="0" w:type="auto"/>
            <w:vAlign w:val="center"/>
          </w:tcPr>
          <w:p w14:paraId="49B10F8F">
            <w:pPr>
              <w:pStyle w:val="6"/>
              <w:rPr>
                <w:rFonts w:hint="eastAsia"/>
                <w:color w:val="auto"/>
              </w:rPr>
            </w:pPr>
            <w:r>
              <w:rPr>
                <w:rFonts w:hint="eastAsia"/>
                <w:color w:val="auto"/>
              </w:rPr>
              <w:t>特殊孔位及接口</w:t>
            </w:r>
          </w:p>
        </w:tc>
        <w:tc>
          <w:tcPr>
            <w:tcW w:w="0" w:type="auto"/>
            <w:vAlign w:val="center"/>
          </w:tcPr>
          <w:p w14:paraId="6869708A">
            <w:pPr>
              <w:pStyle w:val="6"/>
              <w:rPr>
                <w:rFonts w:hint="eastAsia"/>
                <w:color w:val="auto"/>
              </w:rPr>
            </w:pPr>
            <w:r>
              <w:rPr>
                <w:rFonts w:hint="eastAsia"/>
                <w:color w:val="auto"/>
              </w:rPr>
              <w:t>不涉及</w:t>
            </w:r>
          </w:p>
        </w:tc>
      </w:tr>
      <w:tr w14:paraId="068C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D7C61DF">
            <w:pPr>
              <w:pStyle w:val="6"/>
              <w:rPr>
                <w:rFonts w:hint="eastAsia"/>
                <w:color w:val="auto"/>
              </w:rPr>
            </w:pPr>
            <w:r>
              <w:rPr>
                <w:rFonts w:hint="eastAsia"/>
                <w:color w:val="auto"/>
              </w:rPr>
              <w:t>9</w:t>
            </w:r>
          </w:p>
        </w:tc>
        <w:tc>
          <w:tcPr>
            <w:tcW w:w="0" w:type="auto"/>
            <w:vMerge w:val="continue"/>
            <w:vAlign w:val="center"/>
          </w:tcPr>
          <w:p w14:paraId="13445277">
            <w:pPr>
              <w:pStyle w:val="6"/>
              <w:rPr>
                <w:color w:val="auto"/>
              </w:rPr>
            </w:pPr>
          </w:p>
        </w:tc>
        <w:tc>
          <w:tcPr>
            <w:tcW w:w="0" w:type="auto"/>
            <w:vAlign w:val="center"/>
          </w:tcPr>
          <w:p w14:paraId="27C25667">
            <w:pPr>
              <w:pStyle w:val="6"/>
              <w:rPr>
                <w:rFonts w:hint="eastAsia"/>
                <w:color w:val="auto"/>
              </w:rPr>
            </w:pPr>
            <w:r>
              <w:rPr>
                <w:rFonts w:hint="eastAsia"/>
                <w:color w:val="auto"/>
              </w:rPr>
              <w:t>▲主板其他内置接口</w:t>
            </w:r>
          </w:p>
        </w:tc>
        <w:tc>
          <w:tcPr>
            <w:tcW w:w="0" w:type="auto"/>
            <w:vAlign w:val="center"/>
          </w:tcPr>
          <w:p w14:paraId="1DEC324E">
            <w:pPr>
              <w:pStyle w:val="6"/>
              <w:rPr>
                <w:rFonts w:hint="eastAsia"/>
                <w:color w:val="auto"/>
              </w:rPr>
            </w:pPr>
            <w:r>
              <w:rPr>
                <w:rFonts w:hint="eastAsia"/>
                <w:color w:val="auto"/>
              </w:rPr>
              <w:t>供应商给出相关 SATA、M.2、USB 接口数量及占用状态</w:t>
            </w:r>
          </w:p>
        </w:tc>
      </w:tr>
      <w:tr w14:paraId="42AC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02860D0">
            <w:pPr>
              <w:pStyle w:val="6"/>
              <w:rPr>
                <w:rFonts w:hint="eastAsia"/>
                <w:color w:val="auto"/>
              </w:rPr>
            </w:pPr>
            <w:r>
              <w:rPr>
                <w:rFonts w:hint="eastAsia"/>
                <w:color w:val="auto"/>
              </w:rPr>
              <w:t>10</w:t>
            </w:r>
          </w:p>
        </w:tc>
        <w:tc>
          <w:tcPr>
            <w:tcW w:w="0" w:type="auto"/>
            <w:vMerge w:val="continue"/>
            <w:vAlign w:val="center"/>
          </w:tcPr>
          <w:p w14:paraId="37F1F416">
            <w:pPr>
              <w:pStyle w:val="6"/>
              <w:rPr>
                <w:color w:val="auto"/>
              </w:rPr>
            </w:pPr>
          </w:p>
        </w:tc>
        <w:tc>
          <w:tcPr>
            <w:tcW w:w="0" w:type="auto"/>
            <w:vAlign w:val="center"/>
          </w:tcPr>
          <w:p w14:paraId="58BFB558">
            <w:pPr>
              <w:pStyle w:val="6"/>
              <w:rPr>
                <w:rFonts w:hint="eastAsia"/>
                <w:color w:val="auto"/>
              </w:rPr>
            </w:pPr>
            <w:r>
              <w:rPr>
                <w:rFonts w:hint="eastAsia"/>
                <w:color w:val="auto"/>
              </w:rPr>
              <w:t>▲单内存插槽最大可支持容量（板载内存不涉及）</w:t>
            </w:r>
          </w:p>
        </w:tc>
        <w:tc>
          <w:tcPr>
            <w:tcW w:w="0" w:type="auto"/>
            <w:vAlign w:val="center"/>
          </w:tcPr>
          <w:p w14:paraId="1FEDAE46">
            <w:pPr>
              <w:pStyle w:val="6"/>
              <w:rPr>
                <w:rFonts w:hint="eastAsia"/>
                <w:color w:val="auto"/>
              </w:rPr>
            </w:pPr>
            <w:r>
              <w:rPr>
                <w:rFonts w:hint="eastAsia"/>
                <w:color w:val="auto"/>
              </w:rPr>
              <w:t>≥</w:t>
            </w:r>
            <w:r>
              <w:rPr>
                <w:color w:val="auto"/>
              </w:rPr>
              <w:t>32</w:t>
            </w:r>
            <w:r>
              <w:rPr>
                <w:rFonts w:hint="eastAsia"/>
                <w:color w:val="auto"/>
              </w:rPr>
              <w:t>GB</w:t>
            </w:r>
          </w:p>
        </w:tc>
      </w:tr>
      <w:tr w14:paraId="3EE3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A5C336F">
            <w:pPr>
              <w:pStyle w:val="6"/>
              <w:rPr>
                <w:rFonts w:hint="eastAsia"/>
                <w:color w:val="auto"/>
              </w:rPr>
            </w:pPr>
            <w:r>
              <w:rPr>
                <w:rFonts w:hint="eastAsia"/>
                <w:color w:val="auto"/>
              </w:rPr>
              <w:t>11</w:t>
            </w:r>
          </w:p>
        </w:tc>
        <w:tc>
          <w:tcPr>
            <w:tcW w:w="0" w:type="auto"/>
            <w:vMerge w:val="continue"/>
            <w:vAlign w:val="center"/>
          </w:tcPr>
          <w:p w14:paraId="75E30699">
            <w:pPr>
              <w:pStyle w:val="6"/>
              <w:rPr>
                <w:color w:val="auto"/>
              </w:rPr>
            </w:pPr>
          </w:p>
        </w:tc>
        <w:tc>
          <w:tcPr>
            <w:tcW w:w="0" w:type="auto"/>
            <w:vAlign w:val="center"/>
          </w:tcPr>
          <w:p w14:paraId="7F984467">
            <w:pPr>
              <w:pStyle w:val="6"/>
              <w:rPr>
                <w:rFonts w:hint="eastAsia"/>
                <w:color w:val="auto"/>
              </w:rPr>
            </w:pPr>
            <w:r>
              <w:rPr>
                <w:rFonts w:hint="eastAsia"/>
                <w:color w:val="auto"/>
              </w:rPr>
              <w:t>▲内存插槽满配时提供的最高内存总容量</w:t>
            </w:r>
          </w:p>
        </w:tc>
        <w:tc>
          <w:tcPr>
            <w:tcW w:w="0" w:type="auto"/>
            <w:vAlign w:val="center"/>
          </w:tcPr>
          <w:p w14:paraId="6DC02ECD">
            <w:pPr>
              <w:pStyle w:val="6"/>
              <w:rPr>
                <w:rFonts w:hint="eastAsia"/>
                <w:color w:val="auto"/>
              </w:rPr>
            </w:pPr>
            <w:r>
              <w:rPr>
                <w:rFonts w:hint="eastAsia"/>
                <w:color w:val="auto"/>
              </w:rPr>
              <w:t>≥</w:t>
            </w:r>
            <w:r>
              <w:rPr>
                <w:color w:val="auto"/>
              </w:rPr>
              <w:t>128</w:t>
            </w:r>
            <w:r>
              <w:rPr>
                <w:rFonts w:hint="eastAsia"/>
                <w:color w:val="auto"/>
              </w:rPr>
              <w:t>GB</w:t>
            </w:r>
          </w:p>
        </w:tc>
      </w:tr>
      <w:tr w14:paraId="7E32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AA82DC5">
            <w:pPr>
              <w:pStyle w:val="6"/>
              <w:rPr>
                <w:rFonts w:hint="eastAsia"/>
                <w:color w:val="auto"/>
              </w:rPr>
            </w:pPr>
            <w:r>
              <w:rPr>
                <w:rFonts w:hint="eastAsia"/>
                <w:color w:val="auto"/>
              </w:rPr>
              <w:t>12</w:t>
            </w:r>
          </w:p>
        </w:tc>
        <w:tc>
          <w:tcPr>
            <w:tcW w:w="0" w:type="auto"/>
            <w:vMerge w:val="restart"/>
            <w:vAlign w:val="center"/>
          </w:tcPr>
          <w:p w14:paraId="7F65B611">
            <w:pPr>
              <w:pStyle w:val="6"/>
              <w:rPr>
                <w:rFonts w:hint="eastAsia"/>
                <w:color w:val="auto"/>
              </w:rPr>
            </w:pPr>
            <w:r>
              <w:rPr>
                <w:rFonts w:hint="eastAsia"/>
                <w:color w:val="auto"/>
              </w:rPr>
              <w:t>▲存储设备规格</w:t>
            </w:r>
          </w:p>
        </w:tc>
        <w:tc>
          <w:tcPr>
            <w:tcW w:w="0" w:type="auto"/>
            <w:vAlign w:val="center"/>
          </w:tcPr>
          <w:p w14:paraId="40CD8949">
            <w:pPr>
              <w:pStyle w:val="6"/>
              <w:rPr>
                <w:rFonts w:hint="eastAsia"/>
                <w:color w:val="auto"/>
              </w:rPr>
            </w:pPr>
            <w:r>
              <w:rPr>
                <w:rFonts w:hint="eastAsia"/>
                <w:color w:val="auto"/>
              </w:rPr>
              <w:t>▲固态盘数量</w:t>
            </w:r>
          </w:p>
        </w:tc>
        <w:tc>
          <w:tcPr>
            <w:tcW w:w="0" w:type="auto"/>
            <w:vAlign w:val="center"/>
          </w:tcPr>
          <w:p w14:paraId="2DDEDB40">
            <w:pPr>
              <w:pStyle w:val="6"/>
              <w:rPr>
                <w:rFonts w:hint="eastAsia"/>
                <w:color w:val="auto"/>
              </w:rPr>
            </w:pPr>
            <w:r>
              <w:rPr>
                <w:rFonts w:hint="eastAsia"/>
                <w:color w:val="auto"/>
              </w:rPr>
              <w:t>≥1 个</w:t>
            </w:r>
          </w:p>
        </w:tc>
      </w:tr>
      <w:tr w14:paraId="4849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C8C8951">
            <w:pPr>
              <w:pStyle w:val="6"/>
              <w:rPr>
                <w:rFonts w:hint="eastAsia"/>
                <w:color w:val="auto"/>
              </w:rPr>
            </w:pPr>
            <w:r>
              <w:rPr>
                <w:rFonts w:hint="eastAsia"/>
                <w:color w:val="auto"/>
              </w:rPr>
              <w:t>13</w:t>
            </w:r>
          </w:p>
        </w:tc>
        <w:tc>
          <w:tcPr>
            <w:tcW w:w="0" w:type="auto"/>
            <w:vMerge w:val="continue"/>
            <w:vAlign w:val="center"/>
          </w:tcPr>
          <w:p w14:paraId="480DD00A">
            <w:pPr>
              <w:pStyle w:val="6"/>
              <w:rPr>
                <w:color w:val="auto"/>
              </w:rPr>
            </w:pPr>
          </w:p>
        </w:tc>
        <w:tc>
          <w:tcPr>
            <w:tcW w:w="0" w:type="auto"/>
            <w:vAlign w:val="center"/>
          </w:tcPr>
          <w:p w14:paraId="507551E0">
            <w:pPr>
              <w:pStyle w:val="6"/>
              <w:rPr>
                <w:rFonts w:hint="eastAsia"/>
                <w:color w:val="auto"/>
              </w:rPr>
            </w:pPr>
            <w:r>
              <w:rPr>
                <w:rFonts w:hint="eastAsia"/>
                <w:color w:val="auto"/>
              </w:rPr>
              <w:t>▲固态存储容量</w:t>
            </w:r>
          </w:p>
        </w:tc>
        <w:tc>
          <w:tcPr>
            <w:tcW w:w="0" w:type="auto"/>
            <w:vAlign w:val="center"/>
          </w:tcPr>
          <w:p w14:paraId="419C4EA8">
            <w:pPr>
              <w:pStyle w:val="6"/>
              <w:rPr>
                <w:rFonts w:hint="eastAsia"/>
                <w:color w:val="auto"/>
              </w:rPr>
            </w:pPr>
            <w:r>
              <w:rPr>
                <w:rFonts w:hint="eastAsia"/>
                <w:color w:val="auto"/>
              </w:rPr>
              <w:t>≥</w:t>
            </w:r>
            <w:r>
              <w:rPr>
                <w:color w:val="auto"/>
              </w:rPr>
              <w:t>512</w:t>
            </w:r>
            <w:r>
              <w:rPr>
                <w:rFonts w:hint="eastAsia"/>
                <w:color w:val="auto"/>
              </w:rPr>
              <w:t>GB</w:t>
            </w:r>
          </w:p>
        </w:tc>
      </w:tr>
      <w:tr w14:paraId="374E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02DFB8D">
            <w:pPr>
              <w:pStyle w:val="6"/>
              <w:rPr>
                <w:rFonts w:hint="eastAsia"/>
                <w:color w:val="auto"/>
              </w:rPr>
            </w:pPr>
            <w:r>
              <w:rPr>
                <w:rFonts w:hint="eastAsia"/>
                <w:color w:val="auto"/>
              </w:rPr>
              <w:t>14</w:t>
            </w:r>
          </w:p>
        </w:tc>
        <w:tc>
          <w:tcPr>
            <w:tcW w:w="0" w:type="auto"/>
            <w:vMerge w:val="continue"/>
            <w:vAlign w:val="center"/>
          </w:tcPr>
          <w:p w14:paraId="059FF132">
            <w:pPr>
              <w:pStyle w:val="6"/>
              <w:rPr>
                <w:color w:val="auto"/>
              </w:rPr>
            </w:pPr>
          </w:p>
        </w:tc>
        <w:tc>
          <w:tcPr>
            <w:tcW w:w="0" w:type="auto"/>
            <w:vAlign w:val="center"/>
          </w:tcPr>
          <w:p w14:paraId="69732DE2">
            <w:pPr>
              <w:pStyle w:val="6"/>
              <w:rPr>
                <w:rFonts w:hint="eastAsia"/>
                <w:color w:val="auto"/>
              </w:rPr>
            </w:pPr>
            <w:r>
              <w:rPr>
                <w:rFonts w:hint="eastAsia"/>
                <w:color w:val="auto"/>
              </w:rPr>
              <w:t>▲机械硬盘数量</w:t>
            </w:r>
          </w:p>
        </w:tc>
        <w:tc>
          <w:tcPr>
            <w:tcW w:w="0" w:type="auto"/>
            <w:vAlign w:val="center"/>
          </w:tcPr>
          <w:p w14:paraId="73F6F566">
            <w:pPr>
              <w:pStyle w:val="6"/>
              <w:rPr>
                <w:rFonts w:hint="eastAsia"/>
                <w:color w:val="auto"/>
              </w:rPr>
            </w:pPr>
            <w:r>
              <w:rPr>
                <w:rFonts w:hint="eastAsia"/>
                <w:color w:val="auto"/>
              </w:rPr>
              <w:t>≥1 个</w:t>
            </w:r>
          </w:p>
        </w:tc>
      </w:tr>
      <w:tr w14:paraId="72B7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78A5378">
            <w:pPr>
              <w:pStyle w:val="6"/>
              <w:rPr>
                <w:rFonts w:hint="eastAsia"/>
                <w:color w:val="auto"/>
              </w:rPr>
            </w:pPr>
            <w:r>
              <w:rPr>
                <w:rFonts w:hint="eastAsia"/>
                <w:color w:val="auto"/>
              </w:rPr>
              <w:t>15</w:t>
            </w:r>
          </w:p>
        </w:tc>
        <w:tc>
          <w:tcPr>
            <w:tcW w:w="0" w:type="auto"/>
            <w:vMerge w:val="continue"/>
            <w:vAlign w:val="center"/>
          </w:tcPr>
          <w:p w14:paraId="76CCD19B">
            <w:pPr>
              <w:pStyle w:val="6"/>
              <w:rPr>
                <w:color w:val="auto"/>
              </w:rPr>
            </w:pPr>
          </w:p>
        </w:tc>
        <w:tc>
          <w:tcPr>
            <w:tcW w:w="0" w:type="auto"/>
            <w:vAlign w:val="center"/>
          </w:tcPr>
          <w:p w14:paraId="1C68A2CA">
            <w:pPr>
              <w:pStyle w:val="6"/>
              <w:rPr>
                <w:rFonts w:hint="eastAsia"/>
                <w:color w:val="auto"/>
              </w:rPr>
            </w:pPr>
            <w:r>
              <w:rPr>
                <w:rFonts w:hint="eastAsia"/>
                <w:color w:val="auto"/>
              </w:rPr>
              <w:t>▲机械硬盘总容量</w:t>
            </w:r>
          </w:p>
        </w:tc>
        <w:tc>
          <w:tcPr>
            <w:tcW w:w="0" w:type="auto"/>
            <w:vAlign w:val="center"/>
          </w:tcPr>
          <w:p w14:paraId="17AF1533">
            <w:pPr>
              <w:pStyle w:val="6"/>
              <w:rPr>
                <w:rFonts w:hint="eastAsia"/>
                <w:color w:val="auto"/>
              </w:rPr>
            </w:pPr>
            <w:r>
              <w:rPr>
                <w:rFonts w:hint="eastAsia"/>
                <w:color w:val="auto"/>
              </w:rPr>
              <w:t>≥</w:t>
            </w:r>
            <w:r>
              <w:rPr>
                <w:color w:val="auto"/>
              </w:rPr>
              <w:t>1T</w:t>
            </w:r>
            <w:r>
              <w:rPr>
                <w:rFonts w:hint="eastAsia"/>
                <w:color w:val="auto"/>
              </w:rPr>
              <w:t>B</w:t>
            </w:r>
          </w:p>
        </w:tc>
      </w:tr>
      <w:tr w14:paraId="5C45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561DE3">
            <w:pPr>
              <w:pStyle w:val="6"/>
              <w:rPr>
                <w:rFonts w:hint="eastAsia"/>
                <w:color w:val="auto"/>
              </w:rPr>
            </w:pPr>
            <w:r>
              <w:rPr>
                <w:rFonts w:hint="eastAsia"/>
                <w:color w:val="auto"/>
              </w:rPr>
              <w:t>16</w:t>
            </w:r>
          </w:p>
        </w:tc>
        <w:tc>
          <w:tcPr>
            <w:tcW w:w="0" w:type="auto"/>
            <w:vMerge w:val="continue"/>
            <w:vAlign w:val="center"/>
          </w:tcPr>
          <w:p w14:paraId="71D05CB9">
            <w:pPr>
              <w:pStyle w:val="6"/>
              <w:rPr>
                <w:color w:val="auto"/>
              </w:rPr>
            </w:pPr>
          </w:p>
        </w:tc>
        <w:tc>
          <w:tcPr>
            <w:tcW w:w="0" w:type="auto"/>
            <w:vAlign w:val="center"/>
          </w:tcPr>
          <w:p w14:paraId="21FEC2D2">
            <w:pPr>
              <w:pStyle w:val="6"/>
              <w:rPr>
                <w:rFonts w:hint="eastAsia"/>
                <w:color w:val="auto"/>
              </w:rPr>
            </w:pPr>
            <w:r>
              <w:rPr>
                <w:rFonts w:hint="eastAsia"/>
                <w:color w:val="auto"/>
              </w:rPr>
              <w:t>▲机械硬盘转速</w:t>
            </w:r>
          </w:p>
        </w:tc>
        <w:tc>
          <w:tcPr>
            <w:tcW w:w="0" w:type="auto"/>
            <w:vAlign w:val="center"/>
          </w:tcPr>
          <w:p w14:paraId="5A52BACE">
            <w:pPr>
              <w:pStyle w:val="6"/>
              <w:rPr>
                <w:rFonts w:hint="eastAsia"/>
                <w:color w:val="auto"/>
              </w:rPr>
            </w:pPr>
            <w:r>
              <w:rPr>
                <w:rFonts w:hint="eastAsia"/>
                <w:color w:val="auto"/>
              </w:rPr>
              <w:t>≥</w:t>
            </w:r>
            <w:r>
              <w:rPr>
                <w:color w:val="auto"/>
              </w:rPr>
              <w:t>72</w:t>
            </w:r>
            <w:r>
              <w:rPr>
                <w:rFonts w:hint="eastAsia"/>
                <w:color w:val="auto"/>
              </w:rPr>
              <w:t>00rpm</w:t>
            </w:r>
          </w:p>
        </w:tc>
      </w:tr>
      <w:tr w14:paraId="5D4C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A198A49">
            <w:pPr>
              <w:pStyle w:val="6"/>
              <w:rPr>
                <w:rFonts w:hint="eastAsia"/>
                <w:color w:val="auto"/>
              </w:rPr>
            </w:pPr>
            <w:r>
              <w:rPr>
                <w:rFonts w:hint="eastAsia"/>
                <w:color w:val="auto"/>
              </w:rPr>
              <w:t>17</w:t>
            </w:r>
          </w:p>
        </w:tc>
        <w:tc>
          <w:tcPr>
            <w:tcW w:w="0" w:type="auto"/>
            <w:vMerge w:val="continue"/>
            <w:vAlign w:val="center"/>
          </w:tcPr>
          <w:p w14:paraId="0BCDE5AF">
            <w:pPr>
              <w:pStyle w:val="6"/>
              <w:rPr>
                <w:color w:val="auto"/>
              </w:rPr>
            </w:pPr>
          </w:p>
        </w:tc>
        <w:tc>
          <w:tcPr>
            <w:tcW w:w="0" w:type="auto"/>
            <w:vAlign w:val="center"/>
          </w:tcPr>
          <w:p w14:paraId="694ED1C8">
            <w:pPr>
              <w:pStyle w:val="6"/>
              <w:rPr>
                <w:rFonts w:hint="eastAsia"/>
                <w:color w:val="auto"/>
              </w:rPr>
            </w:pPr>
            <w:r>
              <w:rPr>
                <w:rFonts w:hint="eastAsia"/>
                <w:color w:val="auto"/>
              </w:rPr>
              <w:t>机械硬盘接口协议</w:t>
            </w:r>
          </w:p>
        </w:tc>
        <w:tc>
          <w:tcPr>
            <w:tcW w:w="0" w:type="auto"/>
            <w:vAlign w:val="center"/>
          </w:tcPr>
          <w:p w14:paraId="2A6B3946">
            <w:pPr>
              <w:pStyle w:val="6"/>
              <w:rPr>
                <w:rFonts w:hint="eastAsia"/>
                <w:color w:val="auto"/>
              </w:rPr>
            </w:pPr>
            <w:r>
              <w:rPr>
                <w:rFonts w:hint="eastAsia"/>
                <w:color w:val="auto"/>
              </w:rPr>
              <w:t>支持 SATA3.0 及以上或 SAS3.0 及以上接口</w:t>
            </w:r>
          </w:p>
        </w:tc>
      </w:tr>
      <w:tr w14:paraId="2554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D1E1DA7">
            <w:pPr>
              <w:pStyle w:val="6"/>
              <w:rPr>
                <w:rFonts w:hint="eastAsia"/>
                <w:color w:val="auto"/>
              </w:rPr>
            </w:pPr>
            <w:r>
              <w:rPr>
                <w:rFonts w:hint="eastAsia"/>
                <w:color w:val="auto"/>
              </w:rPr>
              <w:t>18</w:t>
            </w:r>
          </w:p>
        </w:tc>
        <w:tc>
          <w:tcPr>
            <w:tcW w:w="0" w:type="auto"/>
            <w:vMerge w:val="continue"/>
            <w:vAlign w:val="center"/>
          </w:tcPr>
          <w:p w14:paraId="57475C99">
            <w:pPr>
              <w:pStyle w:val="6"/>
              <w:rPr>
                <w:color w:val="auto"/>
              </w:rPr>
            </w:pPr>
          </w:p>
        </w:tc>
        <w:tc>
          <w:tcPr>
            <w:tcW w:w="0" w:type="auto"/>
            <w:vAlign w:val="center"/>
          </w:tcPr>
          <w:p w14:paraId="466A6FFD">
            <w:pPr>
              <w:pStyle w:val="6"/>
              <w:rPr>
                <w:rFonts w:hint="eastAsia"/>
                <w:color w:val="auto"/>
              </w:rPr>
            </w:pPr>
            <w:r>
              <w:rPr>
                <w:rFonts w:hint="eastAsia"/>
                <w:color w:val="auto"/>
              </w:rPr>
              <w:t>▲机械硬盘形态</w:t>
            </w:r>
          </w:p>
        </w:tc>
        <w:tc>
          <w:tcPr>
            <w:tcW w:w="0" w:type="auto"/>
            <w:vAlign w:val="center"/>
          </w:tcPr>
          <w:p w14:paraId="154E644B">
            <w:pPr>
              <w:pStyle w:val="6"/>
              <w:rPr>
                <w:rFonts w:hint="eastAsia"/>
                <w:color w:val="auto"/>
              </w:rPr>
            </w:pPr>
            <w:r>
              <w:rPr>
                <w:rFonts w:hint="eastAsia"/>
                <w:color w:val="auto"/>
              </w:rPr>
              <w:t>2.5 英寸或 3.5 英寸等</w:t>
            </w:r>
          </w:p>
        </w:tc>
      </w:tr>
      <w:tr w14:paraId="3EFA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184BE6F">
            <w:pPr>
              <w:pStyle w:val="6"/>
              <w:rPr>
                <w:rFonts w:hint="eastAsia"/>
                <w:color w:val="auto"/>
              </w:rPr>
            </w:pPr>
            <w:r>
              <w:rPr>
                <w:rFonts w:hint="eastAsia"/>
                <w:color w:val="auto"/>
              </w:rPr>
              <w:t>19</w:t>
            </w:r>
          </w:p>
        </w:tc>
        <w:tc>
          <w:tcPr>
            <w:tcW w:w="0" w:type="auto"/>
            <w:vMerge w:val="continue"/>
            <w:vAlign w:val="center"/>
          </w:tcPr>
          <w:p w14:paraId="58C65C57">
            <w:pPr>
              <w:pStyle w:val="6"/>
              <w:rPr>
                <w:color w:val="auto"/>
              </w:rPr>
            </w:pPr>
          </w:p>
        </w:tc>
        <w:tc>
          <w:tcPr>
            <w:tcW w:w="0" w:type="auto"/>
            <w:vAlign w:val="center"/>
          </w:tcPr>
          <w:p w14:paraId="37904B9E">
            <w:pPr>
              <w:pStyle w:val="6"/>
              <w:rPr>
                <w:rFonts w:hint="eastAsia"/>
                <w:color w:val="auto"/>
              </w:rPr>
            </w:pPr>
            <w:r>
              <w:rPr>
                <w:rFonts w:hint="eastAsia"/>
                <w:color w:val="auto"/>
              </w:rPr>
              <w:t>固态存储接口协议</w:t>
            </w:r>
          </w:p>
        </w:tc>
        <w:tc>
          <w:tcPr>
            <w:tcW w:w="0" w:type="auto"/>
            <w:vAlign w:val="center"/>
          </w:tcPr>
          <w:p w14:paraId="79E9CD7C">
            <w:pPr>
              <w:pStyle w:val="6"/>
              <w:rPr>
                <w:rFonts w:hint="eastAsia"/>
                <w:color w:val="auto"/>
              </w:rPr>
            </w:pPr>
            <w:r>
              <w:rPr>
                <w:rFonts w:hint="eastAsia"/>
                <w:color w:val="auto"/>
              </w:rPr>
              <w:t>UFS/SATA/PCIe/NVMe 等类型接口协议</w:t>
            </w:r>
          </w:p>
        </w:tc>
      </w:tr>
      <w:tr w14:paraId="7992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34D8F51">
            <w:pPr>
              <w:pStyle w:val="6"/>
              <w:rPr>
                <w:rFonts w:hint="eastAsia"/>
                <w:color w:val="auto"/>
              </w:rPr>
            </w:pPr>
            <w:r>
              <w:rPr>
                <w:rFonts w:hint="eastAsia"/>
                <w:color w:val="auto"/>
              </w:rPr>
              <w:t>20</w:t>
            </w:r>
          </w:p>
        </w:tc>
        <w:tc>
          <w:tcPr>
            <w:tcW w:w="0" w:type="auto"/>
            <w:vMerge w:val="continue"/>
            <w:vAlign w:val="center"/>
          </w:tcPr>
          <w:p w14:paraId="1F7B5865">
            <w:pPr>
              <w:pStyle w:val="6"/>
              <w:rPr>
                <w:color w:val="auto"/>
              </w:rPr>
            </w:pPr>
          </w:p>
        </w:tc>
        <w:tc>
          <w:tcPr>
            <w:tcW w:w="0" w:type="auto"/>
            <w:vAlign w:val="center"/>
          </w:tcPr>
          <w:p w14:paraId="7535402A">
            <w:pPr>
              <w:pStyle w:val="6"/>
              <w:rPr>
                <w:rFonts w:hint="eastAsia"/>
                <w:color w:val="auto"/>
              </w:rPr>
            </w:pPr>
            <w:r>
              <w:rPr>
                <w:rFonts w:hint="eastAsia"/>
                <w:color w:val="auto"/>
              </w:rPr>
              <w:t>▲固态存储形态</w:t>
            </w:r>
          </w:p>
        </w:tc>
        <w:tc>
          <w:tcPr>
            <w:tcW w:w="0" w:type="auto"/>
            <w:vAlign w:val="center"/>
          </w:tcPr>
          <w:p w14:paraId="5C620DD7">
            <w:pPr>
              <w:pStyle w:val="6"/>
              <w:rPr>
                <w:rFonts w:hint="eastAsia"/>
                <w:color w:val="auto"/>
              </w:rPr>
            </w:pPr>
            <w:r>
              <w:rPr>
                <w:rFonts w:hint="eastAsia"/>
                <w:color w:val="auto"/>
              </w:rPr>
              <w:t>采用插卡或板载等形态，可选用符合M.2 或 2.5 寸 SATA 或 mSATA 等标准的插卡形态</w:t>
            </w:r>
          </w:p>
        </w:tc>
      </w:tr>
      <w:tr w14:paraId="120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7BDE49B">
            <w:pPr>
              <w:pStyle w:val="6"/>
              <w:rPr>
                <w:rFonts w:hint="eastAsia"/>
                <w:color w:val="auto"/>
              </w:rPr>
            </w:pPr>
            <w:r>
              <w:rPr>
                <w:rFonts w:hint="eastAsia"/>
                <w:color w:val="auto"/>
              </w:rPr>
              <w:t>21</w:t>
            </w:r>
          </w:p>
        </w:tc>
        <w:tc>
          <w:tcPr>
            <w:tcW w:w="0" w:type="auto"/>
            <w:vMerge w:val="continue"/>
            <w:vAlign w:val="center"/>
          </w:tcPr>
          <w:p w14:paraId="0ED5FE5B">
            <w:pPr>
              <w:pStyle w:val="6"/>
              <w:rPr>
                <w:color w:val="auto"/>
              </w:rPr>
            </w:pPr>
          </w:p>
        </w:tc>
        <w:tc>
          <w:tcPr>
            <w:tcW w:w="0" w:type="auto"/>
            <w:vAlign w:val="center"/>
          </w:tcPr>
          <w:p w14:paraId="21A04DA8">
            <w:pPr>
              <w:pStyle w:val="6"/>
              <w:rPr>
                <w:rFonts w:hint="eastAsia"/>
                <w:color w:val="auto"/>
              </w:rPr>
            </w:pPr>
            <w:r>
              <w:rPr>
                <w:rFonts w:hint="eastAsia"/>
                <w:color w:val="auto"/>
              </w:rPr>
              <w:t>存储设备扩展盘位</w:t>
            </w:r>
          </w:p>
        </w:tc>
        <w:tc>
          <w:tcPr>
            <w:tcW w:w="0" w:type="auto"/>
            <w:vAlign w:val="center"/>
          </w:tcPr>
          <w:p w14:paraId="32BF5E86">
            <w:pPr>
              <w:pStyle w:val="6"/>
              <w:rPr>
                <w:rFonts w:hint="eastAsia"/>
                <w:color w:val="auto"/>
              </w:rPr>
            </w:pPr>
            <w:r>
              <w:rPr>
                <w:rFonts w:hint="eastAsia"/>
                <w:color w:val="auto"/>
              </w:rPr>
              <w:t>≥0</w:t>
            </w:r>
          </w:p>
        </w:tc>
      </w:tr>
      <w:tr w14:paraId="37AA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AAC1F74">
            <w:pPr>
              <w:pStyle w:val="6"/>
              <w:rPr>
                <w:rFonts w:hint="eastAsia"/>
                <w:color w:val="auto"/>
              </w:rPr>
            </w:pPr>
            <w:r>
              <w:rPr>
                <w:rFonts w:hint="eastAsia"/>
                <w:color w:val="auto"/>
              </w:rPr>
              <w:t>22</w:t>
            </w:r>
          </w:p>
        </w:tc>
        <w:tc>
          <w:tcPr>
            <w:tcW w:w="0" w:type="auto"/>
            <w:vMerge w:val="continue"/>
            <w:vAlign w:val="center"/>
          </w:tcPr>
          <w:p w14:paraId="498F0368">
            <w:pPr>
              <w:pStyle w:val="6"/>
              <w:rPr>
                <w:color w:val="auto"/>
              </w:rPr>
            </w:pPr>
          </w:p>
        </w:tc>
        <w:tc>
          <w:tcPr>
            <w:tcW w:w="0" w:type="auto"/>
            <w:vAlign w:val="center"/>
          </w:tcPr>
          <w:p w14:paraId="18378EA2">
            <w:pPr>
              <w:pStyle w:val="6"/>
              <w:rPr>
                <w:rFonts w:hint="eastAsia"/>
                <w:color w:val="auto"/>
              </w:rPr>
            </w:pPr>
            <w:r>
              <w:rPr>
                <w:rFonts w:hint="eastAsia"/>
                <w:color w:val="auto"/>
              </w:rPr>
              <w:t>▲存储设备其他参数要求</w:t>
            </w:r>
          </w:p>
        </w:tc>
        <w:tc>
          <w:tcPr>
            <w:tcW w:w="0" w:type="auto"/>
            <w:vAlign w:val="center"/>
          </w:tcPr>
          <w:p w14:paraId="30E01515">
            <w:pPr>
              <w:pStyle w:val="6"/>
              <w:rPr>
                <w:rFonts w:hint="eastAsia"/>
                <w:color w:val="auto"/>
              </w:rPr>
            </w:pPr>
            <w:r>
              <w:rPr>
                <w:rFonts w:hint="eastAsia"/>
                <w:color w:val="auto"/>
              </w:rPr>
              <w:t>a)固态盘应符合 SJ/T 11654 相关规定；</w:t>
            </w:r>
            <w:r>
              <w:rPr>
                <w:rFonts w:hint="eastAsia"/>
                <w:color w:val="auto"/>
              </w:rPr>
              <w:br w:type="textWrapping"/>
            </w:r>
            <w:r>
              <w:rPr>
                <w:rFonts w:hint="eastAsia"/>
                <w:color w:val="auto"/>
              </w:rPr>
              <w:t>b)机械硬盘准备时间应不大于 30s；侧面固定螺丝孔数量可为 4 孔或 6 孔；工作状态环境温度应满足 5℃~55℃ ;其它参数应符合 GB/T 12628 相关规定</w:t>
            </w:r>
          </w:p>
        </w:tc>
      </w:tr>
      <w:tr w14:paraId="6834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D24FC44">
            <w:pPr>
              <w:pStyle w:val="6"/>
              <w:rPr>
                <w:rFonts w:hint="eastAsia"/>
                <w:color w:val="auto"/>
              </w:rPr>
            </w:pPr>
            <w:r>
              <w:rPr>
                <w:rFonts w:hint="eastAsia"/>
                <w:color w:val="auto"/>
              </w:rPr>
              <w:t>23</w:t>
            </w:r>
          </w:p>
        </w:tc>
        <w:tc>
          <w:tcPr>
            <w:tcW w:w="0" w:type="auto"/>
            <w:vMerge w:val="restart"/>
            <w:vAlign w:val="center"/>
          </w:tcPr>
          <w:p w14:paraId="3F3CB957">
            <w:pPr>
              <w:pStyle w:val="6"/>
              <w:rPr>
                <w:rFonts w:hint="eastAsia"/>
                <w:color w:val="auto"/>
              </w:rPr>
            </w:pPr>
            <w:r>
              <w:rPr>
                <w:rFonts w:hint="eastAsia"/>
                <w:color w:val="auto"/>
              </w:rPr>
              <w:t>▲显卡规格</w:t>
            </w:r>
          </w:p>
        </w:tc>
        <w:tc>
          <w:tcPr>
            <w:tcW w:w="0" w:type="auto"/>
            <w:vAlign w:val="center"/>
          </w:tcPr>
          <w:p w14:paraId="079B3A0A">
            <w:pPr>
              <w:pStyle w:val="6"/>
              <w:rPr>
                <w:rFonts w:hint="eastAsia"/>
                <w:color w:val="auto"/>
              </w:rPr>
            </w:pPr>
            <w:r>
              <w:rPr>
                <w:rFonts w:hint="eastAsia"/>
                <w:color w:val="auto"/>
              </w:rPr>
              <w:t>▲显卡类型</w:t>
            </w:r>
          </w:p>
        </w:tc>
        <w:tc>
          <w:tcPr>
            <w:tcW w:w="0" w:type="auto"/>
            <w:vAlign w:val="center"/>
          </w:tcPr>
          <w:p w14:paraId="5E105ABB">
            <w:pPr>
              <w:pStyle w:val="6"/>
              <w:rPr>
                <w:rFonts w:hint="eastAsia"/>
                <w:color w:val="auto"/>
              </w:rPr>
            </w:pPr>
            <w:r>
              <w:rPr>
                <w:rFonts w:hint="eastAsia"/>
                <w:color w:val="auto"/>
              </w:rPr>
              <w:t>集成显卡</w:t>
            </w:r>
          </w:p>
        </w:tc>
      </w:tr>
      <w:tr w14:paraId="501B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1D701A1">
            <w:pPr>
              <w:pStyle w:val="6"/>
              <w:rPr>
                <w:rFonts w:hint="eastAsia"/>
                <w:color w:val="auto"/>
              </w:rPr>
            </w:pPr>
            <w:r>
              <w:rPr>
                <w:rFonts w:hint="eastAsia"/>
                <w:color w:val="auto"/>
              </w:rPr>
              <w:t>24</w:t>
            </w:r>
          </w:p>
        </w:tc>
        <w:tc>
          <w:tcPr>
            <w:tcW w:w="0" w:type="auto"/>
            <w:vMerge w:val="continue"/>
            <w:vAlign w:val="center"/>
          </w:tcPr>
          <w:p w14:paraId="4B19A8C3">
            <w:pPr>
              <w:pStyle w:val="6"/>
              <w:rPr>
                <w:color w:val="auto"/>
              </w:rPr>
            </w:pPr>
          </w:p>
        </w:tc>
        <w:tc>
          <w:tcPr>
            <w:tcW w:w="0" w:type="auto"/>
            <w:vAlign w:val="center"/>
          </w:tcPr>
          <w:p w14:paraId="4232C200">
            <w:pPr>
              <w:pStyle w:val="6"/>
              <w:rPr>
                <w:rFonts w:hint="eastAsia"/>
                <w:color w:val="auto"/>
              </w:rPr>
            </w:pPr>
            <w:r>
              <w:rPr>
                <w:rFonts w:hint="eastAsia"/>
                <w:color w:val="auto"/>
              </w:rPr>
              <w:t>▲独立显卡显存类型</w:t>
            </w:r>
          </w:p>
        </w:tc>
        <w:tc>
          <w:tcPr>
            <w:tcW w:w="0" w:type="auto"/>
            <w:vAlign w:val="center"/>
          </w:tcPr>
          <w:p w14:paraId="38503E62">
            <w:pPr>
              <w:pStyle w:val="6"/>
              <w:rPr>
                <w:rFonts w:hint="eastAsia"/>
                <w:color w:val="auto"/>
              </w:rPr>
            </w:pPr>
            <w:r>
              <w:rPr>
                <w:rFonts w:hint="eastAsia"/>
                <w:color w:val="auto"/>
              </w:rPr>
              <w:t>不涉及</w:t>
            </w:r>
          </w:p>
        </w:tc>
      </w:tr>
      <w:tr w14:paraId="312E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EA0D9D8">
            <w:pPr>
              <w:pStyle w:val="6"/>
              <w:rPr>
                <w:rFonts w:hint="eastAsia"/>
                <w:color w:val="auto"/>
              </w:rPr>
            </w:pPr>
            <w:r>
              <w:rPr>
                <w:rFonts w:hint="eastAsia"/>
                <w:color w:val="auto"/>
              </w:rPr>
              <w:t>25</w:t>
            </w:r>
          </w:p>
        </w:tc>
        <w:tc>
          <w:tcPr>
            <w:tcW w:w="0" w:type="auto"/>
            <w:vMerge w:val="continue"/>
            <w:vAlign w:val="center"/>
          </w:tcPr>
          <w:p w14:paraId="47DA3AE6">
            <w:pPr>
              <w:pStyle w:val="6"/>
              <w:rPr>
                <w:color w:val="auto"/>
              </w:rPr>
            </w:pPr>
          </w:p>
        </w:tc>
        <w:tc>
          <w:tcPr>
            <w:tcW w:w="0" w:type="auto"/>
            <w:vAlign w:val="center"/>
          </w:tcPr>
          <w:p w14:paraId="71F1E051">
            <w:pPr>
              <w:pStyle w:val="6"/>
              <w:rPr>
                <w:rFonts w:hint="eastAsia"/>
                <w:color w:val="auto"/>
              </w:rPr>
            </w:pPr>
            <w:r>
              <w:rPr>
                <w:rFonts w:hint="eastAsia"/>
                <w:color w:val="auto"/>
              </w:rPr>
              <w:t>▲独立显卡显存位宽</w:t>
            </w:r>
          </w:p>
        </w:tc>
        <w:tc>
          <w:tcPr>
            <w:tcW w:w="0" w:type="auto"/>
            <w:vAlign w:val="center"/>
          </w:tcPr>
          <w:p w14:paraId="19CFCDAD">
            <w:pPr>
              <w:rPr>
                <w:color w:val="auto"/>
              </w:rPr>
            </w:pPr>
            <w:r>
              <w:rPr>
                <w:rFonts w:hint="eastAsia"/>
                <w:color w:val="auto"/>
              </w:rPr>
              <w:t>不涉及</w:t>
            </w:r>
          </w:p>
        </w:tc>
      </w:tr>
      <w:tr w14:paraId="0515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B80A6C3">
            <w:pPr>
              <w:pStyle w:val="6"/>
              <w:rPr>
                <w:rFonts w:hint="eastAsia"/>
                <w:color w:val="auto"/>
              </w:rPr>
            </w:pPr>
            <w:r>
              <w:rPr>
                <w:rFonts w:hint="eastAsia"/>
                <w:color w:val="auto"/>
              </w:rPr>
              <w:t>26</w:t>
            </w:r>
          </w:p>
        </w:tc>
        <w:tc>
          <w:tcPr>
            <w:tcW w:w="0" w:type="auto"/>
            <w:vMerge w:val="continue"/>
            <w:vAlign w:val="center"/>
          </w:tcPr>
          <w:p w14:paraId="19E54FF1">
            <w:pPr>
              <w:pStyle w:val="6"/>
              <w:rPr>
                <w:color w:val="auto"/>
              </w:rPr>
            </w:pPr>
          </w:p>
        </w:tc>
        <w:tc>
          <w:tcPr>
            <w:tcW w:w="0" w:type="auto"/>
            <w:vAlign w:val="center"/>
          </w:tcPr>
          <w:p w14:paraId="66E8500A">
            <w:pPr>
              <w:pStyle w:val="6"/>
              <w:rPr>
                <w:rFonts w:hint="eastAsia"/>
                <w:color w:val="auto"/>
              </w:rPr>
            </w:pPr>
            <w:r>
              <w:rPr>
                <w:rFonts w:hint="eastAsia"/>
                <w:color w:val="auto"/>
              </w:rPr>
              <w:t>▲独立显卡显存容量</w:t>
            </w:r>
          </w:p>
        </w:tc>
        <w:tc>
          <w:tcPr>
            <w:tcW w:w="0" w:type="auto"/>
            <w:vAlign w:val="center"/>
          </w:tcPr>
          <w:p w14:paraId="6041D9F1">
            <w:pPr>
              <w:rPr>
                <w:color w:val="auto"/>
              </w:rPr>
            </w:pPr>
            <w:r>
              <w:rPr>
                <w:rFonts w:hint="eastAsia"/>
                <w:color w:val="auto"/>
              </w:rPr>
              <w:t>不涉及</w:t>
            </w:r>
          </w:p>
        </w:tc>
      </w:tr>
      <w:tr w14:paraId="1940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42C4861">
            <w:pPr>
              <w:pStyle w:val="6"/>
              <w:rPr>
                <w:rFonts w:hint="eastAsia"/>
                <w:color w:val="auto"/>
              </w:rPr>
            </w:pPr>
            <w:r>
              <w:rPr>
                <w:rFonts w:hint="eastAsia"/>
                <w:color w:val="auto"/>
              </w:rPr>
              <w:t>27</w:t>
            </w:r>
          </w:p>
        </w:tc>
        <w:tc>
          <w:tcPr>
            <w:tcW w:w="0" w:type="auto"/>
            <w:vMerge w:val="continue"/>
            <w:vAlign w:val="center"/>
          </w:tcPr>
          <w:p w14:paraId="60BC2172">
            <w:pPr>
              <w:pStyle w:val="6"/>
              <w:rPr>
                <w:color w:val="auto"/>
              </w:rPr>
            </w:pPr>
          </w:p>
        </w:tc>
        <w:tc>
          <w:tcPr>
            <w:tcW w:w="0" w:type="auto"/>
            <w:vAlign w:val="center"/>
          </w:tcPr>
          <w:p w14:paraId="0E1BDD61">
            <w:pPr>
              <w:pStyle w:val="6"/>
              <w:rPr>
                <w:rFonts w:hint="eastAsia"/>
                <w:color w:val="auto"/>
              </w:rPr>
            </w:pPr>
            <w:r>
              <w:rPr>
                <w:rFonts w:hint="eastAsia"/>
                <w:color w:val="auto"/>
              </w:rPr>
              <w:t>独立显卡接口协议</w:t>
            </w:r>
          </w:p>
        </w:tc>
        <w:tc>
          <w:tcPr>
            <w:tcW w:w="0" w:type="auto"/>
            <w:vAlign w:val="center"/>
          </w:tcPr>
          <w:p w14:paraId="51751DC1">
            <w:pPr>
              <w:pStyle w:val="6"/>
              <w:rPr>
                <w:rFonts w:hint="eastAsia"/>
                <w:color w:val="auto"/>
              </w:rPr>
            </w:pPr>
            <w:r>
              <w:rPr>
                <w:rFonts w:hint="eastAsia"/>
                <w:color w:val="auto"/>
              </w:rPr>
              <w:t>不涉及</w:t>
            </w:r>
          </w:p>
        </w:tc>
      </w:tr>
      <w:tr w14:paraId="1898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60E9548">
            <w:pPr>
              <w:pStyle w:val="6"/>
              <w:rPr>
                <w:rFonts w:hint="eastAsia"/>
                <w:color w:val="auto"/>
              </w:rPr>
            </w:pPr>
            <w:r>
              <w:rPr>
                <w:rFonts w:hint="eastAsia"/>
                <w:color w:val="auto"/>
              </w:rPr>
              <w:t>28</w:t>
            </w:r>
          </w:p>
        </w:tc>
        <w:tc>
          <w:tcPr>
            <w:tcW w:w="0" w:type="auto"/>
            <w:vMerge w:val="restart"/>
            <w:vAlign w:val="center"/>
          </w:tcPr>
          <w:p w14:paraId="5B19ED39">
            <w:pPr>
              <w:pStyle w:val="6"/>
              <w:rPr>
                <w:rFonts w:hint="eastAsia"/>
                <w:color w:val="auto"/>
              </w:rPr>
            </w:pPr>
            <w:r>
              <w:rPr>
                <w:rFonts w:hint="eastAsia"/>
                <w:color w:val="auto"/>
              </w:rPr>
              <w:t>▲显示设备规格</w:t>
            </w:r>
          </w:p>
        </w:tc>
        <w:tc>
          <w:tcPr>
            <w:tcW w:w="0" w:type="auto"/>
            <w:vAlign w:val="center"/>
          </w:tcPr>
          <w:p w14:paraId="06E952D7">
            <w:pPr>
              <w:pStyle w:val="6"/>
              <w:rPr>
                <w:rFonts w:hint="eastAsia"/>
                <w:color w:val="auto"/>
              </w:rPr>
            </w:pPr>
            <w:r>
              <w:rPr>
                <w:rFonts w:hint="eastAsia"/>
                <w:color w:val="auto"/>
              </w:rPr>
              <w:t>▲显示屏屏占比</w:t>
            </w:r>
          </w:p>
        </w:tc>
        <w:tc>
          <w:tcPr>
            <w:tcW w:w="0" w:type="auto"/>
            <w:vAlign w:val="center"/>
          </w:tcPr>
          <w:p w14:paraId="26637FA3">
            <w:pPr>
              <w:pStyle w:val="6"/>
              <w:rPr>
                <w:rFonts w:hint="eastAsia"/>
                <w:color w:val="auto"/>
              </w:rPr>
            </w:pPr>
            <w:r>
              <w:rPr>
                <w:rFonts w:hint="eastAsia"/>
                <w:color w:val="auto"/>
              </w:rPr>
              <w:t>≥80%</w:t>
            </w:r>
          </w:p>
        </w:tc>
      </w:tr>
      <w:tr w14:paraId="0CF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6EDE342">
            <w:pPr>
              <w:pStyle w:val="6"/>
              <w:rPr>
                <w:rFonts w:hint="eastAsia"/>
                <w:color w:val="auto"/>
              </w:rPr>
            </w:pPr>
            <w:r>
              <w:rPr>
                <w:rFonts w:hint="eastAsia"/>
                <w:color w:val="auto"/>
              </w:rPr>
              <w:t>29</w:t>
            </w:r>
          </w:p>
        </w:tc>
        <w:tc>
          <w:tcPr>
            <w:tcW w:w="0" w:type="auto"/>
            <w:vMerge w:val="continue"/>
            <w:vAlign w:val="center"/>
          </w:tcPr>
          <w:p w14:paraId="5C943978">
            <w:pPr>
              <w:pStyle w:val="6"/>
              <w:rPr>
                <w:color w:val="auto"/>
              </w:rPr>
            </w:pPr>
          </w:p>
        </w:tc>
        <w:tc>
          <w:tcPr>
            <w:tcW w:w="0" w:type="auto"/>
            <w:vAlign w:val="center"/>
          </w:tcPr>
          <w:p w14:paraId="256C1A36">
            <w:pPr>
              <w:pStyle w:val="6"/>
              <w:rPr>
                <w:rFonts w:hint="eastAsia"/>
                <w:color w:val="auto"/>
              </w:rPr>
            </w:pPr>
            <w:r>
              <w:rPr>
                <w:rFonts w:hint="eastAsia"/>
                <w:color w:val="auto"/>
              </w:rPr>
              <w:t>▲显示屏分辨率</w:t>
            </w:r>
          </w:p>
        </w:tc>
        <w:tc>
          <w:tcPr>
            <w:tcW w:w="0" w:type="auto"/>
            <w:vAlign w:val="center"/>
          </w:tcPr>
          <w:p w14:paraId="0BE7B3D8">
            <w:pPr>
              <w:pStyle w:val="6"/>
              <w:rPr>
                <w:rFonts w:hint="eastAsia"/>
                <w:color w:val="auto"/>
              </w:rPr>
            </w:pPr>
            <w:r>
              <w:rPr>
                <w:rFonts w:hint="eastAsia"/>
                <w:color w:val="auto"/>
              </w:rPr>
              <w:t>≥1920x1080</w:t>
            </w:r>
          </w:p>
        </w:tc>
      </w:tr>
      <w:tr w14:paraId="3980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21D3C0">
            <w:pPr>
              <w:pStyle w:val="6"/>
              <w:rPr>
                <w:rFonts w:hint="eastAsia"/>
                <w:color w:val="auto"/>
              </w:rPr>
            </w:pPr>
            <w:r>
              <w:rPr>
                <w:rFonts w:hint="eastAsia"/>
                <w:color w:val="auto"/>
              </w:rPr>
              <w:t>30</w:t>
            </w:r>
          </w:p>
        </w:tc>
        <w:tc>
          <w:tcPr>
            <w:tcW w:w="0" w:type="auto"/>
            <w:vMerge w:val="continue"/>
            <w:vAlign w:val="center"/>
          </w:tcPr>
          <w:p w14:paraId="1E3B49C3">
            <w:pPr>
              <w:pStyle w:val="6"/>
              <w:rPr>
                <w:color w:val="auto"/>
              </w:rPr>
            </w:pPr>
          </w:p>
        </w:tc>
        <w:tc>
          <w:tcPr>
            <w:tcW w:w="0" w:type="auto"/>
            <w:vAlign w:val="center"/>
          </w:tcPr>
          <w:p w14:paraId="5FBFB3A8">
            <w:pPr>
              <w:pStyle w:val="6"/>
              <w:rPr>
                <w:rFonts w:hint="eastAsia"/>
                <w:color w:val="auto"/>
              </w:rPr>
            </w:pPr>
            <w:r>
              <w:rPr>
                <w:rFonts w:hint="eastAsia"/>
                <w:color w:val="auto"/>
              </w:rPr>
              <w:t>显示屏像素密度</w:t>
            </w:r>
          </w:p>
        </w:tc>
        <w:tc>
          <w:tcPr>
            <w:tcW w:w="0" w:type="auto"/>
            <w:vAlign w:val="center"/>
          </w:tcPr>
          <w:p w14:paraId="422EBFBE">
            <w:pPr>
              <w:pStyle w:val="6"/>
              <w:rPr>
                <w:rFonts w:hint="eastAsia"/>
                <w:color w:val="auto"/>
              </w:rPr>
            </w:pPr>
            <w:r>
              <w:rPr>
                <w:rFonts w:hint="eastAsia"/>
                <w:color w:val="auto"/>
              </w:rPr>
              <w:t>≥85 像素/英寸</w:t>
            </w:r>
          </w:p>
        </w:tc>
      </w:tr>
      <w:tr w14:paraId="6EBF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FD5EFC4">
            <w:pPr>
              <w:pStyle w:val="6"/>
              <w:rPr>
                <w:rFonts w:hint="eastAsia"/>
                <w:color w:val="auto"/>
              </w:rPr>
            </w:pPr>
            <w:r>
              <w:rPr>
                <w:rFonts w:hint="eastAsia"/>
                <w:color w:val="auto"/>
              </w:rPr>
              <w:t>31</w:t>
            </w:r>
          </w:p>
        </w:tc>
        <w:tc>
          <w:tcPr>
            <w:tcW w:w="0" w:type="auto"/>
            <w:vMerge w:val="continue"/>
            <w:vAlign w:val="center"/>
          </w:tcPr>
          <w:p w14:paraId="17F99B57">
            <w:pPr>
              <w:pStyle w:val="6"/>
              <w:rPr>
                <w:color w:val="auto"/>
              </w:rPr>
            </w:pPr>
          </w:p>
        </w:tc>
        <w:tc>
          <w:tcPr>
            <w:tcW w:w="0" w:type="auto"/>
            <w:vAlign w:val="center"/>
          </w:tcPr>
          <w:p w14:paraId="28A2B6AA">
            <w:pPr>
              <w:pStyle w:val="6"/>
              <w:rPr>
                <w:rFonts w:hint="eastAsia"/>
                <w:color w:val="auto"/>
              </w:rPr>
            </w:pPr>
            <w:r>
              <w:rPr>
                <w:rFonts w:hint="eastAsia"/>
                <w:color w:val="auto"/>
              </w:rPr>
              <w:t>显示屏可视角度</w:t>
            </w:r>
          </w:p>
        </w:tc>
        <w:tc>
          <w:tcPr>
            <w:tcW w:w="0" w:type="auto"/>
            <w:vAlign w:val="center"/>
          </w:tcPr>
          <w:p w14:paraId="0E99D6C1">
            <w:pPr>
              <w:pStyle w:val="6"/>
              <w:rPr>
                <w:rFonts w:hint="eastAsia"/>
                <w:color w:val="auto"/>
              </w:rPr>
            </w:pPr>
            <w:r>
              <w:rPr>
                <w:rFonts w:hint="eastAsia"/>
                <w:color w:val="auto"/>
              </w:rPr>
              <w:t>水平≥170 °</w:t>
            </w:r>
          </w:p>
        </w:tc>
      </w:tr>
      <w:tr w14:paraId="0BD6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F1902F3">
            <w:pPr>
              <w:pStyle w:val="6"/>
              <w:rPr>
                <w:rFonts w:hint="eastAsia"/>
                <w:color w:val="auto"/>
              </w:rPr>
            </w:pPr>
            <w:r>
              <w:rPr>
                <w:rFonts w:hint="eastAsia"/>
                <w:color w:val="auto"/>
              </w:rPr>
              <w:t>32</w:t>
            </w:r>
          </w:p>
        </w:tc>
        <w:tc>
          <w:tcPr>
            <w:tcW w:w="0" w:type="auto"/>
            <w:vMerge w:val="continue"/>
            <w:vAlign w:val="center"/>
          </w:tcPr>
          <w:p w14:paraId="48B9E8B8">
            <w:pPr>
              <w:pStyle w:val="6"/>
              <w:rPr>
                <w:color w:val="auto"/>
              </w:rPr>
            </w:pPr>
          </w:p>
        </w:tc>
        <w:tc>
          <w:tcPr>
            <w:tcW w:w="0" w:type="auto"/>
            <w:vAlign w:val="center"/>
          </w:tcPr>
          <w:p w14:paraId="73FB93B8">
            <w:pPr>
              <w:pStyle w:val="6"/>
              <w:rPr>
                <w:rFonts w:hint="eastAsia"/>
                <w:color w:val="auto"/>
              </w:rPr>
            </w:pPr>
            <w:r>
              <w:rPr>
                <w:rFonts w:hint="eastAsia"/>
                <w:color w:val="auto"/>
              </w:rPr>
              <w:t>▲显示屏尺寸</w:t>
            </w:r>
          </w:p>
        </w:tc>
        <w:tc>
          <w:tcPr>
            <w:tcW w:w="0" w:type="auto"/>
            <w:vAlign w:val="center"/>
          </w:tcPr>
          <w:p w14:paraId="6DCE170B">
            <w:pPr>
              <w:pStyle w:val="6"/>
              <w:rPr>
                <w:rFonts w:hint="eastAsia"/>
                <w:color w:val="auto"/>
              </w:rPr>
            </w:pPr>
            <w:r>
              <w:rPr>
                <w:rFonts w:hint="eastAsia"/>
                <w:color w:val="auto"/>
              </w:rPr>
              <w:t>≥23</w:t>
            </w:r>
            <w:r>
              <w:rPr>
                <w:color w:val="auto"/>
              </w:rPr>
              <w:t>.</w:t>
            </w:r>
            <w:r>
              <w:rPr>
                <w:rFonts w:hint="eastAsia"/>
                <w:color w:val="auto"/>
              </w:rPr>
              <w:t>8 英寸</w:t>
            </w:r>
          </w:p>
        </w:tc>
      </w:tr>
      <w:tr w14:paraId="746E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6804DC">
            <w:pPr>
              <w:pStyle w:val="6"/>
              <w:rPr>
                <w:rFonts w:hint="eastAsia"/>
                <w:color w:val="auto"/>
              </w:rPr>
            </w:pPr>
            <w:r>
              <w:rPr>
                <w:rFonts w:hint="eastAsia"/>
                <w:color w:val="auto"/>
              </w:rPr>
              <w:t>33</w:t>
            </w:r>
          </w:p>
        </w:tc>
        <w:tc>
          <w:tcPr>
            <w:tcW w:w="0" w:type="auto"/>
            <w:vMerge w:val="continue"/>
            <w:vAlign w:val="center"/>
          </w:tcPr>
          <w:p w14:paraId="27F905EE">
            <w:pPr>
              <w:pStyle w:val="6"/>
              <w:rPr>
                <w:color w:val="auto"/>
              </w:rPr>
            </w:pPr>
          </w:p>
        </w:tc>
        <w:tc>
          <w:tcPr>
            <w:tcW w:w="0" w:type="auto"/>
            <w:vAlign w:val="center"/>
          </w:tcPr>
          <w:p w14:paraId="6DC44203">
            <w:pPr>
              <w:pStyle w:val="6"/>
              <w:rPr>
                <w:rFonts w:hint="eastAsia"/>
                <w:color w:val="auto"/>
              </w:rPr>
            </w:pPr>
            <w:r>
              <w:rPr>
                <w:rFonts w:hint="eastAsia"/>
                <w:color w:val="auto"/>
              </w:rPr>
              <w:t>▲显示屏屏幕比例</w:t>
            </w:r>
          </w:p>
        </w:tc>
        <w:tc>
          <w:tcPr>
            <w:tcW w:w="0" w:type="auto"/>
            <w:vAlign w:val="center"/>
          </w:tcPr>
          <w:p w14:paraId="3427EE48">
            <w:pPr>
              <w:pStyle w:val="6"/>
              <w:rPr>
                <w:rFonts w:hint="eastAsia"/>
                <w:color w:val="auto"/>
              </w:rPr>
            </w:pPr>
            <w:r>
              <w:rPr>
                <w:rFonts w:hint="eastAsia"/>
                <w:color w:val="auto"/>
              </w:rPr>
              <w:t>16:9</w:t>
            </w:r>
          </w:p>
        </w:tc>
      </w:tr>
      <w:tr w14:paraId="2626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9A9C6DE">
            <w:pPr>
              <w:pStyle w:val="6"/>
              <w:rPr>
                <w:rFonts w:hint="eastAsia"/>
                <w:color w:val="auto"/>
              </w:rPr>
            </w:pPr>
            <w:r>
              <w:rPr>
                <w:rFonts w:hint="eastAsia"/>
                <w:color w:val="auto"/>
              </w:rPr>
              <w:t>34</w:t>
            </w:r>
          </w:p>
        </w:tc>
        <w:tc>
          <w:tcPr>
            <w:tcW w:w="0" w:type="auto"/>
            <w:vMerge w:val="continue"/>
            <w:vAlign w:val="center"/>
          </w:tcPr>
          <w:p w14:paraId="610E8B91">
            <w:pPr>
              <w:pStyle w:val="6"/>
              <w:rPr>
                <w:color w:val="auto"/>
              </w:rPr>
            </w:pPr>
          </w:p>
        </w:tc>
        <w:tc>
          <w:tcPr>
            <w:tcW w:w="0" w:type="auto"/>
            <w:vAlign w:val="center"/>
          </w:tcPr>
          <w:p w14:paraId="16469269">
            <w:pPr>
              <w:pStyle w:val="6"/>
              <w:rPr>
                <w:rFonts w:hint="eastAsia"/>
                <w:color w:val="auto"/>
              </w:rPr>
            </w:pPr>
            <w:r>
              <w:rPr>
                <w:rFonts w:hint="eastAsia"/>
                <w:color w:val="auto"/>
              </w:rPr>
              <w:t>▲显示器外观颜色</w:t>
            </w:r>
          </w:p>
        </w:tc>
        <w:tc>
          <w:tcPr>
            <w:tcW w:w="0" w:type="auto"/>
            <w:vAlign w:val="center"/>
          </w:tcPr>
          <w:p w14:paraId="45A9A080">
            <w:pPr>
              <w:pStyle w:val="6"/>
              <w:rPr>
                <w:rFonts w:hint="eastAsia"/>
                <w:color w:val="auto"/>
              </w:rPr>
            </w:pPr>
            <w:r>
              <w:rPr>
                <w:rFonts w:hint="eastAsia"/>
                <w:color w:val="auto"/>
              </w:rPr>
              <w:t>黑色</w:t>
            </w:r>
          </w:p>
        </w:tc>
      </w:tr>
      <w:tr w14:paraId="0650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DC8E052">
            <w:pPr>
              <w:pStyle w:val="6"/>
              <w:rPr>
                <w:rFonts w:hint="eastAsia"/>
                <w:color w:val="auto"/>
              </w:rPr>
            </w:pPr>
            <w:r>
              <w:rPr>
                <w:rFonts w:hint="eastAsia"/>
                <w:color w:val="auto"/>
              </w:rPr>
              <w:t>35</w:t>
            </w:r>
          </w:p>
        </w:tc>
        <w:tc>
          <w:tcPr>
            <w:tcW w:w="0" w:type="auto"/>
            <w:vMerge w:val="continue"/>
            <w:vAlign w:val="center"/>
          </w:tcPr>
          <w:p w14:paraId="68A6E635">
            <w:pPr>
              <w:pStyle w:val="6"/>
              <w:rPr>
                <w:color w:val="auto"/>
              </w:rPr>
            </w:pPr>
          </w:p>
        </w:tc>
        <w:tc>
          <w:tcPr>
            <w:tcW w:w="0" w:type="auto"/>
            <w:vAlign w:val="center"/>
          </w:tcPr>
          <w:p w14:paraId="48F8D094">
            <w:pPr>
              <w:pStyle w:val="6"/>
              <w:rPr>
                <w:rFonts w:hint="eastAsia"/>
                <w:color w:val="auto"/>
              </w:rPr>
            </w:pPr>
            <w:r>
              <w:rPr>
                <w:rFonts w:hint="eastAsia"/>
                <w:color w:val="auto"/>
              </w:rPr>
              <w:t>▲显示屏防蓝光</w:t>
            </w:r>
          </w:p>
        </w:tc>
        <w:tc>
          <w:tcPr>
            <w:tcW w:w="0" w:type="auto"/>
            <w:vAlign w:val="center"/>
          </w:tcPr>
          <w:p w14:paraId="7978F969">
            <w:pPr>
              <w:pStyle w:val="6"/>
              <w:rPr>
                <w:rFonts w:hint="eastAsia"/>
                <w:color w:val="auto"/>
              </w:rPr>
            </w:pPr>
            <w:r>
              <w:rPr>
                <w:rFonts w:hint="eastAsia"/>
                <w:color w:val="auto"/>
              </w:rPr>
              <w:t>支持防蓝光模式，蓝光加权辐射亮度比应≤0.0012W/(·cd·sr)（瓦每坎特拉每球面度）</w:t>
            </w:r>
          </w:p>
        </w:tc>
      </w:tr>
      <w:tr w14:paraId="486D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1A3E4D0">
            <w:pPr>
              <w:pStyle w:val="6"/>
              <w:rPr>
                <w:rFonts w:hint="eastAsia"/>
                <w:color w:val="auto"/>
              </w:rPr>
            </w:pPr>
            <w:r>
              <w:rPr>
                <w:rFonts w:hint="eastAsia"/>
                <w:color w:val="auto"/>
              </w:rPr>
              <w:t>36</w:t>
            </w:r>
          </w:p>
        </w:tc>
        <w:tc>
          <w:tcPr>
            <w:tcW w:w="0" w:type="auto"/>
            <w:vMerge w:val="continue"/>
            <w:vAlign w:val="center"/>
          </w:tcPr>
          <w:p w14:paraId="0C8EB86F">
            <w:pPr>
              <w:pStyle w:val="6"/>
              <w:rPr>
                <w:color w:val="auto"/>
              </w:rPr>
            </w:pPr>
          </w:p>
        </w:tc>
        <w:tc>
          <w:tcPr>
            <w:tcW w:w="0" w:type="auto"/>
            <w:vAlign w:val="center"/>
          </w:tcPr>
          <w:p w14:paraId="5522A095">
            <w:pPr>
              <w:pStyle w:val="6"/>
              <w:rPr>
                <w:rFonts w:hint="eastAsia"/>
                <w:color w:val="auto"/>
              </w:rPr>
            </w:pPr>
            <w:r>
              <w:rPr>
                <w:rFonts w:hint="eastAsia"/>
                <w:color w:val="auto"/>
              </w:rPr>
              <w:t>▲显示屏低频闪</w:t>
            </w:r>
          </w:p>
        </w:tc>
        <w:tc>
          <w:tcPr>
            <w:tcW w:w="0" w:type="auto"/>
            <w:vAlign w:val="center"/>
          </w:tcPr>
          <w:p w14:paraId="746CED7A">
            <w:pPr>
              <w:pStyle w:val="6"/>
              <w:rPr>
                <w:rFonts w:hint="eastAsia"/>
                <w:color w:val="auto"/>
              </w:rPr>
            </w:pPr>
            <w:r>
              <w:rPr>
                <w:rFonts w:hint="eastAsia"/>
                <w:color w:val="auto"/>
              </w:rPr>
              <w:t>显示屏应支持低频闪≤-35dB</w:t>
            </w:r>
          </w:p>
        </w:tc>
      </w:tr>
      <w:tr w14:paraId="3E44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BC9ACF6">
            <w:pPr>
              <w:pStyle w:val="6"/>
              <w:rPr>
                <w:rFonts w:hint="eastAsia"/>
                <w:color w:val="auto"/>
              </w:rPr>
            </w:pPr>
            <w:r>
              <w:rPr>
                <w:rFonts w:hint="eastAsia"/>
                <w:color w:val="auto"/>
              </w:rPr>
              <w:t>37</w:t>
            </w:r>
          </w:p>
        </w:tc>
        <w:tc>
          <w:tcPr>
            <w:tcW w:w="0" w:type="auto"/>
            <w:vMerge w:val="continue"/>
            <w:vAlign w:val="center"/>
          </w:tcPr>
          <w:p w14:paraId="25E90EFB">
            <w:pPr>
              <w:pStyle w:val="6"/>
              <w:rPr>
                <w:color w:val="auto"/>
              </w:rPr>
            </w:pPr>
          </w:p>
        </w:tc>
        <w:tc>
          <w:tcPr>
            <w:tcW w:w="0" w:type="auto"/>
            <w:vAlign w:val="center"/>
          </w:tcPr>
          <w:p w14:paraId="59F63A9B">
            <w:pPr>
              <w:pStyle w:val="6"/>
              <w:rPr>
                <w:rFonts w:hint="eastAsia"/>
                <w:color w:val="auto"/>
              </w:rPr>
            </w:pPr>
            <w:r>
              <w:rPr>
                <w:rFonts w:hint="eastAsia"/>
                <w:color w:val="auto"/>
              </w:rPr>
              <w:t>▲显示屏防炫目</w:t>
            </w:r>
          </w:p>
        </w:tc>
        <w:tc>
          <w:tcPr>
            <w:tcW w:w="0" w:type="auto"/>
            <w:vAlign w:val="center"/>
          </w:tcPr>
          <w:p w14:paraId="7F997CBB">
            <w:pPr>
              <w:pStyle w:val="6"/>
              <w:rPr>
                <w:rFonts w:hint="eastAsia"/>
                <w:color w:val="auto"/>
              </w:rPr>
            </w:pPr>
            <w:r>
              <w:rPr>
                <w:rFonts w:hint="eastAsia"/>
                <w:color w:val="auto"/>
              </w:rPr>
              <w:t>显示屏镜面反射率≤10%</w:t>
            </w:r>
          </w:p>
        </w:tc>
      </w:tr>
      <w:tr w14:paraId="0380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07E7743">
            <w:pPr>
              <w:pStyle w:val="6"/>
              <w:rPr>
                <w:rFonts w:hint="eastAsia"/>
                <w:color w:val="auto"/>
              </w:rPr>
            </w:pPr>
            <w:r>
              <w:rPr>
                <w:rFonts w:hint="eastAsia"/>
                <w:color w:val="auto"/>
              </w:rPr>
              <w:t>38</w:t>
            </w:r>
          </w:p>
        </w:tc>
        <w:tc>
          <w:tcPr>
            <w:tcW w:w="0" w:type="auto"/>
            <w:vMerge w:val="restart"/>
            <w:vAlign w:val="center"/>
          </w:tcPr>
          <w:p w14:paraId="5B0F44CC">
            <w:pPr>
              <w:pStyle w:val="6"/>
              <w:rPr>
                <w:rFonts w:hint="eastAsia"/>
                <w:color w:val="auto"/>
              </w:rPr>
            </w:pPr>
            <w:r>
              <w:rPr>
                <w:rFonts w:hint="eastAsia"/>
                <w:color w:val="auto"/>
              </w:rPr>
              <w:t>▲外设规格</w:t>
            </w:r>
          </w:p>
        </w:tc>
        <w:tc>
          <w:tcPr>
            <w:tcW w:w="0" w:type="auto"/>
            <w:vAlign w:val="center"/>
          </w:tcPr>
          <w:p w14:paraId="667CAA67">
            <w:pPr>
              <w:pStyle w:val="6"/>
              <w:rPr>
                <w:rFonts w:hint="eastAsia"/>
                <w:color w:val="auto"/>
              </w:rPr>
            </w:pPr>
            <w:r>
              <w:rPr>
                <w:rFonts w:hint="eastAsia"/>
                <w:color w:val="auto"/>
              </w:rPr>
              <w:t>传声器数量</w:t>
            </w:r>
          </w:p>
        </w:tc>
        <w:tc>
          <w:tcPr>
            <w:tcW w:w="0" w:type="auto"/>
            <w:vAlign w:val="center"/>
          </w:tcPr>
          <w:p w14:paraId="54EE2BA8">
            <w:pPr>
              <w:pStyle w:val="6"/>
              <w:rPr>
                <w:rFonts w:hint="eastAsia"/>
                <w:color w:val="auto"/>
              </w:rPr>
            </w:pPr>
            <w:r>
              <w:rPr>
                <w:rFonts w:hint="eastAsia"/>
                <w:color w:val="auto"/>
              </w:rPr>
              <w:t>不涉及</w:t>
            </w:r>
          </w:p>
        </w:tc>
      </w:tr>
      <w:tr w14:paraId="48D3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5582B82">
            <w:pPr>
              <w:pStyle w:val="6"/>
              <w:rPr>
                <w:rFonts w:hint="eastAsia"/>
                <w:color w:val="auto"/>
              </w:rPr>
            </w:pPr>
            <w:r>
              <w:rPr>
                <w:rFonts w:hint="eastAsia"/>
                <w:color w:val="auto"/>
              </w:rPr>
              <w:t>39</w:t>
            </w:r>
          </w:p>
        </w:tc>
        <w:tc>
          <w:tcPr>
            <w:tcW w:w="0" w:type="auto"/>
            <w:vMerge w:val="continue"/>
            <w:vAlign w:val="center"/>
          </w:tcPr>
          <w:p w14:paraId="3B2D7DBC">
            <w:pPr>
              <w:pStyle w:val="6"/>
              <w:rPr>
                <w:color w:val="auto"/>
              </w:rPr>
            </w:pPr>
          </w:p>
        </w:tc>
        <w:tc>
          <w:tcPr>
            <w:tcW w:w="0" w:type="auto"/>
            <w:vAlign w:val="center"/>
          </w:tcPr>
          <w:p w14:paraId="730AF7D0">
            <w:pPr>
              <w:pStyle w:val="6"/>
              <w:rPr>
                <w:rFonts w:hint="eastAsia"/>
                <w:color w:val="auto"/>
              </w:rPr>
            </w:pPr>
            <w:r>
              <w:rPr>
                <w:rFonts w:hint="eastAsia"/>
                <w:color w:val="auto"/>
              </w:rPr>
              <w:t>扬声器数量</w:t>
            </w:r>
          </w:p>
        </w:tc>
        <w:tc>
          <w:tcPr>
            <w:tcW w:w="0" w:type="auto"/>
            <w:vAlign w:val="center"/>
          </w:tcPr>
          <w:p w14:paraId="6C467882">
            <w:pPr>
              <w:pStyle w:val="6"/>
              <w:rPr>
                <w:rFonts w:hint="eastAsia"/>
                <w:color w:val="auto"/>
              </w:rPr>
            </w:pPr>
            <w:r>
              <w:rPr>
                <w:rFonts w:hint="eastAsia"/>
                <w:color w:val="auto"/>
              </w:rPr>
              <w:t>不涉及</w:t>
            </w:r>
          </w:p>
        </w:tc>
      </w:tr>
      <w:tr w14:paraId="6046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1519FE1">
            <w:pPr>
              <w:pStyle w:val="6"/>
              <w:rPr>
                <w:rFonts w:hint="eastAsia"/>
                <w:color w:val="auto"/>
              </w:rPr>
            </w:pPr>
            <w:r>
              <w:rPr>
                <w:rFonts w:hint="eastAsia"/>
                <w:color w:val="auto"/>
              </w:rPr>
              <w:t>40</w:t>
            </w:r>
          </w:p>
        </w:tc>
        <w:tc>
          <w:tcPr>
            <w:tcW w:w="0" w:type="auto"/>
            <w:vMerge w:val="continue"/>
            <w:vAlign w:val="center"/>
          </w:tcPr>
          <w:p w14:paraId="7458CE56">
            <w:pPr>
              <w:pStyle w:val="6"/>
              <w:rPr>
                <w:color w:val="auto"/>
              </w:rPr>
            </w:pPr>
          </w:p>
        </w:tc>
        <w:tc>
          <w:tcPr>
            <w:tcW w:w="0" w:type="auto"/>
            <w:vAlign w:val="center"/>
          </w:tcPr>
          <w:p w14:paraId="0CD6B688">
            <w:pPr>
              <w:pStyle w:val="6"/>
              <w:rPr>
                <w:rFonts w:hint="eastAsia"/>
                <w:color w:val="auto"/>
              </w:rPr>
            </w:pPr>
            <w:r>
              <w:rPr>
                <w:rFonts w:hint="eastAsia"/>
                <w:color w:val="auto"/>
              </w:rPr>
              <w:t>▲鼠标数量</w:t>
            </w:r>
          </w:p>
        </w:tc>
        <w:tc>
          <w:tcPr>
            <w:tcW w:w="0" w:type="auto"/>
            <w:vAlign w:val="center"/>
          </w:tcPr>
          <w:p w14:paraId="35906A9D">
            <w:pPr>
              <w:pStyle w:val="6"/>
              <w:rPr>
                <w:rFonts w:hint="eastAsia"/>
                <w:color w:val="auto"/>
              </w:rPr>
            </w:pPr>
            <w:r>
              <w:rPr>
                <w:rFonts w:hint="eastAsia"/>
                <w:color w:val="auto"/>
              </w:rPr>
              <w:t>≥1 个</w:t>
            </w:r>
          </w:p>
        </w:tc>
      </w:tr>
      <w:tr w14:paraId="7AED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042BB0">
            <w:pPr>
              <w:pStyle w:val="6"/>
              <w:rPr>
                <w:rFonts w:hint="eastAsia"/>
                <w:color w:val="auto"/>
              </w:rPr>
            </w:pPr>
            <w:r>
              <w:rPr>
                <w:rFonts w:hint="eastAsia"/>
                <w:color w:val="auto"/>
              </w:rPr>
              <w:t>41</w:t>
            </w:r>
          </w:p>
        </w:tc>
        <w:tc>
          <w:tcPr>
            <w:tcW w:w="0" w:type="auto"/>
            <w:vMerge w:val="continue"/>
            <w:vAlign w:val="center"/>
          </w:tcPr>
          <w:p w14:paraId="7EFC7723">
            <w:pPr>
              <w:pStyle w:val="6"/>
              <w:rPr>
                <w:color w:val="auto"/>
              </w:rPr>
            </w:pPr>
          </w:p>
        </w:tc>
        <w:tc>
          <w:tcPr>
            <w:tcW w:w="0" w:type="auto"/>
            <w:vAlign w:val="center"/>
          </w:tcPr>
          <w:p w14:paraId="43F41B7B">
            <w:pPr>
              <w:pStyle w:val="6"/>
              <w:rPr>
                <w:rFonts w:hint="eastAsia"/>
                <w:color w:val="auto"/>
              </w:rPr>
            </w:pPr>
            <w:r>
              <w:rPr>
                <w:rFonts w:hint="eastAsia"/>
                <w:color w:val="auto"/>
              </w:rPr>
              <w:t>▲键盘数量</w:t>
            </w:r>
          </w:p>
        </w:tc>
        <w:tc>
          <w:tcPr>
            <w:tcW w:w="0" w:type="auto"/>
            <w:vAlign w:val="center"/>
          </w:tcPr>
          <w:p w14:paraId="2F4D72E2">
            <w:pPr>
              <w:pStyle w:val="6"/>
              <w:rPr>
                <w:rFonts w:hint="eastAsia"/>
                <w:color w:val="auto"/>
              </w:rPr>
            </w:pPr>
            <w:r>
              <w:rPr>
                <w:rFonts w:hint="eastAsia"/>
                <w:color w:val="auto"/>
              </w:rPr>
              <w:t>≥1 个</w:t>
            </w:r>
          </w:p>
        </w:tc>
      </w:tr>
      <w:tr w14:paraId="32E3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1207C39">
            <w:pPr>
              <w:pStyle w:val="6"/>
              <w:rPr>
                <w:rFonts w:hint="eastAsia"/>
                <w:color w:val="auto"/>
              </w:rPr>
            </w:pPr>
            <w:r>
              <w:rPr>
                <w:rFonts w:hint="eastAsia"/>
                <w:color w:val="auto"/>
              </w:rPr>
              <w:t>42</w:t>
            </w:r>
          </w:p>
        </w:tc>
        <w:tc>
          <w:tcPr>
            <w:tcW w:w="0" w:type="auto"/>
            <w:vMerge w:val="continue"/>
            <w:vAlign w:val="center"/>
          </w:tcPr>
          <w:p w14:paraId="7EE7DCF4">
            <w:pPr>
              <w:pStyle w:val="6"/>
              <w:rPr>
                <w:color w:val="auto"/>
              </w:rPr>
            </w:pPr>
          </w:p>
        </w:tc>
        <w:tc>
          <w:tcPr>
            <w:tcW w:w="0" w:type="auto"/>
            <w:vAlign w:val="center"/>
          </w:tcPr>
          <w:p w14:paraId="33F55327">
            <w:pPr>
              <w:pStyle w:val="6"/>
              <w:rPr>
                <w:rFonts w:hint="eastAsia"/>
                <w:color w:val="auto"/>
              </w:rPr>
            </w:pPr>
            <w:r>
              <w:rPr>
                <w:rFonts w:hint="eastAsia"/>
                <w:color w:val="auto"/>
              </w:rPr>
              <w:t>摄像头数量</w:t>
            </w:r>
          </w:p>
        </w:tc>
        <w:tc>
          <w:tcPr>
            <w:tcW w:w="0" w:type="auto"/>
            <w:vAlign w:val="center"/>
          </w:tcPr>
          <w:p w14:paraId="779F2444">
            <w:pPr>
              <w:pStyle w:val="6"/>
              <w:rPr>
                <w:rFonts w:hint="eastAsia"/>
                <w:color w:val="auto"/>
              </w:rPr>
            </w:pPr>
            <w:r>
              <w:rPr>
                <w:rFonts w:hint="eastAsia"/>
                <w:color w:val="auto"/>
              </w:rPr>
              <w:t>不涉及</w:t>
            </w:r>
          </w:p>
        </w:tc>
      </w:tr>
      <w:tr w14:paraId="359E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F6BA627">
            <w:pPr>
              <w:pStyle w:val="6"/>
              <w:rPr>
                <w:rFonts w:hint="eastAsia"/>
                <w:color w:val="auto"/>
              </w:rPr>
            </w:pPr>
            <w:r>
              <w:rPr>
                <w:rFonts w:hint="eastAsia"/>
                <w:color w:val="auto"/>
              </w:rPr>
              <w:t>43</w:t>
            </w:r>
          </w:p>
        </w:tc>
        <w:tc>
          <w:tcPr>
            <w:tcW w:w="0" w:type="auto"/>
            <w:vMerge w:val="continue"/>
            <w:vAlign w:val="center"/>
          </w:tcPr>
          <w:p w14:paraId="15EAC432">
            <w:pPr>
              <w:pStyle w:val="6"/>
              <w:rPr>
                <w:color w:val="auto"/>
              </w:rPr>
            </w:pPr>
          </w:p>
        </w:tc>
        <w:tc>
          <w:tcPr>
            <w:tcW w:w="0" w:type="auto"/>
            <w:vAlign w:val="center"/>
          </w:tcPr>
          <w:p w14:paraId="036646DA">
            <w:pPr>
              <w:pStyle w:val="6"/>
              <w:rPr>
                <w:rFonts w:hint="eastAsia"/>
                <w:color w:val="auto"/>
              </w:rPr>
            </w:pPr>
            <w:r>
              <w:rPr>
                <w:rFonts w:hint="eastAsia"/>
                <w:color w:val="auto"/>
              </w:rPr>
              <w:t>光驱数量</w:t>
            </w:r>
          </w:p>
        </w:tc>
        <w:tc>
          <w:tcPr>
            <w:tcW w:w="0" w:type="auto"/>
            <w:vAlign w:val="center"/>
          </w:tcPr>
          <w:p w14:paraId="51395DD0">
            <w:pPr>
              <w:pStyle w:val="6"/>
              <w:rPr>
                <w:rFonts w:hint="eastAsia"/>
                <w:color w:val="auto"/>
              </w:rPr>
            </w:pPr>
            <w:r>
              <w:rPr>
                <w:rFonts w:hint="eastAsia"/>
                <w:color w:val="auto"/>
              </w:rPr>
              <w:t>不涉及</w:t>
            </w:r>
          </w:p>
        </w:tc>
      </w:tr>
      <w:tr w14:paraId="73C7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BD6B4A2">
            <w:pPr>
              <w:pStyle w:val="6"/>
              <w:rPr>
                <w:rFonts w:hint="eastAsia"/>
                <w:color w:val="auto"/>
              </w:rPr>
            </w:pPr>
            <w:r>
              <w:rPr>
                <w:rFonts w:hint="eastAsia"/>
                <w:color w:val="auto"/>
              </w:rPr>
              <w:t>44</w:t>
            </w:r>
          </w:p>
        </w:tc>
        <w:tc>
          <w:tcPr>
            <w:tcW w:w="0" w:type="auto"/>
            <w:vMerge w:val="continue"/>
            <w:vAlign w:val="center"/>
          </w:tcPr>
          <w:p w14:paraId="30F52647">
            <w:pPr>
              <w:pStyle w:val="6"/>
              <w:rPr>
                <w:color w:val="auto"/>
              </w:rPr>
            </w:pPr>
          </w:p>
        </w:tc>
        <w:tc>
          <w:tcPr>
            <w:tcW w:w="0" w:type="auto"/>
            <w:vAlign w:val="center"/>
          </w:tcPr>
          <w:p w14:paraId="21DE607B">
            <w:pPr>
              <w:pStyle w:val="6"/>
              <w:rPr>
                <w:rFonts w:hint="eastAsia"/>
                <w:color w:val="auto"/>
              </w:rPr>
            </w:pPr>
            <w:r>
              <w:rPr>
                <w:rFonts w:hint="eastAsia"/>
                <w:color w:val="auto"/>
              </w:rPr>
              <w:t>▲键盘按键数目</w:t>
            </w:r>
          </w:p>
        </w:tc>
        <w:tc>
          <w:tcPr>
            <w:tcW w:w="0" w:type="auto"/>
            <w:vAlign w:val="center"/>
          </w:tcPr>
          <w:p w14:paraId="6808BCBE">
            <w:pPr>
              <w:pStyle w:val="6"/>
              <w:rPr>
                <w:rFonts w:hint="eastAsia"/>
                <w:color w:val="auto"/>
              </w:rPr>
            </w:pPr>
            <w:r>
              <w:rPr>
                <w:rFonts w:hint="eastAsia"/>
                <w:color w:val="auto"/>
              </w:rPr>
              <w:t>104 键</w:t>
            </w:r>
          </w:p>
        </w:tc>
      </w:tr>
      <w:tr w14:paraId="204F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1C03A8A">
            <w:pPr>
              <w:pStyle w:val="6"/>
              <w:rPr>
                <w:rFonts w:hint="eastAsia"/>
                <w:color w:val="auto"/>
              </w:rPr>
            </w:pPr>
            <w:r>
              <w:rPr>
                <w:rFonts w:hint="eastAsia"/>
                <w:color w:val="auto"/>
              </w:rPr>
              <w:t>45</w:t>
            </w:r>
          </w:p>
        </w:tc>
        <w:tc>
          <w:tcPr>
            <w:tcW w:w="0" w:type="auto"/>
            <w:vMerge w:val="continue"/>
            <w:vAlign w:val="center"/>
          </w:tcPr>
          <w:p w14:paraId="7E99A793">
            <w:pPr>
              <w:pStyle w:val="6"/>
              <w:rPr>
                <w:color w:val="auto"/>
              </w:rPr>
            </w:pPr>
          </w:p>
        </w:tc>
        <w:tc>
          <w:tcPr>
            <w:tcW w:w="0" w:type="auto"/>
            <w:vAlign w:val="center"/>
          </w:tcPr>
          <w:p w14:paraId="5BB4E211">
            <w:pPr>
              <w:pStyle w:val="6"/>
              <w:rPr>
                <w:rFonts w:hint="eastAsia"/>
                <w:color w:val="auto"/>
              </w:rPr>
            </w:pPr>
            <w:r>
              <w:rPr>
                <w:rFonts w:hint="eastAsia"/>
                <w:color w:val="auto"/>
              </w:rPr>
              <w:t>摄像头像素</w:t>
            </w:r>
          </w:p>
        </w:tc>
        <w:tc>
          <w:tcPr>
            <w:tcW w:w="0" w:type="auto"/>
            <w:vAlign w:val="center"/>
          </w:tcPr>
          <w:p w14:paraId="00CBD60A">
            <w:pPr>
              <w:pStyle w:val="6"/>
              <w:rPr>
                <w:rFonts w:hint="eastAsia"/>
                <w:color w:val="auto"/>
              </w:rPr>
            </w:pPr>
            <w:r>
              <w:rPr>
                <w:rFonts w:hint="eastAsia"/>
                <w:color w:val="auto"/>
              </w:rPr>
              <w:t>不涉及</w:t>
            </w:r>
          </w:p>
        </w:tc>
      </w:tr>
      <w:tr w14:paraId="7F96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7E5014B">
            <w:pPr>
              <w:pStyle w:val="6"/>
              <w:rPr>
                <w:rFonts w:hint="eastAsia"/>
                <w:color w:val="auto"/>
              </w:rPr>
            </w:pPr>
            <w:r>
              <w:rPr>
                <w:rFonts w:hint="eastAsia"/>
                <w:color w:val="auto"/>
              </w:rPr>
              <w:t>46</w:t>
            </w:r>
          </w:p>
        </w:tc>
        <w:tc>
          <w:tcPr>
            <w:tcW w:w="0" w:type="auto"/>
            <w:vMerge w:val="continue"/>
            <w:vAlign w:val="center"/>
          </w:tcPr>
          <w:p w14:paraId="53ADDDB6">
            <w:pPr>
              <w:pStyle w:val="6"/>
              <w:rPr>
                <w:color w:val="auto"/>
              </w:rPr>
            </w:pPr>
          </w:p>
        </w:tc>
        <w:tc>
          <w:tcPr>
            <w:tcW w:w="0" w:type="auto"/>
            <w:vAlign w:val="center"/>
          </w:tcPr>
          <w:p w14:paraId="33AD095A">
            <w:pPr>
              <w:pStyle w:val="6"/>
              <w:rPr>
                <w:rFonts w:hint="eastAsia"/>
                <w:color w:val="auto"/>
              </w:rPr>
            </w:pPr>
            <w:r>
              <w:rPr>
                <w:rFonts w:hint="eastAsia"/>
                <w:color w:val="auto"/>
              </w:rPr>
              <w:t>摄像头分辨率</w:t>
            </w:r>
          </w:p>
        </w:tc>
        <w:tc>
          <w:tcPr>
            <w:tcW w:w="0" w:type="auto"/>
            <w:vAlign w:val="center"/>
          </w:tcPr>
          <w:p w14:paraId="48157138">
            <w:pPr>
              <w:pStyle w:val="6"/>
              <w:rPr>
                <w:rFonts w:hint="eastAsia"/>
                <w:color w:val="auto"/>
              </w:rPr>
            </w:pPr>
            <w:r>
              <w:rPr>
                <w:rFonts w:hint="eastAsia"/>
                <w:color w:val="auto"/>
              </w:rPr>
              <w:t>不涉及</w:t>
            </w:r>
          </w:p>
        </w:tc>
      </w:tr>
      <w:tr w14:paraId="3BE7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451CF27">
            <w:pPr>
              <w:pStyle w:val="6"/>
              <w:rPr>
                <w:rFonts w:hint="eastAsia"/>
                <w:color w:val="auto"/>
              </w:rPr>
            </w:pPr>
            <w:r>
              <w:rPr>
                <w:rFonts w:hint="eastAsia"/>
                <w:color w:val="auto"/>
              </w:rPr>
              <w:t>47</w:t>
            </w:r>
          </w:p>
        </w:tc>
        <w:tc>
          <w:tcPr>
            <w:tcW w:w="0" w:type="auto"/>
            <w:vMerge w:val="continue"/>
            <w:vAlign w:val="center"/>
          </w:tcPr>
          <w:p w14:paraId="3170DE19">
            <w:pPr>
              <w:pStyle w:val="6"/>
              <w:rPr>
                <w:color w:val="auto"/>
              </w:rPr>
            </w:pPr>
          </w:p>
        </w:tc>
        <w:tc>
          <w:tcPr>
            <w:tcW w:w="0" w:type="auto"/>
            <w:vAlign w:val="center"/>
          </w:tcPr>
          <w:p w14:paraId="1B646AFF">
            <w:pPr>
              <w:pStyle w:val="6"/>
              <w:rPr>
                <w:rFonts w:hint="eastAsia"/>
                <w:color w:val="auto"/>
              </w:rPr>
            </w:pPr>
            <w:r>
              <w:rPr>
                <w:rFonts w:hint="eastAsia"/>
                <w:color w:val="auto"/>
              </w:rPr>
              <w:t>扬声器功率</w:t>
            </w:r>
          </w:p>
        </w:tc>
        <w:tc>
          <w:tcPr>
            <w:tcW w:w="0" w:type="auto"/>
            <w:vAlign w:val="center"/>
          </w:tcPr>
          <w:p w14:paraId="0D500EF5">
            <w:pPr>
              <w:rPr>
                <w:color w:val="auto"/>
              </w:rPr>
            </w:pPr>
            <w:r>
              <w:rPr>
                <w:rFonts w:hint="eastAsia"/>
                <w:color w:val="auto"/>
              </w:rPr>
              <w:t>不涉及</w:t>
            </w:r>
          </w:p>
        </w:tc>
      </w:tr>
      <w:tr w14:paraId="31E5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F2C37F">
            <w:pPr>
              <w:pStyle w:val="6"/>
              <w:rPr>
                <w:rFonts w:hint="eastAsia"/>
                <w:color w:val="auto"/>
              </w:rPr>
            </w:pPr>
            <w:r>
              <w:rPr>
                <w:rFonts w:hint="eastAsia"/>
                <w:color w:val="auto"/>
              </w:rPr>
              <w:t>48</w:t>
            </w:r>
          </w:p>
        </w:tc>
        <w:tc>
          <w:tcPr>
            <w:tcW w:w="0" w:type="auto"/>
            <w:vMerge w:val="continue"/>
            <w:vAlign w:val="center"/>
          </w:tcPr>
          <w:p w14:paraId="5E70C8B1">
            <w:pPr>
              <w:pStyle w:val="6"/>
              <w:rPr>
                <w:color w:val="auto"/>
              </w:rPr>
            </w:pPr>
          </w:p>
        </w:tc>
        <w:tc>
          <w:tcPr>
            <w:tcW w:w="0" w:type="auto"/>
            <w:vAlign w:val="center"/>
          </w:tcPr>
          <w:p w14:paraId="351880C3">
            <w:pPr>
              <w:pStyle w:val="6"/>
              <w:rPr>
                <w:rFonts w:hint="eastAsia"/>
                <w:color w:val="auto"/>
              </w:rPr>
            </w:pPr>
            <w:r>
              <w:rPr>
                <w:rFonts w:hint="eastAsia"/>
                <w:color w:val="auto"/>
              </w:rPr>
              <w:t>扬声器频率范围</w:t>
            </w:r>
          </w:p>
        </w:tc>
        <w:tc>
          <w:tcPr>
            <w:tcW w:w="0" w:type="auto"/>
            <w:vAlign w:val="center"/>
          </w:tcPr>
          <w:p w14:paraId="21B3D0B6">
            <w:pPr>
              <w:rPr>
                <w:color w:val="auto"/>
              </w:rPr>
            </w:pPr>
            <w:r>
              <w:rPr>
                <w:rFonts w:hint="eastAsia"/>
                <w:color w:val="auto"/>
              </w:rPr>
              <w:t>不涉及</w:t>
            </w:r>
          </w:p>
        </w:tc>
      </w:tr>
      <w:tr w14:paraId="1EB5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3D88760">
            <w:pPr>
              <w:pStyle w:val="6"/>
              <w:rPr>
                <w:rFonts w:hint="eastAsia"/>
                <w:color w:val="auto"/>
              </w:rPr>
            </w:pPr>
            <w:r>
              <w:rPr>
                <w:rFonts w:hint="eastAsia"/>
                <w:color w:val="auto"/>
              </w:rPr>
              <w:t>49</w:t>
            </w:r>
          </w:p>
        </w:tc>
        <w:tc>
          <w:tcPr>
            <w:tcW w:w="0" w:type="auto"/>
            <w:vMerge w:val="continue"/>
            <w:vAlign w:val="center"/>
          </w:tcPr>
          <w:p w14:paraId="34D56640">
            <w:pPr>
              <w:pStyle w:val="6"/>
              <w:rPr>
                <w:color w:val="auto"/>
              </w:rPr>
            </w:pPr>
          </w:p>
        </w:tc>
        <w:tc>
          <w:tcPr>
            <w:tcW w:w="0" w:type="auto"/>
            <w:vAlign w:val="center"/>
          </w:tcPr>
          <w:p w14:paraId="1CF3E32E">
            <w:pPr>
              <w:pStyle w:val="6"/>
              <w:rPr>
                <w:rFonts w:hint="eastAsia"/>
                <w:color w:val="auto"/>
              </w:rPr>
            </w:pPr>
            <w:r>
              <w:rPr>
                <w:rFonts w:hint="eastAsia"/>
                <w:color w:val="auto"/>
              </w:rPr>
              <w:t>扬声器总谐波失真</w:t>
            </w:r>
          </w:p>
        </w:tc>
        <w:tc>
          <w:tcPr>
            <w:tcW w:w="0" w:type="auto"/>
            <w:vAlign w:val="center"/>
          </w:tcPr>
          <w:p w14:paraId="71406A86">
            <w:pPr>
              <w:rPr>
                <w:color w:val="auto"/>
              </w:rPr>
            </w:pPr>
            <w:r>
              <w:rPr>
                <w:rFonts w:hint="eastAsia"/>
                <w:color w:val="auto"/>
              </w:rPr>
              <w:t>不涉及</w:t>
            </w:r>
          </w:p>
        </w:tc>
      </w:tr>
      <w:tr w14:paraId="27DD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572B858">
            <w:pPr>
              <w:pStyle w:val="6"/>
              <w:rPr>
                <w:rFonts w:hint="eastAsia"/>
                <w:color w:val="auto"/>
              </w:rPr>
            </w:pPr>
            <w:r>
              <w:rPr>
                <w:rFonts w:hint="eastAsia"/>
                <w:color w:val="auto"/>
              </w:rPr>
              <w:t>50</w:t>
            </w:r>
          </w:p>
        </w:tc>
        <w:tc>
          <w:tcPr>
            <w:tcW w:w="0" w:type="auto"/>
            <w:vMerge w:val="continue"/>
            <w:vAlign w:val="center"/>
          </w:tcPr>
          <w:p w14:paraId="53B3F104">
            <w:pPr>
              <w:pStyle w:val="6"/>
              <w:rPr>
                <w:color w:val="auto"/>
              </w:rPr>
            </w:pPr>
          </w:p>
        </w:tc>
        <w:tc>
          <w:tcPr>
            <w:tcW w:w="0" w:type="auto"/>
            <w:vAlign w:val="center"/>
          </w:tcPr>
          <w:p w14:paraId="16B3D405">
            <w:pPr>
              <w:pStyle w:val="6"/>
              <w:rPr>
                <w:rFonts w:hint="eastAsia"/>
                <w:color w:val="auto"/>
              </w:rPr>
            </w:pPr>
            <w:r>
              <w:rPr>
                <w:rFonts w:hint="eastAsia"/>
                <w:color w:val="auto"/>
              </w:rPr>
              <w:t>扬声器最大声压级</w:t>
            </w:r>
          </w:p>
        </w:tc>
        <w:tc>
          <w:tcPr>
            <w:tcW w:w="0" w:type="auto"/>
            <w:vAlign w:val="center"/>
          </w:tcPr>
          <w:p w14:paraId="193BA03A">
            <w:pPr>
              <w:rPr>
                <w:color w:val="auto"/>
              </w:rPr>
            </w:pPr>
            <w:r>
              <w:rPr>
                <w:rFonts w:hint="eastAsia"/>
                <w:color w:val="auto"/>
              </w:rPr>
              <w:t>不涉及</w:t>
            </w:r>
          </w:p>
        </w:tc>
      </w:tr>
      <w:tr w14:paraId="471F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310916C">
            <w:pPr>
              <w:pStyle w:val="6"/>
              <w:rPr>
                <w:rFonts w:hint="eastAsia"/>
                <w:color w:val="auto"/>
              </w:rPr>
            </w:pPr>
            <w:r>
              <w:rPr>
                <w:rFonts w:hint="eastAsia"/>
                <w:color w:val="auto"/>
              </w:rPr>
              <w:t>51</w:t>
            </w:r>
          </w:p>
        </w:tc>
        <w:tc>
          <w:tcPr>
            <w:tcW w:w="0" w:type="auto"/>
            <w:vMerge w:val="continue"/>
            <w:vAlign w:val="center"/>
          </w:tcPr>
          <w:p w14:paraId="2F5A5058">
            <w:pPr>
              <w:pStyle w:val="6"/>
              <w:rPr>
                <w:color w:val="auto"/>
              </w:rPr>
            </w:pPr>
          </w:p>
        </w:tc>
        <w:tc>
          <w:tcPr>
            <w:tcW w:w="0" w:type="auto"/>
            <w:vAlign w:val="center"/>
          </w:tcPr>
          <w:p w14:paraId="6D0F6307">
            <w:pPr>
              <w:pStyle w:val="6"/>
              <w:rPr>
                <w:rFonts w:hint="eastAsia"/>
                <w:color w:val="auto"/>
              </w:rPr>
            </w:pPr>
            <w:r>
              <w:rPr>
                <w:rFonts w:hint="eastAsia"/>
                <w:color w:val="auto"/>
              </w:rPr>
              <w:t>▲键盘连接方式</w:t>
            </w:r>
          </w:p>
        </w:tc>
        <w:tc>
          <w:tcPr>
            <w:tcW w:w="0" w:type="auto"/>
            <w:vAlign w:val="center"/>
          </w:tcPr>
          <w:p w14:paraId="0DC43B5A">
            <w:pPr>
              <w:pStyle w:val="6"/>
              <w:rPr>
                <w:rFonts w:hint="eastAsia"/>
                <w:color w:val="auto"/>
              </w:rPr>
            </w:pPr>
            <w:r>
              <w:rPr>
                <w:rFonts w:hint="eastAsia"/>
                <w:color w:val="auto"/>
              </w:rPr>
              <w:t>有线</w:t>
            </w:r>
          </w:p>
        </w:tc>
      </w:tr>
      <w:tr w14:paraId="6C04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25A0E07">
            <w:pPr>
              <w:pStyle w:val="6"/>
              <w:rPr>
                <w:rFonts w:hint="eastAsia"/>
                <w:color w:val="auto"/>
              </w:rPr>
            </w:pPr>
            <w:r>
              <w:rPr>
                <w:rFonts w:hint="eastAsia"/>
                <w:color w:val="auto"/>
              </w:rPr>
              <w:t>52</w:t>
            </w:r>
          </w:p>
        </w:tc>
        <w:tc>
          <w:tcPr>
            <w:tcW w:w="0" w:type="auto"/>
            <w:vMerge w:val="continue"/>
            <w:vAlign w:val="center"/>
          </w:tcPr>
          <w:p w14:paraId="6958565F">
            <w:pPr>
              <w:pStyle w:val="6"/>
              <w:rPr>
                <w:color w:val="auto"/>
              </w:rPr>
            </w:pPr>
          </w:p>
        </w:tc>
        <w:tc>
          <w:tcPr>
            <w:tcW w:w="0" w:type="auto"/>
            <w:vAlign w:val="center"/>
          </w:tcPr>
          <w:p w14:paraId="218C2FC3">
            <w:pPr>
              <w:pStyle w:val="6"/>
              <w:rPr>
                <w:rFonts w:hint="eastAsia"/>
                <w:color w:val="auto"/>
              </w:rPr>
            </w:pPr>
            <w:r>
              <w:rPr>
                <w:rFonts w:hint="eastAsia"/>
                <w:color w:val="auto"/>
              </w:rPr>
              <w:t>▲键盘键程</w:t>
            </w:r>
          </w:p>
        </w:tc>
        <w:tc>
          <w:tcPr>
            <w:tcW w:w="0" w:type="auto"/>
            <w:vAlign w:val="center"/>
          </w:tcPr>
          <w:p w14:paraId="28D95828">
            <w:pPr>
              <w:pStyle w:val="6"/>
              <w:rPr>
                <w:rFonts w:hint="eastAsia"/>
                <w:color w:val="auto"/>
              </w:rPr>
            </w:pPr>
            <w:r>
              <w:rPr>
                <w:color w:val="auto"/>
              </w:rPr>
              <w:t>3</w:t>
            </w:r>
            <w:r>
              <w:rPr>
                <w:rFonts w:hint="eastAsia"/>
                <w:color w:val="auto"/>
              </w:rPr>
              <w:t>.0mm</w:t>
            </w:r>
          </w:p>
        </w:tc>
      </w:tr>
      <w:tr w14:paraId="26FA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58B0FFD">
            <w:pPr>
              <w:pStyle w:val="6"/>
              <w:rPr>
                <w:rFonts w:hint="eastAsia"/>
                <w:color w:val="auto"/>
              </w:rPr>
            </w:pPr>
            <w:r>
              <w:rPr>
                <w:rFonts w:hint="eastAsia"/>
                <w:color w:val="auto"/>
              </w:rPr>
              <w:t>53</w:t>
            </w:r>
          </w:p>
        </w:tc>
        <w:tc>
          <w:tcPr>
            <w:tcW w:w="0" w:type="auto"/>
            <w:vMerge w:val="continue"/>
            <w:vAlign w:val="center"/>
          </w:tcPr>
          <w:p w14:paraId="275B0B5F">
            <w:pPr>
              <w:pStyle w:val="6"/>
              <w:rPr>
                <w:color w:val="auto"/>
              </w:rPr>
            </w:pPr>
          </w:p>
        </w:tc>
        <w:tc>
          <w:tcPr>
            <w:tcW w:w="0" w:type="auto"/>
            <w:vAlign w:val="center"/>
          </w:tcPr>
          <w:p w14:paraId="322C068F">
            <w:pPr>
              <w:pStyle w:val="6"/>
              <w:rPr>
                <w:rFonts w:hint="eastAsia"/>
                <w:color w:val="auto"/>
              </w:rPr>
            </w:pPr>
            <w:r>
              <w:rPr>
                <w:rFonts w:hint="eastAsia"/>
                <w:color w:val="auto"/>
              </w:rPr>
              <w:t>▲键盘按键压力</w:t>
            </w:r>
          </w:p>
        </w:tc>
        <w:tc>
          <w:tcPr>
            <w:tcW w:w="0" w:type="auto"/>
            <w:vAlign w:val="center"/>
          </w:tcPr>
          <w:p w14:paraId="25482744">
            <w:pPr>
              <w:pStyle w:val="6"/>
              <w:rPr>
                <w:rFonts w:hint="eastAsia"/>
                <w:color w:val="auto"/>
              </w:rPr>
            </w:pPr>
            <w:r>
              <w:rPr>
                <w:rFonts w:hint="eastAsia"/>
                <w:color w:val="auto"/>
              </w:rPr>
              <w:t>按键压力应在 0.54 N±0.14N</w:t>
            </w:r>
          </w:p>
        </w:tc>
      </w:tr>
      <w:tr w14:paraId="55A4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9D0F74C">
            <w:pPr>
              <w:pStyle w:val="6"/>
              <w:rPr>
                <w:rFonts w:hint="eastAsia"/>
                <w:color w:val="auto"/>
              </w:rPr>
            </w:pPr>
            <w:r>
              <w:rPr>
                <w:rFonts w:hint="eastAsia"/>
                <w:color w:val="auto"/>
              </w:rPr>
              <w:t>54</w:t>
            </w:r>
          </w:p>
        </w:tc>
        <w:tc>
          <w:tcPr>
            <w:tcW w:w="0" w:type="auto"/>
            <w:vMerge w:val="continue"/>
            <w:vAlign w:val="center"/>
          </w:tcPr>
          <w:p w14:paraId="68ADE3FD">
            <w:pPr>
              <w:pStyle w:val="6"/>
              <w:rPr>
                <w:color w:val="auto"/>
              </w:rPr>
            </w:pPr>
          </w:p>
        </w:tc>
        <w:tc>
          <w:tcPr>
            <w:tcW w:w="0" w:type="auto"/>
            <w:vAlign w:val="center"/>
          </w:tcPr>
          <w:p w14:paraId="2BF5219D">
            <w:pPr>
              <w:pStyle w:val="6"/>
              <w:rPr>
                <w:rFonts w:hint="eastAsia"/>
                <w:color w:val="auto"/>
              </w:rPr>
            </w:pPr>
            <w:r>
              <w:rPr>
                <w:rFonts w:hint="eastAsia"/>
                <w:color w:val="auto"/>
              </w:rPr>
              <w:t>▲有线键盘连接线</w:t>
            </w:r>
          </w:p>
        </w:tc>
        <w:tc>
          <w:tcPr>
            <w:tcW w:w="0" w:type="auto"/>
            <w:vAlign w:val="center"/>
          </w:tcPr>
          <w:p w14:paraId="7020CBDC">
            <w:pPr>
              <w:pStyle w:val="6"/>
              <w:rPr>
                <w:rFonts w:hint="eastAsia"/>
                <w:color w:val="auto"/>
              </w:rPr>
            </w:pPr>
            <w:r>
              <w:rPr>
                <w:rFonts w:hint="eastAsia"/>
                <w:color w:val="auto"/>
              </w:rPr>
              <w:t>≥1.5 米</w:t>
            </w:r>
          </w:p>
        </w:tc>
      </w:tr>
      <w:tr w14:paraId="1954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A2936DA">
            <w:pPr>
              <w:pStyle w:val="6"/>
              <w:rPr>
                <w:rFonts w:hint="eastAsia"/>
                <w:color w:val="auto"/>
              </w:rPr>
            </w:pPr>
            <w:r>
              <w:rPr>
                <w:rFonts w:hint="eastAsia"/>
                <w:color w:val="auto"/>
              </w:rPr>
              <w:t>55</w:t>
            </w:r>
          </w:p>
        </w:tc>
        <w:tc>
          <w:tcPr>
            <w:tcW w:w="0" w:type="auto"/>
            <w:vMerge w:val="continue"/>
            <w:vAlign w:val="center"/>
          </w:tcPr>
          <w:p w14:paraId="377B2EB5">
            <w:pPr>
              <w:pStyle w:val="6"/>
              <w:rPr>
                <w:color w:val="auto"/>
              </w:rPr>
            </w:pPr>
          </w:p>
        </w:tc>
        <w:tc>
          <w:tcPr>
            <w:tcW w:w="0" w:type="auto"/>
            <w:vAlign w:val="center"/>
          </w:tcPr>
          <w:p w14:paraId="6E16E948">
            <w:pPr>
              <w:pStyle w:val="6"/>
              <w:rPr>
                <w:rFonts w:hint="eastAsia"/>
                <w:color w:val="auto"/>
              </w:rPr>
            </w:pPr>
            <w:r>
              <w:rPr>
                <w:rFonts w:hint="eastAsia"/>
                <w:color w:val="auto"/>
              </w:rPr>
              <w:t>▲键盘颜色</w:t>
            </w:r>
          </w:p>
        </w:tc>
        <w:tc>
          <w:tcPr>
            <w:tcW w:w="0" w:type="auto"/>
            <w:vAlign w:val="center"/>
          </w:tcPr>
          <w:p w14:paraId="4BAE36A3">
            <w:pPr>
              <w:pStyle w:val="6"/>
              <w:rPr>
                <w:rFonts w:hint="eastAsia"/>
                <w:color w:val="auto"/>
              </w:rPr>
            </w:pPr>
            <w:r>
              <w:rPr>
                <w:rFonts w:hint="eastAsia"/>
                <w:color w:val="auto"/>
              </w:rPr>
              <w:t>黑色</w:t>
            </w:r>
          </w:p>
        </w:tc>
      </w:tr>
      <w:tr w14:paraId="2152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8EBDD1C">
            <w:pPr>
              <w:pStyle w:val="6"/>
              <w:rPr>
                <w:rFonts w:hint="eastAsia"/>
                <w:color w:val="auto"/>
              </w:rPr>
            </w:pPr>
            <w:r>
              <w:rPr>
                <w:rFonts w:hint="eastAsia"/>
                <w:color w:val="auto"/>
              </w:rPr>
              <w:t>56</w:t>
            </w:r>
          </w:p>
        </w:tc>
        <w:tc>
          <w:tcPr>
            <w:tcW w:w="0" w:type="auto"/>
            <w:vMerge w:val="continue"/>
            <w:vAlign w:val="center"/>
          </w:tcPr>
          <w:p w14:paraId="3A6142CD">
            <w:pPr>
              <w:pStyle w:val="6"/>
              <w:rPr>
                <w:color w:val="auto"/>
              </w:rPr>
            </w:pPr>
          </w:p>
        </w:tc>
        <w:tc>
          <w:tcPr>
            <w:tcW w:w="0" w:type="auto"/>
            <w:vAlign w:val="center"/>
          </w:tcPr>
          <w:p w14:paraId="1F4DD814">
            <w:pPr>
              <w:pStyle w:val="6"/>
              <w:rPr>
                <w:rFonts w:hint="eastAsia"/>
                <w:color w:val="auto"/>
              </w:rPr>
            </w:pPr>
            <w:r>
              <w:rPr>
                <w:rFonts w:hint="eastAsia"/>
                <w:color w:val="auto"/>
              </w:rPr>
              <w:t>键盘其他要求</w:t>
            </w:r>
          </w:p>
        </w:tc>
        <w:tc>
          <w:tcPr>
            <w:tcW w:w="0" w:type="auto"/>
            <w:vAlign w:val="center"/>
          </w:tcPr>
          <w:p w14:paraId="48FA825B">
            <w:pPr>
              <w:pStyle w:val="6"/>
              <w:rPr>
                <w:rFonts w:hint="eastAsia"/>
                <w:color w:val="auto"/>
              </w:rPr>
            </w:pPr>
            <w:r>
              <w:rPr>
                <w:rFonts w:hint="eastAsia"/>
                <w:color w:val="auto"/>
              </w:rPr>
              <w:t>键盘外观结构、连接方式、主要功能、安全、电磁兼容性、可靠性应符合 GB/T14081 的相关规定</w:t>
            </w:r>
          </w:p>
        </w:tc>
      </w:tr>
      <w:tr w14:paraId="3977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7745CA">
            <w:pPr>
              <w:pStyle w:val="6"/>
              <w:rPr>
                <w:rFonts w:hint="eastAsia"/>
                <w:color w:val="auto"/>
              </w:rPr>
            </w:pPr>
            <w:r>
              <w:rPr>
                <w:rFonts w:hint="eastAsia"/>
                <w:color w:val="auto"/>
              </w:rPr>
              <w:t>57</w:t>
            </w:r>
          </w:p>
        </w:tc>
        <w:tc>
          <w:tcPr>
            <w:tcW w:w="0" w:type="auto"/>
            <w:vMerge w:val="continue"/>
            <w:vAlign w:val="center"/>
          </w:tcPr>
          <w:p w14:paraId="3BA46615">
            <w:pPr>
              <w:pStyle w:val="6"/>
              <w:rPr>
                <w:color w:val="auto"/>
              </w:rPr>
            </w:pPr>
          </w:p>
        </w:tc>
        <w:tc>
          <w:tcPr>
            <w:tcW w:w="0" w:type="auto"/>
            <w:vAlign w:val="center"/>
          </w:tcPr>
          <w:p w14:paraId="275D20B4">
            <w:pPr>
              <w:pStyle w:val="6"/>
              <w:rPr>
                <w:rFonts w:hint="eastAsia"/>
                <w:color w:val="auto"/>
              </w:rPr>
            </w:pPr>
            <w:r>
              <w:rPr>
                <w:rFonts w:hint="eastAsia"/>
                <w:color w:val="auto"/>
              </w:rPr>
              <w:t>▲鼠标连接方式</w:t>
            </w:r>
          </w:p>
        </w:tc>
        <w:tc>
          <w:tcPr>
            <w:tcW w:w="0" w:type="auto"/>
            <w:vAlign w:val="center"/>
          </w:tcPr>
          <w:p w14:paraId="491CE0CA">
            <w:pPr>
              <w:pStyle w:val="6"/>
              <w:rPr>
                <w:rFonts w:hint="eastAsia"/>
                <w:color w:val="auto"/>
              </w:rPr>
            </w:pPr>
            <w:r>
              <w:rPr>
                <w:rFonts w:hint="eastAsia"/>
                <w:color w:val="auto"/>
              </w:rPr>
              <w:t>有线或无线</w:t>
            </w:r>
          </w:p>
        </w:tc>
      </w:tr>
      <w:tr w14:paraId="136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5B197DD">
            <w:pPr>
              <w:pStyle w:val="6"/>
              <w:rPr>
                <w:rFonts w:hint="eastAsia"/>
                <w:color w:val="auto"/>
              </w:rPr>
            </w:pPr>
            <w:r>
              <w:rPr>
                <w:rFonts w:hint="eastAsia"/>
                <w:color w:val="auto"/>
              </w:rPr>
              <w:t>58</w:t>
            </w:r>
          </w:p>
        </w:tc>
        <w:tc>
          <w:tcPr>
            <w:tcW w:w="0" w:type="auto"/>
            <w:vMerge w:val="continue"/>
            <w:vAlign w:val="center"/>
          </w:tcPr>
          <w:p w14:paraId="438D84AE">
            <w:pPr>
              <w:pStyle w:val="6"/>
              <w:rPr>
                <w:color w:val="auto"/>
              </w:rPr>
            </w:pPr>
          </w:p>
        </w:tc>
        <w:tc>
          <w:tcPr>
            <w:tcW w:w="0" w:type="auto"/>
            <w:vAlign w:val="center"/>
          </w:tcPr>
          <w:p w14:paraId="32071764">
            <w:pPr>
              <w:pStyle w:val="6"/>
              <w:rPr>
                <w:rFonts w:hint="eastAsia"/>
                <w:color w:val="auto"/>
              </w:rPr>
            </w:pPr>
            <w:r>
              <w:rPr>
                <w:rFonts w:hint="eastAsia"/>
                <w:color w:val="auto"/>
              </w:rPr>
              <w:t>▲有线鼠标连接线</w:t>
            </w:r>
          </w:p>
        </w:tc>
        <w:tc>
          <w:tcPr>
            <w:tcW w:w="0" w:type="auto"/>
            <w:vAlign w:val="center"/>
          </w:tcPr>
          <w:p w14:paraId="587DABFD">
            <w:pPr>
              <w:pStyle w:val="6"/>
              <w:rPr>
                <w:rFonts w:hint="eastAsia"/>
                <w:color w:val="auto"/>
              </w:rPr>
            </w:pPr>
            <w:r>
              <w:rPr>
                <w:rFonts w:hint="eastAsia"/>
                <w:color w:val="auto"/>
              </w:rPr>
              <w:t>≥1.5 米</w:t>
            </w:r>
          </w:p>
        </w:tc>
      </w:tr>
      <w:tr w14:paraId="0508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B4CEE69">
            <w:pPr>
              <w:pStyle w:val="6"/>
              <w:rPr>
                <w:rFonts w:hint="eastAsia"/>
                <w:color w:val="auto"/>
              </w:rPr>
            </w:pPr>
            <w:r>
              <w:rPr>
                <w:rFonts w:hint="eastAsia"/>
                <w:color w:val="auto"/>
              </w:rPr>
              <w:t>59</w:t>
            </w:r>
          </w:p>
        </w:tc>
        <w:tc>
          <w:tcPr>
            <w:tcW w:w="0" w:type="auto"/>
            <w:vMerge w:val="continue"/>
            <w:vAlign w:val="center"/>
          </w:tcPr>
          <w:p w14:paraId="1F46BACA">
            <w:pPr>
              <w:pStyle w:val="6"/>
              <w:rPr>
                <w:color w:val="auto"/>
              </w:rPr>
            </w:pPr>
          </w:p>
        </w:tc>
        <w:tc>
          <w:tcPr>
            <w:tcW w:w="0" w:type="auto"/>
            <w:vAlign w:val="center"/>
          </w:tcPr>
          <w:p w14:paraId="5DEC6948">
            <w:pPr>
              <w:pStyle w:val="6"/>
              <w:rPr>
                <w:rFonts w:hint="eastAsia"/>
                <w:color w:val="auto"/>
              </w:rPr>
            </w:pPr>
            <w:r>
              <w:rPr>
                <w:rFonts w:hint="eastAsia"/>
                <w:color w:val="auto"/>
              </w:rPr>
              <w:t>▲鼠标 DPI分辨率</w:t>
            </w:r>
          </w:p>
        </w:tc>
        <w:tc>
          <w:tcPr>
            <w:tcW w:w="0" w:type="auto"/>
            <w:vAlign w:val="center"/>
          </w:tcPr>
          <w:p w14:paraId="4FA3121E">
            <w:pPr>
              <w:pStyle w:val="6"/>
              <w:rPr>
                <w:rFonts w:hint="eastAsia"/>
                <w:color w:val="auto"/>
              </w:rPr>
            </w:pPr>
            <w:r>
              <w:rPr>
                <w:rFonts w:hint="eastAsia"/>
                <w:color w:val="auto"/>
              </w:rPr>
              <w:t>800~1600</w:t>
            </w:r>
          </w:p>
        </w:tc>
      </w:tr>
      <w:tr w14:paraId="221A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D08FB4B">
            <w:pPr>
              <w:pStyle w:val="6"/>
              <w:rPr>
                <w:rFonts w:hint="eastAsia"/>
                <w:color w:val="auto"/>
              </w:rPr>
            </w:pPr>
            <w:r>
              <w:rPr>
                <w:rFonts w:hint="eastAsia"/>
                <w:color w:val="auto"/>
              </w:rPr>
              <w:t>60</w:t>
            </w:r>
          </w:p>
        </w:tc>
        <w:tc>
          <w:tcPr>
            <w:tcW w:w="0" w:type="auto"/>
            <w:vMerge w:val="continue"/>
            <w:vAlign w:val="center"/>
          </w:tcPr>
          <w:p w14:paraId="4A8CBBFD">
            <w:pPr>
              <w:pStyle w:val="6"/>
              <w:rPr>
                <w:color w:val="auto"/>
              </w:rPr>
            </w:pPr>
          </w:p>
        </w:tc>
        <w:tc>
          <w:tcPr>
            <w:tcW w:w="0" w:type="auto"/>
            <w:vAlign w:val="center"/>
          </w:tcPr>
          <w:p w14:paraId="20D3A197">
            <w:pPr>
              <w:pStyle w:val="6"/>
              <w:rPr>
                <w:rFonts w:hint="eastAsia"/>
                <w:color w:val="auto"/>
              </w:rPr>
            </w:pPr>
            <w:r>
              <w:rPr>
                <w:rFonts w:hint="eastAsia"/>
                <w:color w:val="auto"/>
              </w:rPr>
              <w:t>▲鼠标颜色</w:t>
            </w:r>
          </w:p>
        </w:tc>
        <w:tc>
          <w:tcPr>
            <w:tcW w:w="0" w:type="auto"/>
            <w:vAlign w:val="center"/>
          </w:tcPr>
          <w:p w14:paraId="08DD03DD">
            <w:pPr>
              <w:pStyle w:val="6"/>
              <w:rPr>
                <w:rFonts w:hint="eastAsia"/>
                <w:color w:val="auto"/>
              </w:rPr>
            </w:pPr>
            <w:r>
              <w:rPr>
                <w:rFonts w:hint="eastAsia"/>
                <w:color w:val="auto"/>
              </w:rPr>
              <w:t>黑色</w:t>
            </w:r>
          </w:p>
        </w:tc>
      </w:tr>
      <w:tr w14:paraId="709D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8F47720">
            <w:pPr>
              <w:pStyle w:val="6"/>
              <w:rPr>
                <w:rFonts w:hint="eastAsia"/>
                <w:color w:val="auto"/>
              </w:rPr>
            </w:pPr>
            <w:r>
              <w:rPr>
                <w:rFonts w:hint="eastAsia"/>
                <w:color w:val="auto"/>
              </w:rPr>
              <w:t>61</w:t>
            </w:r>
          </w:p>
        </w:tc>
        <w:tc>
          <w:tcPr>
            <w:tcW w:w="0" w:type="auto"/>
            <w:vMerge w:val="continue"/>
            <w:vAlign w:val="center"/>
          </w:tcPr>
          <w:p w14:paraId="3C3CFC04">
            <w:pPr>
              <w:pStyle w:val="6"/>
              <w:rPr>
                <w:color w:val="auto"/>
              </w:rPr>
            </w:pPr>
          </w:p>
        </w:tc>
        <w:tc>
          <w:tcPr>
            <w:tcW w:w="0" w:type="auto"/>
            <w:vAlign w:val="center"/>
          </w:tcPr>
          <w:p w14:paraId="3D350BC4">
            <w:pPr>
              <w:pStyle w:val="6"/>
              <w:rPr>
                <w:rFonts w:hint="eastAsia"/>
                <w:color w:val="auto"/>
              </w:rPr>
            </w:pPr>
            <w:r>
              <w:rPr>
                <w:rFonts w:hint="eastAsia"/>
                <w:color w:val="auto"/>
              </w:rPr>
              <w:t>▲鼠标其他要求</w:t>
            </w:r>
          </w:p>
        </w:tc>
        <w:tc>
          <w:tcPr>
            <w:tcW w:w="0" w:type="auto"/>
            <w:vAlign w:val="center"/>
          </w:tcPr>
          <w:p w14:paraId="0B17A1C8">
            <w:pPr>
              <w:pStyle w:val="6"/>
              <w:rPr>
                <w:rFonts w:hint="eastAsia"/>
                <w:color w:val="auto"/>
              </w:rPr>
            </w:pPr>
            <w:r>
              <w:rPr>
                <w:rFonts w:hint="eastAsia"/>
                <w:color w:val="auto"/>
              </w:rPr>
              <w:t>其它参数应符合 GB/T 26245 的相关规定</w:t>
            </w:r>
          </w:p>
        </w:tc>
      </w:tr>
      <w:tr w14:paraId="0B32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ED26204">
            <w:pPr>
              <w:pStyle w:val="6"/>
              <w:rPr>
                <w:rFonts w:hint="eastAsia"/>
                <w:color w:val="auto"/>
              </w:rPr>
            </w:pPr>
            <w:r>
              <w:rPr>
                <w:rFonts w:hint="eastAsia"/>
                <w:color w:val="auto"/>
              </w:rPr>
              <w:t>62</w:t>
            </w:r>
          </w:p>
        </w:tc>
        <w:tc>
          <w:tcPr>
            <w:tcW w:w="0" w:type="auto"/>
            <w:vMerge w:val="continue"/>
            <w:vAlign w:val="center"/>
          </w:tcPr>
          <w:p w14:paraId="4C200A5A">
            <w:pPr>
              <w:pStyle w:val="6"/>
              <w:rPr>
                <w:color w:val="auto"/>
              </w:rPr>
            </w:pPr>
          </w:p>
        </w:tc>
        <w:tc>
          <w:tcPr>
            <w:tcW w:w="0" w:type="auto"/>
            <w:vAlign w:val="center"/>
          </w:tcPr>
          <w:p w14:paraId="048988A3">
            <w:pPr>
              <w:pStyle w:val="6"/>
              <w:rPr>
                <w:rFonts w:hint="eastAsia"/>
                <w:color w:val="auto"/>
              </w:rPr>
            </w:pPr>
            <w:r>
              <w:rPr>
                <w:rFonts w:hint="eastAsia"/>
                <w:color w:val="auto"/>
              </w:rPr>
              <w:t>内置光驱</w:t>
            </w:r>
          </w:p>
        </w:tc>
        <w:tc>
          <w:tcPr>
            <w:tcW w:w="0" w:type="auto"/>
            <w:vAlign w:val="center"/>
          </w:tcPr>
          <w:p w14:paraId="14D3433E">
            <w:pPr>
              <w:pStyle w:val="6"/>
              <w:rPr>
                <w:rFonts w:hint="eastAsia"/>
                <w:color w:val="auto"/>
              </w:rPr>
            </w:pPr>
            <w:r>
              <w:rPr>
                <w:rFonts w:hint="eastAsia"/>
                <w:color w:val="auto"/>
              </w:rPr>
              <w:t>支持内置光驱</w:t>
            </w:r>
          </w:p>
        </w:tc>
      </w:tr>
      <w:tr w14:paraId="20D0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827EC34">
            <w:pPr>
              <w:pStyle w:val="6"/>
              <w:rPr>
                <w:rFonts w:hint="eastAsia"/>
                <w:color w:val="auto"/>
              </w:rPr>
            </w:pPr>
            <w:r>
              <w:rPr>
                <w:rFonts w:hint="eastAsia"/>
                <w:color w:val="auto"/>
              </w:rPr>
              <w:t>63</w:t>
            </w:r>
          </w:p>
        </w:tc>
        <w:tc>
          <w:tcPr>
            <w:tcW w:w="0" w:type="auto"/>
            <w:vMerge w:val="restart"/>
            <w:vAlign w:val="center"/>
          </w:tcPr>
          <w:p w14:paraId="648AB385">
            <w:pPr>
              <w:pStyle w:val="6"/>
              <w:rPr>
                <w:rFonts w:hint="eastAsia"/>
                <w:color w:val="auto"/>
              </w:rPr>
            </w:pPr>
            <w:r>
              <w:rPr>
                <w:rFonts w:hint="eastAsia"/>
                <w:color w:val="auto"/>
              </w:rPr>
              <w:t>▲网络设备规格</w:t>
            </w:r>
          </w:p>
        </w:tc>
        <w:tc>
          <w:tcPr>
            <w:tcW w:w="0" w:type="auto"/>
            <w:vAlign w:val="center"/>
          </w:tcPr>
          <w:p w14:paraId="43CA26AE">
            <w:pPr>
              <w:pStyle w:val="6"/>
              <w:rPr>
                <w:rFonts w:hint="eastAsia"/>
                <w:color w:val="auto"/>
              </w:rPr>
            </w:pPr>
            <w:r>
              <w:rPr>
                <w:rFonts w:hint="eastAsia"/>
                <w:color w:val="auto"/>
              </w:rPr>
              <w:t>▲有线网卡数量</w:t>
            </w:r>
          </w:p>
        </w:tc>
        <w:tc>
          <w:tcPr>
            <w:tcW w:w="0" w:type="auto"/>
            <w:vAlign w:val="center"/>
          </w:tcPr>
          <w:p w14:paraId="1E1043C5">
            <w:pPr>
              <w:pStyle w:val="6"/>
              <w:rPr>
                <w:rFonts w:hint="eastAsia"/>
                <w:color w:val="auto"/>
              </w:rPr>
            </w:pPr>
            <w:r>
              <w:rPr>
                <w:rFonts w:hint="eastAsia"/>
                <w:color w:val="auto"/>
              </w:rPr>
              <w:t>≥1</w:t>
            </w:r>
          </w:p>
        </w:tc>
      </w:tr>
      <w:tr w14:paraId="7B2A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9927582">
            <w:pPr>
              <w:pStyle w:val="6"/>
              <w:rPr>
                <w:rFonts w:hint="eastAsia"/>
                <w:color w:val="auto"/>
              </w:rPr>
            </w:pPr>
            <w:r>
              <w:rPr>
                <w:rFonts w:hint="eastAsia"/>
                <w:color w:val="auto"/>
              </w:rPr>
              <w:t>64</w:t>
            </w:r>
          </w:p>
        </w:tc>
        <w:tc>
          <w:tcPr>
            <w:tcW w:w="0" w:type="auto"/>
            <w:vMerge w:val="continue"/>
            <w:vAlign w:val="center"/>
          </w:tcPr>
          <w:p w14:paraId="396ED19C">
            <w:pPr>
              <w:pStyle w:val="6"/>
              <w:rPr>
                <w:color w:val="auto"/>
              </w:rPr>
            </w:pPr>
          </w:p>
        </w:tc>
        <w:tc>
          <w:tcPr>
            <w:tcW w:w="0" w:type="auto"/>
            <w:vAlign w:val="center"/>
          </w:tcPr>
          <w:p w14:paraId="5B0E7CA0">
            <w:pPr>
              <w:pStyle w:val="6"/>
              <w:rPr>
                <w:rFonts w:hint="eastAsia"/>
                <w:color w:val="auto"/>
              </w:rPr>
            </w:pPr>
            <w:r>
              <w:rPr>
                <w:rFonts w:hint="eastAsia"/>
                <w:color w:val="auto"/>
              </w:rPr>
              <w:t>无线网卡及天线数量</w:t>
            </w:r>
          </w:p>
        </w:tc>
        <w:tc>
          <w:tcPr>
            <w:tcW w:w="0" w:type="auto"/>
            <w:vAlign w:val="center"/>
          </w:tcPr>
          <w:p w14:paraId="1230093C">
            <w:pPr>
              <w:pStyle w:val="6"/>
              <w:rPr>
                <w:rFonts w:hint="eastAsia"/>
                <w:color w:val="auto"/>
              </w:rPr>
            </w:pPr>
            <w:r>
              <w:rPr>
                <w:rFonts w:hint="eastAsia"/>
                <w:color w:val="auto"/>
              </w:rPr>
              <w:t>≥0</w:t>
            </w:r>
          </w:p>
        </w:tc>
      </w:tr>
      <w:tr w14:paraId="469D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693A0BA">
            <w:pPr>
              <w:pStyle w:val="6"/>
              <w:rPr>
                <w:rFonts w:hint="eastAsia"/>
                <w:color w:val="auto"/>
              </w:rPr>
            </w:pPr>
            <w:r>
              <w:rPr>
                <w:rFonts w:hint="eastAsia"/>
                <w:color w:val="auto"/>
              </w:rPr>
              <w:t>65</w:t>
            </w:r>
          </w:p>
        </w:tc>
        <w:tc>
          <w:tcPr>
            <w:tcW w:w="0" w:type="auto"/>
            <w:vMerge w:val="continue"/>
            <w:vAlign w:val="center"/>
          </w:tcPr>
          <w:p w14:paraId="3CF94B9B">
            <w:pPr>
              <w:pStyle w:val="6"/>
              <w:rPr>
                <w:color w:val="auto"/>
              </w:rPr>
            </w:pPr>
          </w:p>
        </w:tc>
        <w:tc>
          <w:tcPr>
            <w:tcW w:w="0" w:type="auto"/>
            <w:vAlign w:val="center"/>
          </w:tcPr>
          <w:p w14:paraId="01E3F2EF">
            <w:pPr>
              <w:pStyle w:val="6"/>
              <w:rPr>
                <w:rFonts w:hint="eastAsia"/>
                <w:color w:val="auto"/>
              </w:rPr>
            </w:pPr>
            <w:r>
              <w:rPr>
                <w:rFonts w:hint="eastAsia"/>
                <w:color w:val="auto"/>
              </w:rPr>
              <w:t>单无线网卡天线数量</w:t>
            </w:r>
          </w:p>
        </w:tc>
        <w:tc>
          <w:tcPr>
            <w:tcW w:w="0" w:type="auto"/>
            <w:vAlign w:val="center"/>
          </w:tcPr>
          <w:p w14:paraId="4B99FD46">
            <w:pPr>
              <w:pStyle w:val="6"/>
              <w:rPr>
                <w:rFonts w:hint="eastAsia"/>
                <w:color w:val="auto"/>
              </w:rPr>
            </w:pPr>
            <w:r>
              <w:rPr>
                <w:rFonts w:hint="eastAsia"/>
                <w:color w:val="auto"/>
              </w:rPr>
              <w:t>≥0</w:t>
            </w:r>
          </w:p>
        </w:tc>
      </w:tr>
      <w:tr w14:paraId="320E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8CBBBB4">
            <w:pPr>
              <w:pStyle w:val="6"/>
              <w:rPr>
                <w:rFonts w:hint="eastAsia"/>
                <w:color w:val="auto"/>
              </w:rPr>
            </w:pPr>
            <w:r>
              <w:rPr>
                <w:rFonts w:hint="eastAsia"/>
                <w:color w:val="auto"/>
              </w:rPr>
              <w:t>66</w:t>
            </w:r>
          </w:p>
        </w:tc>
        <w:tc>
          <w:tcPr>
            <w:tcW w:w="0" w:type="auto"/>
            <w:vMerge w:val="restart"/>
            <w:vAlign w:val="center"/>
          </w:tcPr>
          <w:p w14:paraId="64ACBDF2">
            <w:pPr>
              <w:pStyle w:val="6"/>
              <w:rPr>
                <w:rFonts w:hint="eastAsia"/>
                <w:color w:val="auto"/>
              </w:rPr>
            </w:pPr>
            <w:r>
              <w:rPr>
                <w:rFonts w:hint="eastAsia"/>
                <w:color w:val="auto"/>
              </w:rPr>
              <w:t>▲外部接口规格</w:t>
            </w:r>
          </w:p>
        </w:tc>
        <w:tc>
          <w:tcPr>
            <w:tcW w:w="0" w:type="auto"/>
            <w:vAlign w:val="center"/>
          </w:tcPr>
          <w:p w14:paraId="719B23B8">
            <w:pPr>
              <w:pStyle w:val="6"/>
              <w:rPr>
                <w:rFonts w:hint="eastAsia"/>
                <w:color w:val="auto"/>
              </w:rPr>
            </w:pPr>
            <w:r>
              <w:rPr>
                <w:rFonts w:hint="eastAsia"/>
                <w:color w:val="auto"/>
              </w:rPr>
              <w:t>▲USB 接口数量</w:t>
            </w:r>
          </w:p>
        </w:tc>
        <w:tc>
          <w:tcPr>
            <w:tcW w:w="0" w:type="auto"/>
            <w:vAlign w:val="center"/>
          </w:tcPr>
          <w:p w14:paraId="257F431D">
            <w:pPr>
              <w:pStyle w:val="6"/>
              <w:rPr>
                <w:rFonts w:hint="eastAsia"/>
                <w:color w:val="auto"/>
              </w:rPr>
            </w:pPr>
            <w:r>
              <w:rPr>
                <w:rFonts w:hint="eastAsia"/>
                <w:color w:val="auto"/>
              </w:rPr>
              <w:t>机箱前面板应提供不少于 3 个 USB 接口（含 2 个 USB3.0 及以上接口）</w:t>
            </w:r>
          </w:p>
        </w:tc>
      </w:tr>
      <w:tr w14:paraId="392A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4F7DA7">
            <w:pPr>
              <w:pStyle w:val="6"/>
              <w:rPr>
                <w:rFonts w:hint="eastAsia"/>
                <w:color w:val="auto"/>
              </w:rPr>
            </w:pPr>
            <w:r>
              <w:rPr>
                <w:rFonts w:hint="eastAsia"/>
                <w:color w:val="auto"/>
              </w:rPr>
              <w:t>67</w:t>
            </w:r>
          </w:p>
        </w:tc>
        <w:tc>
          <w:tcPr>
            <w:tcW w:w="0" w:type="auto"/>
            <w:vMerge w:val="continue"/>
            <w:vAlign w:val="center"/>
          </w:tcPr>
          <w:p w14:paraId="558BF574">
            <w:pPr>
              <w:pStyle w:val="6"/>
              <w:rPr>
                <w:color w:val="auto"/>
              </w:rPr>
            </w:pPr>
          </w:p>
        </w:tc>
        <w:tc>
          <w:tcPr>
            <w:tcW w:w="0" w:type="auto"/>
            <w:vAlign w:val="center"/>
          </w:tcPr>
          <w:p w14:paraId="6104BFC3">
            <w:pPr>
              <w:pStyle w:val="6"/>
              <w:rPr>
                <w:rFonts w:hint="eastAsia"/>
                <w:color w:val="auto"/>
              </w:rPr>
            </w:pPr>
            <w:r>
              <w:rPr>
                <w:rFonts w:hint="eastAsia"/>
                <w:color w:val="auto"/>
              </w:rPr>
              <w:t>USB 母座接口要求</w:t>
            </w:r>
          </w:p>
        </w:tc>
        <w:tc>
          <w:tcPr>
            <w:tcW w:w="0" w:type="auto"/>
            <w:vAlign w:val="center"/>
          </w:tcPr>
          <w:p w14:paraId="49A2518F">
            <w:pPr>
              <w:pStyle w:val="6"/>
              <w:rPr>
                <w:rFonts w:hint="eastAsia"/>
                <w:color w:val="auto"/>
              </w:rPr>
            </w:pPr>
            <w:r>
              <w:rPr>
                <w:rFonts w:hint="eastAsia"/>
                <w:color w:val="auto"/>
              </w:rPr>
              <w:t>不涉及</w:t>
            </w:r>
          </w:p>
        </w:tc>
      </w:tr>
      <w:tr w14:paraId="4E24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60334E1">
            <w:pPr>
              <w:pStyle w:val="6"/>
              <w:rPr>
                <w:rFonts w:hint="eastAsia"/>
                <w:color w:val="auto"/>
              </w:rPr>
            </w:pPr>
            <w:r>
              <w:rPr>
                <w:rFonts w:hint="eastAsia"/>
                <w:color w:val="auto"/>
              </w:rPr>
              <w:t>68</w:t>
            </w:r>
          </w:p>
        </w:tc>
        <w:tc>
          <w:tcPr>
            <w:tcW w:w="0" w:type="auto"/>
            <w:vMerge w:val="continue"/>
            <w:vAlign w:val="center"/>
          </w:tcPr>
          <w:p w14:paraId="2730F15A">
            <w:pPr>
              <w:pStyle w:val="6"/>
              <w:rPr>
                <w:color w:val="auto"/>
              </w:rPr>
            </w:pPr>
          </w:p>
        </w:tc>
        <w:tc>
          <w:tcPr>
            <w:tcW w:w="0" w:type="auto"/>
            <w:vAlign w:val="center"/>
          </w:tcPr>
          <w:p w14:paraId="7E5FC03E">
            <w:pPr>
              <w:pStyle w:val="6"/>
              <w:rPr>
                <w:rFonts w:hint="eastAsia"/>
                <w:color w:val="auto"/>
              </w:rPr>
            </w:pPr>
            <w:r>
              <w:rPr>
                <w:rFonts w:hint="eastAsia"/>
                <w:color w:val="auto"/>
              </w:rPr>
              <w:t>▲视频接口数量</w:t>
            </w:r>
          </w:p>
        </w:tc>
        <w:tc>
          <w:tcPr>
            <w:tcW w:w="0" w:type="auto"/>
            <w:vAlign w:val="center"/>
          </w:tcPr>
          <w:p w14:paraId="22D926C2">
            <w:pPr>
              <w:pStyle w:val="6"/>
              <w:rPr>
                <w:rFonts w:hint="eastAsia"/>
                <w:color w:val="auto"/>
              </w:rPr>
            </w:pPr>
            <w:r>
              <w:rPr>
                <w:rFonts w:hint="eastAsia"/>
                <w:color w:val="auto"/>
              </w:rPr>
              <w:t>≥1</w:t>
            </w:r>
          </w:p>
        </w:tc>
      </w:tr>
      <w:tr w14:paraId="0F93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1811CF5">
            <w:pPr>
              <w:pStyle w:val="6"/>
              <w:rPr>
                <w:rFonts w:hint="eastAsia"/>
                <w:color w:val="auto"/>
              </w:rPr>
            </w:pPr>
            <w:r>
              <w:rPr>
                <w:rFonts w:hint="eastAsia"/>
                <w:color w:val="auto"/>
              </w:rPr>
              <w:t>69</w:t>
            </w:r>
          </w:p>
        </w:tc>
        <w:tc>
          <w:tcPr>
            <w:tcW w:w="0" w:type="auto"/>
            <w:vMerge w:val="continue"/>
            <w:vAlign w:val="center"/>
          </w:tcPr>
          <w:p w14:paraId="34B1C421">
            <w:pPr>
              <w:pStyle w:val="6"/>
              <w:rPr>
                <w:color w:val="auto"/>
              </w:rPr>
            </w:pPr>
          </w:p>
        </w:tc>
        <w:tc>
          <w:tcPr>
            <w:tcW w:w="0" w:type="auto"/>
            <w:vAlign w:val="center"/>
          </w:tcPr>
          <w:p w14:paraId="3966D811">
            <w:pPr>
              <w:pStyle w:val="6"/>
              <w:rPr>
                <w:rFonts w:hint="eastAsia"/>
                <w:color w:val="auto"/>
              </w:rPr>
            </w:pPr>
            <w:r>
              <w:rPr>
                <w:rFonts w:hint="eastAsia"/>
                <w:color w:val="auto"/>
              </w:rPr>
              <w:t>▲音频接口数量</w:t>
            </w:r>
          </w:p>
        </w:tc>
        <w:tc>
          <w:tcPr>
            <w:tcW w:w="0" w:type="auto"/>
            <w:vAlign w:val="center"/>
          </w:tcPr>
          <w:p w14:paraId="4EB57A5A">
            <w:pPr>
              <w:pStyle w:val="6"/>
              <w:rPr>
                <w:rFonts w:hint="eastAsia"/>
                <w:color w:val="auto"/>
              </w:rPr>
            </w:pPr>
            <w:r>
              <w:rPr>
                <w:rFonts w:hint="eastAsia"/>
                <w:color w:val="auto"/>
              </w:rPr>
              <w:t>≥1</w:t>
            </w:r>
          </w:p>
        </w:tc>
      </w:tr>
      <w:tr w14:paraId="5353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0568454">
            <w:pPr>
              <w:pStyle w:val="6"/>
              <w:rPr>
                <w:rFonts w:hint="eastAsia"/>
                <w:color w:val="auto"/>
              </w:rPr>
            </w:pPr>
            <w:r>
              <w:rPr>
                <w:rFonts w:hint="eastAsia"/>
                <w:color w:val="auto"/>
              </w:rPr>
              <w:t>70</w:t>
            </w:r>
          </w:p>
        </w:tc>
        <w:tc>
          <w:tcPr>
            <w:tcW w:w="0" w:type="auto"/>
            <w:vMerge w:val="continue"/>
            <w:vAlign w:val="center"/>
          </w:tcPr>
          <w:p w14:paraId="6C611AD2">
            <w:pPr>
              <w:pStyle w:val="6"/>
              <w:rPr>
                <w:color w:val="auto"/>
              </w:rPr>
            </w:pPr>
          </w:p>
        </w:tc>
        <w:tc>
          <w:tcPr>
            <w:tcW w:w="0" w:type="auto"/>
            <w:vAlign w:val="center"/>
          </w:tcPr>
          <w:p w14:paraId="5951134D">
            <w:pPr>
              <w:pStyle w:val="6"/>
              <w:rPr>
                <w:rFonts w:hint="eastAsia"/>
                <w:color w:val="auto"/>
              </w:rPr>
            </w:pPr>
            <w:r>
              <w:rPr>
                <w:rFonts w:hint="eastAsia"/>
                <w:color w:val="auto"/>
              </w:rPr>
              <w:t>存储卡接口数量</w:t>
            </w:r>
          </w:p>
        </w:tc>
        <w:tc>
          <w:tcPr>
            <w:tcW w:w="0" w:type="auto"/>
            <w:vAlign w:val="center"/>
          </w:tcPr>
          <w:p w14:paraId="5483542F">
            <w:pPr>
              <w:pStyle w:val="6"/>
              <w:rPr>
                <w:rFonts w:hint="eastAsia"/>
                <w:color w:val="auto"/>
              </w:rPr>
            </w:pPr>
            <w:r>
              <w:rPr>
                <w:rFonts w:hint="eastAsia"/>
                <w:color w:val="auto"/>
              </w:rPr>
              <w:t>不涉及</w:t>
            </w:r>
          </w:p>
        </w:tc>
      </w:tr>
      <w:tr w14:paraId="0EE5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4DFA4A5">
            <w:pPr>
              <w:pStyle w:val="6"/>
              <w:rPr>
                <w:rFonts w:hint="eastAsia"/>
                <w:color w:val="auto"/>
              </w:rPr>
            </w:pPr>
            <w:r>
              <w:rPr>
                <w:rFonts w:hint="eastAsia"/>
                <w:color w:val="auto"/>
              </w:rPr>
              <w:t>71</w:t>
            </w:r>
          </w:p>
        </w:tc>
        <w:tc>
          <w:tcPr>
            <w:tcW w:w="0" w:type="auto"/>
            <w:vMerge w:val="restart"/>
            <w:vAlign w:val="center"/>
          </w:tcPr>
          <w:p w14:paraId="7D9959C9">
            <w:pPr>
              <w:pStyle w:val="6"/>
              <w:rPr>
                <w:rFonts w:hint="eastAsia"/>
                <w:color w:val="auto"/>
              </w:rPr>
            </w:pPr>
            <w:r>
              <w:rPr>
                <w:rFonts w:hint="eastAsia"/>
                <w:color w:val="auto"/>
              </w:rPr>
              <w:t>▲整机基础规格</w:t>
            </w:r>
          </w:p>
        </w:tc>
        <w:tc>
          <w:tcPr>
            <w:tcW w:w="0" w:type="auto"/>
            <w:vAlign w:val="center"/>
          </w:tcPr>
          <w:p w14:paraId="6FDF4DB7">
            <w:pPr>
              <w:pStyle w:val="6"/>
              <w:rPr>
                <w:rFonts w:hint="eastAsia"/>
                <w:color w:val="auto"/>
              </w:rPr>
            </w:pPr>
            <w:r>
              <w:rPr>
                <w:rFonts w:hint="eastAsia"/>
                <w:color w:val="auto"/>
              </w:rPr>
              <w:t>▲整机外观</w:t>
            </w:r>
          </w:p>
        </w:tc>
        <w:tc>
          <w:tcPr>
            <w:tcW w:w="0" w:type="auto"/>
            <w:vAlign w:val="center"/>
          </w:tcPr>
          <w:p w14:paraId="3B2101F5">
            <w:pPr>
              <w:pStyle w:val="6"/>
              <w:rPr>
                <w:rFonts w:hint="eastAsia"/>
                <w:color w:val="auto"/>
              </w:rPr>
            </w:pPr>
            <w:r>
              <w:rPr>
                <w:rFonts w:hint="eastAsia"/>
                <w:color w:val="auto"/>
              </w:rPr>
              <w:t>a) 产品表面不应有凹痕、划伤、裂缝、变形和污染等。表面涂层均匀，不应起泡、龟裂、脱落和磨损，金属零部件无锈蚀及其它机械损伤；</w:t>
            </w:r>
            <w:r>
              <w:rPr>
                <w:rFonts w:hint="eastAsia"/>
                <w:color w:val="auto"/>
              </w:rPr>
              <w:br w:type="textWrapping"/>
            </w:r>
            <w:r>
              <w:rPr>
                <w:rFonts w:hint="eastAsia"/>
                <w:color w:val="auto"/>
              </w:rPr>
              <w:t>b) 产品表面说明功能的文字、符号、标志，应清晰、端正、牢固</w:t>
            </w:r>
          </w:p>
        </w:tc>
      </w:tr>
      <w:tr w14:paraId="3E2B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8540AA0">
            <w:pPr>
              <w:pStyle w:val="6"/>
              <w:rPr>
                <w:rFonts w:hint="eastAsia"/>
                <w:color w:val="auto"/>
              </w:rPr>
            </w:pPr>
            <w:r>
              <w:rPr>
                <w:rFonts w:hint="eastAsia"/>
                <w:color w:val="auto"/>
              </w:rPr>
              <w:t>72</w:t>
            </w:r>
          </w:p>
        </w:tc>
        <w:tc>
          <w:tcPr>
            <w:tcW w:w="0" w:type="auto"/>
            <w:vMerge w:val="continue"/>
            <w:vAlign w:val="center"/>
          </w:tcPr>
          <w:p w14:paraId="3DFD4DEC">
            <w:pPr>
              <w:pStyle w:val="6"/>
              <w:rPr>
                <w:color w:val="auto"/>
              </w:rPr>
            </w:pPr>
          </w:p>
        </w:tc>
        <w:tc>
          <w:tcPr>
            <w:tcW w:w="0" w:type="auto"/>
            <w:vAlign w:val="center"/>
          </w:tcPr>
          <w:p w14:paraId="7996D1EA">
            <w:pPr>
              <w:pStyle w:val="6"/>
              <w:rPr>
                <w:rFonts w:hint="eastAsia"/>
                <w:color w:val="auto"/>
              </w:rPr>
            </w:pPr>
            <w:r>
              <w:rPr>
                <w:rFonts w:hint="eastAsia"/>
                <w:color w:val="auto"/>
              </w:rPr>
              <w:t>▲状态指示灯</w:t>
            </w:r>
          </w:p>
        </w:tc>
        <w:tc>
          <w:tcPr>
            <w:tcW w:w="0" w:type="auto"/>
            <w:vAlign w:val="center"/>
          </w:tcPr>
          <w:p w14:paraId="51C644C6">
            <w:pPr>
              <w:pStyle w:val="6"/>
              <w:rPr>
                <w:rFonts w:hint="eastAsia"/>
                <w:color w:val="auto"/>
              </w:rPr>
            </w:pPr>
            <w:r>
              <w:rPr>
                <w:rFonts w:hint="eastAsia"/>
                <w:color w:val="auto"/>
              </w:rPr>
              <w:t>在产品显著位置提供状态指示功能，如运行状态，并由供应商提供详细参数</w:t>
            </w:r>
          </w:p>
        </w:tc>
      </w:tr>
      <w:tr w14:paraId="7352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A727479">
            <w:pPr>
              <w:pStyle w:val="6"/>
              <w:rPr>
                <w:rFonts w:hint="eastAsia"/>
                <w:color w:val="auto"/>
              </w:rPr>
            </w:pPr>
            <w:r>
              <w:rPr>
                <w:rFonts w:hint="eastAsia"/>
                <w:color w:val="auto"/>
              </w:rPr>
              <w:t>73</w:t>
            </w:r>
          </w:p>
        </w:tc>
        <w:tc>
          <w:tcPr>
            <w:tcW w:w="0" w:type="auto"/>
            <w:vMerge w:val="continue"/>
            <w:vAlign w:val="center"/>
          </w:tcPr>
          <w:p w14:paraId="081B7254">
            <w:pPr>
              <w:pStyle w:val="6"/>
              <w:rPr>
                <w:color w:val="auto"/>
              </w:rPr>
            </w:pPr>
          </w:p>
        </w:tc>
        <w:tc>
          <w:tcPr>
            <w:tcW w:w="0" w:type="auto"/>
            <w:vAlign w:val="center"/>
          </w:tcPr>
          <w:p w14:paraId="19078AC3">
            <w:pPr>
              <w:pStyle w:val="6"/>
              <w:rPr>
                <w:rFonts w:hint="eastAsia"/>
                <w:color w:val="auto"/>
              </w:rPr>
            </w:pPr>
            <w:r>
              <w:rPr>
                <w:rFonts w:hint="eastAsia"/>
                <w:color w:val="auto"/>
              </w:rPr>
              <w:t>▲整机结构</w:t>
            </w:r>
          </w:p>
        </w:tc>
        <w:tc>
          <w:tcPr>
            <w:tcW w:w="0" w:type="auto"/>
            <w:vAlign w:val="center"/>
          </w:tcPr>
          <w:p w14:paraId="4A85FF9B">
            <w:pPr>
              <w:pStyle w:val="6"/>
              <w:rPr>
                <w:rFonts w:hint="eastAsia"/>
                <w:color w:val="auto"/>
              </w:rPr>
            </w:pPr>
            <w:r>
              <w:rPr>
                <w:rFonts w:hint="eastAsia"/>
                <w:color w:val="auto"/>
              </w:rPr>
              <w:t>a) 机箱应符合 GB/T 4208、GB/T 26246的相关规定；</w:t>
            </w:r>
            <w:r>
              <w:rPr>
                <w:rFonts w:hint="eastAsia"/>
                <w:color w:val="auto"/>
              </w:rPr>
              <w:br w:type="textWrapping"/>
            </w:r>
            <w:r>
              <w:rPr>
                <w:rFonts w:hint="eastAsia"/>
                <w:color w:val="auto"/>
              </w:rPr>
              <w:t>b) 产品内部结构应符合通用部件的安装需求；</w:t>
            </w:r>
            <w:r>
              <w:rPr>
                <w:rFonts w:hint="eastAsia"/>
                <w:color w:val="auto"/>
              </w:rPr>
              <w:br w:type="textWrapping"/>
            </w:r>
            <w:r>
              <w:rPr>
                <w:rFonts w:hint="eastAsia"/>
                <w:color w:val="auto"/>
              </w:rPr>
              <w:t>c) 所有输入输出接口应符合相关国家或行业标准；</w:t>
            </w:r>
            <w:r>
              <w:rPr>
                <w:rFonts w:hint="eastAsia"/>
                <w:color w:val="auto"/>
              </w:rPr>
              <w:br w:type="textWrapping"/>
            </w:r>
            <w:r>
              <w:rPr>
                <w:rFonts w:hint="eastAsia"/>
                <w:color w:val="auto"/>
              </w:rPr>
              <w:t>d) 产品零部件应紧固无松动，可插拔部件应可靠连接，开关、按钮和其它控制部件应灵活可靠，布局应方便使用；</w:t>
            </w:r>
            <w:r>
              <w:rPr>
                <w:rFonts w:hint="eastAsia"/>
                <w:color w:val="auto"/>
              </w:rPr>
              <w:br w:type="textWrapping"/>
            </w:r>
            <w:r>
              <w:rPr>
                <w:rFonts w:hint="eastAsia"/>
                <w:color w:val="auto"/>
              </w:rPr>
              <w:t>e) 所有 I/O 连接器及需插接线缆的部位应预留采购人操作空间，方便插拔解锁与插拔线缆；</w:t>
            </w:r>
            <w:r>
              <w:rPr>
                <w:rFonts w:hint="eastAsia"/>
                <w:color w:val="auto"/>
              </w:rPr>
              <w:br w:type="textWrapping"/>
            </w:r>
            <w:r>
              <w:rPr>
                <w:rFonts w:hint="eastAsia"/>
                <w:color w:val="auto"/>
              </w:rPr>
              <w:t>f) 可插拔板卡插槽部位应预留安装、拆卸或更换板卡空间；</w:t>
            </w:r>
            <w:r>
              <w:rPr>
                <w:rFonts w:hint="eastAsia"/>
                <w:color w:val="auto"/>
              </w:rPr>
              <w:br w:type="textWrapping"/>
            </w:r>
            <w:r>
              <w:rPr>
                <w:rFonts w:hint="eastAsia"/>
                <w:color w:val="auto"/>
              </w:rPr>
              <w:t>g) 拆装可能接触到的金属剪口或金属尖角部位应做防划伤处理，以保证安全；</w:t>
            </w:r>
            <w:r>
              <w:rPr>
                <w:rFonts w:hint="eastAsia"/>
                <w:color w:val="auto"/>
              </w:rPr>
              <w:br w:type="textWrapping"/>
            </w:r>
            <w:r>
              <w:rPr>
                <w:rFonts w:hint="eastAsia"/>
                <w:color w:val="auto"/>
              </w:rPr>
              <w:t>h) 整机内部走线应规整，固线结构和位置要合理可靠并做防割线处理，需便于理线和插拔操作，走线应不影响系统各主要部件组装和拆卸；</w:t>
            </w:r>
            <w:r>
              <w:rPr>
                <w:rFonts w:hint="eastAsia"/>
                <w:color w:val="auto"/>
              </w:rPr>
              <w:br w:type="textWrapping"/>
            </w:r>
            <w:r>
              <w:rPr>
                <w:rFonts w:hint="eastAsia"/>
                <w:color w:val="auto"/>
              </w:rPr>
              <w:t>i) 如需通过孔走线，过线孔应做防割线处理；</w:t>
            </w:r>
            <w:r>
              <w:rPr>
                <w:rFonts w:hint="eastAsia"/>
                <w:color w:val="auto"/>
              </w:rPr>
              <w:br w:type="textWrapping"/>
            </w:r>
            <w:r>
              <w:rPr>
                <w:rFonts w:hint="eastAsia"/>
                <w:color w:val="auto"/>
              </w:rPr>
              <w:t>j) 各插头位置和插拔方向应合理，应做到插拔无障碍设计，具备防呆设计，有效避免误操作；</w:t>
            </w:r>
            <w:r>
              <w:rPr>
                <w:rFonts w:hint="eastAsia"/>
                <w:color w:val="auto"/>
              </w:rPr>
              <w:br w:type="textWrapping"/>
            </w:r>
            <w:r>
              <w:rPr>
                <w:rFonts w:hint="eastAsia"/>
                <w:color w:val="auto"/>
              </w:rPr>
              <w:t>k) 各主要部件拆装无障碍，使用常规工具拆装，无特殊拆装工具需求；</w:t>
            </w:r>
            <w:r>
              <w:rPr>
                <w:rFonts w:hint="eastAsia"/>
                <w:color w:val="auto"/>
              </w:rPr>
              <w:br w:type="textWrapping"/>
            </w:r>
            <w:r>
              <w:rPr>
                <w:rFonts w:hint="eastAsia"/>
                <w:color w:val="auto"/>
              </w:rPr>
              <w:t>l) 各主要部件拆装步骤要少，各自拆装需避免相互干扰；</w:t>
            </w:r>
            <w:r>
              <w:rPr>
                <w:rFonts w:hint="eastAsia"/>
                <w:color w:val="auto"/>
              </w:rPr>
              <w:br w:type="textWrapping"/>
            </w:r>
            <w:r>
              <w:rPr>
                <w:rFonts w:hint="eastAsia"/>
                <w:color w:val="auto"/>
              </w:rPr>
              <w:t>m) 对于整机或零部件外表面为高亮面的，应粘贴保护膜，保护膜需粘贴牢固，运输、组装等过程不易脱落，撕下无残留；</w:t>
            </w:r>
            <w:r>
              <w:rPr>
                <w:rFonts w:hint="eastAsia"/>
                <w:color w:val="auto"/>
              </w:rPr>
              <w:br w:type="textWrapping"/>
            </w:r>
            <w:r>
              <w:rPr>
                <w:rFonts w:hint="eastAsia"/>
                <w:color w:val="auto"/>
              </w:rPr>
              <w:t>n) 其它要求应符合 GB/T 9813.1 的相关规定</w:t>
            </w:r>
          </w:p>
        </w:tc>
      </w:tr>
      <w:tr w14:paraId="4E91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691C32B">
            <w:pPr>
              <w:pStyle w:val="6"/>
              <w:rPr>
                <w:rFonts w:hint="eastAsia"/>
                <w:color w:val="auto"/>
              </w:rPr>
            </w:pPr>
            <w:r>
              <w:rPr>
                <w:rFonts w:hint="eastAsia"/>
                <w:color w:val="auto"/>
              </w:rPr>
              <w:t>74</w:t>
            </w:r>
          </w:p>
        </w:tc>
        <w:tc>
          <w:tcPr>
            <w:tcW w:w="0" w:type="auto"/>
            <w:vMerge w:val="continue"/>
            <w:vAlign w:val="center"/>
          </w:tcPr>
          <w:p w14:paraId="2F902453">
            <w:pPr>
              <w:pStyle w:val="6"/>
              <w:rPr>
                <w:color w:val="auto"/>
              </w:rPr>
            </w:pPr>
          </w:p>
        </w:tc>
        <w:tc>
          <w:tcPr>
            <w:tcW w:w="0" w:type="auto"/>
            <w:vAlign w:val="center"/>
          </w:tcPr>
          <w:p w14:paraId="63AFF9E1">
            <w:pPr>
              <w:pStyle w:val="6"/>
              <w:rPr>
                <w:rFonts w:hint="eastAsia"/>
                <w:color w:val="auto"/>
              </w:rPr>
            </w:pPr>
            <w:r>
              <w:rPr>
                <w:rFonts w:hint="eastAsia"/>
                <w:color w:val="auto"/>
              </w:rPr>
              <w:t>▲机箱防护要求</w:t>
            </w:r>
          </w:p>
        </w:tc>
        <w:tc>
          <w:tcPr>
            <w:tcW w:w="0" w:type="auto"/>
            <w:vAlign w:val="center"/>
          </w:tcPr>
          <w:p w14:paraId="36CE9FA2">
            <w:pPr>
              <w:pStyle w:val="6"/>
              <w:rPr>
                <w:rFonts w:hint="eastAsia"/>
                <w:color w:val="auto"/>
              </w:rPr>
            </w:pPr>
            <w:r>
              <w:rPr>
                <w:rFonts w:hint="eastAsia"/>
                <w:color w:val="auto"/>
              </w:rPr>
              <w:t>机箱应符合 GB/T 4208 中 IP20 防护要求</w:t>
            </w:r>
          </w:p>
        </w:tc>
      </w:tr>
      <w:tr w14:paraId="5CA5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2121846">
            <w:pPr>
              <w:pStyle w:val="6"/>
              <w:rPr>
                <w:rFonts w:hint="eastAsia"/>
                <w:color w:val="auto"/>
              </w:rPr>
            </w:pPr>
            <w:r>
              <w:rPr>
                <w:rFonts w:hint="eastAsia"/>
                <w:color w:val="auto"/>
              </w:rPr>
              <w:t>75</w:t>
            </w:r>
          </w:p>
        </w:tc>
        <w:tc>
          <w:tcPr>
            <w:tcW w:w="0" w:type="auto"/>
            <w:vMerge w:val="continue"/>
            <w:vAlign w:val="center"/>
          </w:tcPr>
          <w:p w14:paraId="4D218C70">
            <w:pPr>
              <w:pStyle w:val="6"/>
              <w:rPr>
                <w:color w:val="auto"/>
              </w:rPr>
            </w:pPr>
          </w:p>
        </w:tc>
        <w:tc>
          <w:tcPr>
            <w:tcW w:w="0" w:type="auto"/>
            <w:vAlign w:val="center"/>
          </w:tcPr>
          <w:p w14:paraId="1EFCBF9E">
            <w:pPr>
              <w:pStyle w:val="6"/>
              <w:rPr>
                <w:rFonts w:hint="eastAsia"/>
                <w:color w:val="auto"/>
              </w:rPr>
            </w:pPr>
            <w:r>
              <w:rPr>
                <w:rFonts w:hint="eastAsia"/>
                <w:color w:val="auto"/>
              </w:rPr>
              <w:t>▲整机噪音</w:t>
            </w:r>
          </w:p>
        </w:tc>
        <w:tc>
          <w:tcPr>
            <w:tcW w:w="0" w:type="auto"/>
            <w:vAlign w:val="center"/>
          </w:tcPr>
          <w:p w14:paraId="5D61AD11">
            <w:pPr>
              <w:pStyle w:val="6"/>
              <w:rPr>
                <w:rFonts w:hint="eastAsia"/>
                <w:color w:val="auto"/>
              </w:rPr>
            </w:pPr>
            <w:r>
              <w:rPr>
                <w:rFonts w:hint="eastAsia"/>
                <w:color w:val="auto"/>
              </w:rPr>
              <w:t>产品工作在空闲状态下，产品的声功率级应不超过 4.5 Bel</w:t>
            </w:r>
          </w:p>
        </w:tc>
      </w:tr>
      <w:tr w14:paraId="2B6D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CA5F0A5">
            <w:pPr>
              <w:pStyle w:val="6"/>
              <w:rPr>
                <w:rFonts w:hint="eastAsia"/>
                <w:color w:val="auto"/>
              </w:rPr>
            </w:pPr>
            <w:r>
              <w:rPr>
                <w:rFonts w:hint="eastAsia"/>
                <w:color w:val="auto"/>
              </w:rPr>
              <w:t>76</w:t>
            </w:r>
          </w:p>
        </w:tc>
        <w:tc>
          <w:tcPr>
            <w:tcW w:w="0" w:type="auto"/>
            <w:vMerge w:val="continue"/>
            <w:vAlign w:val="center"/>
          </w:tcPr>
          <w:p w14:paraId="2806B6D1">
            <w:pPr>
              <w:pStyle w:val="6"/>
              <w:rPr>
                <w:color w:val="auto"/>
              </w:rPr>
            </w:pPr>
          </w:p>
        </w:tc>
        <w:tc>
          <w:tcPr>
            <w:tcW w:w="0" w:type="auto"/>
            <w:vAlign w:val="center"/>
          </w:tcPr>
          <w:p w14:paraId="355D2075">
            <w:pPr>
              <w:pStyle w:val="6"/>
              <w:rPr>
                <w:rFonts w:hint="eastAsia"/>
                <w:color w:val="auto"/>
              </w:rPr>
            </w:pPr>
            <w:r>
              <w:rPr>
                <w:rFonts w:hint="eastAsia"/>
                <w:color w:val="auto"/>
              </w:rPr>
              <w:t>▲整机散热</w:t>
            </w:r>
          </w:p>
        </w:tc>
        <w:tc>
          <w:tcPr>
            <w:tcW w:w="0" w:type="auto"/>
            <w:vAlign w:val="center"/>
          </w:tcPr>
          <w:p w14:paraId="47796D6D">
            <w:pPr>
              <w:pStyle w:val="6"/>
              <w:rPr>
                <w:rFonts w:hint="eastAsia"/>
                <w:color w:val="auto"/>
              </w:rPr>
            </w:pPr>
            <w:r>
              <w:rPr>
                <w:rFonts w:hint="eastAsia"/>
                <w:color w:val="auto"/>
              </w:rPr>
              <w:t>在环境温度 25℃及处理器满载情况下，产品表面温度应符合如下要求：</w:t>
            </w:r>
            <w:r>
              <w:rPr>
                <w:rFonts w:hint="eastAsia"/>
                <w:color w:val="auto"/>
              </w:rPr>
              <w:br w:type="textWrapping"/>
            </w:r>
            <w:r>
              <w:rPr>
                <w:rFonts w:hint="eastAsia"/>
                <w:color w:val="auto"/>
              </w:rPr>
              <w:t>a) 出风口在机箱后面板情况下，出风口温度不高于 55℃ ;</w:t>
            </w:r>
            <w:r>
              <w:rPr>
                <w:rFonts w:hint="eastAsia"/>
                <w:color w:val="auto"/>
              </w:rPr>
              <w:br w:type="textWrapping"/>
            </w:r>
            <w:r>
              <w:rPr>
                <w:rFonts w:hint="eastAsia"/>
                <w:color w:val="auto"/>
              </w:rPr>
              <w:t>b) 可触及面温度不高于 45℃ ;</w:t>
            </w:r>
            <w:r>
              <w:rPr>
                <w:rFonts w:hint="eastAsia"/>
                <w:color w:val="auto"/>
              </w:rPr>
              <w:br w:type="textWrapping"/>
            </w:r>
            <w:r>
              <w:rPr>
                <w:rFonts w:hint="eastAsia"/>
                <w:color w:val="auto"/>
              </w:rPr>
              <w:t>c) 显示器表面温度：显示屏不高于38℃ , 显示屏上下灯带位置温度（如涉及）不高于 40℃ , 出风口温度不高于 45℃</w:t>
            </w:r>
          </w:p>
        </w:tc>
      </w:tr>
      <w:tr w14:paraId="4980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1E8BAF1">
            <w:pPr>
              <w:pStyle w:val="6"/>
              <w:rPr>
                <w:rFonts w:hint="eastAsia"/>
                <w:color w:val="auto"/>
              </w:rPr>
            </w:pPr>
            <w:r>
              <w:rPr>
                <w:rFonts w:hint="eastAsia"/>
                <w:color w:val="auto"/>
              </w:rPr>
              <w:t>77</w:t>
            </w:r>
          </w:p>
        </w:tc>
        <w:tc>
          <w:tcPr>
            <w:tcW w:w="0" w:type="auto"/>
            <w:vMerge w:val="continue"/>
            <w:vAlign w:val="center"/>
          </w:tcPr>
          <w:p w14:paraId="558AEEAB">
            <w:pPr>
              <w:pStyle w:val="6"/>
              <w:rPr>
                <w:color w:val="auto"/>
              </w:rPr>
            </w:pPr>
          </w:p>
        </w:tc>
        <w:tc>
          <w:tcPr>
            <w:tcW w:w="0" w:type="auto"/>
            <w:vAlign w:val="center"/>
          </w:tcPr>
          <w:p w14:paraId="08EFD183">
            <w:pPr>
              <w:pStyle w:val="6"/>
              <w:rPr>
                <w:rFonts w:hint="eastAsia"/>
                <w:color w:val="auto"/>
              </w:rPr>
            </w:pPr>
            <w:r>
              <w:rPr>
                <w:rFonts w:hint="eastAsia"/>
                <w:color w:val="auto"/>
              </w:rPr>
              <w:t>▲整机能效限定值</w:t>
            </w:r>
          </w:p>
        </w:tc>
        <w:tc>
          <w:tcPr>
            <w:tcW w:w="0" w:type="auto"/>
            <w:vAlign w:val="center"/>
          </w:tcPr>
          <w:p w14:paraId="12BA485A">
            <w:pPr>
              <w:pStyle w:val="6"/>
              <w:rPr>
                <w:rFonts w:hint="eastAsia"/>
                <w:color w:val="auto"/>
              </w:rPr>
            </w:pPr>
            <w:r>
              <w:rPr>
                <w:rFonts w:hint="eastAsia"/>
                <w:color w:val="auto"/>
              </w:rPr>
              <w:t>产品能效限定值应达到 GB 28380-2012标准中能效等级 2 级及以上</w:t>
            </w:r>
          </w:p>
        </w:tc>
      </w:tr>
      <w:tr w14:paraId="5E2D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0921075">
            <w:pPr>
              <w:pStyle w:val="6"/>
              <w:rPr>
                <w:rFonts w:hint="eastAsia"/>
                <w:color w:val="auto"/>
              </w:rPr>
            </w:pPr>
            <w:r>
              <w:rPr>
                <w:rFonts w:hint="eastAsia"/>
                <w:color w:val="auto"/>
              </w:rPr>
              <w:t>78</w:t>
            </w:r>
          </w:p>
        </w:tc>
        <w:tc>
          <w:tcPr>
            <w:tcW w:w="0" w:type="auto"/>
            <w:vMerge w:val="continue"/>
            <w:vAlign w:val="center"/>
          </w:tcPr>
          <w:p w14:paraId="3432E255">
            <w:pPr>
              <w:pStyle w:val="6"/>
              <w:rPr>
                <w:color w:val="auto"/>
              </w:rPr>
            </w:pPr>
          </w:p>
        </w:tc>
        <w:tc>
          <w:tcPr>
            <w:tcW w:w="0" w:type="auto"/>
            <w:vAlign w:val="center"/>
          </w:tcPr>
          <w:p w14:paraId="1AABE9C8">
            <w:pPr>
              <w:pStyle w:val="6"/>
              <w:rPr>
                <w:rFonts w:hint="eastAsia"/>
                <w:color w:val="auto"/>
              </w:rPr>
            </w:pPr>
            <w:r>
              <w:rPr>
                <w:rFonts w:hint="eastAsia"/>
                <w:color w:val="auto"/>
              </w:rPr>
              <w:t>▲机身材质</w:t>
            </w:r>
          </w:p>
        </w:tc>
        <w:tc>
          <w:tcPr>
            <w:tcW w:w="0" w:type="auto"/>
            <w:vAlign w:val="center"/>
          </w:tcPr>
          <w:p w14:paraId="03836D11">
            <w:pPr>
              <w:pStyle w:val="6"/>
              <w:rPr>
                <w:rFonts w:hint="eastAsia"/>
                <w:color w:val="auto"/>
              </w:rPr>
            </w:pPr>
            <w:r>
              <w:rPr>
                <w:rFonts w:hint="eastAsia"/>
                <w:color w:val="auto"/>
              </w:rPr>
              <w:t>塑料/金属等</w:t>
            </w:r>
          </w:p>
        </w:tc>
      </w:tr>
      <w:tr w14:paraId="2950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8CAE452">
            <w:pPr>
              <w:pStyle w:val="6"/>
              <w:rPr>
                <w:rFonts w:hint="eastAsia"/>
                <w:color w:val="auto"/>
              </w:rPr>
            </w:pPr>
            <w:r>
              <w:rPr>
                <w:rFonts w:hint="eastAsia"/>
                <w:color w:val="auto"/>
              </w:rPr>
              <w:t>79</w:t>
            </w:r>
          </w:p>
        </w:tc>
        <w:tc>
          <w:tcPr>
            <w:tcW w:w="0" w:type="auto"/>
            <w:vMerge w:val="continue"/>
            <w:vAlign w:val="center"/>
          </w:tcPr>
          <w:p w14:paraId="32006187">
            <w:pPr>
              <w:pStyle w:val="6"/>
              <w:rPr>
                <w:color w:val="auto"/>
              </w:rPr>
            </w:pPr>
          </w:p>
        </w:tc>
        <w:tc>
          <w:tcPr>
            <w:tcW w:w="0" w:type="auto"/>
            <w:vAlign w:val="center"/>
          </w:tcPr>
          <w:p w14:paraId="37411B97">
            <w:pPr>
              <w:pStyle w:val="6"/>
              <w:rPr>
                <w:rFonts w:hint="eastAsia"/>
                <w:color w:val="auto"/>
              </w:rPr>
            </w:pPr>
            <w:r>
              <w:rPr>
                <w:rFonts w:hint="eastAsia"/>
                <w:color w:val="auto"/>
              </w:rPr>
              <w:t>▲机身颜色</w:t>
            </w:r>
          </w:p>
        </w:tc>
        <w:tc>
          <w:tcPr>
            <w:tcW w:w="0" w:type="auto"/>
            <w:vAlign w:val="center"/>
          </w:tcPr>
          <w:p w14:paraId="4BAE1EAB">
            <w:pPr>
              <w:pStyle w:val="6"/>
              <w:rPr>
                <w:rFonts w:hint="eastAsia"/>
                <w:color w:val="auto"/>
              </w:rPr>
            </w:pPr>
            <w:r>
              <w:rPr>
                <w:rFonts w:hint="eastAsia"/>
                <w:color w:val="auto"/>
              </w:rPr>
              <w:t>灰色/黑色等商务色系</w:t>
            </w:r>
          </w:p>
        </w:tc>
      </w:tr>
      <w:tr w14:paraId="3B3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E3A40BD">
            <w:pPr>
              <w:pStyle w:val="6"/>
              <w:rPr>
                <w:rFonts w:hint="eastAsia"/>
                <w:color w:val="auto"/>
              </w:rPr>
            </w:pPr>
            <w:r>
              <w:rPr>
                <w:rFonts w:hint="eastAsia"/>
                <w:color w:val="auto"/>
              </w:rPr>
              <w:t>80</w:t>
            </w:r>
          </w:p>
        </w:tc>
        <w:tc>
          <w:tcPr>
            <w:tcW w:w="0" w:type="auto"/>
            <w:vMerge w:val="continue"/>
            <w:vAlign w:val="center"/>
          </w:tcPr>
          <w:p w14:paraId="78E15325">
            <w:pPr>
              <w:pStyle w:val="6"/>
              <w:rPr>
                <w:color w:val="auto"/>
              </w:rPr>
            </w:pPr>
          </w:p>
        </w:tc>
        <w:tc>
          <w:tcPr>
            <w:tcW w:w="0" w:type="auto"/>
            <w:vAlign w:val="center"/>
          </w:tcPr>
          <w:p w14:paraId="308B072C">
            <w:pPr>
              <w:pStyle w:val="6"/>
              <w:rPr>
                <w:rFonts w:hint="eastAsia"/>
                <w:color w:val="auto"/>
              </w:rPr>
            </w:pPr>
            <w:r>
              <w:rPr>
                <w:rFonts w:hint="eastAsia"/>
                <w:color w:val="auto"/>
              </w:rPr>
              <w:t>▲机箱尺寸容量</w:t>
            </w:r>
          </w:p>
        </w:tc>
        <w:tc>
          <w:tcPr>
            <w:tcW w:w="0" w:type="auto"/>
            <w:vAlign w:val="center"/>
          </w:tcPr>
          <w:p w14:paraId="418BAD96">
            <w:pPr>
              <w:pStyle w:val="6"/>
              <w:rPr>
                <w:rFonts w:hint="eastAsia"/>
                <w:color w:val="auto"/>
              </w:rPr>
            </w:pPr>
            <w:r>
              <w:rPr>
                <w:rFonts w:hint="eastAsia"/>
                <w:color w:val="auto"/>
              </w:rPr>
              <w:t>机箱体积应不大于 30L</w:t>
            </w:r>
          </w:p>
        </w:tc>
      </w:tr>
      <w:tr w14:paraId="41CD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8825355">
            <w:pPr>
              <w:pStyle w:val="6"/>
              <w:rPr>
                <w:rFonts w:hint="eastAsia"/>
                <w:color w:val="auto"/>
              </w:rPr>
            </w:pPr>
            <w:r>
              <w:rPr>
                <w:rFonts w:hint="eastAsia"/>
                <w:color w:val="auto"/>
              </w:rPr>
              <w:t>81</w:t>
            </w:r>
          </w:p>
        </w:tc>
        <w:tc>
          <w:tcPr>
            <w:tcW w:w="0" w:type="auto"/>
            <w:vMerge w:val="restart"/>
            <w:vAlign w:val="center"/>
          </w:tcPr>
          <w:p w14:paraId="1742F427">
            <w:pPr>
              <w:pStyle w:val="6"/>
              <w:rPr>
                <w:rFonts w:hint="eastAsia"/>
                <w:color w:val="auto"/>
              </w:rPr>
            </w:pPr>
            <w:r>
              <w:rPr>
                <w:rFonts w:hint="eastAsia"/>
                <w:color w:val="auto"/>
              </w:rPr>
              <w:t>▲CPU性能</w:t>
            </w:r>
          </w:p>
        </w:tc>
        <w:tc>
          <w:tcPr>
            <w:tcW w:w="0" w:type="auto"/>
            <w:vAlign w:val="center"/>
          </w:tcPr>
          <w:p w14:paraId="4B736059">
            <w:pPr>
              <w:pStyle w:val="6"/>
              <w:rPr>
                <w:rFonts w:hint="eastAsia"/>
                <w:color w:val="auto"/>
              </w:rPr>
            </w:pPr>
            <w:r>
              <w:rPr>
                <w:rFonts w:hint="eastAsia"/>
                <w:color w:val="auto"/>
              </w:rPr>
              <w:t>▲CPU 物理核数</w:t>
            </w:r>
          </w:p>
        </w:tc>
        <w:tc>
          <w:tcPr>
            <w:tcW w:w="0" w:type="auto"/>
            <w:vAlign w:val="center"/>
          </w:tcPr>
          <w:p w14:paraId="63C1BCAD">
            <w:pPr>
              <w:pStyle w:val="6"/>
              <w:rPr>
                <w:rFonts w:hint="eastAsia"/>
                <w:color w:val="auto"/>
              </w:rPr>
            </w:pPr>
            <w:r>
              <w:rPr>
                <w:rFonts w:hint="eastAsia"/>
                <w:color w:val="auto"/>
              </w:rPr>
              <w:t>≥</w:t>
            </w:r>
            <w:r>
              <w:rPr>
                <w:color w:val="auto"/>
              </w:rPr>
              <w:t>14</w:t>
            </w:r>
          </w:p>
        </w:tc>
      </w:tr>
      <w:tr w14:paraId="631D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32E8704">
            <w:pPr>
              <w:pStyle w:val="6"/>
              <w:rPr>
                <w:rFonts w:hint="eastAsia"/>
                <w:color w:val="auto"/>
              </w:rPr>
            </w:pPr>
            <w:r>
              <w:rPr>
                <w:rFonts w:hint="eastAsia"/>
                <w:color w:val="auto"/>
              </w:rPr>
              <w:t>82</w:t>
            </w:r>
          </w:p>
        </w:tc>
        <w:tc>
          <w:tcPr>
            <w:tcW w:w="0" w:type="auto"/>
            <w:vMerge w:val="continue"/>
            <w:vAlign w:val="center"/>
          </w:tcPr>
          <w:p w14:paraId="4788639B">
            <w:pPr>
              <w:pStyle w:val="6"/>
              <w:rPr>
                <w:color w:val="auto"/>
              </w:rPr>
            </w:pPr>
          </w:p>
        </w:tc>
        <w:tc>
          <w:tcPr>
            <w:tcW w:w="0" w:type="auto"/>
            <w:vAlign w:val="center"/>
          </w:tcPr>
          <w:p w14:paraId="55439EE4">
            <w:pPr>
              <w:pStyle w:val="6"/>
              <w:rPr>
                <w:rFonts w:hint="eastAsia"/>
                <w:color w:val="auto"/>
              </w:rPr>
            </w:pPr>
            <w:r>
              <w:rPr>
                <w:rFonts w:hint="eastAsia"/>
                <w:color w:val="auto"/>
              </w:rPr>
              <w:t>▲CPU 主频</w:t>
            </w:r>
          </w:p>
        </w:tc>
        <w:tc>
          <w:tcPr>
            <w:tcW w:w="0" w:type="auto"/>
            <w:vAlign w:val="center"/>
          </w:tcPr>
          <w:p w14:paraId="7E9276D7">
            <w:pPr>
              <w:pStyle w:val="6"/>
              <w:rPr>
                <w:rFonts w:hint="eastAsia"/>
                <w:color w:val="auto"/>
              </w:rPr>
            </w:pPr>
            <w:r>
              <w:rPr>
                <w:rFonts w:hint="eastAsia"/>
                <w:color w:val="auto"/>
              </w:rPr>
              <w:t>≥</w:t>
            </w:r>
            <w:r>
              <w:rPr>
                <w:color w:val="auto"/>
              </w:rPr>
              <w:t>2.6</w:t>
            </w:r>
            <w:r>
              <w:rPr>
                <w:rFonts w:hint="eastAsia"/>
                <w:color w:val="auto"/>
              </w:rPr>
              <w:t>GHz</w:t>
            </w:r>
          </w:p>
        </w:tc>
      </w:tr>
      <w:tr w14:paraId="652B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D80E821">
            <w:pPr>
              <w:pStyle w:val="6"/>
              <w:rPr>
                <w:rFonts w:hint="eastAsia"/>
                <w:color w:val="auto"/>
              </w:rPr>
            </w:pPr>
            <w:r>
              <w:rPr>
                <w:rFonts w:hint="eastAsia"/>
                <w:color w:val="auto"/>
              </w:rPr>
              <w:t>83</w:t>
            </w:r>
          </w:p>
        </w:tc>
        <w:tc>
          <w:tcPr>
            <w:tcW w:w="0" w:type="auto"/>
            <w:vMerge w:val="continue"/>
            <w:vAlign w:val="center"/>
          </w:tcPr>
          <w:p w14:paraId="4FB1B960">
            <w:pPr>
              <w:pStyle w:val="6"/>
              <w:rPr>
                <w:color w:val="auto"/>
              </w:rPr>
            </w:pPr>
          </w:p>
        </w:tc>
        <w:tc>
          <w:tcPr>
            <w:tcW w:w="0" w:type="auto"/>
            <w:vAlign w:val="center"/>
          </w:tcPr>
          <w:p w14:paraId="223FB238">
            <w:pPr>
              <w:pStyle w:val="6"/>
              <w:rPr>
                <w:rFonts w:hint="eastAsia"/>
                <w:color w:val="auto"/>
              </w:rPr>
            </w:pPr>
            <w:r>
              <w:rPr>
                <w:rFonts w:hint="eastAsia"/>
                <w:color w:val="auto"/>
              </w:rPr>
              <w:t>▲CPU 末级缓存容量</w:t>
            </w:r>
          </w:p>
        </w:tc>
        <w:tc>
          <w:tcPr>
            <w:tcW w:w="0" w:type="auto"/>
            <w:vAlign w:val="center"/>
          </w:tcPr>
          <w:p w14:paraId="35ADFA5B">
            <w:pPr>
              <w:pStyle w:val="6"/>
              <w:rPr>
                <w:rFonts w:hint="eastAsia"/>
                <w:color w:val="auto"/>
              </w:rPr>
            </w:pPr>
            <w:r>
              <w:rPr>
                <w:rFonts w:hint="eastAsia"/>
                <w:color w:val="auto"/>
              </w:rPr>
              <w:t>≥</w:t>
            </w:r>
            <w:r>
              <w:rPr>
                <w:color w:val="auto"/>
              </w:rPr>
              <w:t>24</w:t>
            </w:r>
            <w:r>
              <w:rPr>
                <w:rFonts w:hint="eastAsia"/>
                <w:color w:val="auto"/>
              </w:rPr>
              <w:t>MB</w:t>
            </w:r>
          </w:p>
        </w:tc>
      </w:tr>
      <w:tr w14:paraId="02D8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28FEDD5">
            <w:pPr>
              <w:pStyle w:val="6"/>
              <w:rPr>
                <w:rFonts w:hint="eastAsia"/>
                <w:color w:val="auto"/>
              </w:rPr>
            </w:pPr>
            <w:r>
              <w:rPr>
                <w:rFonts w:hint="eastAsia"/>
                <w:color w:val="auto"/>
              </w:rPr>
              <w:t>84</w:t>
            </w:r>
          </w:p>
        </w:tc>
        <w:tc>
          <w:tcPr>
            <w:tcW w:w="0" w:type="auto"/>
            <w:vMerge w:val="continue"/>
            <w:vAlign w:val="center"/>
          </w:tcPr>
          <w:p w14:paraId="1E0EE9D1">
            <w:pPr>
              <w:pStyle w:val="6"/>
              <w:rPr>
                <w:color w:val="auto"/>
              </w:rPr>
            </w:pPr>
          </w:p>
        </w:tc>
        <w:tc>
          <w:tcPr>
            <w:tcW w:w="0" w:type="auto"/>
            <w:vAlign w:val="center"/>
          </w:tcPr>
          <w:p w14:paraId="321E86E1">
            <w:pPr>
              <w:pStyle w:val="6"/>
              <w:rPr>
                <w:rFonts w:hint="eastAsia"/>
                <w:color w:val="auto"/>
              </w:rPr>
            </w:pPr>
            <w:r>
              <w:rPr>
                <w:rFonts w:hint="eastAsia"/>
                <w:color w:val="auto"/>
              </w:rPr>
              <w:t>▲CPU 支持的内存最高速率</w:t>
            </w:r>
          </w:p>
        </w:tc>
        <w:tc>
          <w:tcPr>
            <w:tcW w:w="0" w:type="auto"/>
            <w:vAlign w:val="center"/>
          </w:tcPr>
          <w:p w14:paraId="4AD37C7F">
            <w:pPr>
              <w:pStyle w:val="6"/>
              <w:rPr>
                <w:rFonts w:hint="eastAsia"/>
                <w:color w:val="auto"/>
              </w:rPr>
            </w:pPr>
            <w:r>
              <w:rPr>
                <w:rFonts w:hint="eastAsia"/>
                <w:color w:val="auto"/>
              </w:rPr>
              <w:t>≥</w:t>
            </w:r>
            <w:r>
              <w:rPr>
                <w:color w:val="auto"/>
              </w:rPr>
              <w:t>5600</w:t>
            </w:r>
            <w:r>
              <w:rPr>
                <w:rFonts w:hint="eastAsia"/>
                <w:color w:val="auto"/>
              </w:rPr>
              <w:t xml:space="preserve"> MT/s</w:t>
            </w:r>
          </w:p>
        </w:tc>
      </w:tr>
      <w:tr w14:paraId="70DB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CC3FA88">
            <w:pPr>
              <w:pStyle w:val="6"/>
              <w:rPr>
                <w:rFonts w:hint="eastAsia"/>
                <w:color w:val="auto"/>
              </w:rPr>
            </w:pPr>
            <w:r>
              <w:rPr>
                <w:rFonts w:hint="eastAsia"/>
                <w:color w:val="auto"/>
              </w:rPr>
              <w:t>85</w:t>
            </w:r>
          </w:p>
        </w:tc>
        <w:tc>
          <w:tcPr>
            <w:tcW w:w="0" w:type="auto"/>
            <w:vAlign w:val="center"/>
          </w:tcPr>
          <w:p w14:paraId="6AF348FD">
            <w:pPr>
              <w:pStyle w:val="6"/>
              <w:rPr>
                <w:rFonts w:hint="eastAsia"/>
                <w:color w:val="auto"/>
              </w:rPr>
            </w:pPr>
            <w:r>
              <w:rPr>
                <w:rFonts w:hint="eastAsia"/>
                <w:color w:val="auto"/>
              </w:rPr>
              <w:t>▲内存性能</w:t>
            </w:r>
          </w:p>
        </w:tc>
        <w:tc>
          <w:tcPr>
            <w:tcW w:w="0" w:type="auto"/>
            <w:vAlign w:val="center"/>
          </w:tcPr>
          <w:p w14:paraId="2DCE9B25">
            <w:pPr>
              <w:pStyle w:val="6"/>
              <w:rPr>
                <w:rFonts w:hint="eastAsia"/>
                <w:color w:val="auto"/>
              </w:rPr>
            </w:pPr>
            <w:r>
              <w:rPr>
                <w:rFonts w:hint="eastAsia"/>
                <w:color w:val="auto"/>
              </w:rPr>
              <w:t>▲内存读写速率</w:t>
            </w:r>
          </w:p>
        </w:tc>
        <w:tc>
          <w:tcPr>
            <w:tcW w:w="0" w:type="auto"/>
            <w:vAlign w:val="center"/>
          </w:tcPr>
          <w:p w14:paraId="0E2985DF">
            <w:pPr>
              <w:pStyle w:val="6"/>
              <w:rPr>
                <w:rFonts w:hint="eastAsia"/>
                <w:color w:val="auto"/>
              </w:rPr>
            </w:pPr>
            <w:r>
              <w:rPr>
                <w:rFonts w:hint="eastAsia"/>
                <w:color w:val="auto"/>
              </w:rPr>
              <w:t>≥</w:t>
            </w:r>
            <w:r>
              <w:rPr>
                <w:color w:val="auto"/>
              </w:rPr>
              <w:t>5600</w:t>
            </w:r>
            <w:r>
              <w:rPr>
                <w:rFonts w:hint="eastAsia"/>
                <w:color w:val="auto"/>
              </w:rPr>
              <w:t xml:space="preserve"> MT/s</w:t>
            </w:r>
          </w:p>
        </w:tc>
      </w:tr>
      <w:tr w14:paraId="0886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6B7A76D">
            <w:pPr>
              <w:pStyle w:val="6"/>
              <w:rPr>
                <w:rFonts w:hint="eastAsia"/>
                <w:color w:val="auto"/>
              </w:rPr>
            </w:pPr>
            <w:r>
              <w:rPr>
                <w:rFonts w:hint="eastAsia"/>
                <w:color w:val="auto"/>
              </w:rPr>
              <w:t>86</w:t>
            </w:r>
          </w:p>
        </w:tc>
        <w:tc>
          <w:tcPr>
            <w:tcW w:w="0" w:type="auto"/>
            <w:vMerge w:val="restart"/>
            <w:vAlign w:val="center"/>
          </w:tcPr>
          <w:p w14:paraId="3F878AB7">
            <w:pPr>
              <w:pStyle w:val="6"/>
              <w:rPr>
                <w:rFonts w:hint="eastAsia"/>
                <w:color w:val="auto"/>
              </w:rPr>
            </w:pPr>
            <w:r>
              <w:rPr>
                <w:rFonts w:hint="eastAsia"/>
                <w:color w:val="auto"/>
              </w:rPr>
              <w:t>▲显卡性能</w:t>
            </w:r>
          </w:p>
        </w:tc>
        <w:tc>
          <w:tcPr>
            <w:tcW w:w="0" w:type="auto"/>
            <w:vAlign w:val="center"/>
          </w:tcPr>
          <w:p w14:paraId="35BE7449">
            <w:pPr>
              <w:pStyle w:val="6"/>
              <w:rPr>
                <w:rFonts w:hint="eastAsia"/>
                <w:color w:val="auto"/>
              </w:rPr>
            </w:pPr>
            <w:r>
              <w:rPr>
                <w:rFonts w:hint="eastAsia"/>
                <w:color w:val="auto"/>
              </w:rPr>
              <w:t>▲显示分辨率</w:t>
            </w:r>
          </w:p>
        </w:tc>
        <w:tc>
          <w:tcPr>
            <w:tcW w:w="0" w:type="auto"/>
            <w:vAlign w:val="center"/>
          </w:tcPr>
          <w:p w14:paraId="5125C585">
            <w:pPr>
              <w:pStyle w:val="6"/>
              <w:rPr>
                <w:rFonts w:hint="eastAsia"/>
                <w:color w:val="auto"/>
              </w:rPr>
            </w:pPr>
            <w:r>
              <w:rPr>
                <w:rFonts w:hint="eastAsia"/>
                <w:color w:val="auto"/>
              </w:rPr>
              <w:t>≥1920x1080</w:t>
            </w:r>
          </w:p>
        </w:tc>
      </w:tr>
      <w:tr w14:paraId="54AF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731E0D">
            <w:pPr>
              <w:pStyle w:val="6"/>
              <w:rPr>
                <w:rFonts w:hint="eastAsia"/>
                <w:color w:val="auto"/>
              </w:rPr>
            </w:pPr>
            <w:r>
              <w:rPr>
                <w:rFonts w:hint="eastAsia"/>
                <w:color w:val="auto"/>
              </w:rPr>
              <w:t>87</w:t>
            </w:r>
          </w:p>
        </w:tc>
        <w:tc>
          <w:tcPr>
            <w:tcW w:w="0" w:type="auto"/>
            <w:vMerge w:val="continue"/>
            <w:vAlign w:val="center"/>
          </w:tcPr>
          <w:p w14:paraId="77D9419E">
            <w:pPr>
              <w:pStyle w:val="6"/>
              <w:rPr>
                <w:color w:val="auto"/>
              </w:rPr>
            </w:pPr>
          </w:p>
        </w:tc>
        <w:tc>
          <w:tcPr>
            <w:tcW w:w="0" w:type="auto"/>
            <w:vAlign w:val="center"/>
          </w:tcPr>
          <w:p w14:paraId="706DA759">
            <w:pPr>
              <w:pStyle w:val="6"/>
              <w:rPr>
                <w:rFonts w:hint="eastAsia"/>
                <w:color w:val="auto"/>
              </w:rPr>
            </w:pPr>
            <w:r>
              <w:rPr>
                <w:rFonts w:hint="eastAsia"/>
                <w:color w:val="auto"/>
              </w:rPr>
              <w:t>▲显卡显示芯片核心频率</w:t>
            </w:r>
          </w:p>
        </w:tc>
        <w:tc>
          <w:tcPr>
            <w:tcW w:w="0" w:type="auto"/>
            <w:vAlign w:val="center"/>
          </w:tcPr>
          <w:p w14:paraId="1506AF72">
            <w:pPr>
              <w:pStyle w:val="6"/>
              <w:rPr>
                <w:rFonts w:hint="eastAsia"/>
                <w:color w:val="auto"/>
              </w:rPr>
            </w:pPr>
            <w:r>
              <w:rPr>
                <w:rFonts w:hint="eastAsia"/>
                <w:color w:val="auto"/>
              </w:rPr>
              <w:t>≥300MHz</w:t>
            </w:r>
          </w:p>
        </w:tc>
      </w:tr>
      <w:tr w14:paraId="0C14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DA6FB5C">
            <w:pPr>
              <w:pStyle w:val="6"/>
              <w:rPr>
                <w:rFonts w:hint="eastAsia"/>
                <w:color w:val="auto"/>
              </w:rPr>
            </w:pPr>
            <w:r>
              <w:rPr>
                <w:rFonts w:hint="eastAsia"/>
                <w:color w:val="auto"/>
              </w:rPr>
              <w:t>88</w:t>
            </w:r>
          </w:p>
        </w:tc>
        <w:tc>
          <w:tcPr>
            <w:tcW w:w="0" w:type="auto"/>
            <w:vMerge w:val="continue"/>
            <w:vAlign w:val="center"/>
          </w:tcPr>
          <w:p w14:paraId="1A7ECAFD">
            <w:pPr>
              <w:pStyle w:val="6"/>
              <w:rPr>
                <w:color w:val="auto"/>
              </w:rPr>
            </w:pPr>
          </w:p>
        </w:tc>
        <w:tc>
          <w:tcPr>
            <w:tcW w:w="0" w:type="auto"/>
            <w:vAlign w:val="center"/>
          </w:tcPr>
          <w:p w14:paraId="27485CD2">
            <w:pPr>
              <w:pStyle w:val="6"/>
              <w:rPr>
                <w:rFonts w:hint="eastAsia"/>
                <w:color w:val="auto"/>
              </w:rPr>
            </w:pPr>
            <w:r>
              <w:rPr>
                <w:rFonts w:hint="eastAsia"/>
                <w:color w:val="auto"/>
              </w:rPr>
              <w:t>▲显存等效频率</w:t>
            </w:r>
          </w:p>
        </w:tc>
        <w:tc>
          <w:tcPr>
            <w:tcW w:w="0" w:type="auto"/>
            <w:vAlign w:val="center"/>
          </w:tcPr>
          <w:p w14:paraId="7F84BB0D">
            <w:pPr>
              <w:pStyle w:val="6"/>
              <w:rPr>
                <w:rFonts w:hint="eastAsia"/>
                <w:color w:val="auto"/>
              </w:rPr>
            </w:pPr>
            <w:r>
              <w:rPr>
                <w:rFonts w:hint="eastAsia"/>
                <w:color w:val="auto"/>
              </w:rPr>
              <w:t>≥1000MT/s</w:t>
            </w:r>
          </w:p>
        </w:tc>
      </w:tr>
      <w:tr w14:paraId="07A2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2F64375">
            <w:pPr>
              <w:pStyle w:val="6"/>
              <w:rPr>
                <w:rFonts w:hint="eastAsia"/>
                <w:color w:val="auto"/>
              </w:rPr>
            </w:pPr>
            <w:r>
              <w:rPr>
                <w:rFonts w:hint="eastAsia"/>
                <w:color w:val="auto"/>
              </w:rPr>
              <w:t>89</w:t>
            </w:r>
          </w:p>
        </w:tc>
        <w:tc>
          <w:tcPr>
            <w:tcW w:w="0" w:type="auto"/>
            <w:vMerge w:val="continue"/>
            <w:vAlign w:val="center"/>
          </w:tcPr>
          <w:p w14:paraId="6FC95599">
            <w:pPr>
              <w:pStyle w:val="6"/>
              <w:rPr>
                <w:color w:val="auto"/>
              </w:rPr>
            </w:pPr>
          </w:p>
        </w:tc>
        <w:tc>
          <w:tcPr>
            <w:tcW w:w="0" w:type="auto"/>
            <w:vAlign w:val="center"/>
          </w:tcPr>
          <w:p w14:paraId="491F95B3">
            <w:pPr>
              <w:pStyle w:val="6"/>
              <w:rPr>
                <w:rFonts w:hint="eastAsia"/>
                <w:color w:val="auto"/>
              </w:rPr>
            </w:pPr>
            <w:r>
              <w:rPr>
                <w:rFonts w:hint="eastAsia"/>
                <w:color w:val="auto"/>
              </w:rPr>
              <w:t>▲显卡可支持多屏同时显示数量</w:t>
            </w:r>
          </w:p>
        </w:tc>
        <w:tc>
          <w:tcPr>
            <w:tcW w:w="0" w:type="auto"/>
            <w:vAlign w:val="center"/>
          </w:tcPr>
          <w:p w14:paraId="2F77704E">
            <w:pPr>
              <w:pStyle w:val="6"/>
              <w:rPr>
                <w:rFonts w:hint="eastAsia"/>
                <w:color w:val="auto"/>
              </w:rPr>
            </w:pPr>
            <w:r>
              <w:rPr>
                <w:rFonts w:hint="eastAsia"/>
                <w:color w:val="auto"/>
              </w:rPr>
              <w:t>显卡应支持 2 块屏幕同时显示，分辨率应不低于 1920×1080</w:t>
            </w:r>
          </w:p>
        </w:tc>
      </w:tr>
      <w:tr w14:paraId="4934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980BBC0">
            <w:pPr>
              <w:pStyle w:val="6"/>
              <w:rPr>
                <w:rFonts w:hint="eastAsia"/>
                <w:color w:val="auto"/>
              </w:rPr>
            </w:pPr>
            <w:r>
              <w:rPr>
                <w:rFonts w:hint="eastAsia"/>
                <w:color w:val="auto"/>
              </w:rPr>
              <w:t>90</w:t>
            </w:r>
          </w:p>
        </w:tc>
        <w:tc>
          <w:tcPr>
            <w:tcW w:w="0" w:type="auto"/>
            <w:vMerge w:val="restart"/>
            <w:vAlign w:val="center"/>
          </w:tcPr>
          <w:p w14:paraId="26871451">
            <w:pPr>
              <w:pStyle w:val="6"/>
              <w:rPr>
                <w:rFonts w:hint="eastAsia"/>
                <w:color w:val="auto"/>
              </w:rPr>
            </w:pPr>
            <w:r>
              <w:rPr>
                <w:rFonts w:hint="eastAsia"/>
                <w:color w:val="auto"/>
              </w:rPr>
              <w:t>▲显示设备性能</w:t>
            </w:r>
          </w:p>
        </w:tc>
        <w:tc>
          <w:tcPr>
            <w:tcW w:w="0" w:type="auto"/>
            <w:vAlign w:val="center"/>
          </w:tcPr>
          <w:p w14:paraId="7C5C3E04">
            <w:pPr>
              <w:pStyle w:val="6"/>
              <w:rPr>
                <w:rFonts w:hint="eastAsia"/>
                <w:color w:val="auto"/>
              </w:rPr>
            </w:pPr>
            <w:r>
              <w:rPr>
                <w:rFonts w:hint="eastAsia"/>
                <w:color w:val="auto"/>
              </w:rPr>
              <w:t>▲显示屏刷新率</w:t>
            </w:r>
          </w:p>
        </w:tc>
        <w:tc>
          <w:tcPr>
            <w:tcW w:w="0" w:type="auto"/>
            <w:vAlign w:val="center"/>
          </w:tcPr>
          <w:p w14:paraId="71DC2DC5">
            <w:pPr>
              <w:pStyle w:val="6"/>
              <w:rPr>
                <w:rFonts w:hint="eastAsia"/>
                <w:color w:val="auto"/>
              </w:rPr>
            </w:pPr>
            <w:r>
              <w:rPr>
                <w:rFonts w:hint="eastAsia"/>
                <w:color w:val="auto"/>
              </w:rPr>
              <w:t>≥75Hz</w:t>
            </w:r>
          </w:p>
        </w:tc>
      </w:tr>
      <w:tr w14:paraId="5F05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1F76ECB">
            <w:pPr>
              <w:pStyle w:val="6"/>
              <w:rPr>
                <w:rFonts w:hint="eastAsia"/>
                <w:color w:val="auto"/>
              </w:rPr>
            </w:pPr>
            <w:r>
              <w:rPr>
                <w:rFonts w:hint="eastAsia"/>
                <w:color w:val="auto"/>
              </w:rPr>
              <w:t>91</w:t>
            </w:r>
          </w:p>
        </w:tc>
        <w:tc>
          <w:tcPr>
            <w:tcW w:w="0" w:type="auto"/>
            <w:vMerge w:val="continue"/>
            <w:vAlign w:val="center"/>
          </w:tcPr>
          <w:p w14:paraId="6B22982C">
            <w:pPr>
              <w:pStyle w:val="6"/>
              <w:rPr>
                <w:color w:val="auto"/>
              </w:rPr>
            </w:pPr>
          </w:p>
        </w:tc>
        <w:tc>
          <w:tcPr>
            <w:tcW w:w="0" w:type="auto"/>
            <w:vAlign w:val="center"/>
          </w:tcPr>
          <w:p w14:paraId="25554286">
            <w:pPr>
              <w:pStyle w:val="6"/>
              <w:rPr>
                <w:rFonts w:hint="eastAsia"/>
                <w:color w:val="auto"/>
              </w:rPr>
            </w:pPr>
            <w:r>
              <w:rPr>
                <w:rFonts w:hint="eastAsia"/>
                <w:color w:val="auto"/>
              </w:rPr>
              <w:t>▲显示屏位深</w:t>
            </w:r>
          </w:p>
        </w:tc>
        <w:tc>
          <w:tcPr>
            <w:tcW w:w="0" w:type="auto"/>
            <w:vAlign w:val="center"/>
          </w:tcPr>
          <w:p w14:paraId="1BF02428">
            <w:pPr>
              <w:pStyle w:val="6"/>
              <w:rPr>
                <w:rFonts w:hint="eastAsia"/>
                <w:color w:val="auto"/>
              </w:rPr>
            </w:pPr>
            <w:r>
              <w:rPr>
                <w:rFonts w:hint="eastAsia"/>
                <w:color w:val="auto"/>
              </w:rPr>
              <w:t>≥8 位</w:t>
            </w:r>
          </w:p>
        </w:tc>
      </w:tr>
      <w:tr w14:paraId="4962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2D8494D">
            <w:pPr>
              <w:pStyle w:val="6"/>
              <w:rPr>
                <w:rFonts w:hint="eastAsia"/>
                <w:color w:val="auto"/>
              </w:rPr>
            </w:pPr>
            <w:r>
              <w:rPr>
                <w:rFonts w:hint="eastAsia"/>
                <w:color w:val="auto"/>
              </w:rPr>
              <w:t>92</w:t>
            </w:r>
          </w:p>
        </w:tc>
        <w:tc>
          <w:tcPr>
            <w:tcW w:w="0" w:type="auto"/>
            <w:vMerge w:val="continue"/>
            <w:vAlign w:val="center"/>
          </w:tcPr>
          <w:p w14:paraId="6AD1D0D2">
            <w:pPr>
              <w:pStyle w:val="6"/>
              <w:rPr>
                <w:color w:val="auto"/>
              </w:rPr>
            </w:pPr>
          </w:p>
        </w:tc>
        <w:tc>
          <w:tcPr>
            <w:tcW w:w="0" w:type="auto"/>
            <w:vAlign w:val="center"/>
          </w:tcPr>
          <w:p w14:paraId="533375B8">
            <w:pPr>
              <w:pStyle w:val="6"/>
              <w:rPr>
                <w:rFonts w:hint="eastAsia"/>
                <w:color w:val="auto"/>
              </w:rPr>
            </w:pPr>
            <w:r>
              <w:rPr>
                <w:rFonts w:hint="eastAsia"/>
                <w:color w:val="auto"/>
              </w:rPr>
              <w:t>▲显示屏色域</w:t>
            </w:r>
          </w:p>
        </w:tc>
        <w:tc>
          <w:tcPr>
            <w:tcW w:w="0" w:type="auto"/>
            <w:vAlign w:val="center"/>
          </w:tcPr>
          <w:p w14:paraId="35AA04BF">
            <w:pPr>
              <w:pStyle w:val="6"/>
              <w:rPr>
                <w:rFonts w:hint="eastAsia"/>
                <w:color w:val="auto"/>
              </w:rPr>
            </w:pPr>
            <w:r>
              <w:rPr>
                <w:rFonts w:hint="eastAsia"/>
                <w:color w:val="auto"/>
              </w:rPr>
              <w:t>≥99% sRGB</w:t>
            </w:r>
          </w:p>
        </w:tc>
      </w:tr>
      <w:tr w14:paraId="0EC0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0D8007B">
            <w:pPr>
              <w:pStyle w:val="6"/>
              <w:rPr>
                <w:rFonts w:hint="eastAsia"/>
                <w:color w:val="auto"/>
              </w:rPr>
            </w:pPr>
            <w:r>
              <w:rPr>
                <w:rFonts w:hint="eastAsia"/>
                <w:color w:val="auto"/>
              </w:rPr>
              <w:t>93</w:t>
            </w:r>
          </w:p>
        </w:tc>
        <w:tc>
          <w:tcPr>
            <w:tcW w:w="0" w:type="auto"/>
            <w:vMerge w:val="continue"/>
            <w:vAlign w:val="center"/>
          </w:tcPr>
          <w:p w14:paraId="602AC4FE">
            <w:pPr>
              <w:pStyle w:val="6"/>
              <w:rPr>
                <w:color w:val="auto"/>
              </w:rPr>
            </w:pPr>
          </w:p>
        </w:tc>
        <w:tc>
          <w:tcPr>
            <w:tcW w:w="0" w:type="auto"/>
            <w:vAlign w:val="center"/>
          </w:tcPr>
          <w:p w14:paraId="5CE879EC">
            <w:pPr>
              <w:pStyle w:val="6"/>
              <w:rPr>
                <w:rFonts w:hint="eastAsia"/>
                <w:color w:val="auto"/>
              </w:rPr>
            </w:pPr>
            <w:r>
              <w:rPr>
                <w:rFonts w:hint="eastAsia"/>
                <w:color w:val="auto"/>
              </w:rPr>
              <w:t>▲显示屏色准</w:t>
            </w:r>
          </w:p>
        </w:tc>
        <w:tc>
          <w:tcPr>
            <w:tcW w:w="0" w:type="auto"/>
            <w:vAlign w:val="center"/>
          </w:tcPr>
          <w:p w14:paraId="7DF28CB7">
            <w:pPr>
              <w:pStyle w:val="6"/>
              <w:rPr>
                <w:rFonts w:hint="eastAsia"/>
                <w:color w:val="auto"/>
              </w:rPr>
            </w:pPr>
            <w:r>
              <w:rPr>
                <w:rFonts w:hint="eastAsia"/>
                <w:color w:val="auto"/>
              </w:rPr>
              <w:t>△E ≤ 4</w:t>
            </w:r>
          </w:p>
        </w:tc>
      </w:tr>
      <w:tr w14:paraId="3BBF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870B79C">
            <w:pPr>
              <w:pStyle w:val="6"/>
              <w:rPr>
                <w:rFonts w:hint="eastAsia"/>
                <w:color w:val="auto"/>
              </w:rPr>
            </w:pPr>
            <w:r>
              <w:rPr>
                <w:rFonts w:hint="eastAsia"/>
                <w:color w:val="auto"/>
              </w:rPr>
              <w:t>94</w:t>
            </w:r>
          </w:p>
        </w:tc>
        <w:tc>
          <w:tcPr>
            <w:tcW w:w="0" w:type="auto"/>
            <w:vMerge w:val="continue"/>
            <w:vAlign w:val="center"/>
          </w:tcPr>
          <w:p w14:paraId="5FFA63EE">
            <w:pPr>
              <w:pStyle w:val="6"/>
              <w:rPr>
                <w:color w:val="auto"/>
              </w:rPr>
            </w:pPr>
          </w:p>
        </w:tc>
        <w:tc>
          <w:tcPr>
            <w:tcW w:w="0" w:type="auto"/>
            <w:vAlign w:val="center"/>
          </w:tcPr>
          <w:p w14:paraId="7D58CDF5">
            <w:pPr>
              <w:pStyle w:val="6"/>
              <w:rPr>
                <w:rFonts w:hint="eastAsia"/>
                <w:color w:val="auto"/>
              </w:rPr>
            </w:pPr>
            <w:r>
              <w:rPr>
                <w:rFonts w:hint="eastAsia"/>
                <w:color w:val="auto"/>
              </w:rPr>
              <w:t>▲显示屏响应时间</w:t>
            </w:r>
          </w:p>
        </w:tc>
        <w:tc>
          <w:tcPr>
            <w:tcW w:w="0" w:type="auto"/>
            <w:vAlign w:val="center"/>
          </w:tcPr>
          <w:p w14:paraId="0546C4C0">
            <w:pPr>
              <w:pStyle w:val="6"/>
              <w:rPr>
                <w:rFonts w:hint="eastAsia"/>
                <w:color w:val="auto"/>
              </w:rPr>
            </w:pPr>
            <w:r>
              <w:rPr>
                <w:rFonts w:hint="eastAsia"/>
                <w:color w:val="auto"/>
              </w:rPr>
              <w:t>≤8ms</w:t>
            </w:r>
          </w:p>
        </w:tc>
      </w:tr>
      <w:tr w14:paraId="3229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EAF0252">
            <w:pPr>
              <w:pStyle w:val="6"/>
              <w:rPr>
                <w:rFonts w:hint="eastAsia"/>
                <w:color w:val="auto"/>
              </w:rPr>
            </w:pPr>
            <w:r>
              <w:rPr>
                <w:rFonts w:hint="eastAsia"/>
                <w:color w:val="auto"/>
              </w:rPr>
              <w:t>95</w:t>
            </w:r>
          </w:p>
        </w:tc>
        <w:tc>
          <w:tcPr>
            <w:tcW w:w="0" w:type="auto"/>
            <w:vMerge w:val="continue"/>
            <w:vAlign w:val="center"/>
          </w:tcPr>
          <w:p w14:paraId="57FE5E07">
            <w:pPr>
              <w:pStyle w:val="6"/>
              <w:rPr>
                <w:color w:val="auto"/>
              </w:rPr>
            </w:pPr>
          </w:p>
        </w:tc>
        <w:tc>
          <w:tcPr>
            <w:tcW w:w="0" w:type="auto"/>
            <w:vAlign w:val="center"/>
          </w:tcPr>
          <w:p w14:paraId="1623DDBE">
            <w:pPr>
              <w:pStyle w:val="6"/>
              <w:rPr>
                <w:rFonts w:hint="eastAsia"/>
                <w:color w:val="auto"/>
              </w:rPr>
            </w:pPr>
            <w:r>
              <w:rPr>
                <w:rFonts w:hint="eastAsia"/>
                <w:color w:val="auto"/>
              </w:rPr>
              <w:t>▲显示屏亮度</w:t>
            </w:r>
          </w:p>
        </w:tc>
        <w:tc>
          <w:tcPr>
            <w:tcW w:w="0" w:type="auto"/>
            <w:vAlign w:val="center"/>
          </w:tcPr>
          <w:p w14:paraId="09880585">
            <w:pPr>
              <w:pStyle w:val="6"/>
              <w:rPr>
                <w:rFonts w:hint="eastAsia"/>
                <w:color w:val="auto"/>
              </w:rPr>
            </w:pPr>
            <w:r>
              <w:rPr>
                <w:rFonts w:hint="eastAsia"/>
                <w:color w:val="auto"/>
              </w:rPr>
              <w:t>≥250 尼特</w:t>
            </w:r>
          </w:p>
        </w:tc>
      </w:tr>
      <w:tr w14:paraId="708C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574E78E">
            <w:pPr>
              <w:pStyle w:val="6"/>
              <w:rPr>
                <w:rFonts w:hint="eastAsia"/>
                <w:color w:val="auto"/>
              </w:rPr>
            </w:pPr>
            <w:r>
              <w:rPr>
                <w:rFonts w:hint="eastAsia"/>
                <w:color w:val="auto"/>
              </w:rPr>
              <w:t>96</w:t>
            </w:r>
          </w:p>
        </w:tc>
        <w:tc>
          <w:tcPr>
            <w:tcW w:w="0" w:type="auto"/>
            <w:vMerge w:val="continue"/>
            <w:vAlign w:val="center"/>
          </w:tcPr>
          <w:p w14:paraId="2F9323BD">
            <w:pPr>
              <w:pStyle w:val="6"/>
              <w:rPr>
                <w:color w:val="auto"/>
              </w:rPr>
            </w:pPr>
          </w:p>
        </w:tc>
        <w:tc>
          <w:tcPr>
            <w:tcW w:w="0" w:type="auto"/>
            <w:vAlign w:val="center"/>
          </w:tcPr>
          <w:p w14:paraId="35C79730">
            <w:pPr>
              <w:pStyle w:val="6"/>
              <w:rPr>
                <w:rFonts w:hint="eastAsia"/>
                <w:color w:val="auto"/>
              </w:rPr>
            </w:pPr>
            <w:r>
              <w:rPr>
                <w:rFonts w:hint="eastAsia"/>
                <w:color w:val="auto"/>
              </w:rPr>
              <w:t>▲显示屏亮度一致性</w:t>
            </w:r>
          </w:p>
        </w:tc>
        <w:tc>
          <w:tcPr>
            <w:tcW w:w="0" w:type="auto"/>
            <w:vAlign w:val="center"/>
          </w:tcPr>
          <w:p w14:paraId="19B82D86">
            <w:pPr>
              <w:pStyle w:val="6"/>
              <w:rPr>
                <w:rFonts w:hint="eastAsia"/>
                <w:color w:val="auto"/>
              </w:rPr>
            </w:pPr>
            <w:r>
              <w:rPr>
                <w:rFonts w:hint="eastAsia"/>
                <w:color w:val="auto"/>
              </w:rPr>
              <w:t>≥70%</w:t>
            </w:r>
          </w:p>
        </w:tc>
      </w:tr>
      <w:tr w14:paraId="7760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96068D3">
            <w:pPr>
              <w:pStyle w:val="6"/>
              <w:rPr>
                <w:rFonts w:hint="eastAsia"/>
                <w:color w:val="auto"/>
              </w:rPr>
            </w:pPr>
            <w:r>
              <w:rPr>
                <w:rFonts w:hint="eastAsia"/>
                <w:color w:val="auto"/>
              </w:rPr>
              <w:t>97</w:t>
            </w:r>
          </w:p>
        </w:tc>
        <w:tc>
          <w:tcPr>
            <w:tcW w:w="0" w:type="auto"/>
            <w:vMerge w:val="continue"/>
            <w:vAlign w:val="center"/>
          </w:tcPr>
          <w:p w14:paraId="4B195FF0">
            <w:pPr>
              <w:pStyle w:val="6"/>
              <w:rPr>
                <w:color w:val="auto"/>
              </w:rPr>
            </w:pPr>
          </w:p>
        </w:tc>
        <w:tc>
          <w:tcPr>
            <w:tcW w:w="0" w:type="auto"/>
            <w:vAlign w:val="center"/>
          </w:tcPr>
          <w:p w14:paraId="1BD097A4">
            <w:pPr>
              <w:pStyle w:val="6"/>
              <w:rPr>
                <w:rFonts w:hint="eastAsia"/>
                <w:color w:val="auto"/>
              </w:rPr>
            </w:pPr>
            <w:r>
              <w:rPr>
                <w:rFonts w:hint="eastAsia"/>
                <w:color w:val="auto"/>
              </w:rPr>
              <w:t>▲显示屏对比度</w:t>
            </w:r>
          </w:p>
        </w:tc>
        <w:tc>
          <w:tcPr>
            <w:tcW w:w="0" w:type="auto"/>
            <w:vAlign w:val="center"/>
          </w:tcPr>
          <w:p w14:paraId="1751455B">
            <w:pPr>
              <w:pStyle w:val="6"/>
              <w:rPr>
                <w:rFonts w:hint="eastAsia"/>
                <w:color w:val="auto"/>
              </w:rPr>
            </w:pPr>
            <w:r>
              <w:rPr>
                <w:rFonts w:hint="eastAsia"/>
                <w:color w:val="auto"/>
              </w:rPr>
              <w:t>≥500：1</w:t>
            </w:r>
          </w:p>
        </w:tc>
      </w:tr>
      <w:tr w14:paraId="28D0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4A5CFBC">
            <w:pPr>
              <w:pStyle w:val="6"/>
              <w:rPr>
                <w:rFonts w:hint="eastAsia"/>
                <w:color w:val="auto"/>
              </w:rPr>
            </w:pPr>
            <w:r>
              <w:rPr>
                <w:rFonts w:hint="eastAsia"/>
                <w:color w:val="auto"/>
              </w:rPr>
              <w:t>98</w:t>
            </w:r>
          </w:p>
        </w:tc>
        <w:tc>
          <w:tcPr>
            <w:tcW w:w="0" w:type="auto"/>
            <w:vMerge w:val="continue"/>
            <w:vAlign w:val="center"/>
          </w:tcPr>
          <w:p w14:paraId="4886D058">
            <w:pPr>
              <w:pStyle w:val="6"/>
              <w:rPr>
                <w:color w:val="auto"/>
              </w:rPr>
            </w:pPr>
          </w:p>
        </w:tc>
        <w:tc>
          <w:tcPr>
            <w:tcW w:w="0" w:type="auto"/>
            <w:vAlign w:val="center"/>
          </w:tcPr>
          <w:p w14:paraId="1ECE5316">
            <w:pPr>
              <w:pStyle w:val="6"/>
              <w:rPr>
                <w:rFonts w:hint="eastAsia"/>
                <w:color w:val="auto"/>
              </w:rPr>
            </w:pPr>
            <w:r>
              <w:rPr>
                <w:rFonts w:hint="eastAsia"/>
                <w:color w:val="auto"/>
              </w:rPr>
              <w:t>▲显示屏其他参数</w:t>
            </w:r>
          </w:p>
        </w:tc>
        <w:tc>
          <w:tcPr>
            <w:tcW w:w="0" w:type="auto"/>
            <w:vAlign w:val="center"/>
          </w:tcPr>
          <w:p w14:paraId="3F9F8A2F">
            <w:pPr>
              <w:pStyle w:val="6"/>
              <w:rPr>
                <w:rFonts w:hint="eastAsia"/>
                <w:color w:val="auto"/>
              </w:rPr>
            </w:pPr>
            <w:r>
              <w:rPr>
                <w:rFonts w:hint="eastAsia"/>
                <w:color w:val="auto"/>
              </w:rPr>
              <w:t>其它参数应符合 SJ/T 11292 的相关规定</w:t>
            </w:r>
          </w:p>
        </w:tc>
      </w:tr>
      <w:tr w14:paraId="6B4D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9C76397">
            <w:pPr>
              <w:pStyle w:val="6"/>
              <w:rPr>
                <w:rFonts w:hint="eastAsia"/>
                <w:color w:val="auto"/>
              </w:rPr>
            </w:pPr>
            <w:r>
              <w:rPr>
                <w:rFonts w:hint="eastAsia"/>
                <w:color w:val="auto"/>
              </w:rPr>
              <w:t>99</w:t>
            </w:r>
          </w:p>
        </w:tc>
        <w:tc>
          <w:tcPr>
            <w:tcW w:w="0" w:type="auto"/>
            <w:vMerge w:val="restart"/>
            <w:vAlign w:val="center"/>
          </w:tcPr>
          <w:p w14:paraId="4DD33BA5">
            <w:pPr>
              <w:pStyle w:val="6"/>
              <w:rPr>
                <w:rFonts w:hint="eastAsia"/>
                <w:color w:val="auto"/>
              </w:rPr>
            </w:pPr>
            <w:r>
              <w:rPr>
                <w:rFonts w:hint="eastAsia"/>
                <w:color w:val="auto"/>
              </w:rPr>
              <w:t>▲网络设备性能</w:t>
            </w:r>
          </w:p>
        </w:tc>
        <w:tc>
          <w:tcPr>
            <w:tcW w:w="0" w:type="auto"/>
            <w:vAlign w:val="center"/>
          </w:tcPr>
          <w:p w14:paraId="3C301155">
            <w:pPr>
              <w:pStyle w:val="6"/>
              <w:rPr>
                <w:rFonts w:hint="eastAsia"/>
                <w:color w:val="auto"/>
              </w:rPr>
            </w:pPr>
            <w:r>
              <w:rPr>
                <w:rFonts w:hint="eastAsia"/>
                <w:color w:val="auto"/>
              </w:rPr>
              <w:t>▲有线网卡速率</w:t>
            </w:r>
          </w:p>
        </w:tc>
        <w:tc>
          <w:tcPr>
            <w:tcW w:w="0" w:type="auto"/>
            <w:vAlign w:val="center"/>
          </w:tcPr>
          <w:p w14:paraId="6A431C00">
            <w:pPr>
              <w:pStyle w:val="6"/>
              <w:rPr>
                <w:rFonts w:hint="eastAsia"/>
                <w:color w:val="auto"/>
              </w:rPr>
            </w:pPr>
            <w:r>
              <w:rPr>
                <w:rFonts w:hint="eastAsia"/>
                <w:color w:val="auto"/>
              </w:rPr>
              <w:t>最高速率应不低于 1000Mbps，应支持10Mbps、100Mbps、1000Mbps 速率自适应</w:t>
            </w:r>
          </w:p>
        </w:tc>
      </w:tr>
      <w:tr w14:paraId="6240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BBC0F80">
            <w:pPr>
              <w:pStyle w:val="6"/>
              <w:rPr>
                <w:rFonts w:hint="eastAsia"/>
                <w:color w:val="auto"/>
              </w:rPr>
            </w:pPr>
            <w:r>
              <w:rPr>
                <w:rFonts w:hint="eastAsia"/>
                <w:color w:val="auto"/>
              </w:rPr>
              <w:t>100</w:t>
            </w:r>
          </w:p>
        </w:tc>
        <w:tc>
          <w:tcPr>
            <w:tcW w:w="0" w:type="auto"/>
            <w:vMerge w:val="continue"/>
            <w:vAlign w:val="center"/>
          </w:tcPr>
          <w:p w14:paraId="7B499AD4">
            <w:pPr>
              <w:pStyle w:val="6"/>
              <w:rPr>
                <w:color w:val="auto"/>
              </w:rPr>
            </w:pPr>
          </w:p>
        </w:tc>
        <w:tc>
          <w:tcPr>
            <w:tcW w:w="0" w:type="auto"/>
            <w:vAlign w:val="center"/>
          </w:tcPr>
          <w:p w14:paraId="35181E8F">
            <w:pPr>
              <w:pStyle w:val="6"/>
              <w:rPr>
                <w:rFonts w:hint="eastAsia"/>
                <w:color w:val="auto"/>
              </w:rPr>
            </w:pPr>
            <w:r>
              <w:rPr>
                <w:rFonts w:hint="eastAsia"/>
                <w:color w:val="auto"/>
              </w:rPr>
              <w:t>支持无线网络通信技术协议</w:t>
            </w:r>
          </w:p>
        </w:tc>
        <w:tc>
          <w:tcPr>
            <w:tcW w:w="0" w:type="auto"/>
            <w:vAlign w:val="center"/>
          </w:tcPr>
          <w:p w14:paraId="179EDE67">
            <w:pPr>
              <w:pStyle w:val="6"/>
              <w:rPr>
                <w:rFonts w:hint="eastAsia"/>
                <w:color w:val="auto"/>
              </w:rPr>
            </w:pPr>
            <w:r>
              <w:rPr>
                <w:rFonts w:hint="eastAsia"/>
                <w:color w:val="auto"/>
              </w:rPr>
              <w:t>支持 WAP I 或 WiFi5.0 及以上协议</w:t>
            </w:r>
          </w:p>
        </w:tc>
      </w:tr>
      <w:tr w14:paraId="1206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6C62569">
            <w:pPr>
              <w:pStyle w:val="6"/>
              <w:rPr>
                <w:rFonts w:hint="eastAsia"/>
                <w:color w:val="auto"/>
              </w:rPr>
            </w:pPr>
            <w:r>
              <w:rPr>
                <w:rFonts w:hint="eastAsia"/>
                <w:color w:val="auto"/>
              </w:rPr>
              <w:t>101</w:t>
            </w:r>
          </w:p>
        </w:tc>
        <w:tc>
          <w:tcPr>
            <w:tcW w:w="0" w:type="auto"/>
            <w:vMerge w:val="continue"/>
            <w:vAlign w:val="center"/>
          </w:tcPr>
          <w:p w14:paraId="5FC04277">
            <w:pPr>
              <w:pStyle w:val="6"/>
              <w:rPr>
                <w:color w:val="auto"/>
              </w:rPr>
            </w:pPr>
          </w:p>
        </w:tc>
        <w:tc>
          <w:tcPr>
            <w:tcW w:w="0" w:type="auto"/>
            <w:vAlign w:val="center"/>
          </w:tcPr>
          <w:p w14:paraId="64D0C8F2">
            <w:pPr>
              <w:pStyle w:val="6"/>
              <w:rPr>
                <w:rFonts w:hint="eastAsia"/>
                <w:color w:val="auto"/>
              </w:rPr>
            </w:pPr>
            <w:r>
              <w:rPr>
                <w:rFonts w:hint="eastAsia"/>
                <w:color w:val="auto"/>
              </w:rPr>
              <w:t>无线网卡频宽</w:t>
            </w:r>
          </w:p>
        </w:tc>
        <w:tc>
          <w:tcPr>
            <w:tcW w:w="0" w:type="auto"/>
            <w:vAlign w:val="center"/>
          </w:tcPr>
          <w:p w14:paraId="41A1EB78">
            <w:pPr>
              <w:pStyle w:val="6"/>
              <w:rPr>
                <w:rFonts w:hint="eastAsia"/>
                <w:color w:val="auto"/>
              </w:rPr>
            </w:pPr>
            <w:r>
              <w:rPr>
                <w:rFonts w:hint="eastAsia"/>
                <w:color w:val="auto"/>
              </w:rPr>
              <w:t>≥20MHz</w:t>
            </w:r>
          </w:p>
        </w:tc>
      </w:tr>
      <w:tr w14:paraId="6365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3B4FE06">
            <w:pPr>
              <w:pStyle w:val="6"/>
              <w:rPr>
                <w:rFonts w:hint="eastAsia"/>
                <w:color w:val="auto"/>
              </w:rPr>
            </w:pPr>
            <w:r>
              <w:rPr>
                <w:rFonts w:hint="eastAsia"/>
                <w:color w:val="auto"/>
              </w:rPr>
              <w:t>102</w:t>
            </w:r>
          </w:p>
        </w:tc>
        <w:tc>
          <w:tcPr>
            <w:tcW w:w="0" w:type="auto"/>
            <w:vMerge w:val="restart"/>
            <w:vAlign w:val="center"/>
          </w:tcPr>
          <w:p w14:paraId="52BA2CDD">
            <w:pPr>
              <w:pStyle w:val="6"/>
              <w:rPr>
                <w:rFonts w:hint="eastAsia"/>
                <w:color w:val="auto"/>
              </w:rPr>
            </w:pPr>
            <w:r>
              <w:rPr>
                <w:rFonts w:hint="eastAsia"/>
                <w:color w:val="auto"/>
              </w:rPr>
              <w:t>▲主板功能</w:t>
            </w:r>
          </w:p>
        </w:tc>
        <w:tc>
          <w:tcPr>
            <w:tcW w:w="0" w:type="auto"/>
            <w:vAlign w:val="center"/>
          </w:tcPr>
          <w:p w14:paraId="181F2727">
            <w:pPr>
              <w:pStyle w:val="6"/>
              <w:rPr>
                <w:rFonts w:hint="eastAsia"/>
                <w:color w:val="auto"/>
              </w:rPr>
            </w:pPr>
            <w:r>
              <w:rPr>
                <w:rFonts w:hint="eastAsia"/>
                <w:color w:val="auto"/>
              </w:rPr>
              <w:t>▲内存扩展接口(板载内存不涉及)</w:t>
            </w:r>
          </w:p>
        </w:tc>
        <w:tc>
          <w:tcPr>
            <w:tcW w:w="0" w:type="auto"/>
            <w:vAlign w:val="center"/>
          </w:tcPr>
          <w:p w14:paraId="1AD9EFCD">
            <w:pPr>
              <w:pStyle w:val="6"/>
              <w:rPr>
                <w:rFonts w:hint="eastAsia"/>
                <w:color w:val="auto"/>
              </w:rPr>
            </w:pPr>
            <w:r>
              <w:rPr>
                <w:rFonts w:hint="eastAsia"/>
                <w:color w:val="auto"/>
              </w:rPr>
              <w:t>≥2 个</w:t>
            </w:r>
          </w:p>
        </w:tc>
      </w:tr>
      <w:tr w14:paraId="5406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060369B">
            <w:pPr>
              <w:pStyle w:val="6"/>
              <w:rPr>
                <w:rFonts w:hint="eastAsia"/>
                <w:color w:val="auto"/>
              </w:rPr>
            </w:pPr>
            <w:r>
              <w:rPr>
                <w:rFonts w:hint="eastAsia"/>
                <w:color w:val="auto"/>
              </w:rPr>
              <w:t>103</w:t>
            </w:r>
          </w:p>
        </w:tc>
        <w:tc>
          <w:tcPr>
            <w:tcW w:w="0" w:type="auto"/>
            <w:vMerge w:val="continue"/>
            <w:vAlign w:val="center"/>
          </w:tcPr>
          <w:p w14:paraId="367F91FB">
            <w:pPr>
              <w:pStyle w:val="6"/>
              <w:rPr>
                <w:color w:val="auto"/>
              </w:rPr>
            </w:pPr>
          </w:p>
        </w:tc>
        <w:tc>
          <w:tcPr>
            <w:tcW w:w="0" w:type="auto"/>
            <w:vAlign w:val="center"/>
          </w:tcPr>
          <w:p w14:paraId="2F72A8AE">
            <w:pPr>
              <w:pStyle w:val="6"/>
              <w:rPr>
                <w:rFonts w:hint="eastAsia"/>
                <w:color w:val="auto"/>
              </w:rPr>
            </w:pPr>
            <w:r>
              <w:rPr>
                <w:rFonts w:hint="eastAsia"/>
                <w:color w:val="auto"/>
              </w:rPr>
              <w:t>存储扩展接口(板载存储不涉及)</w:t>
            </w:r>
          </w:p>
        </w:tc>
        <w:tc>
          <w:tcPr>
            <w:tcW w:w="0" w:type="auto"/>
            <w:vAlign w:val="center"/>
          </w:tcPr>
          <w:p w14:paraId="2E698411">
            <w:pPr>
              <w:pStyle w:val="6"/>
              <w:rPr>
                <w:rFonts w:hint="eastAsia"/>
                <w:color w:val="auto"/>
              </w:rPr>
            </w:pPr>
            <w:r>
              <w:rPr>
                <w:rFonts w:hint="eastAsia"/>
                <w:color w:val="auto"/>
              </w:rPr>
              <w:t>供应商给出主板支持存储扩展接口类型，如 UFS3.0、SATA3.0、SAS3.0、M.2等类型接口</w:t>
            </w:r>
          </w:p>
        </w:tc>
      </w:tr>
      <w:tr w14:paraId="264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858F308">
            <w:pPr>
              <w:pStyle w:val="6"/>
              <w:rPr>
                <w:rFonts w:hint="eastAsia"/>
                <w:color w:val="auto"/>
              </w:rPr>
            </w:pPr>
            <w:r>
              <w:rPr>
                <w:rFonts w:hint="eastAsia"/>
                <w:color w:val="auto"/>
              </w:rPr>
              <w:t>104</w:t>
            </w:r>
          </w:p>
        </w:tc>
        <w:tc>
          <w:tcPr>
            <w:tcW w:w="0" w:type="auto"/>
            <w:vMerge w:val="continue"/>
            <w:vAlign w:val="center"/>
          </w:tcPr>
          <w:p w14:paraId="2A21F5B2">
            <w:pPr>
              <w:pStyle w:val="6"/>
              <w:rPr>
                <w:color w:val="auto"/>
              </w:rPr>
            </w:pPr>
          </w:p>
        </w:tc>
        <w:tc>
          <w:tcPr>
            <w:tcW w:w="0" w:type="auto"/>
            <w:vAlign w:val="center"/>
          </w:tcPr>
          <w:p w14:paraId="1BBDD92E">
            <w:pPr>
              <w:pStyle w:val="6"/>
              <w:rPr>
                <w:rFonts w:hint="eastAsia"/>
                <w:color w:val="auto"/>
              </w:rPr>
            </w:pPr>
            <w:r>
              <w:rPr>
                <w:rFonts w:hint="eastAsia"/>
                <w:color w:val="auto"/>
              </w:rPr>
              <w:t>▲主板 USB瞬间过流保护</w:t>
            </w:r>
          </w:p>
        </w:tc>
        <w:tc>
          <w:tcPr>
            <w:tcW w:w="0" w:type="auto"/>
            <w:vAlign w:val="center"/>
          </w:tcPr>
          <w:p w14:paraId="1BF4395F">
            <w:pPr>
              <w:pStyle w:val="6"/>
              <w:rPr>
                <w:rFonts w:hint="eastAsia"/>
                <w:color w:val="auto"/>
              </w:rPr>
            </w:pPr>
            <w:r>
              <w:rPr>
                <w:rFonts w:hint="eastAsia"/>
                <w:color w:val="auto"/>
              </w:rPr>
              <w:t>支持有瞬间过流保护功能</w:t>
            </w:r>
          </w:p>
        </w:tc>
      </w:tr>
      <w:tr w14:paraId="514A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E45003">
            <w:pPr>
              <w:pStyle w:val="6"/>
              <w:rPr>
                <w:rFonts w:hint="eastAsia"/>
                <w:color w:val="auto"/>
              </w:rPr>
            </w:pPr>
            <w:r>
              <w:rPr>
                <w:rFonts w:hint="eastAsia"/>
                <w:color w:val="auto"/>
              </w:rPr>
              <w:t>105</w:t>
            </w:r>
          </w:p>
        </w:tc>
        <w:tc>
          <w:tcPr>
            <w:tcW w:w="0" w:type="auto"/>
            <w:vMerge w:val="continue"/>
            <w:vAlign w:val="center"/>
          </w:tcPr>
          <w:p w14:paraId="4516F69D">
            <w:pPr>
              <w:pStyle w:val="6"/>
              <w:rPr>
                <w:color w:val="auto"/>
              </w:rPr>
            </w:pPr>
          </w:p>
        </w:tc>
        <w:tc>
          <w:tcPr>
            <w:tcW w:w="0" w:type="auto"/>
            <w:vAlign w:val="center"/>
          </w:tcPr>
          <w:p w14:paraId="0267D448">
            <w:pPr>
              <w:pStyle w:val="6"/>
              <w:rPr>
                <w:rFonts w:hint="eastAsia"/>
                <w:color w:val="auto"/>
              </w:rPr>
            </w:pPr>
            <w:r>
              <w:rPr>
                <w:rFonts w:hint="eastAsia"/>
                <w:color w:val="auto"/>
              </w:rPr>
              <w:t>▲主板防静电保护</w:t>
            </w:r>
          </w:p>
        </w:tc>
        <w:tc>
          <w:tcPr>
            <w:tcW w:w="0" w:type="auto"/>
            <w:vAlign w:val="center"/>
          </w:tcPr>
          <w:p w14:paraId="620283B6">
            <w:pPr>
              <w:pStyle w:val="6"/>
              <w:rPr>
                <w:rFonts w:hint="eastAsia"/>
                <w:color w:val="auto"/>
              </w:rPr>
            </w:pPr>
            <w:r>
              <w:rPr>
                <w:rFonts w:hint="eastAsia"/>
                <w:color w:val="auto"/>
              </w:rPr>
              <w:t>支持防静电保护功能</w:t>
            </w:r>
          </w:p>
        </w:tc>
      </w:tr>
      <w:tr w14:paraId="7E6D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49C7735">
            <w:pPr>
              <w:pStyle w:val="6"/>
              <w:rPr>
                <w:rFonts w:hint="eastAsia"/>
                <w:color w:val="auto"/>
              </w:rPr>
            </w:pPr>
            <w:r>
              <w:rPr>
                <w:rFonts w:hint="eastAsia"/>
                <w:color w:val="auto"/>
              </w:rPr>
              <w:t>106</w:t>
            </w:r>
          </w:p>
        </w:tc>
        <w:tc>
          <w:tcPr>
            <w:tcW w:w="0" w:type="auto"/>
            <w:vMerge w:val="continue"/>
            <w:vAlign w:val="center"/>
          </w:tcPr>
          <w:p w14:paraId="2A2D7A58">
            <w:pPr>
              <w:pStyle w:val="6"/>
              <w:rPr>
                <w:color w:val="auto"/>
              </w:rPr>
            </w:pPr>
          </w:p>
        </w:tc>
        <w:tc>
          <w:tcPr>
            <w:tcW w:w="0" w:type="auto"/>
            <w:vAlign w:val="center"/>
          </w:tcPr>
          <w:p w14:paraId="25701681">
            <w:pPr>
              <w:pStyle w:val="6"/>
              <w:rPr>
                <w:rFonts w:hint="eastAsia"/>
                <w:color w:val="auto"/>
              </w:rPr>
            </w:pPr>
            <w:r>
              <w:rPr>
                <w:rFonts w:hint="eastAsia"/>
                <w:color w:val="auto"/>
              </w:rPr>
              <w:t>▲I/O 接口功能</w:t>
            </w:r>
          </w:p>
        </w:tc>
        <w:tc>
          <w:tcPr>
            <w:tcW w:w="0" w:type="auto"/>
            <w:vAlign w:val="center"/>
          </w:tcPr>
          <w:p w14:paraId="625B15E4">
            <w:pPr>
              <w:pStyle w:val="6"/>
              <w:rPr>
                <w:rFonts w:hint="eastAsia"/>
                <w:color w:val="auto"/>
              </w:rPr>
            </w:pPr>
            <w:r>
              <w:rPr>
                <w:rFonts w:hint="eastAsia"/>
                <w:color w:val="auto"/>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r>
      <w:tr w14:paraId="722C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07FF14F">
            <w:pPr>
              <w:pStyle w:val="6"/>
              <w:rPr>
                <w:rFonts w:hint="eastAsia"/>
                <w:color w:val="auto"/>
              </w:rPr>
            </w:pPr>
            <w:r>
              <w:rPr>
                <w:rFonts w:hint="eastAsia"/>
                <w:color w:val="auto"/>
              </w:rPr>
              <w:t>107</w:t>
            </w:r>
          </w:p>
        </w:tc>
        <w:tc>
          <w:tcPr>
            <w:tcW w:w="0" w:type="auto"/>
            <w:vMerge w:val="restart"/>
            <w:vAlign w:val="center"/>
          </w:tcPr>
          <w:p w14:paraId="1BB32E40">
            <w:pPr>
              <w:pStyle w:val="6"/>
              <w:rPr>
                <w:rFonts w:hint="eastAsia"/>
                <w:color w:val="auto"/>
              </w:rPr>
            </w:pPr>
            <w:r>
              <w:rPr>
                <w:rFonts w:hint="eastAsia"/>
                <w:color w:val="auto"/>
              </w:rPr>
              <w:t>▲显卡功能</w:t>
            </w:r>
          </w:p>
        </w:tc>
        <w:tc>
          <w:tcPr>
            <w:tcW w:w="0" w:type="auto"/>
            <w:vAlign w:val="center"/>
          </w:tcPr>
          <w:p w14:paraId="385EB29C">
            <w:pPr>
              <w:pStyle w:val="6"/>
              <w:rPr>
                <w:rFonts w:hint="eastAsia"/>
                <w:color w:val="auto"/>
              </w:rPr>
            </w:pPr>
            <w:r>
              <w:rPr>
                <w:rFonts w:hint="eastAsia"/>
                <w:color w:val="auto"/>
              </w:rPr>
              <w:t>▲显卡外接显示接口</w:t>
            </w:r>
          </w:p>
        </w:tc>
        <w:tc>
          <w:tcPr>
            <w:tcW w:w="0" w:type="auto"/>
            <w:vAlign w:val="center"/>
          </w:tcPr>
          <w:p w14:paraId="3547A143">
            <w:pPr>
              <w:pStyle w:val="6"/>
              <w:rPr>
                <w:rFonts w:hint="eastAsia"/>
                <w:color w:val="auto"/>
              </w:rPr>
            </w:pPr>
            <w:r>
              <w:rPr>
                <w:rFonts w:hint="eastAsia"/>
                <w:color w:val="auto"/>
              </w:rPr>
              <w:t>显卡至少支持 VGA、HDMI、DVI、DP、Type-C 中 1 种显示接口，并与显示器接口相匹配</w:t>
            </w:r>
          </w:p>
        </w:tc>
      </w:tr>
      <w:tr w14:paraId="7FFD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8885ED7">
            <w:pPr>
              <w:pStyle w:val="6"/>
              <w:rPr>
                <w:rFonts w:hint="eastAsia"/>
                <w:color w:val="auto"/>
              </w:rPr>
            </w:pPr>
            <w:r>
              <w:rPr>
                <w:rFonts w:hint="eastAsia"/>
                <w:color w:val="auto"/>
              </w:rPr>
              <w:t>108</w:t>
            </w:r>
          </w:p>
        </w:tc>
        <w:tc>
          <w:tcPr>
            <w:tcW w:w="0" w:type="auto"/>
            <w:vMerge w:val="continue"/>
            <w:vAlign w:val="center"/>
          </w:tcPr>
          <w:p w14:paraId="46E6D0B1">
            <w:pPr>
              <w:pStyle w:val="6"/>
              <w:rPr>
                <w:color w:val="auto"/>
              </w:rPr>
            </w:pPr>
          </w:p>
        </w:tc>
        <w:tc>
          <w:tcPr>
            <w:tcW w:w="0" w:type="auto"/>
            <w:vAlign w:val="center"/>
          </w:tcPr>
          <w:p w14:paraId="2011AEF1">
            <w:pPr>
              <w:pStyle w:val="6"/>
              <w:rPr>
                <w:rFonts w:hint="eastAsia"/>
                <w:color w:val="auto"/>
              </w:rPr>
            </w:pPr>
            <w:r>
              <w:rPr>
                <w:rFonts w:hint="eastAsia"/>
                <w:color w:val="auto"/>
              </w:rPr>
              <w:t>独立显卡数量</w:t>
            </w:r>
          </w:p>
        </w:tc>
        <w:tc>
          <w:tcPr>
            <w:tcW w:w="0" w:type="auto"/>
            <w:vAlign w:val="center"/>
          </w:tcPr>
          <w:p w14:paraId="6988437A">
            <w:pPr>
              <w:pStyle w:val="6"/>
              <w:rPr>
                <w:rFonts w:hint="eastAsia"/>
                <w:color w:val="auto"/>
              </w:rPr>
            </w:pPr>
            <w:r>
              <w:rPr>
                <w:rFonts w:hint="eastAsia"/>
                <w:color w:val="auto"/>
              </w:rPr>
              <w:t>≥0</w:t>
            </w:r>
          </w:p>
        </w:tc>
      </w:tr>
      <w:tr w14:paraId="6813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60DD887">
            <w:pPr>
              <w:pStyle w:val="6"/>
              <w:rPr>
                <w:rFonts w:hint="eastAsia"/>
                <w:color w:val="auto"/>
              </w:rPr>
            </w:pPr>
            <w:r>
              <w:rPr>
                <w:rFonts w:hint="eastAsia"/>
                <w:color w:val="auto"/>
              </w:rPr>
              <w:t>109</w:t>
            </w:r>
          </w:p>
        </w:tc>
        <w:tc>
          <w:tcPr>
            <w:tcW w:w="0" w:type="auto"/>
            <w:vMerge w:val="restart"/>
            <w:vAlign w:val="center"/>
          </w:tcPr>
          <w:p w14:paraId="706ACDB5">
            <w:pPr>
              <w:pStyle w:val="6"/>
              <w:rPr>
                <w:rFonts w:hint="eastAsia"/>
                <w:color w:val="auto"/>
              </w:rPr>
            </w:pPr>
            <w:r>
              <w:rPr>
                <w:rFonts w:hint="eastAsia"/>
                <w:color w:val="auto"/>
              </w:rPr>
              <w:t>▲显示设备功能</w:t>
            </w:r>
          </w:p>
        </w:tc>
        <w:tc>
          <w:tcPr>
            <w:tcW w:w="0" w:type="auto"/>
            <w:vAlign w:val="center"/>
          </w:tcPr>
          <w:p w14:paraId="7EB6E423">
            <w:pPr>
              <w:pStyle w:val="6"/>
              <w:rPr>
                <w:rFonts w:hint="eastAsia"/>
                <w:color w:val="auto"/>
              </w:rPr>
            </w:pPr>
            <w:r>
              <w:rPr>
                <w:rFonts w:hint="eastAsia"/>
                <w:color w:val="auto"/>
              </w:rPr>
              <w:t>▲显示器接口</w:t>
            </w:r>
          </w:p>
        </w:tc>
        <w:tc>
          <w:tcPr>
            <w:tcW w:w="0" w:type="auto"/>
            <w:vAlign w:val="center"/>
          </w:tcPr>
          <w:p w14:paraId="031185C7">
            <w:pPr>
              <w:pStyle w:val="6"/>
              <w:rPr>
                <w:rFonts w:hint="eastAsia"/>
                <w:color w:val="auto"/>
              </w:rPr>
            </w:pPr>
            <w:r>
              <w:rPr>
                <w:rFonts w:hint="eastAsia"/>
                <w:color w:val="auto"/>
              </w:rPr>
              <w:t>显示器应与显卡外接显示接口匹配</w:t>
            </w:r>
          </w:p>
        </w:tc>
      </w:tr>
      <w:tr w14:paraId="1C0E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7587137">
            <w:pPr>
              <w:pStyle w:val="6"/>
              <w:rPr>
                <w:rFonts w:hint="eastAsia"/>
                <w:color w:val="auto"/>
              </w:rPr>
            </w:pPr>
            <w:r>
              <w:rPr>
                <w:rFonts w:hint="eastAsia"/>
                <w:color w:val="auto"/>
              </w:rPr>
              <w:t>110</w:t>
            </w:r>
          </w:p>
        </w:tc>
        <w:tc>
          <w:tcPr>
            <w:tcW w:w="0" w:type="auto"/>
            <w:vMerge w:val="continue"/>
            <w:vAlign w:val="center"/>
          </w:tcPr>
          <w:p w14:paraId="131975D2">
            <w:pPr>
              <w:pStyle w:val="6"/>
              <w:rPr>
                <w:color w:val="auto"/>
              </w:rPr>
            </w:pPr>
          </w:p>
        </w:tc>
        <w:tc>
          <w:tcPr>
            <w:tcW w:w="0" w:type="auto"/>
            <w:vAlign w:val="center"/>
          </w:tcPr>
          <w:p w14:paraId="6F2BE8BF">
            <w:pPr>
              <w:pStyle w:val="6"/>
              <w:rPr>
                <w:rFonts w:hint="eastAsia"/>
                <w:color w:val="auto"/>
              </w:rPr>
            </w:pPr>
            <w:r>
              <w:rPr>
                <w:rFonts w:hint="eastAsia"/>
                <w:color w:val="auto"/>
              </w:rPr>
              <w:t>▲显示器支架</w:t>
            </w:r>
          </w:p>
        </w:tc>
        <w:tc>
          <w:tcPr>
            <w:tcW w:w="0" w:type="auto"/>
            <w:vAlign w:val="center"/>
          </w:tcPr>
          <w:p w14:paraId="2EF94D74">
            <w:pPr>
              <w:pStyle w:val="6"/>
              <w:rPr>
                <w:rFonts w:hint="eastAsia"/>
                <w:color w:val="auto"/>
              </w:rPr>
            </w:pPr>
            <w:r>
              <w:rPr>
                <w:rFonts w:hint="eastAsia"/>
                <w:color w:val="auto"/>
              </w:rPr>
              <w:t>显示器应提供显示器支架，根据采购人需求支持屏幕旋转、升降等</w:t>
            </w:r>
          </w:p>
        </w:tc>
      </w:tr>
      <w:tr w14:paraId="2226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F39D7EB">
            <w:pPr>
              <w:pStyle w:val="6"/>
              <w:rPr>
                <w:rFonts w:hint="eastAsia"/>
                <w:color w:val="auto"/>
              </w:rPr>
            </w:pPr>
            <w:r>
              <w:rPr>
                <w:rFonts w:hint="eastAsia"/>
                <w:color w:val="auto"/>
              </w:rPr>
              <w:t>111</w:t>
            </w:r>
          </w:p>
        </w:tc>
        <w:tc>
          <w:tcPr>
            <w:tcW w:w="0" w:type="auto"/>
            <w:vMerge w:val="continue"/>
            <w:vAlign w:val="center"/>
          </w:tcPr>
          <w:p w14:paraId="3EA7621A">
            <w:pPr>
              <w:pStyle w:val="6"/>
              <w:rPr>
                <w:color w:val="auto"/>
              </w:rPr>
            </w:pPr>
          </w:p>
        </w:tc>
        <w:tc>
          <w:tcPr>
            <w:tcW w:w="0" w:type="auto"/>
            <w:vAlign w:val="center"/>
          </w:tcPr>
          <w:p w14:paraId="3B934A29">
            <w:pPr>
              <w:pStyle w:val="6"/>
              <w:rPr>
                <w:rFonts w:hint="eastAsia"/>
                <w:color w:val="auto"/>
              </w:rPr>
            </w:pPr>
            <w:r>
              <w:rPr>
                <w:rFonts w:hint="eastAsia"/>
                <w:color w:val="auto"/>
              </w:rPr>
              <w:t>▲显示器参数调节</w:t>
            </w:r>
          </w:p>
        </w:tc>
        <w:tc>
          <w:tcPr>
            <w:tcW w:w="0" w:type="auto"/>
            <w:vAlign w:val="center"/>
          </w:tcPr>
          <w:p w14:paraId="03186C10">
            <w:pPr>
              <w:pStyle w:val="6"/>
              <w:rPr>
                <w:rFonts w:hint="eastAsia"/>
                <w:color w:val="auto"/>
              </w:rPr>
            </w:pPr>
            <w:r>
              <w:rPr>
                <w:rFonts w:hint="eastAsia"/>
                <w:color w:val="auto"/>
              </w:rPr>
              <w:t>a)提供 OSD 选单按钮用于调节色彩、模式等；</w:t>
            </w:r>
            <w:r>
              <w:rPr>
                <w:rFonts w:hint="eastAsia"/>
                <w:color w:val="auto"/>
              </w:rPr>
              <w:br w:type="textWrapping"/>
            </w:r>
            <w:r>
              <w:rPr>
                <w:rFonts w:hint="eastAsia"/>
                <w:color w:val="auto"/>
              </w:rPr>
              <w:t>b)支持色温、亮度、对比度调节</w:t>
            </w:r>
          </w:p>
        </w:tc>
      </w:tr>
      <w:tr w14:paraId="0095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AFB0E69">
            <w:pPr>
              <w:pStyle w:val="6"/>
              <w:rPr>
                <w:rFonts w:hint="eastAsia"/>
                <w:color w:val="auto"/>
              </w:rPr>
            </w:pPr>
            <w:r>
              <w:rPr>
                <w:rFonts w:hint="eastAsia"/>
                <w:color w:val="auto"/>
              </w:rPr>
              <w:t>112</w:t>
            </w:r>
          </w:p>
        </w:tc>
        <w:tc>
          <w:tcPr>
            <w:tcW w:w="0" w:type="auto"/>
            <w:vMerge w:val="restart"/>
            <w:vAlign w:val="center"/>
          </w:tcPr>
          <w:p w14:paraId="12DC1676">
            <w:pPr>
              <w:pStyle w:val="6"/>
              <w:rPr>
                <w:rFonts w:hint="eastAsia"/>
                <w:color w:val="auto"/>
              </w:rPr>
            </w:pPr>
            <w:r>
              <w:rPr>
                <w:rFonts w:hint="eastAsia"/>
                <w:color w:val="auto"/>
              </w:rPr>
              <w:t>外设功能</w:t>
            </w:r>
          </w:p>
        </w:tc>
        <w:tc>
          <w:tcPr>
            <w:tcW w:w="0" w:type="auto"/>
            <w:vAlign w:val="center"/>
          </w:tcPr>
          <w:p w14:paraId="3B285456">
            <w:pPr>
              <w:pStyle w:val="6"/>
              <w:rPr>
                <w:rFonts w:hint="eastAsia"/>
                <w:color w:val="auto"/>
              </w:rPr>
            </w:pPr>
            <w:r>
              <w:rPr>
                <w:rFonts w:hint="eastAsia"/>
                <w:color w:val="auto"/>
              </w:rPr>
              <w:t>摄像头物理隐私保护开关</w:t>
            </w:r>
          </w:p>
        </w:tc>
        <w:tc>
          <w:tcPr>
            <w:tcW w:w="0" w:type="auto"/>
            <w:vAlign w:val="center"/>
          </w:tcPr>
          <w:p w14:paraId="101C21E0">
            <w:pPr>
              <w:pStyle w:val="6"/>
              <w:rPr>
                <w:rFonts w:hint="eastAsia"/>
                <w:color w:val="auto"/>
              </w:rPr>
            </w:pPr>
            <w:r>
              <w:rPr>
                <w:rFonts w:hint="eastAsia"/>
                <w:color w:val="auto"/>
              </w:rPr>
              <w:t>不涉及</w:t>
            </w:r>
          </w:p>
        </w:tc>
      </w:tr>
      <w:tr w14:paraId="3E59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20D358F">
            <w:pPr>
              <w:pStyle w:val="6"/>
              <w:rPr>
                <w:rFonts w:hint="eastAsia"/>
                <w:color w:val="auto"/>
              </w:rPr>
            </w:pPr>
            <w:r>
              <w:rPr>
                <w:rFonts w:hint="eastAsia"/>
                <w:color w:val="auto"/>
              </w:rPr>
              <w:t>113</w:t>
            </w:r>
          </w:p>
        </w:tc>
        <w:tc>
          <w:tcPr>
            <w:tcW w:w="0" w:type="auto"/>
            <w:vMerge w:val="continue"/>
            <w:vAlign w:val="center"/>
          </w:tcPr>
          <w:p w14:paraId="77E891A1">
            <w:pPr>
              <w:pStyle w:val="6"/>
              <w:rPr>
                <w:color w:val="auto"/>
              </w:rPr>
            </w:pPr>
          </w:p>
        </w:tc>
        <w:tc>
          <w:tcPr>
            <w:tcW w:w="0" w:type="auto"/>
            <w:vAlign w:val="center"/>
          </w:tcPr>
          <w:p w14:paraId="593316B9">
            <w:pPr>
              <w:pStyle w:val="6"/>
              <w:rPr>
                <w:rFonts w:hint="eastAsia"/>
                <w:color w:val="auto"/>
              </w:rPr>
            </w:pPr>
            <w:r>
              <w:rPr>
                <w:rFonts w:hint="eastAsia"/>
                <w:color w:val="auto"/>
              </w:rPr>
              <w:t>传声器降噪</w:t>
            </w:r>
          </w:p>
        </w:tc>
        <w:tc>
          <w:tcPr>
            <w:tcW w:w="0" w:type="auto"/>
            <w:vAlign w:val="center"/>
          </w:tcPr>
          <w:p w14:paraId="603448EB">
            <w:pPr>
              <w:pStyle w:val="6"/>
              <w:rPr>
                <w:rFonts w:hint="eastAsia"/>
                <w:color w:val="auto"/>
              </w:rPr>
            </w:pPr>
            <w:r>
              <w:rPr>
                <w:rFonts w:hint="eastAsia"/>
                <w:color w:val="auto"/>
              </w:rPr>
              <w:t>不涉及</w:t>
            </w:r>
          </w:p>
        </w:tc>
      </w:tr>
      <w:tr w14:paraId="4F07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89DC592">
            <w:pPr>
              <w:pStyle w:val="6"/>
              <w:rPr>
                <w:rFonts w:hint="eastAsia"/>
                <w:color w:val="auto"/>
              </w:rPr>
            </w:pPr>
            <w:r>
              <w:rPr>
                <w:rFonts w:hint="eastAsia"/>
                <w:color w:val="auto"/>
              </w:rPr>
              <w:t>114</w:t>
            </w:r>
          </w:p>
        </w:tc>
        <w:tc>
          <w:tcPr>
            <w:tcW w:w="0" w:type="auto"/>
            <w:vMerge w:val="continue"/>
            <w:vAlign w:val="center"/>
          </w:tcPr>
          <w:p w14:paraId="7B0089D1">
            <w:pPr>
              <w:pStyle w:val="6"/>
              <w:rPr>
                <w:color w:val="auto"/>
              </w:rPr>
            </w:pPr>
          </w:p>
        </w:tc>
        <w:tc>
          <w:tcPr>
            <w:tcW w:w="0" w:type="auto"/>
            <w:vAlign w:val="center"/>
          </w:tcPr>
          <w:p w14:paraId="57DD464A">
            <w:pPr>
              <w:pStyle w:val="6"/>
              <w:rPr>
                <w:rFonts w:hint="eastAsia"/>
                <w:color w:val="auto"/>
              </w:rPr>
            </w:pPr>
            <w:r>
              <w:rPr>
                <w:rFonts w:hint="eastAsia"/>
                <w:color w:val="auto"/>
              </w:rPr>
              <w:t>键盘背光</w:t>
            </w:r>
          </w:p>
        </w:tc>
        <w:tc>
          <w:tcPr>
            <w:tcW w:w="0" w:type="auto"/>
            <w:vAlign w:val="center"/>
          </w:tcPr>
          <w:p w14:paraId="340A6A44">
            <w:pPr>
              <w:pStyle w:val="6"/>
              <w:rPr>
                <w:rFonts w:hint="eastAsia"/>
                <w:color w:val="auto"/>
              </w:rPr>
            </w:pPr>
            <w:r>
              <w:rPr>
                <w:rFonts w:hint="eastAsia"/>
                <w:color w:val="auto"/>
              </w:rPr>
              <w:t>不涉及</w:t>
            </w:r>
          </w:p>
        </w:tc>
      </w:tr>
      <w:tr w14:paraId="7325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DAAE207">
            <w:pPr>
              <w:pStyle w:val="6"/>
              <w:rPr>
                <w:rFonts w:hint="eastAsia"/>
                <w:color w:val="auto"/>
              </w:rPr>
            </w:pPr>
            <w:r>
              <w:rPr>
                <w:rFonts w:hint="eastAsia"/>
                <w:color w:val="auto"/>
              </w:rPr>
              <w:t>115</w:t>
            </w:r>
          </w:p>
        </w:tc>
        <w:tc>
          <w:tcPr>
            <w:tcW w:w="0" w:type="auto"/>
            <w:vMerge w:val="continue"/>
            <w:vAlign w:val="center"/>
          </w:tcPr>
          <w:p w14:paraId="78385B72">
            <w:pPr>
              <w:pStyle w:val="6"/>
              <w:rPr>
                <w:color w:val="auto"/>
              </w:rPr>
            </w:pPr>
          </w:p>
        </w:tc>
        <w:tc>
          <w:tcPr>
            <w:tcW w:w="0" w:type="auto"/>
            <w:vAlign w:val="center"/>
          </w:tcPr>
          <w:p w14:paraId="1F1301AE">
            <w:pPr>
              <w:pStyle w:val="6"/>
              <w:rPr>
                <w:rFonts w:hint="eastAsia"/>
                <w:color w:val="auto"/>
              </w:rPr>
            </w:pPr>
            <w:r>
              <w:rPr>
                <w:rFonts w:hint="eastAsia"/>
                <w:color w:val="auto"/>
              </w:rPr>
              <w:t>光驱功能</w:t>
            </w:r>
          </w:p>
        </w:tc>
        <w:tc>
          <w:tcPr>
            <w:tcW w:w="0" w:type="auto"/>
            <w:vAlign w:val="center"/>
          </w:tcPr>
          <w:p w14:paraId="7A7486CF">
            <w:pPr>
              <w:pStyle w:val="6"/>
              <w:rPr>
                <w:rFonts w:hint="eastAsia"/>
                <w:color w:val="auto"/>
              </w:rPr>
            </w:pPr>
            <w:r>
              <w:rPr>
                <w:rFonts w:hint="eastAsia"/>
                <w:color w:val="auto"/>
              </w:rPr>
              <w:t>光驱应支持只读、刻录等类型；最大读取速度 CD 不低于 24×150KB/s；最大读取速度 DVD 不低于8×358KB/s；最大刻录速度CD 不低于24×150KB/s；最大刻录速度 DVD 不低于 6×1358KB/s；兼容光盘类型包含只读光盘、可读写光盘、可擦写光盘等</w:t>
            </w:r>
          </w:p>
        </w:tc>
      </w:tr>
      <w:tr w14:paraId="2EC0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CAA6E67">
            <w:pPr>
              <w:pStyle w:val="6"/>
              <w:rPr>
                <w:rFonts w:hint="eastAsia"/>
                <w:color w:val="auto"/>
              </w:rPr>
            </w:pPr>
            <w:r>
              <w:rPr>
                <w:rFonts w:hint="eastAsia"/>
                <w:color w:val="auto"/>
              </w:rPr>
              <w:t>116</w:t>
            </w:r>
          </w:p>
        </w:tc>
        <w:tc>
          <w:tcPr>
            <w:tcW w:w="0" w:type="auto"/>
            <w:vMerge w:val="restart"/>
            <w:vAlign w:val="center"/>
          </w:tcPr>
          <w:p w14:paraId="0DD08543">
            <w:pPr>
              <w:pStyle w:val="6"/>
              <w:rPr>
                <w:rFonts w:hint="eastAsia"/>
                <w:color w:val="auto"/>
              </w:rPr>
            </w:pPr>
            <w:r>
              <w:rPr>
                <w:rFonts w:hint="eastAsia"/>
                <w:color w:val="auto"/>
              </w:rPr>
              <w:t>▲存储功能</w:t>
            </w:r>
          </w:p>
        </w:tc>
        <w:tc>
          <w:tcPr>
            <w:tcW w:w="0" w:type="auto"/>
            <w:vAlign w:val="center"/>
          </w:tcPr>
          <w:p w14:paraId="471B123A">
            <w:pPr>
              <w:pStyle w:val="6"/>
              <w:rPr>
                <w:rFonts w:hint="eastAsia"/>
                <w:color w:val="auto"/>
              </w:rPr>
            </w:pPr>
            <w:r>
              <w:rPr>
                <w:rFonts w:hint="eastAsia"/>
                <w:color w:val="auto"/>
              </w:rPr>
              <w:t>▲存储功能</w:t>
            </w:r>
          </w:p>
        </w:tc>
        <w:tc>
          <w:tcPr>
            <w:tcW w:w="0" w:type="auto"/>
            <w:vAlign w:val="center"/>
          </w:tcPr>
          <w:p w14:paraId="25FBC740">
            <w:pPr>
              <w:pStyle w:val="6"/>
              <w:rPr>
                <w:rFonts w:hint="eastAsia"/>
                <w:color w:val="auto"/>
              </w:rPr>
            </w:pPr>
            <w:r>
              <w:rPr>
                <w:rFonts w:hint="eastAsia"/>
                <w:color w:val="auto"/>
              </w:rPr>
              <w:t>通过 SATA 固态存储/PCIe 固态存储/UFS 固态存储/SATA 硬磁盘等存储部件提供存储功能</w:t>
            </w:r>
          </w:p>
        </w:tc>
      </w:tr>
      <w:tr w14:paraId="5F8E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E577794">
            <w:pPr>
              <w:pStyle w:val="6"/>
              <w:rPr>
                <w:rFonts w:hint="eastAsia"/>
                <w:color w:val="auto"/>
              </w:rPr>
            </w:pPr>
            <w:r>
              <w:rPr>
                <w:rFonts w:hint="eastAsia"/>
                <w:color w:val="auto"/>
              </w:rPr>
              <w:t>117</w:t>
            </w:r>
          </w:p>
        </w:tc>
        <w:tc>
          <w:tcPr>
            <w:tcW w:w="0" w:type="auto"/>
            <w:vMerge w:val="continue"/>
            <w:vAlign w:val="center"/>
          </w:tcPr>
          <w:p w14:paraId="00C9E931">
            <w:pPr>
              <w:pStyle w:val="6"/>
              <w:rPr>
                <w:color w:val="auto"/>
              </w:rPr>
            </w:pPr>
          </w:p>
        </w:tc>
        <w:tc>
          <w:tcPr>
            <w:tcW w:w="0" w:type="auto"/>
            <w:vAlign w:val="center"/>
          </w:tcPr>
          <w:p w14:paraId="00AE7708">
            <w:pPr>
              <w:pStyle w:val="6"/>
              <w:rPr>
                <w:rFonts w:hint="eastAsia"/>
                <w:color w:val="auto"/>
              </w:rPr>
            </w:pPr>
            <w:r>
              <w:rPr>
                <w:rFonts w:hint="eastAsia"/>
                <w:color w:val="auto"/>
              </w:rPr>
              <w:t>内置控制器固态存储加密</w:t>
            </w:r>
          </w:p>
        </w:tc>
        <w:tc>
          <w:tcPr>
            <w:tcW w:w="0" w:type="auto"/>
            <w:vAlign w:val="center"/>
          </w:tcPr>
          <w:p w14:paraId="719D131B">
            <w:pPr>
              <w:pStyle w:val="6"/>
              <w:rPr>
                <w:rFonts w:hint="eastAsia"/>
                <w:color w:val="auto"/>
              </w:rPr>
            </w:pPr>
            <w:r>
              <w:rPr>
                <w:rFonts w:hint="eastAsia"/>
                <w:color w:val="auto"/>
              </w:rPr>
              <w:t>固态存储通过内置控制器硬件支持加密，不依赖处理器，保障数据安全性，但不得影响存储性能。</w:t>
            </w:r>
            <w:r>
              <w:rPr>
                <w:rFonts w:hint="eastAsia"/>
                <w:color w:val="auto"/>
              </w:rPr>
              <w:br w:type="textWrapping"/>
            </w:r>
            <w:r>
              <w:rPr>
                <w:rFonts w:hint="eastAsia"/>
                <w:color w:val="auto"/>
              </w:rPr>
              <w:t>a) 支持加密功能，且加密功能开启不影响 SSD 读写性能；</w:t>
            </w:r>
            <w:r>
              <w:rPr>
                <w:rFonts w:hint="eastAsia"/>
                <w:color w:val="auto"/>
              </w:rPr>
              <w:br w:type="textWrapping"/>
            </w:r>
            <w:r>
              <w:rPr>
                <w:rFonts w:hint="eastAsia"/>
                <w:color w:val="auto"/>
              </w:rPr>
              <w:t>b) 支持固件加密、安全启动和安全升级；</w:t>
            </w:r>
            <w:r>
              <w:rPr>
                <w:rFonts w:hint="eastAsia"/>
                <w:color w:val="auto"/>
              </w:rPr>
              <w:br w:type="textWrapping"/>
            </w:r>
            <w:r>
              <w:rPr>
                <w:rFonts w:hint="eastAsia"/>
                <w:color w:val="auto"/>
              </w:rPr>
              <w:t>c) 支持数据的安全擦除</w:t>
            </w:r>
          </w:p>
        </w:tc>
      </w:tr>
      <w:tr w14:paraId="0DC3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64210A0">
            <w:pPr>
              <w:pStyle w:val="6"/>
              <w:rPr>
                <w:rFonts w:hint="eastAsia"/>
                <w:color w:val="auto"/>
              </w:rPr>
            </w:pPr>
            <w:r>
              <w:rPr>
                <w:rFonts w:hint="eastAsia"/>
                <w:color w:val="auto"/>
              </w:rPr>
              <w:t>118</w:t>
            </w:r>
          </w:p>
        </w:tc>
        <w:tc>
          <w:tcPr>
            <w:tcW w:w="0" w:type="auto"/>
            <w:vMerge w:val="restart"/>
            <w:vAlign w:val="center"/>
          </w:tcPr>
          <w:p w14:paraId="2ED909F1">
            <w:pPr>
              <w:pStyle w:val="6"/>
              <w:rPr>
                <w:rFonts w:hint="eastAsia"/>
                <w:color w:val="auto"/>
              </w:rPr>
            </w:pPr>
            <w:r>
              <w:rPr>
                <w:rFonts w:hint="eastAsia"/>
                <w:color w:val="auto"/>
              </w:rPr>
              <w:t>▲网络设备功能</w:t>
            </w:r>
          </w:p>
        </w:tc>
        <w:tc>
          <w:tcPr>
            <w:tcW w:w="0" w:type="auto"/>
            <w:vAlign w:val="center"/>
          </w:tcPr>
          <w:p w14:paraId="65F741B5">
            <w:pPr>
              <w:pStyle w:val="6"/>
              <w:rPr>
                <w:rFonts w:hint="eastAsia"/>
                <w:color w:val="auto"/>
              </w:rPr>
            </w:pPr>
            <w:r>
              <w:rPr>
                <w:rFonts w:hint="eastAsia"/>
                <w:color w:val="auto"/>
              </w:rPr>
              <w:t>▲网络功能</w:t>
            </w:r>
          </w:p>
        </w:tc>
        <w:tc>
          <w:tcPr>
            <w:tcW w:w="0" w:type="auto"/>
            <w:vAlign w:val="center"/>
          </w:tcPr>
          <w:p w14:paraId="681502BB">
            <w:pPr>
              <w:pStyle w:val="6"/>
              <w:rPr>
                <w:rFonts w:hint="eastAsia"/>
                <w:color w:val="auto"/>
              </w:rPr>
            </w:pPr>
            <w:r>
              <w:rPr>
                <w:rFonts w:hint="eastAsia"/>
                <w:color w:val="auto"/>
              </w:rPr>
              <w:t>a)支持网络连接、网络开启/关闭功能；b)支持访问网络和数据交换功能</w:t>
            </w:r>
          </w:p>
        </w:tc>
      </w:tr>
      <w:tr w14:paraId="466F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B60470B">
            <w:pPr>
              <w:pStyle w:val="6"/>
              <w:rPr>
                <w:rFonts w:hint="eastAsia"/>
                <w:color w:val="auto"/>
              </w:rPr>
            </w:pPr>
            <w:r>
              <w:rPr>
                <w:rFonts w:hint="eastAsia"/>
                <w:color w:val="auto"/>
              </w:rPr>
              <w:t>119</w:t>
            </w:r>
          </w:p>
        </w:tc>
        <w:tc>
          <w:tcPr>
            <w:tcW w:w="0" w:type="auto"/>
            <w:vMerge w:val="continue"/>
            <w:vAlign w:val="center"/>
          </w:tcPr>
          <w:p w14:paraId="5E630349">
            <w:pPr>
              <w:pStyle w:val="6"/>
              <w:rPr>
                <w:color w:val="auto"/>
              </w:rPr>
            </w:pPr>
          </w:p>
        </w:tc>
        <w:tc>
          <w:tcPr>
            <w:tcW w:w="0" w:type="auto"/>
            <w:vAlign w:val="center"/>
          </w:tcPr>
          <w:p w14:paraId="709A8EAB">
            <w:pPr>
              <w:pStyle w:val="6"/>
              <w:rPr>
                <w:rFonts w:hint="eastAsia"/>
                <w:color w:val="auto"/>
              </w:rPr>
            </w:pPr>
            <w:r>
              <w:rPr>
                <w:rFonts w:hint="eastAsia"/>
                <w:color w:val="auto"/>
              </w:rPr>
              <w:t>无线网卡频段</w:t>
            </w:r>
          </w:p>
        </w:tc>
        <w:tc>
          <w:tcPr>
            <w:tcW w:w="0" w:type="auto"/>
            <w:vAlign w:val="center"/>
          </w:tcPr>
          <w:p w14:paraId="18E4FFDA">
            <w:pPr>
              <w:pStyle w:val="6"/>
              <w:rPr>
                <w:rFonts w:hint="eastAsia"/>
                <w:color w:val="auto"/>
              </w:rPr>
            </w:pPr>
            <w:r>
              <w:rPr>
                <w:rFonts w:hint="eastAsia"/>
                <w:color w:val="auto"/>
              </w:rPr>
              <w:t>支持双频段</w:t>
            </w:r>
          </w:p>
        </w:tc>
      </w:tr>
      <w:tr w14:paraId="72EF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A81CAE3">
            <w:pPr>
              <w:pStyle w:val="6"/>
              <w:rPr>
                <w:rFonts w:hint="eastAsia"/>
                <w:color w:val="auto"/>
              </w:rPr>
            </w:pPr>
            <w:r>
              <w:rPr>
                <w:rFonts w:hint="eastAsia"/>
                <w:color w:val="auto"/>
              </w:rPr>
              <w:t>120</w:t>
            </w:r>
          </w:p>
        </w:tc>
        <w:tc>
          <w:tcPr>
            <w:tcW w:w="0" w:type="auto"/>
            <w:vMerge w:val="continue"/>
            <w:vAlign w:val="center"/>
          </w:tcPr>
          <w:p w14:paraId="12A235F8">
            <w:pPr>
              <w:pStyle w:val="6"/>
              <w:rPr>
                <w:color w:val="auto"/>
              </w:rPr>
            </w:pPr>
          </w:p>
        </w:tc>
        <w:tc>
          <w:tcPr>
            <w:tcW w:w="0" w:type="auto"/>
            <w:vAlign w:val="center"/>
          </w:tcPr>
          <w:p w14:paraId="522E351E">
            <w:pPr>
              <w:pStyle w:val="6"/>
              <w:rPr>
                <w:rFonts w:hint="eastAsia"/>
                <w:color w:val="auto"/>
              </w:rPr>
            </w:pPr>
            <w:r>
              <w:rPr>
                <w:rFonts w:hint="eastAsia"/>
                <w:color w:val="auto"/>
              </w:rPr>
              <w:t>物理开关</w:t>
            </w:r>
          </w:p>
        </w:tc>
        <w:tc>
          <w:tcPr>
            <w:tcW w:w="0" w:type="auto"/>
            <w:vAlign w:val="center"/>
          </w:tcPr>
          <w:p w14:paraId="07FF6867">
            <w:pPr>
              <w:pStyle w:val="6"/>
              <w:rPr>
                <w:rFonts w:hint="eastAsia"/>
                <w:color w:val="auto"/>
              </w:rPr>
            </w:pPr>
            <w:r>
              <w:rPr>
                <w:rFonts w:hint="eastAsia"/>
                <w:color w:val="auto"/>
              </w:rPr>
              <w:t>不涉及</w:t>
            </w:r>
          </w:p>
        </w:tc>
      </w:tr>
      <w:tr w14:paraId="29C5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2077155">
            <w:pPr>
              <w:pStyle w:val="6"/>
              <w:rPr>
                <w:rFonts w:hint="eastAsia"/>
                <w:color w:val="auto"/>
              </w:rPr>
            </w:pPr>
            <w:r>
              <w:rPr>
                <w:rFonts w:hint="eastAsia"/>
                <w:color w:val="auto"/>
              </w:rPr>
              <w:t>121</w:t>
            </w:r>
          </w:p>
        </w:tc>
        <w:tc>
          <w:tcPr>
            <w:tcW w:w="0" w:type="auto"/>
            <w:vMerge w:val="continue"/>
            <w:vAlign w:val="center"/>
          </w:tcPr>
          <w:p w14:paraId="432823E0">
            <w:pPr>
              <w:pStyle w:val="6"/>
              <w:rPr>
                <w:color w:val="auto"/>
              </w:rPr>
            </w:pPr>
          </w:p>
        </w:tc>
        <w:tc>
          <w:tcPr>
            <w:tcW w:w="0" w:type="auto"/>
            <w:vAlign w:val="center"/>
          </w:tcPr>
          <w:p w14:paraId="25421361">
            <w:pPr>
              <w:pStyle w:val="6"/>
              <w:rPr>
                <w:rFonts w:hint="eastAsia"/>
                <w:color w:val="auto"/>
              </w:rPr>
            </w:pPr>
            <w:r>
              <w:rPr>
                <w:rFonts w:hint="eastAsia"/>
                <w:color w:val="auto"/>
              </w:rPr>
              <w:t>▲数据传输</w:t>
            </w:r>
          </w:p>
        </w:tc>
        <w:tc>
          <w:tcPr>
            <w:tcW w:w="0" w:type="auto"/>
            <w:vAlign w:val="center"/>
          </w:tcPr>
          <w:p w14:paraId="33CC74B3">
            <w:pPr>
              <w:pStyle w:val="6"/>
              <w:rPr>
                <w:rFonts w:hint="eastAsia"/>
                <w:color w:val="auto"/>
              </w:rPr>
            </w:pPr>
            <w:r>
              <w:rPr>
                <w:rFonts w:hint="eastAsia"/>
                <w:color w:val="auto"/>
              </w:rPr>
              <w:t>支持数据传输能力，并提供数据流量和异常日志记录功能</w:t>
            </w:r>
          </w:p>
        </w:tc>
      </w:tr>
      <w:tr w14:paraId="4F7C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4333D33">
            <w:pPr>
              <w:pStyle w:val="6"/>
              <w:rPr>
                <w:rFonts w:hint="eastAsia"/>
                <w:color w:val="auto"/>
              </w:rPr>
            </w:pPr>
            <w:r>
              <w:rPr>
                <w:rFonts w:hint="eastAsia"/>
                <w:color w:val="auto"/>
              </w:rPr>
              <w:t>122</w:t>
            </w:r>
          </w:p>
        </w:tc>
        <w:tc>
          <w:tcPr>
            <w:tcW w:w="0" w:type="auto"/>
            <w:vMerge w:val="continue"/>
            <w:vAlign w:val="center"/>
          </w:tcPr>
          <w:p w14:paraId="6A3D490A">
            <w:pPr>
              <w:pStyle w:val="6"/>
              <w:rPr>
                <w:color w:val="auto"/>
              </w:rPr>
            </w:pPr>
          </w:p>
        </w:tc>
        <w:tc>
          <w:tcPr>
            <w:tcW w:w="0" w:type="auto"/>
            <w:vAlign w:val="center"/>
          </w:tcPr>
          <w:p w14:paraId="7EF21326">
            <w:pPr>
              <w:pStyle w:val="6"/>
              <w:rPr>
                <w:rFonts w:hint="eastAsia"/>
                <w:color w:val="auto"/>
              </w:rPr>
            </w:pPr>
            <w:r>
              <w:rPr>
                <w:rFonts w:hint="eastAsia"/>
                <w:color w:val="auto"/>
              </w:rPr>
              <w:t>蓝牙协议</w:t>
            </w:r>
          </w:p>
        </w:tc>
        <w:tc>
          <w:tcPr>
            <w:tcW w:w="0" w:type="auto"/>
            <w:vAlign w:val="center"/>
          </w:tcPr>
          <w:p w14:paraId="5708D542">
            <w:pPr>
              <w:pStyle w:val="6"/>
              <w:rPr>
                <w:rFonts w:hint="eastAsia"/>
                <w:color w:val="auto"/>
              </w:rPr>
            </w:pPr>
            <w:r>
              <w:rPr>
                <w:rFonts w:hint="eastAsia"/>
                <w:color w:val="auto"/>
              </w:rPr>
              <w:t>若支持蓝牙模块，蓝牙协议不低于 5.0版本</w:t>
            </w:r>
          </w:p>
        </w:tc>
      </w:tr>
      <w:tr w14:paraId="0F46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FFC812C">
            <w:pPr>
              <w:pStyle w:val="6"/>
              <w:rPr>
                <w:rFonts w:hint="eastAsia"/>
                <w:color w:val="auto"/>
              </w:rPr>
            </w:pPr>
            <w:r>
              <w:rPr>
                <w:rFonts w:hint="eastAsia"/>
                <w:color w:val="auto"/>
              </w:rPr>
              <w:t>123</w:t>
            </w:r>
          </w:p>
        </w:tc>
        <w:tc>
          <w:tcPr>
            <w:tcW w:w="0" w:type="auto"/>
            <w:vMerge w:val="continue"/>
            <w:vAlign w:val="center"/>
          </w:tcPr>
          <w:p w14:paraId="39C255A8">
            <w:pPr>
              <w:pStyle w:val="6"/>
              <w:rPr>
                <w:color w:val="auto"/>
              </w:rPr>
            </w:pPr>
          </w:p>
        </w:tc>
        <w:tc>
          <w:tcPr>
            <w:tcW w:w="0" w:type="auto"/>
            <w:vAlign w:val="center"/>
          </w:tcPr>
          <w:p w14:paraId="4A07C4FF">
            <w:pPr>
              <w:pStyle w:val="6"/>
              <w:rPr>
                <w:rFonts w:hint="eastAsia"/>
                <w:color w:val="auto"/>
              </w:rPr>
            </w:pPr>
            <w:r>
              <w:rPr>
                <w:rFonts w:hint="eastAsia"/>
                <w:color w:val="auto"/>
              </w:rPr>
              <w:t>▲有线网卡接口类型</w:t>
            </w:r>
          </w:p>
        </w:tc>
        <w:tc>
          <w:tcPr>
            <w:tcW w:w="0" w:type="auto"/>
            <w:vAlign w:val="center"/>
          </w:tcPr>
          <w:p w14:paraId="66D6F187">
            <w:pPr>
              <w:pStyle w:val="6"/>
              <w:rPr>
                <w:rFonts w:hint="eastAsia"/>
                <w:color w:val="auto"/>
              </w:rPr>
            </w:pPr>
            <w:r>
              <w:rPr>
                <w:rFonts w:hint="eastAsia"/>
                <w:color w:val="auto"/>
              </w:rPr>
              <w:t>支持 RJ45 接口</w:t>
            </w:r>
          </w:p>
        </w:tc>
      </w:tr>
      <w:tr w14:paraId="7C0E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8558A64">
            <w:pPr>
              <w:pStyle w:val="6"/>
              <w:rPr>
                <w:rFonts w:hint="eastAsia"/>
                <w:color w:val="auto"/>
              </w:rPr>
            </w:pPr>
            <w:r>
              <w:rPr>
                <w:rFonts w:hint="eastAsia"/>
                <w:color w:val="auto"/>
              </w:rPr>
              <w:t>124</w:t>
            </w:r>
          </w:p>
        </w:tc>
        <w:tc>
          <w:tcPr>
            <w:tcW w:w="0" w:type="auto"/>
            <w:vMerge w:val="continue"/>
            <w:vAlign w:val="center"/>
          </w:tcPr>
          <w:p w14:paraId="475AD01F">
            <w:pPr>
              <w:pStyle w:val="6"/>
              <w:rPr>
                <w:color w:val="auto"/>
              </w:rPr>
            </w:pPr>
          </w:p>
        </w:tc>
        <w:tc>
          <w:tcPr>
            <w:tcW w:w="0" w:type="auto"/>
            <w:vAlign w:val="center"/>
          </w:tcPr>
          <w:p w14:paraId="6C273FE7">
            <w:pPr>
              <w:pStyle w:val="6"/>
              <w:rPr>
                <w:rFonts w:hint="eastAsia"/>
                <w:color w:val="auto"/>
              </w:rPr>
            </w:pPr>
            <w:r>
              <w:rPr>
                <w:rFonts w:hint="eastAsia"/>
                <w:color w:val="auto"/>
              </w:rPr>
              <w:t>无线网卡标准</w:t>
            </w:r>
          </w:p>
        </w:tc>
        <w:tc>
          <w:tcPr>
            <w:tcW w:w="0" w:type="auto"/>
            <w:vAlign w:val="center"/>
          </w:tcPr>
          <w:p w14:paraId="4888B0E6">
            <w:pPr>
              <w:pStyle w:val="6"/>
              <w:rPr>
                <w:rFonts w:hint="eastAsia"/>
                <w:color w:val="auto"/>
              </w:rPr>
            </w:pPr>
            <w:r>
              <w:rPr>
                <w:rFonts w:hint="eastAsia"/>
                <w:color w:val="auto"/>
              </w:rPr>
              <w:t>若配备无线网卡，产品应符合 GB15629.11 所有部分</w:t>
            </w:r>
          </w:p>
        </w:tc>
      </w:tr>
      <w:tr w14:paraId="56C8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4ACFFCE">
            <w:pPr>
              <w:pStyle w:val="6"/>
              <w:rPr>
                <w:rFonts w:hint="eastAsia"/>
                <w:color w:val="auto"/>
              </w:rPr>
            </w:pPr>
            <w:r>
              <w:rPr>
                <w:rFonts w:hint="eastAsia"/>
                <w:color w:val="auto"/>
              </w:rPr>
              <w:t>125</w:t>
            </w:r>
          </w:p>
        </w:tc>
        <w:tc>
          <w:tcPr>
            <w:tcW w:w="0" w:type="auto"/>
            <w:vMerge w:val="continue"/>
            <w:vAlign w:val="center"/>
          </w:tcPr>
          <w:p w14:paraId="694E2479">
            <w:pPr>
              <w:pStyle w:val="6"/>
              <w:rPr>
                <w:color w:val="auto"/>
              </w:rPr>
            </w:pPr>
          </w:p>
        </w:tc>
        <w:tc>
          <w:tcPr>
            <w:tcW w:w="0" w:type="auto"/>
            <w:vAlign w:val="center"/>
          </w:tcPr>
          <w:p w14:paraId="1FBBC938">
            <w:pPr>
              <w:pStyle w:val="6"/>
              <w:rPr>
                <w:rFonts w:hint="eastAsia"/>
                <w:color w:val="auto"/>
              </w:rPr>
            </w:pPr>
            <w:r>
              <w:rPr>
                <w:rFonts w:hint="eastAsia"/>
                <w:color w:val="auto"/>
              </w:rPr>
              <w:t>▲网络设备拆装</w:t>
            </w:r>
          </w:p>
        </w:tc>
        <w:tc>
          <w:tcPr>
            <w:tcW w:w="0" w:type="auto"/>
            <w:vAlign w:val="center"/>
          </w:tcPr>
          <w:p w14:paraId="2A86E936">
            <w:pPr>
              <w:pStyle w:val="6"/>
              <w:rPr>
                <w:rFonts w:hint="eastAsia"/>
                <w:color w:val="auto"/>
              </w:rPr>
            </w:pPr>
            <w:r>
              <w:rPr>
                <w:rFonts w:hint="eastAsia"/>
                <w:color w:val="auto"/>
              </w:rPr>
              <w:t>网络设备支持物理拆装，包括无线网卡和蓝牙模块等</w:t>
            </w:r>
          </w:p>
        </w:tc>
      </w:tr>
      <w:tr w14:paraId="30F3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62CAE09">
            <w:pPr>
              <w:pStyle w:val="6"/>
              <w:rPr>
                <w:rFonts w:hint="eastAsia"/>
                <w:color w:val="auto"/>
              </w:rPr>
            </w:pPr>
            <w:r>
              <w:rPr>
                <w:rFonts w:hint="eastAsia"/>
                <w:color w:val="auto"/>
              </w:rPr>
              <w:t>126</w:t>
            </w:r>
          </w:p>
        </w:tc>
        <w:tc>
          <w:tcPr>
            <w:tcW w:w="0" w:type="auto"/>
            <w:vMerge w:val="restart"/>
            <w:vAlign w:val="center"/>
          </w:tcPr>
          <w:p w14:paraId="0912E394">
            <w:pPr>
              <w:pStyle w:val="6"/>
              <w:rPr>
                <w:rFonts w:hint="eastAsia"/>
                <w:color w:val="auto"/>
              </w:rPr>
            </w:pPr>
            <w:r>
              <w:rPr>
                <w:rFonts w:hint="eastAsia"/>
                <w:color w:val="auto"/>
              </w:rPr>
              <w:t>▲外部接口功能</w:t>
            </w:r>
          </w:p>
        </w:tc>
        <w:tc>
          <w:tcPr>
            <w:tcW w:w="0" w:type="auto"/>
            <w:vAlign w:val="center"/>
          </w:tcPr>
          <w:p w14:paraId="6009DCBA">
            <w:pPr>
              <w:pStyle w:val="6"/>
              <w:rPr>
                <w:rFonts w:hint="eastAsia"/>
                <w:color w:val="auto"/>
              </w:rPr>
            </w:pPr>
            <w:r>
              <w:rPr>
                <w:rFonts w:hint="eastAsia"/>
                <w:color w:val="auto"/>
              </w:rPr>
              <w:t>▲音频接口类型</w:t>
            </w:r>
          </w:p>
        </w:tc>
        <w:tc>
          <w:tcPr>
            <w:tcW w:w="0" w:type="auto"/>
            <w:vAlign w:val="center"/>
          </w:tcPr>
          <w:p w14:paraId="2A9C0C38">
            <w:pPr>
              <w:pStyle w:val="6"/>
              <w:rPr>
                <w:rFonts w:hint="eastAsia"/>
                <w:color w:val="auto"/>
              </w:rPr>
            </w:pPr>
            <w:r>
              <w:rPr>
                <w:rFonts w:hint="eastAsia"/>
                <w:color w:val="auto"/>
              </w:rPr>
              <w:t>支持 3.5mm 孔径 3 段式或 4 段式接口</w:t>
            </w:r>
          </w:p>
        </w:tc>
      </w:tr>
      <w:tr w14:paraId="4C5B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81CAAE0">
            <w:pPr>
              <w:pStyle w:val="6"/>
              <w:rPr>
                <w:rFonts w:hint="eastAsia"/>
                <w:color w:val="auto"/>
              </w:rPr>
            </w:pPr>
            <w:r>
              <w:rPr>
                <w:rFonts w:hint="eastAsia"/>
                <w:color w:val="auto"/>
              </w:rPr>
              <w:t>127</w:t>
            </w:r>
          </w:p>
        </w:tc>
        <w:tc>
          <w:tcPr>
            <w:tcW w:w="0" w:type="auto"/>
            <w:vMerge w:val="continue"/>
            <w:vAlign w:val="center"/>
          </w:tcPr>
          <w:p w14:paraId="001B50E5">
            <w:pPr>
              <w:pStyle w:val="6"/>
              <w:rPr>
                <w:color w:val="auto"/>
              </w:rPr>
            </w:pPr>
          </w:p>
        </w:tc>
        <w:tc>
          <w:tcPr>
            <w:tcW w:w="0" w:type="auto"/>
            <w:vAlign w:val="center"/>
          </w:tcPr>
          <w:p w14:paraId="4340E2CB">
            <w:pPr>
              <w:pStyle w:val="6"/>
              <w:rPr>
                <w:rFonts w:hint="eastAsia"/>
                <w:color w:val="auto"/>
              </w:rPr>
            </w:pPr>
            <w:r>
              <w:rPr>
                <w:rFonts w:hint="eastAsia"/>
                <w:color w:val="auto"/>
              </w:rPr>
              <w:t>▲视频接口类型</w:t>
            </w:r>
          </w:p>
        </w:tc>
        <w:tc>
          <w:tcPr>
            <w:tcW w:w="0" w:type="auto"/>
            <w:vAlign w:val="center"/>
          </w:tcPr>
          <w:p w14:paraId="2D7C58E2">
            <w:pPr>
              <w:pStyle w:val="6"/>
              <w:rPr>
                <w:rFonts w:hint="eastAsia"/>
                <w:color w:val="auto"/>
              </w:rPr>
            </w:pPr>
            <w:r>
              <w:rPr>
                <w:rFonts w:hint="eastAsia"/>
                <w:color w:val="auto"/>
              </w:rPr>
              <w:t>至少支持 VGA、HDMI、DVI、DP、Type-C中 1 种显示接口</w:t>
            </w:r>
          </w:p>
        </w:tc>
      </w:tr>
      <w:tr w14:paraId="14F8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0ADB1A8">
            <w:pPr>
              <w:pStyle w:val="6"/>
              <w:rPr>
                <w:rFonts w:hint="eastAsia"/>
                <w:color w:val="auto"/>
              </w:rPr>
            </w:pPr>
            <w:r>
              <w:rPr>
                <w:rFonts w:hint="eastAsia"/>
                <w:color w:val="auto"/>
              </w:rPr>
              <w:t>128</w:t>
            </w:r>
          </w:p>
        </w:tc>
        <w:tc>
          <w:tcPr>
            <w:tcW w:w="0" w:type="auto"/>
            <w:vMerge w:val="continue"/>
            <w:vAlign w:val="center"/>
          </w:tcPr>
          <w:p w14:paraId="3EAABEC4">
            <w:pPr>
              <w:pStyle w:val="6"/>
              <w:rPr>
                <w:color w:val="auto"/>
              </w:rPr>
            </w:pPr>
          </w:p>
        </w:tc>
        <w:tc>
          <w:tcPr>
            <w:tcW w:w="0" w:type="auto"/>
            <w:vAlign w:val="center"/>
          </w:tcPr>
          <w:p w14:paraId="4F05B8E9">
            <w:pPr>
              <w:pStyle w:val="6"/>
              <w:rPr>
                <w:rFonts w:hint="eastAsia"/>
                <w:color w:val="auto"/>
              </w:rPr>
            </w:pPr>
            <w:r>
              <w:rPr>
                <w:rFonts w:hint="eastAsia"/>
                <w:color w:val="auto"/>
              </w:rPr>
              <w:t>▲HDMI、DP、Type-C 显示接口要求</w:t>
            </w:r>
          </w:p>
        </w:tc>
        <w:tc>
          <w:tcPr>
            <w:tcW w:w="0" w:type="auto"/>
            <w:vAlign w:val="center"/>
          </w:tcPr>
          <w:p w14:paraId="197C487E">
            <w:pPr>
              <w:pStyle w:val="6"/>
              <w:rPr>
                <w:rFonts w:hint="eastAsia"/>
                <w:color w:val="auto"/>
              </w:rPr>
            </w:pPr>
            <w:r>
              <w:rPr>
                <w:rFonts w:hint="eastAsia"/>
                <w:color w:val="auto"/>
              </w:rPr>
              <w:t>若提供 HDMI 或 DP 或 Type-C 作为显示接口，应支持音频和视频同步输出</w:t>
            </w:r>
          </w:p>
        </w:tc>
      </w:tr>
      <w:tr w14:paraId="623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D9D9AC4">
            <w:pPr>
              <w:pStyle w:val="6"/>
              <w:rPr>
                <w:rFonts w:hint="eastAsia"/>
                <w:color w:val="auto"/>
              </w:rPr>
            </w:pPr>
            <w:r>
              <w:rPr>
                <w:rFonts w:hint="eastAsia"/>
                <w:color w:val="auto"/>
              </w:rPr>
              <w:t>129</w:t>
            </w:r>
          </w:p>
        </w:tc>
        <w:tc>
          <w:tcPr>
            <w:tcW w:w="0" w:type="auto"/>
            <w:vMerge w:val="continue"/>
            <w:vAlign w:val="center"/>
          </w:tcPr>
          <w:p w14:paraId="3FEC9508">
            <w:pPr>
              <w:pStyle w:val="6"/>
              <w:rPr>
                <w:color w:val="auto"/>
              </w:rPr>
            </w:pPr>
          </w:p>
        </w:tc>
        <w:tc>
          <w:tcPr>
            <w:tcW w:w="0" w:type="auto"/>
            <w:vAlign w:val="center"/>
          </w:tcPr>
          <w:p w14:paraId="405E54C4">
            <w:pPr>
              <w:pStyle w:val="6"/>
              <w:rPr>
                <w:rFonts w:hint="eastAsia"/>
                <w:color w:val="auto"/>
              </w:rPr>
            </w:pPr>
            <w:r>
              <w:rPr>
                <w:rFonts w:hint="eastAsia"/>
                <w:color w:val="auto"/>
              </w:rPr>
              <w:t>其他接口</w:t>
            </w:r>
          </w:p>
        </w:tc>
        <w:tc>
          <w:tcPr>
            <w:tcW w:w="0" w:type="auto"/>
            <w:vAlign w:val="center"/>
          </w:tcPr>
          <w:p w14:paraId="65AD0A61">
            <w:pPr>
              <w:pStyle w:val="6"/>
              <w:rPr>
                <w:rFonts w:hint="eastAsia"/>
                <w:color w:val="auto"/>
              </w:rPr>
            </w:pPr>
            <w:r>
              <w:rPr>
                <w:rFonts w:hint="eastAsia"/>
                <w:color w:val="auto"/>
              </w:rPr>
              <w:t>a) 支持串行接口，可实现 GB/T 6107的功能；</w:t>
            </w:r>
            <w:r>
              <w:rPr>
                <w:rFonts w:hint="eastAsia"/>
                <w:color w:val="auto"/>
              </w:rPr>
              <w:br w:type="textWrapping"/>
            </w:r>
            <w:r>
              <w:rPr>
                <w:rFonts w:hint="eastAsia"/>
                <w:color w:val="auto"/>
              </w:rPr>
              <w:t>b) 支持并行接口，可实现 GB/T18235.1 的功能</w:t>
            </w:r>
          </w:p>
        </w:tc>
      </w:tr>
      <w:tr w14:paraId="6BA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9DD4961">
            <w:pPr>
              <w:pStyle w:val="6"/>
              <w:rPr>
                <w:rFonts w:hint="eastAsia"/>
                <w:color w:val="auto"/>
              </w:rPr>
            </w:pPr>
            <w:r>
              <w:rPr>
                <w:rFonts w:hint="eastAsia"/>
                <w:color w:val="auto"/>
              </w:rPr>
              <w:t>130</w:t>
            </w:r>
          </w:p>
        </w:tc>
        <w:tc>
          <w:tcPr>
            <w:tcW w:w="0" w:type="auto"/>
            <w:vMerge w:val="continue"/>
            <w:vAlign w:val="center"/>
          </w:tcPr>
          <w:p w14:paraId="076B1EEF">
            <w:pPr>
              <w:pStyle w:val="6"/>
              <w:rPr>
                <w:color w:val="auto"/>
              </w:rPr>
            </w:pPr>
          </w:p>
        </w:tc>
        <w:tc>
          <w:tcPr>
            <w:tcW w:w="0" w:type="auto"/>
            <w:vAlign w:val="center"/>
          </w:tcPr>
          <w:p w14:paraId="1A8E7270">
            <w:pPr>
              <w:pStyle w:val="6"/>
              <w:rPr>
                <w:rFonts w:hint="eastAsia"/>
                <w:color w:val="auto"/>
              </w:rPr>
            </w:pPr>
            <w:r>
              <w:rPr>
                <w:rFonts w:hint="eastAsia"/>
                <w:color w:val="auto"/>
              </w:rPr>
              <w:t>存储卡接口类型</w:t>
            </w:r>
          </w:p>
        </w:tc>
        <w:tc>
          <w:tcPr>
            <w:tcW w:w="0" w:type="auto"/>
            <w:vAlign w:val="center"/>
          </w:tcPr>
          <w:p w14:paraId="63EB3690">
            <w:pPr>
              <w:pStyle w:val="6"/>
              <w:rPr>
                <w:rFonts w:hint="eastAsia"/>
                <w:color w:val="auto"/>
              </w:rPr>
            </w:pPr>
            <w:r>
              <w:rPr>
                <w:rFonts w:hint="eastAsia"/>
                <w:color w:val="auto"/>
              </w:rPr>
              <w:t>不涉及</w:t>
            </w:r>
          </w:p>
        </w:tc>
      </w:tr>
      <w:tr w14:paraId="04F3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72CA8CE">
            <w:pPr>
              <w:pStyle w:val="6"/>
              <w:rPr>
                <w:rFonts w:hint="eastAsia"/>
                <w:color w:val="auto"/>
              </w:rPr>
            </w:pPr>
            <w:r>
              <w:rPr>
                <w:rFonts w:hint="eastAsia"/>
                <w:color w:val="auto"/>
              </w:rPr>
              <w:t>131</w:t>
            </w:r>
          </w:p>
        </w:tc>
        <w:tc>
          <w:tcPr>
            <w:tcW w:w="0" w:type="auto"/>
            <w:vAlign w:val="center"/>
          </w:tcPr>
          <w:p w14:paraId="4590D11D">
            <w:pPr>
              <w:pStyle w:val="6"/>
              <w:rPr>
                <w:rFonts w:hint="eastAsia"/>
                <w:color w:val="auto"/>
              </w:rPr>
            </w:pPr>
            <w:r>
              <w:rPr>
                <w:rFonts w:hint="eastAsia"/>
                <w:color w:val="auto"/>
              </w:rPr>
              <w:t>▲电源功能</w:t>
            </w:r>
          </w:p>
        </w:tc>
        <w:tc>
          <w:tcPr>
            <w:tcW w:w="0" w:type="auto"/>
            <w:vAlign w:val="center"/>
          </w:tcPr>
          <w:p w14:paraId="688CB9E7">
            <w:pPr>
              <w:pStyle w:val="6"/>
              <w:rPr>
                <w:rFonts w:hint="eastAsia"/>
                <w:color w:val="auto"/>
              </w:rPr>
            </w:pPr>
            <w:r>
              <w:rPr>
                <w:rFonts w:hint="eastAsia"/>
                <w:color w:val="auto"/>
              </w:rPr>
              <w:t>▲电源线适配能力</w:t>
            </w:r>
          </w:p>
        </w:tc>
        <w:tc>
          <w:tcPr>
            <w:tcW w:w="0" w:type="auto"/>
            <w:vAlign w:val="center"/>
          </w:tcPr>
          <w:p w14:paraId="6777325D">
            <w:pPr>
              <w:pStyle w:val="6"/>
              <w:rPr>
                <w:rFonts w:hint="eastAsia"/>
                <w:color w:val="auto"/>
              </w:rPr>
            </w:pPr>
            <w:r>
              <w:rPr>
                <w:rFonts w:hint="eastAsia"/>
                <w:color w:val="auto"/>
              </w:rPr>
              <w:t>电源适配器电线组件应符合 GB/T15934 的要求，可拆线的插头和连接器可以不做要求</w:t>
            </w:r>
          </w:p>
        </w:tc>
      </w:tr>
      <w:tr w14:paraId="6D73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5430E50">
            <w:pPr>
              <w:pStyle w:val="6"/>
              <w:rPr>
                <w:rFonts w:hint="eastAsia"/>
                <w:color w:val="auto"/>
              </w:rPr>
            </w:pPr>
            <w:r>
              <w:rPr>
                <w:rFonts w:hint="eastAsia"/>
                <w:color w:val="auto"/>
              </w:rPr>
              <w:t>132</w:t>
            </w:r>
          </w:p>
        </w:tc>
        <w:tc>
          <w:tcPr>
            <w:tcW w:w="0" w:type="auto"/>
            <w:vMerge w:val="restart"/>
            <w:vAlign w:val="center"/>
          </w:tcPr>
          <w:p w14:paraId="70533BF2">
            <w:pPr>
              <w:pStyle w:val="6"/>
              <w:rPr>
                <w:rFonts w:hint="eastAsia"/>
                <w:color w:val="auto"/>
              </w:rPr>
            </w:pPr>
            <w:r>
              <w:rPr>
                <w:rFonts w:hint="eastAsia"/>
                <w:color w:val="auto"/>
              </w:rPr>
              <w:t>▲操作系统及软件功能</w:t>
            </w:r>
          </w:p>
        </w:tc>
        <w:tc>
          <w:tcPr>
            <w:tcW w:w="0" w:type="auto"/>
            <w:vAlign w:val="center"/>
          </w:tcPr>
          <w:p w14:paraId="74DB5669">
            <w:pPr>
              <w:pStyle w:val="6"/>
              <w:rPr>
                <w:rFonts w:hint="eastAsia"/>
                <w:color w:val="auto"/>
              </w:rPr>
            </w:pPr>
            <w:r>
              <w:rPr>
                <w:rFonts w:hint="eastAsia"/>
                <w:color w:val="auto"/>
              </w:rPr>
              <w:t>▲中文信息处理要求</w:t>
            </w:r>
          </w:p>
        </w:tc>
        <w:tc>
          <w:tcPr>
            <w:tcW w:w="0" w:type="auto"/>
            <w:vAlign w:val="center"/>
          </w:tcPr>
          <w:p w14:paraId="285D72D5">
            <w:pPr>
              <w:pStyle w:val="6"/>
              <w:rPr>
                <w:rFonts w:hint="eastAsia"/>
                <w:color w:val="auto"/>
              </w:rPr>
            </w:pPr>
            <w:r>
              <w:rPr>
                <w:rFonts w:hint="eastAsia"/>
                <w:color w:val="auto"/>
              </w:rPr>
              <w:t>符合 GB 18030 的相关规定</w:t>
            </w:r>
          </w:p>
        </w:tc>
      </w:tr>
      <w:tr w14:paraId="37C9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DA5CD54">
            <w:pPr>
              <w:pStyle w:val="6"/>
              <w:rPr>
                <w:rFonts w:hint="eastAsia"/>
                <w:color w:val="auto"/>
              </w:rPr>
            </w:pPr>
            <w:r>
              <w:rPr>
                <w:rFonts w:hint="eastAsia"/>
                <w:color w:val="auto"/>
              </w:rPr>
              <w:t>133</w:t>
            </w:r>
          </w:p>
        </w:tc>
        <w:tc>
          <w:tcPr>
            <w:tcW w:w="0" w:type="auto"/>
            <w:vMerge w:val="continue"/>
            <w:vAlign w:val="center"/>
          </w:tcPr>
          <w:p w14:paraId="402452B2">
            <w:pPr>
              <w:pStyle w:val="6"/>
              <w:rPr>
                <w:color w:val="auto"/>
              </w:rPr>
            </w:pPr>
          </w:p>
        </w:tc>
        <w:tc>
          <w:tcPr>
            <w:tcW w:w="0" w:type="auto"/>
            <w:vAlign w:val="center"/>
          </w:tcPr>
          <w:p w14:paraId="6A6FCBE1">
            <w:pPr>
              <w:pStyle w:val="6"/>
              <w:rPr>
                <w:rFonts w:hint="eastAsia"/>
                <w:color w:val="auto"/>
              </w:rPr>
            </w:pPr>
            <w:r>
              <w:rPr>
                <w:rFonts w:hint="eastAsia"/>
                <w:color w:val="auto"/>
              </w:rPr>
              <w:t>▲操作系统备份及还原功能</w:t>
            </w:r>
          </w:p>
        </w:tc>
        <w:tc>
          <w:tcPr>
            <w:tcW w:w="0" w:type="auto"/>
            <w:vAlign w:val="center"/>
          </w:tcPr>
          <w:p w14:paraId="0AA813C8">
            <w:pPr>
              <w:pStyle w:val="6"/>
              <w:rPr>
                <w:rFonts w:hint="eastAsia"/>
                <w:color w:val="auto"/>
              </w:rPr>
            </w:pPr>
            <w:r>
              <w:rPr>
                <w:rFonts w:hint="eastAsia"/>
                <w:color w:val="auto"/>
              </w:rPr>
              <w:t>支持操作系统备份及还原功能</w:t>
            </w:r>
          </w:p>
        </w:tc>
      </w:tr>
      <w:tr w14:paraId="0218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76AC152">
            <w:pPr>
              <w:pStyle w:val="6"/>
              <w:rPr>
                <w:rFonts w:hint="eastAsia"/>
                <w:color w:val="auto"/>
              </w:rPr>
            </w:pPr>
            <w:r>
              <w:rPr>
                <w:rFonts w:hint="eastAsia"/>
                <w:color w:val="auto"/>
              </w:rPr>
              <w:t>134</w:t>
            </w:r>
          </w:p>
        </w:tc>
        <w:tc>
          <w:tcPr>
            <w:tcW w:w="0" w:type="auto"/>
            <w:vMerge w:val="continue"/>
            <w:vAlign w:val="center"/>
          </w:tcPr>
          <w:p w14:paraId="3B5E5F0F">
            <w:pPr>
              <w:pStyle w:val="6"/>
              <w:rPr>
                <w:color w:val="auto"/>
              </w:rPr>
            </w:pPr>
          </w:p>
        </w:tc>
        <w:tc>
          <w:tcPr>
            <w:tcW w:w="0" w:type="auto"/>
            <w:vAlign w:val="center"/>
          </w:tcPr>
          <w:p w14:paraId="53FD47CE">
            <w:pPr>
              <w:pStyle w:val="6"/>
              <w:rPr>
                <w:rFonts w:hint="eastAsia"/>
                <w:color w:val="auto"/>
              </w:rPr>
            </w:pPr>
            <w:r>
              <w:rPr>
                <w:rFonts w:hint="eastAsia"/>
                <w:color w:val="auto"/>
              </w:rPr>
              <w:t>▲固件备份还原能力</w:t>
            </w:r>
          </w:p>
        </w:tc>
        <w:tc>
          <w:tcPr>
            <w:tcW w:w="0" w:type="auto"/>
            <w:vAlign w:val="center"/>
          </w:tcPr>
          <w:p w14:paraId="11FBF074">
            <w:pPr>
              <w:pStyle w:val="6"/>
              <w:rPr>
                <w:rFonts w:hint="eastAsia"/>
                <w:color w:val="auto"/>
              </w:rPr>
            </w:pPr>
            <w:r>
              <w:rPr>
                <w:rFonts w:hint="eastAsia"/>
                <w:color w:val="auto"/>
              </w:rPr>
              <w:t>支持备份及还原固件的功能</w:t>
            </w:r>
          </w:p>
        </w:tc>
      </w:tr>
      <w:tr w14:paraId="79D0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52116E6">
            <w:pPr>
              <w:pStyle w:val="6"/>
              <w:rPr>
                <w:rFonts w:hint="eastAsia"/>
                <w:color w:val="auto"/>
              </w:rPr>
            </w:pPr>
            <w:r>
              <w:rPr>
                <w:rFonts w:hint="eastAsia"/>
                <w:color w:val="auto"/>
              </w:rPr>
              <w:t>135</w:t>
            </w:r>
          </w:p>
        </w:tc>
        <w:tc>
          <w:tcPr>
            <w:tcW w:w="0" w:type="auto"/>
            <w:vMerge w:val="continue"/>
            <w:vAlign w:val="center"/>
          </w:tcPr>
          <w:p w14:paraId="57E2E503">
            <w:pPr>
              <w:pStyle w:val="6"/>
              <w:rPr>
                <w:color w:val="auto"/>
              </w:rPr>
            </w:pPr>
          </w:p>
        </w:tc>
        <w:tc>
          <w:tcPr>
            <w:tcW w:w="0" w:type="auto"/>
            <w:vAlign w:val="center"/>
          </w:tcPr>
          <w:p w14:paraId="48F74535">
            <w:pPr>
              <w:pStyle w:val="6"/>
              <w:rPr>
                <w:rFonts w:hint="eastAsia"/>
                <w:color w:val="auto"/>
              </w:rPr>
            </w:pPr>
            <w:r>
              <w:rPr>
                <w:rFonts w:hint="eastAsia"/>
                <w:color w:val="auto"/>
              </w:rPr>
              <w:t>▲操作系统及驱动升级</w:t>
            </w:r>
          </w:p>
        </w:tc>
        <w:tc>
          <w:tcPr>
            <w:tcW w:w="0" w:type="auto"/>
            <w:vAlign w:val="center"/>
          </w:tcPr>
          <w:p w14:paraId="781A0DC6">
            <w:pPr>
              <w:pStyle w:val="6"/>
              <w:rPr>
                <w:rFonts w:hint="eastAsia"/>
                <w:color w:val="auto"/>
              </w:rPr>
            </w:pPr>
            <w:r>
              <w:rPr>
                <w:rFonts w:hint="eastAsia"/>
                <w:color w:val="auto"/>
              </w:rPr>
              <w:t>支持通过网络、闪存盘等方式对操作系统、驱动进行升级</w:t>
            </w:r>
          </w:p>
        </w:tc>
      </w:tr>
      <w:tr w14:paraId="2984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BFFDA65">
            <w:pPr>
              <w:pStyle w:val="6"/>
              <w:rPr>
                <w:rFonts w:hint="eastAsia"/>
                <w:color w:val="auto"/>
              </w:rPr>
            </w:pPr>
            <w:r>
              <w:rPr>
                <w:rFonts w:hint="eastAsia"/>
                <w:color w:val="auto"/>
              </w:rPr>
              <w:t>136</w:t>
            </w:r>
          </w:p>
        </w:tc>
        <w:tc>
          <w:tcPr>
            <w:tcW w:w="0" w:type="auto"/>
            <w:vMerge w:val="continue"/>
            <w:vAlign w:val="center"/>
          </w:tcPr>
          <w:p w14:paraId="3A36AFBE">
            <w:pPr>
              <w:pStyle w:val="6"/>
              <w:rPr>
                <w:color w:val="auto"/>
              </w:rPr>
            </w:pPr>
          </w:p>
        </w:tc>
        <w:tc>
          <w:tcPr>
            <w:tcW w:w="0" w:type="auto"/>
            <w:vAlign w:val="center"/>
          </w:tcPr>
          <w:p w14:paraId="0FD60389">
            <w:pPr>
              <w:pStyle w:val="6"/>
              <w:rPr>
                <w:rFonts w:hint="eastAsia"/>
                <w:color w:val="auto"/>
              </w:rPr>
            </w:pPr>
            <w:r>
              <w:rPr>
                <w:rFonts w:hint="eastAsia"/>
                <w:color w:val="auto"/>
              </w:rPr>
              <w:t>▲固件升级</w:t>
            </w:r>
          </w:p>
        </w:tc>
        <w:tc>
          <w:tcPr>
            <w:tcW w:w="0" w:type="auto"/>
            <w:vAlign w:val="center"/>
          </w:tcPr>
          <w:p w14:paraId="4EE3B7E0">
            <w:pPr>
              <w:pStyle w:val="6"/>
              <w:rPr>
                <w:rFonts w:hint="eastAsia"/>
                <w:color w:val="auto"/>
              </w:rPr>
            </w:pPr>
            <w:r>
              <w:rPr>
                <w:rFonts w:hint="eastAsia"/>
                <w:color w:val="auto"/>
              </w:rPr>
              <w:t>支持通过网络、闪存盘等方式对固件进行升级</w:t>
            </w:r>
          </w:p>
        </w:tc>
      </w:tr>
      <w:tr w14:paraId="2D92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B709D9F">
            <w:pPr>
              <w:pStyle w:val="6"/>
              <w:rPr>
                <w:rFonts w:hint="eastAsia"/>
                <w:color w:val="auto"/>
              </w:rPr>
            </w:pPr>
            <w:r>
              <w:rPr>
                <w:rFonts w:hint="eastAsia"/>
                <w:color w:val="auto"/>
              </w:rPr>
              <w:t>137</w:t>
            </w:r>
          </w:p>
        </w:tc>
        <w:tc>
          <w:tcPr>
            <w:tcW w:w="0" w:type="auto"/>
            <w:vMerge w:val="continue"/>
            <w:vAlign w:val="center"/>
          </w:tcPr>
          <w:p w14:paraId="403731E3">
            <w:pPr>
              <w:pStyle w:val="6"/>
              <w:rPr>
                <w:color w:val="auto"/>
              </w:rPr>
            </w:pPr>
          </w:p>
        </w:tc>
        <w:tc>
          <w:tcPr>
            <w:tcW w:w="0" w:type="auto"/>
            <w:vAlign w:val="center"/>
          </w:tcPr>
          <w:p w14:paraId="69DA51FB">
            <w:pPr>
              <w:pStyle w:val="6"/>
              <w:rPr>
                <w:rFonts w:hint="eastAsia"/>
                <w:color w:val="auto"/>
              </w:rPr>
            </w:pPr>
            <w:r>
              <w:rPr>
                <w:rFonts w:hint="eastAsia"/>
                <w:color w:val="auto"/>
              </w:rPr>
              <w:t>▲BIOS 支持关闭通讯接口</w:t>
            </w:r>
          </w:p>
        </w:tc>
        <w:tc>
          <w:tcPr>
            <w:tcW w:w="0" w:type="auto"/>
            <w:vAlign w:val="center"/>
          </w:tcPr>
          <w:p w14:paraId="5D34D5F1">
            <w:pPr>
              <w:pStyle w:val="6"/>
              <w:rPr>
                <w:rFonts w:hint="eastAsia"/>
                <w:color w:val="auto"/>
              </w:rPr>
            </w:pPr>
            <w:r>
              <w:rPr>
                <w:rFonts w:hint="eastAsia"/>
                <w:color w:val="auto"/>
              </w:rPr>
              <w:t>支持 BIOS 关闭以太网及 USB 接口</w:t>
            </w:r>
          </w:p>
        </w:tc>
      </w:tr>
      <w:tr w14:paraId="24F8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D141609">
            <w:pPr>
              <w:pStyle w:val="6"/>
              <w:rPr>
                <w:rFonts w:hint="eastAsia"/>
                <w:color w:val="auto"/>
              </w:rPr>
            </w:pPr>
            <w:r>
              <w:rPr>
                <w:rFonts w:hint="eastAsia"/>
                <w:color w:val="auto"/>
              </w:rPr>
              <w:t>138</w:t>
            </w:r>
          </w:p>
        </w:tc>
        <w:tc>
          <w:tcPr>
            <w:tcW w:w="0" w:type="auto"/>
            <w:vMerge w:val="continue"/>
            <w:vAlign w:val="center"/>
          </w:tcPr>
          <w:p w14:paraId="4C90CC5F">
            <w:pPr>
              <w:pStyle w:val="6"/>
              <w:rPr>
                <w:color w:val="auto"/>
              </w:rPr>
            </w:pPr>
          </w:p>
        </w:tc>
        <w:tc>
          <w:tcPr>
            <w:tcW w:w="0" w:type="auto"/>
            <w:vAlign w:val="center"/>
          </w:tcPr>
          <w:p w14:paraId="33664364">
            <w:pPr>
              <w:pStyle w:val="6"/>
              <w:rPr>
                <w:rFonts w:hint="eastAsia"/>
                <w:color w:val="auto"/>
              </w:rPr>
            </w:pPr>
            <w:r>
              <w:rPr>
                <w:rFonts w:hint="eastAsia"/>
                <w:color w:val="auto"/>
              </w:rPr>
              <w:t>▲固件查看信息</w:t>
            </w:r>
          </w:p>
        </w:tc>
        <w:tc>
          <w:tcPr>
            <w:tcW w:w="0" w:type="auto"/>
            <w:vAlign w:val="center"/>
          </w:tcPr>
          <w:p w14:paraId="68322AA1">
            <w:pPr>
              <w:pStyle w:val="6"/>
              <w:rPr>
                <w:rFonts w:hint="eastAsia"/>
                <w:color w:val="auto"/>
              </w:rPr>
            </w:pPr>
            <w:r>
              <w:rPr>
                <w:rFonts w:hint="eastAsia"/>
                <w:color w:val="auto"/>
              </w:rPr>
              <w:t>支持查看固件版本、内存信息、主板信息、处理器信息和系统时间信息等功能</w:t>
            </w:r>
          </w:p>
        </w:tc>
      </w:tr>
      <w:tr w14:paraId="5204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EB8B843">
            <w:pPr>
              <w:pStyle w:val="6"/>
              <w:rPr>
                <w:rFonts w:hint="eastAsia"/>
                <w:color w:val="auto"/>
              </w:rPr>
            </w:pPr>
            <w:r>
              <w:rPr>
                <w:rFonts w:hint="eastAsia"/>
                <w:color w:val="auto"/>
              </w:rPr>
              <w:t>139</w:t>
            </w:r>
          </w:p>
        </w:tc>
        <w:tc>
          <w:tcPr>
            <w:tcW w:w="0" w:type="auto"/>
            <w:vMerge w:val="continue"/>
            <w:vAlign w:val="center"/>
          </w:tcPr>
          <w:p w14:paraId="6B8B9763">
            <w:pPr>
              <w:pStyle w:val="6"/>
              <w:rPr>
                <w:color w:val="auto"/>
              </w:rPr>
            </w:pPr>
          </w:p>
        </w:tc>
        <w:tc>
          <w:tcPr>
            <w:tcW w:w="0" w:type="auto"/>
            <w:vAlign w:val="center"/>
          </w:tcPr>
          <w:p w14:paraId="0383E4E6">
            <w:pPr>
              <w:pStyle w:val="6"/>
              <w:rPr>
                <w:rFonts w:hint="eastAsia"/>
                <w:color w:val="auto"/>
              </w:rPr>
            </w:pPr>
            <w:r>
              <w:rPr>
                <w:rFonts w:hint="eastAsia"/>
                <w:color w:val="auto"/>
              </w:rPr>
              <w:t>▲固件设置启动顺序</w:t>
            </w:r>
          </w:p>
        </w:tc>
        <w:tc>
          <w:tcPr>
            <w:tcW w:w="0" w:type="auto"/>
            <w:vAlign w:val="center"/>
          </w:tcPr>
          <w:p w14:paraId="275178E3">
            <w:pPr>
              <w:pStyle w:val="6"/>
              <w:rPr>
                <w:rFonts w:hint="eastAsia"/>
                <w:color w:val="auto"/>
              </w:rPr>
            </w:pPr>
            <w:r>
              <w:rPr>
                <w:rFonts w:hint="eastAsia"/>
                <w:color w:val="auto"/>
              </w:rPr>
              <w:t>支持设置启动顺序功能，并按照设置的启动顺序启动</w:t>
            </w:r>
          </w:p>
        </w:tc>
      </w:tr>
      <w:tr w14:paraId="143F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6C5CA84">
            <w:pPr>
              <w:pStyle w:val="6"/>
              <w:rPr>
                <w:rFonts w:hint="eastAsia"/>
                <w:color w:val="auto"/>
              </w:rPr>
            </w:pPr>
            <w:r>
              <w:rPr>
                <w:rFonts w:hint="eastAsia"/>
                <w:color w:val="auto"/>
              </w:rPr>
              <w:t>140</w:t>
            </w:r>
          </w:p>
        </w:tc>
        <w:tc>
          <w:tcPr>
            <w:tcW w:w="0" w:type="auto"/>
            <w:vMerge w:val="continue"/>
            <w:vAlign w:val="center"/>
          </w:tcPr>
          <w:p w14:paraId="315E4CF5">
            <w:pPr>
              <w:pStyle w:val="6"/>
              <w:rPr>
                <w:color w:val="auto"/>
              </w:rPr>
            </w:pPr>
          </w:p>
        </w:tc>
        <w:tc>
          <w:tcPr>
            <w:tcW w:w="0" w:type="auto"/>
            <w:vAlign w:val="center"/>
          </w:tcPr>
          <w:p w14:paraId="47340C89">
            <w:pPr>
              <w:pStyle w:val="6"/>
              <w:rPr>
                <w:rFonts w:hint="eastAsia"/>
                <w:color w:val="auto"/>
              </w:rPr>
            </w:pPr>
            <w:r>
              <w:rPr>
                <w:rFonts w:hint="eastAsia"/>
                <w:color w:val="auto"/>
              </w:rPr>
              <w:t>▲固件设置口令</w:t>
            </w:r>
          </w:p>
        </w:tc>
        <w:tc>
          <w:tcPr>
            <w:tcW w:w="0" w:type="auto"/>
            <w:vAlign w:val="center"/>
          </w:tcPr>
          <w:p w14:paraId="4CEDCBD3">
            <w:pPr>
              <w:pStyle w:val="6"/>
              <w:rPr>
                <w:rFonts w:hint="eastAsia"/>
                <w:color w:val="auto"/>
              </w:rPr>
            </w:pPr>
            <w:r>
              <w:rPr>
                <w:rFonts w:hint="eastAsia"/>
                <w:color w:val="auto"/>
              </w:rPr>
              <w:t>支持设置口令、修改口令、验证口令功能</w:t>
            </w:r>
          </w:p>
        </w:tc>
      </w:tr>
      <w:tr w14:paraId="7B22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B226427">
            <w:pPr>
              <w:pStyle w:val="6"/>
              <w:rPr>
                <w:rFonts w:hint="eastAsia"/>
                <w:color w:val="auto"/>
              </w:rPr>
            </w:pPr>
            <w:r>
              <w:rPr>
                <w:rFonts w:hint="eastAsia"/>
                <w:color w:val="auto"/>
              </w:rPr>
              <w:t>141</w:t>
            </w:r>
          </w:p>
        </w:tc>
        <w:tc>
          <w:tcPr>
            <w:tcW w:w="0" w:type="auto"/>
            <w:vMerge w:val="continue"/>
            <w:vAlign w:val="center"/>
          </w:tcPr>
          <w:p w14:paraId="41C96814">
            <w:pPr>
              <w:pStyle w:val="6"/>
              <w:rPr>
                <w:color w:val="auto"/>
              </w:rPr>
            </w:pPr>
          </w:p>
        </w:tc>
        <w:tc>
          <w:tcPr>
            <w:tcW w:w="0" w:type="auto"/>
            <w:vAlign w:val="center"/>
          </w:tcPr>
          <w:p w14:paraId="030D1AA6">
            <w:pPr>
              <w:pStyle w:val="6"/>
              <w:rPr>
                <w:rFonts w:hint="eastAsia"/>
                <w:color w:val="auto"/>
              </w:rPr>
            </w:pPr>
            <w:r>
              <w:rPr>
                <w:rFonts w:hint="eastAsia"/>
                <w:color w:val="auto"/>
              </w:rPr>
              <w:t>▲固件设置网络引导</w:t>
            </w:r>
          </w:p>
        </w:tc>
        <w:tc>
          <w:tcPr>
            <w:tcW w:w="0" w:type="auto"/>
            <w:vAlign w:val="center"/>
          </w:tcPr>
          <w:p w14:paraId="3DE59022">
            <w:pPr>
              <w:pStyle w:val="6"/>
              <w:rPr>
                <w:rFonts w:hint="eastAsia"/>
                <w:color w:val="auto"/>
              </w:rPr>
            </w:pPr>
            <w:r>
              <w:rPr>
                <w:rFonts w:hint="eastAsia"/>
                <w:color w:val="auto"/>
              </w:rPr>
              <w:t>支持网络引导启动和关闭功能</w:t>
            </w:r>
          </w:p>
        </w:tc>
      </w:tr>
      <w:tr w14:paraId="402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CD7F54">
            <w:pPr>
              <w:pStyle w:val="6"/>
              <w:rPr>
                <w:rFonts w:hint="eastAsia"/>
                <w:color w:val="auto"/>
              </w:rPr>
            </w:pPr>
            <w:r>
              <w:rPr>
                <w:rFonts w:hint="eastAsia"/>
                <w:color w:val="auto"/>
              </w:rPr>
              <w:t>142</w:t>
            </w:r>
          </w:p>
        </w:tc>
        <w:tc>
          <w:tcPr>
            <w:tcW w:w="0" w:type="auto"/>
            <w:vMerge w:val="restart"/>
            <w:vAlign w:val="center"/>
          </w:tcPr>
          <w:p w14:paraId="16C32B6D">
            <w:pPr>
              <w:pStyle w:val="6"/>
              <w:rPr>
                <w:rFonts w:hint="eastAsia"/>
                <w:color w:val="auto"/>
              </w:rPr>
            </w:pPr>
            <w:r>
              <w:rPr>
                <w:rFonts w:hint="eastAsia"/>
                <w:color w:val="auto"/>
              </w:rPr>
              <w:t>生物识别功能</w:t>
            </w:r>
          </w:p>
        </w:tc>
        <w:tc>
          <w:tcPr>
            <w:tcW w:w="0" w:type="auto"/>
            <w:vAlign w:val="center"/>
          </w:tcPr>
          <w:p w14:paraId="07F877A6">
            <w:pPr>
              <w:pStyle w:val="6"/>
              <w:rPr>
                <w:rFonts w:hint="eastAsia"/>
                <w:color w:val="auto"/>
              </w:rPr>
            </w:pPr>
            <w:r>
              <w:rPr>
                <w:rFonts w:hint="eastAsia"/>
                <w:color w:val="auto"/>
              </w:rPr>
              <w:t>指纹识别</w:t>
            </w:r>
          </w:p>
        </w:tc>
        <w:tc>
          <w:tcPr>
            <w:tcW w:w="0" w:type="auto"/>
            <w:vAlign w:val="center"/>
          </w:tcPr>
          <w:p w14:paraId="5463421D">
            <w:pPr>
              <w:pStyle w:val="6"/>
              <w:rPr>
                <w:rFonts w:hint="eastAsia"/>
                <w:color w:val="auto"/>
              </w:rPr>
            </w:pPr>
            <w:r>
              <w:rPr>
                <w:rFonts w:hint="eastAsia"/>
                <w:color w:val="auto"/>
              </w:rPr>
              <w:t>不涉及</w:t>
            </w:r>
          </w:p>
        </w:tc>
      </w:tr>
      <w:tr w14:paraId="7D9A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3A563C4">
            <w:pPr>
              <w:pStyle w:val="6"/>
              <w:rPr>
                <w:rFonts w:hint="eastAsia"/>
                <w:color w:val="auto"/>
              </w:rPr>
            </w:pPr>
            <w:r>
              <w:rPr>
                <w:rFonts w:hint="eastAsia"/>
                <w:color w:val="auto"/>
              </w:rPr>
              <w:t>143</w:t>
            </w:r>
          </w:p>
        </w:tc>
        <w:tc>
          <w:tcPr>
            <w:tcW w:w="0" w:type="auto"/>
            <w:vMerge w:val="continue"/>
            <w:vAlign w:val="center"/>
          </w:tcPr>
          <w:p w14:paraId="00C97A18">
            <w:pPr>
              <w:pStyle w:val="6"/>
              <w:rPr>
                <w:color w:val="auto"/>
              </w:rPr>
            </w:pPr>
          </w:p>
        </w:tc>
        <w:tc>
          <w:tcPr>
            <w:tcW w:w="0" w:type="auto"/>
            <w:vAlign w:val="center"/>
          </w:tcPr>
          <w:p w14:paraId="7B1F4EDC">
            <w:pPr>
              <w:pStyle w:val="6"/>
              <w:rPr>
                <w:rFonts w:hint="eastAsia"/>
                <w:color w:val="auto"/>
              </w:rPr>
            </w:pPr>
            <w:r>
              <w:rPr>
                <w:rFonts w:hint="eastAsia"/>
                <w:color w:val="auto"/>
              </w:rPr>
              <w:t>人脸识别</w:t>
            </w:r>
          </w:p>
        </w:tc>
        <w:tc>
          <w:tcPr>
            <w:tcW w:w="0" w:type="auto"/>
            <w:vAlign w:val="center"/>
          </w:tcPr>
          <w:p w14:paraId="79F6A771">
            <w:pPr>
              <w:pStyle w:val="6"/>
              <w:rPr>
                <w:rFonts w:hint="eastAsia"/>
                <w:color w:val="auto"/>
              </w:rPr>
            </w:pPr>
            <w:r>
              <w:rPr>
                <w:rFonts w:hint="eastAsia"/>
                <w:color w:val="auto"/>
              </w:rPr>
              <w:t>不涉及</w:t>
            </w:r>
          </w:p>
        </w:tc>
      </w:tr>
      <w:tr w14:paraId="746E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BFEF8C4">
            <w:pPr>
              <w:pStyle w:val="6"/>
              <w:rPr>
                <w:rFonts w:hint="eastAsia"/>
                <w:color w:val="auto"/>
              </w:rPr>
            </w:pPr>
            <w:r>
              <w:rPr>
                <w:rFonts w:hint="eastAsia"/>
                <w:color w:val="auto"/>
              </w:rPr>
              <w:t>144</w:t>
            </w:r>
          </w:p>
        </w:tc>
        <w:tc>
          <w:tcPr>
            <w:tcW w:w="0" w:type="auto"/>
            <w:vMerge w:val="continue"/>
            <w:vAlign w:val="center"/>
          </w:tcPr>
          <w:p w14:paraId="68508C2F">
            <w:pPr>
              <w:pStyle w:val="6"/>
              <w:rPr>
                <w:color w:val="auto"/>
              </w:rPr>
            </w:pPr>
          </w:p>
        </w:tc>
        <w:tc>
          <w:tcPr>
            <w:tcW w:w="0" w:type="auto"/>
            <w:vAlign w:val="center"/>
          </w:tcPr>
          <w:p w14:paraId="5DB25578">
            <w:pPr>
              <w:pStyle w:val="6"/>
              <w:rPr>
                <w:rFonts w:hint="eastAsia"/>
                <w:color w:val="auto"/>
              </w:rPr>
            </w:pPr>
            <w:r>
              <w:rPr>
                <w:rFonts w:hint="eastAsia"/>
                <w:color w:val="auto"/>
              </w:rPr>
              <w:t>静脉识别</w:t>
            </w:r>
          </w:p>
        </w:tc>
        <w:tc>
          <w:tcPr>
            <w:tcW w:w="0" w:type="auto"/>
            <w:vAlign w:val="center"/>
          </w:tcPr>
          <w:p w14:paraId="4643A4F5">
            <w:pPr>
              <w:pStyle w:val="6"/>
              <w:rPr>
                <w:rFonts w:hint="eastAsia"/>
                <w:color w:val="auto"/>
              </w:rPr>
            </w:pPr>
            <w:r>
              <w:rPr>
                <w:rFonts w:hint="eastAsia"/>
                <w:color w:val="auto"/>
              </w:rPr>
              <w:t>不涉及</w:t>
            </w:r>
          </w:p>
        </w:tc>
      </w:tr>
      <w:tr w14:paraId="1A7D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F4D4CBC">
            <w:pPr>
              <w:pStyle w:val="6"/>
              <w:rPr>
                <w:rFonts w:hint="eastAsia"/>
                <w:color w:val="auto"/>
              </w:rPr>
            </w:pPr>
            <w:r>
              <w:rPr>
                <w:rFonts w:hint="eastAsia"/>
                <w:color w:val="auto"/>
              </w:rPr>
              <w:t>145</w:t>
            </w:r>
          </w:p>
        </w:tc>
        <w:tc>
          <w:tcPr>
            <w:tcW w:w="0" w:type="auto"/>
            <w:vMerge w:val="restart"/>
            <w:vAlign w:val="center"/>
          </w:tcPr>
          <w:p w14:paraId="47FDC5BE">
            <w:pPr>
              <w:pStyle w:val="6"/>
              <w:rPr>
                <w:rFonts w:hint="eastAsia"/>
                <w:color w:val="auto"/>
              </w:rPr>
            </w:pPr>
            <w:r>
              <w:rPr>
                <w:rFonts w:hint="eastAsia"/>
                <w:color w:val="auto"/>
              </w:rPr>
              <w:t>硬件加速功能</w:t>
            </w:r>
          </w:p>
        </w:tc>
        <w:tc>
          <w:tcPr>
            <w:tcW w:w="0" w:type="auto"/>
            <w:vAlign w:val="center"/>
          </w:tcPr>
          <w:p w14:paraId="28D668C7">
            <w:pPr>
              <w:pStyle w:val="6"/>
              <w:rPr>
                <w:rFonts w:hint="eastAsia"/>
                <w:color w:val="auto"/>
              </w:rPr>
            </w:pPr>
            <w:r>
              <w:rPr>
                <w:rFonts w:hint="eastAsia"/>
                <w:color w:val="auto"/>
              </w:rPr>
              <w:t>NPU/GPU等A I 加速模块</w:t>
            </w:r>
          </w:p>
        </w:tc>
        <w:tc>
          <w:tcPr>
            <w:tcW w:w="0" w:type="auto"/>
            <w:vAlign w:val="center"/>
          </w:tcPr>
          <w:p w14:paraId="536AFE24">
            <w:pPr>
              <w:rPr>
                <w:color w:val="auto"/>
              </w:rPr>
            </w:pPr>
            <w:r>
              <w:rPr>
                <w:rFonts w:hint="eastAsia"/>
                <w:color w:val="auto"/>
              </w:rPr>
              <w:t>不涉及</w:t>
            </w:r>
          </w:p>
        </w:tc>
      </w:tr>
      <w:tr w14:paraId="6CD6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72983D5">
            <w:pPr>
              <w:pStyle w:val="6"/>
              <w:rPr>
                <w:rFonts w:hint="eastAsia"/>
                <w:color w:val="auto"/>
              </w:rPr>
            </w:pPr>
            <w:r>
              <w:rPr>
                <w:rFonts w:hint="eastAsia"/>
                <w:color w:val="auto"/>
              </w:rPr>
              <w:t>146</w:t>
            </w:r>
          </w:p>
        </w:tc>
        <w:tc>
          <w:tcPr>
            <w:tcW w:w="0" w:type="auto"/>
            <w:vMerge w:val="continue"/>
            <w:vAlign w:val="center"/>
          </w:tcPr>
          <w:p w14:paraId="4BE8468B">
            <w:pPr>
              <w:pStyle w:val="6"/>
              <w:rPr>
                <w:color w:val="auto"/>
              </w:rPr>
            </w:pPr>
          </w:p>
        </w:tc>
        <w:tc>
          <w:tcPr>
            <w:tcW w:w="0" w:type="auto"/>
            <w:vAlign w:val="center"/>
          </w:tcPr>
          <w:p w14:paraId="28DEA95B">
            <w:pPr>
              <w:pStyle w:val="6"/>
              <w:rPr>
                <w:rFonts w:hint="eastAsia"/>
                <w:color w:val="auto"/>
              </w:rPr>
            </w:pPr>
            <w:r>
              <w:rPr>
                <w:rFonts w:hint="eastAsia"/>
                <w:color w:val="auto"/>
              </w:rPr>
              <w:t>视频编解码加速模块</w:t>
            </w:r>
          </w:p>
        </w:tc>
        <w:tc>
          <w:tcPr>
            <w:tcW w:w="0" w:type="auto"/>
            <w:vAlign w:val="center"/>
          </w:tcPr>
          <w:p w14:paraId="791D6AC3">
            <w:pPr>
              <w:rPr>
                <w:color w:val="auto"/>
              </w:rPr>
            </w:pPr>
            <w:r>
              <w:rPr>
                <w:rFonts w:hint="eastAsia"/>
                <w:color w:val="auto"/>
              </w:rPr>
              <w:t>不涉及</w:t>
            </w:r>
          </w:p>
        </w:tc>
      </w:tr>
      <w:tr w14:paraId="2DBA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4C5CD6E">
            <w:pPr>
              <w:pStyle w:val="6"/>
              <w:rPr>
                <w:rFonts w:hint="eastAsia"/>
                <w:color w:val="auto"/>
              </w:rPr>
            </w:pPr>
            <w:r>
              <w:rPr>
                <w:rFonts w:hint="eastAsia"/>
                <w:color w:val="auto"/>
              </w:rPr>
              <w:t>147</w:t>
            </w:r>
          </w:p>
        </w:tc>
        <w:tc>
          <w:tcPr>
            <w:tcW w:w="0" w:type="auto"/>
            <w:vMerge w:val="continue"/>
            <w:vAlign w:val="center"/>
          </w:tcPr>
          <w:p w14:paraId="6A6FAFE7">
            <w:pPr>
              <w:pStyle w:val="6"/>
              <w:rPr>
                <w:color w:val="auto"/>
              </w:rPr>
            </w:pPr>
          </w:p>
        </w:tc>
        <w:tc>
          <w:tcPr>
            <w:tcW w:w="0" w:type="auto"/>
            <w:vAlign w:val="center"/>
          </w:tcPr>
          <w:p w14:paraId="2542F1D8">
            <w:pPr>
              <w:pStyle w:val="6"/>
              <w:rPr>
                <w:rFonts w:hint="eastAsia"/>
                <w:color w:val="auto"/>
              </w:rPr>
            </w:pPr>
            <w:r>
              <w:rPr>
                <w:rFonts w:hint="eastAsia"/>
                <w:color w:val="auto"/>
              </w:rPr>
              <w:t>影像处理加速模块</w:t>
            </w:r>
          </w:p>
        </w:tc>
        <w:tc>
          <w:tcPr>
            <w:tcW w:w="0" w:type="auto"/>
            <w:vAlign w:val="center"/>
          </w:tcPr>
          <w:p w14:paraId="622D2893">
            <w:pPr>
              <w:rPr>
                <w:color w:val="auto"/>
              </w:rPr>
            </w:pPr>
            <w:r>
              <w:rPr>
                <w:rFonts w:hint="eastAsia"/>
                <w:color w:val="auto"/>
              </w:rPr>
              <w:t>不涉及</w:t>
            </w:r>
          </w:p>
        </w:tc>
      </w:tr>
      <w:tr w14:paraId="7805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D86BDBB">
            <w:pPr>
              <w:pStyle w:val="6"/>
              <w:rPr>
                <w:rFonts w:hint="eastAsia"/>
                <w:color w:val="auto"/>
              </w:rPr>
            </w:pPr>
            <w:r>
              <w:rPr>
                <w:rFonts w:hint="eastAsia"/>
                <w:color w:val="auto"/>
              </w:rPr>
              <w:t>148</w:t>
            </w:r>
          </w:p>
        </w:tc>
        <w:tc>
          <w:tcPr>
            <w:tcW w:w="0" w:type="auto"/>
            <w:vMerge w:val="restart"/>
            <w:vAlign w:val="center"/>
          </w:tcPr>
          <w:p w14:paraId="01814BD9">
            <w:pPr>
              <w:pStyle w:val="6"/>
              <w:rPr>
                <w:rFonts w:hint="eastAsia"/>
                <w:color w:val="auto"/>
              </w:rPr>
            </w:pPr>
            <w:r>
              <w:rPr>
                <w:rFonts w:hint="eastAsia"/>
                <w:color w:val="auto"/>
              </w:rPr>
              <w:t>▲存储设备可靠性</w:t>
            </w:r>
          </w:p>
        </w:tc>
        <w:tc>
          <w:tcPr>
            <w:tcW w:w="0" w:type="auto"/>
            <w:vAlign w:val="center"/>
          </w:tcPr>
          <w:p w14:paraId="4E1DF3A2">
            <w:pPr>
              <w:pStyle w:val="6"/>
              <w:rPr>
                <w:rFonts w:hint="eastAsia"/>
                <w:color w:val="auto"/>
              </w:rPr>
            </w:pPr>
            <w:r>
              <w:rPr>
                <w:rFonts w:hint="eastAsia"/>
                <w:color w:val="auto"/>
              </w:rPr>
              <w:t>▲固态存储寿命</w:t>
            </w:r>
          </w:p>
        </w:tc>
        <w:tc>
          <w:tcPr>
            <w:tcW w:w="0" w:type="auto"/>
            <w:vAlign w:val="center"/>
          </w:tcPr>
          <w:p w14:paraId="61CB70AB">
            <w:pPr>
              <w:pStyle w:val="6"/>
              <w:rPr>
                <w:rFonts w:hint="eastAsia"/>
                <w:color w:val="auto"/>
              </w:rPr>
            </w:pPr>
            <w:r>
              <w:rPr>
                <w:rFonts w:hint="eastAsia"/>
                <w:color w:val="auto"/>
              </w:rPr>
              <w:t>TBW ≥ 80TB（条件：240GB 硬盘容量）</w:t>
            </w:r>
          </w:p>
        </w:tc>
      </w:tr>
      <w:tr w14:paraId="74B1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2CAD6EB">
            <w:pPr>
              <w:pStyle w:val="6"/>
              <w:rPr>
                <w:rFonts w:hint="eastAsia"/>
                <w:color w:val="auto"/>
              </w:rPr>
            </w:pPr>
            <w:r>
              <w:rPr>
                <w:rFonts w:hint="eastAsia"/>
                <w:color w:val="auto"/>
              </w:rPr>
              <w:t>149</w:t>
            </w:r>
          </w:p>
        </w:tc>
        <w:tc>
          <w:tcPr>
            <w:tcW w:w="0" w:type="auto"/>
            <w:vMerge w:val="continue"/>
            <w:vAlign w:val="center"/>
          </w:tcPr>
          <w:p w14:paraId="491506E5">
            <w:pPr>
              <w:pStyle w:val="6"/>
              <w:rPr>
                <w:color w:val="auto"/>
              </w:rPr>
            </w:pPr>
          </w:p>
        </w:tc>
        <w:tc>
          <w:tcPr>
            <w:tcW w:w="0" w:type="auto"/>
            <w:vAlign w:val="center"/>
          </w:tcPr>
          <w:p w14:paraId="2A36E28B">
            <w:pPr>
              <w:pStyle w:val="6"/>
              <w:rPr>
                <w:rFonts w:hint="eastAsia"/>
                <w:color w:val="auto"/>
              </w:rPr>
            </w:pPr>
            <w:r>
              <w:rPr>
                <w:rFonts w:hint="eastAsia"/>
                <w:color w:val="auto"/>
              </w:rPr>
              <w:t>▲机械硬盘寿命</w:t>
            </w:r>
          </w:p>
        </w:tc>
        <w:tc>
          <w:tcPr>
            <w:tcW w:w="0" w:type="auto"/>
            <w:vAlign w:val="center"/>
          </w:tcPr>
          <w:p w14:paraId="5D1F4D6C">
            <w:pPr>
              <w:pStyle w:val="6"/>
              <w:rPr>
                <w:rFonts w:hint="eastAsia"/>
                <w:color w:val="auto"/>
              </w:rPr>
            </w:pPr>
            <w:r>
              <w:rPr>
                <w:rFonts w:hint="eastAsia"/>
                <w:color w:val="auto"/>
              </w:rPr>
              <w:t>通电时间≥5 万小时</w:t>
            </w:r>
          </w:p>
        </w:tc>
      </w:tr>
      <w:tr w14:paraId="6290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C8AF10F">
            <w:pPr>
              <w:pStyle w:val="6"/>
              <w:rPr>
                <w:rFonts w:hint="eastAsia"/>
                <w:color w:val="auto"/>
              </w:rPr>
            </w:pPr>
            <w:r>
              <w:rPr>
                <w:rFonts w:hint="eastAsia"/>
                <w:color w:val="auto"/>
              </w:rPr>
              <w:t>150</w:t>
            </w:r>
          </w:p>
        </w:tc>
        <w:tc>
          <w:tcPr>
            <w:tcW w:w="0" w:type="auto"/>
            <w:vAlign w:val="center"/>
          </w:tcPr>
          <w:p w14:paraId="4A0F8864">
            <w:pPr>
              <w:pStyle w:val="6"/>
              <w:rPr>
                <w:rFonts w:hint="eastAsia"/>
                <w:color w:val="auto"/>
              </w:rPr>
            </w:pPr>
            <w:r>
              <w:rPr>
                <w:rFonts w:hint="eastAsia"/>
                <w:color w:val="auto"/>
              </w:rPr>
              <w:t>▲显示设备可靠性</w:t>
            </w:r>
          </w:p>
        </w:tc>
        <w:tc>
          <w:tcPr>
            <w:tcW w:w="0" w:type="auto"/>
            <w:vAlign w:val="center"/>
          </w:tcPr>
          <w:p w14:paraId="0C9925F2">
            <w:pPr>
              <w:pStyle w:val="6"/>
              <w:rPr>
                <w:rFonts w:hint="eastAsia"/>
                <w:color w:val="auto"/>
              </w:rPr>
            </w:pPr>
            <w:r>
              <w:rPr>
                <w:rFonts w:hint="eastAsia"/>
                <w:color w:val="auto"/>
              </w:rPr>
              <w:t>▲显示屏屏幕失效点</w:t>
            </w:r>
          </w:p>
        </w:tc>
        <w:tc>
          <w:tcPr>
            <w:tcW w:w="0" w:type="auto"/>
            <w:vAlign w:val="center"/>
          </w:tcPr>
          <w:p w14:paraId="40B4FCD5">
            <w:pPr>
              <w:pStyle w:val="6"/>
              <w:rPr>
                <w:rFonts w:hint="eastAsia"/>
                <w:color w:val="auto"/>
              </w:rPr>
            </w:pPr>
            <w:r>
              <w:rPr>
                <w:rFonts w:hint="eastAsia"/>
                <w:color w:val="auto"/>
              </w:rPr>
              <w:t>符合 GB/T 9813.2 的要求</w:t>
            </w:r>
          </w:p>
        </w:tc>
      </w:tr>
      <w:tr w14:paraId="481B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8005FE3">
            <w:pPr>
              <w:pStyle w:val="6"/>
              <w:rPr>
                <w:rFonts w:hint="eastAsia"/>
                <w:color w:val="auto"/>
              </w:rPr>
            </w:pPr>
            <w:r>
              <w:rPr>
                <w:rFonts w:hint="eastAsia"/>
                <w:color w:val="auto"/>
              </w:rPr>
              <w:t>151</w:t>
            </w:r>
          </w:p>
        </w:tc>
        <w:tc>
          <w:tcPr>
            <w:tcW w:w="0" w:type="auto"/>
            <w:vMerge w:val="restart"/>
            <w:vAlign w:val="center"/>
          </w:tcPr>
          <w:p w14:paraId="1A6621D9">
            <w:pPr>
              <w:pStyle w:val="6"/>
              <w:rPr>
                <w:rFonts w:hint="eastAsia"/>
                <w:color w:val="auto"/>
              </w:rPr>
            </w:pPr>
            <w:r>
              <w:rPr>
                <w:rFonts w:hint="eastAsia"/>
                <w:color w:val="auto"/>
              </w:rPr>
              <w:t>▲外设可靠性</w:t>
            </w:r>
          </w:p>
        </w:tc>
        <w:tc>
          <w:tcPr>
            <w:tcW w:w="0" w:type="auto"/>
            <w:vAlign w:val="center"/>
          </w:tcPr>
          <w:p w14:paraId="7707FF88">
            <w:pPr>
              <w:pStyle w:val="6"/>
              <w:rPr>
                <w:rFonts w:hint="eastAsia"/>
                <w:color w:val="auto"/>
              </w:rPr>
            </w:pPr>
            <w:r>
              <w:rPr>
                <w:rFonts w:hint="eastAsia"/>
                <w:color w:val="auto"/>
              </w:rPr>
              <w:t>▲键盘按键寿命</w:t>
            </w:r>
          </w:p>
        </w:tc>
        <w:tc>
          <w:tcPr>
            <w:tcW w:w="0" w:type="auto"/>
            <w:vAlign w:val="center"/>
          </w:tcPr>
          <w:p w14:paraId="7419E4FA">
            <w:pPr>
              <w:pStyle w:val="6"/>
              <w:rPr>
                <w:rFonts w:hint="eastAsia"/>
                <w:color w:val="auto"/>
              </w:rPr>
            </w:pPr>
            <w:r>
              <w:rPr>
                <w:rFonts w:hint="eastAsia"/>
                <w:color w:val="auto"/>
              </w:rPr>
              <w:t>≥1000 万次</w:t>
            </w:r>
          </w:p>
        </w:tc>
      </w:tr>
      <w:tr w14:paraId="6F7F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2742A2E">
            <w:pPr>
              <w:pStyle w:val="6"/>
              <w:rPr>
                <w:rFonts w:hint="eastAsia"/>
                <w:color w:val="auto"/>
              </w:rPr>
            </w:pPr>
            <w:r>
              <w:rPr>
                <w:rFonts w:hint="eastAsia"/>
                <w:color w:val="auto"/>
              </w:rPr>
              <w:t>152</w:t>
            </w:r>
          </w:p>
        </w:tc>
        <w:tc>
          <w:tcPr>
            <w:tcW w:w="0" w:type="auto"/>
            <w:vMerge w:val="continue"/>
            <w:vAlign w:val="center"/>
          </w:tcPr>
          <w:p w14:paraId="460282C3">
            <w:pPr>
              <w:pStyle w:val="6"/>
              <w:rPr>
                <w:color w:val="auto"/>
              </w:rPr>
            </w:pPr>
          </w:p>
        </w:tc>
        <w:tc>
          <w:tcPr>
            <w:tcW w:w="0" w:type="auto"/>
            <w:vAlign w:val="center"/>
          </w:tcPr>
          <w:p w14:paraId="636D9CE3">
            <w:pPr>
              <w:pStyle w:val="6"/>
              <w:rPr>
                <w:rFonts w:hint="eastAsia"/>
                <w:color w:val="auto"/>
              </w:rPr>
            </w:pPr>
            <w:r>
              <w:rPr>
                <w:rFonts w:hint="eastAsia"/>
                <w:color w:val="auto"/>
              </w:rPr>
              <w:t>▲鼠标按键寿命</w:t>
            </w:r>
          </w:p>
        </w:tc>
        <w:tc>
          <w:tcPr>
            <w:tcW w:w="0" w:type="auto"/>
            <w:vAlign w:val="center"/>
          </w:tcPr>
          <w:p w14:paraId="747D7921">
            <w:pPr>
              <w:pStyle w:val="6"/>
              <w:rPr>
                <w:rFonts w:hint="eastAsia"/>
                <w:color w:val="auto"/>
              </w:rPr>
            </w:pPr>
            <w:r>
              <w:rPr>
                <w:rFonts w:hint="eastAsia"/>
                <w:color w:val="auto"/>
              </w:rPr>
              <w:t>≥500 万次</w:t>
            </w:r>
          </w:p>
        </w:tc>
      </w:tr>
      <w:tr w14:paraId="7EBC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D3CEEE2">
            <w:pPr>
              <w:pStyle w:val="6"/>
              <w:rPr>
                <w:rFonts w:hint="eastAsia"/>
                <w:color w:val="auto"/>
              </w:rPr>
            </w:pPr>
            <w:r>
              <w:rPr>
                <w:rFonts w:hint="eastAsia"/>
                <w:color w:val="auto"/>
              </w:rPr>
              <w:t>153</w:t>
            </w:r>
          </w:p>
        </w:tc>
        <w:tc>
          <w:tcPr>
            <w:tcW w:w="0" w:type="auto"/>
            <w:vMerge w:val="continue"/>
            <w:vAlign w:val="center"/>
          </w:tcPr>
          <w:p w14:paraId="41F5075A">
            <w:pPr>
              <w:pStyle w:val="6"/>
              <w:rPr>
                <w:color w:val="auto"/>
              </w:rPr>
            </w:pPr>
          </w:p>
        </w:tc>
        <w:tc>
          <w:tcPr>
            <w:tcW w:w="0" w:type="auto"/>
            <w:vAlign w:val="center"/>
          </w:tcPr>
          <w:p w14:paraId="72A367D4">
            <w:pPr>
              <w:pStyle w:val="6"/>
              <w:rPr>
                <w:rFonts w:hint="eastAsia"/>
                <w:color w:val="auto"/>
              </w:rPr>
            </w:pPr>
            <w:r>
              <w:rPr>
                <w:rFonts w:hint="eastAsia"/>
                <w:color w:val="auto"/>
              </w:rPr>
              <w:t>▲键盘鼠标线材寿命</w:t>
            </w:r>
          </w:p>
        </w:tc>
        <w:tc>
          <w:tcPr>
            <w:tcW w:w="0" w:type="auto"/>
            <w:vAlign w:val="center"/>
          </w:tcPr>
          <w:p w14:paraId="06E16402">
            <w:pPr>
              <w:pStyle w:val="6"/>
              <w:rPr>
                <w:rFonts w:hint="eastAsia"/>
                <w:color w:val="auto"/>
              </w:rPr>
            </w:pPr>
            <w:r>
              <w:rPr>
                <w:rFonts w:hint="eastAsia"/>
                <w:color w:val="auto"/>
              </w:rPr>
              <w:t>键盘鼠标所用线材经±60 °弯折不低于 3000 次，功能、外观完好</w:t>
            </w:r>
          </w:p>
        </w:tc>
      </w:tr>
      <w:tr w14:paraId="516B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B80CD2A">
            <w:pPr>
              <w:pStyle w:val="6"/>
              <w:rPr>
                <w:rFonts w:hint="eastAsia"/>
                <w:color w:val="auto"/>
              </w:rPr>
            </w:pPr>
            <w:r>
              <w:rPr>
                <w:rFonts w:hint="eastAsia"/>
                <w:color w:val="auto"/>
              </w:rPr>
              <w:t>154</w:t>
            </w:r>
          </w:p>
        </w:tc>
        <w:tc>
          <w:tcPr>
            <w:tcW w:w="0" w:type="auto"/>
            <w:vMerge w:val="continue"/>
            <w:vAlign w:val="center"/>
          </w:tcPr>
          <w:p w14:paraId="095F45FA">
            <w:pPr>
              <w:pStyle w:val="6"/>
              <w:rPr>
                <w:color w:val="auto"/>
              </w:rPr>
            </w:pPr>
          </w:p>
        </w:tc>
        <w:tc>
          <w:tcPr>
            <w:tcW w:w="0" w:type="auto"/>
            <w:vAlign w:val="center"/>
          </w:tcPr>
          <w:p w14:paraId="58DCB1E1">
            <w:pPr>
              <w:pStyle w:val="6"/>
              <w:rPr>
                <w:rFonts w:hint="eastAsia"/>
                <w:color w:val="auto"/>
              </w:rPr>
            </w:pPr>
            <w:r>
              <w:rPr>
                <w:rFonts w:hint="eastAsia"/>
                <w:color w:val="auto"/>
              </w:rPr>
              <w:t>▲风扇寿命</w:t>
            </w:r>
          </w:p>
        </w:tc>
        <w:tc>
          <w:tcPr>
            <w:tcW w:w="0" w:type="auto"/>
            <w:vAlign w:val="center"/>
          </w:tcPr>
          <w:p w14:paraId="289B082A">
            <w:pPr>
              <w:pStyle w:val="6"/>
              <w:rPr>
                <w:rFonts w:hint="eastAsia"/>
                <w:color w:val="auto"/>
              </w:rPr>
            </w:pPr>
            <w:r>
              <w:rPr>
                <w:rFonts w:hint="eastAsia"/>
                <w:color w:val="auto"/>
              </w:rPr>
              <w:t>≥4 万小时</w:t>
            </w:r>
          </w:p>
        </w:tc>
      </w:tr>
      <w:tr w14:paraId="4E94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82F4CB3">
            <w:pPr>
              <w:pStyle w:val="6"/>
              <w:rPr>
                <w:rFonts w:hint="eastAsia"/>
                <w:color w:val="auto"/>
              </w:rPr>
            </w:pPr>
            <w:r>
              <w:rPr>
                <w:rFonts w:hint="eastAsia"/>
                <w:color w:val="auto"/>
              </w:rPr>
              <w:t>155</w:t>
            </w:r>
          </w:p>
        </w:tc>
        <w:tc>
          <w:tcPr>
            <w:tcW w:w="0" w:type="auto"/>
            <w:vMerge w:val="restart"/>
            <w:vAlign w:val="center"/>
          </w:tcPr>
          <w:p w14:paraId="4E53A585">
            <w:pPr>
              <w:pStyle w:val="6"/>
              <w:rPr>
                <w:rFonts w:hint="eastAsia"/>
                <w:color w:val="auto"/>
              </w:rPr>
            </w:pPr>
            <w:r>
              <w:rPr>
                <w:rFonts w:hint="eastAsia"/>
                <w:color w:val="auto"/>
              </w:rPr>
              <w:t>▲整机可靠性要求</w:t>
            </w:r>
          </w:p>
        </w:tc>
        <w:tc>
          <w:tcPr>
            <w:tcW w:w="0" w:type="auto"/>
            <w:vAlign w:val="center"/>
          </w:tcPr>
          <w:p w14:paraId="34B9DB83">
            <w:pPr>
              <w:pStyle w:val="6"/>
              <w:rPr>
                <w:rFonts w:hint="eastAsia"/>
                <w:color w:val="auto"/>
              </w:rPr>
            </w:pPr>
            <w:r>
              <w:rPr>
                <w:rFonts w:hint="eastAsia"/>
                <w:color w:val="auto"/>
              </w:rPr>
              <w:t>▲电磁兼容性要求的抗扰度</w:t>
            </w:r>
          </w:p>
        </w:tc>
        <w:tc>
          <w:tcPr>
            <w:tcW w:w="0" w:type="auto"/>
            <w:vAlign w:val="center"/>
          </w:tcPr>
          <w:p w14:paraId="073C2DB8">
            <w:pPr>
              <w:pStyle w:val="6"/>
              <w:rPr>
                <w:rFonts w:hint="eastAsia"/>
                <w:color w:val="auto"/>
              </w:rPr>
            </w:pPr>
            <w:r>
              <w:rPr>
                <w:rFonts w:hint="eastAsia"/>
                <w:color w:val="auto"/>
              </w:rPr>
              <w:t>符合 GB/T 9254.2 的规定</w:t>
            </w:r>
          </w:p>
        </w:tc>
      </w:tr>
      <w:tr w14:paraId="2063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64854AF">
            <w:pPr>
              <w:pStyle w:val="6"/>
              <w:rPr>
                <w:rFonts w:hint="eastAsia"/>
                <w:color w:val="auto"/>
              </w:rPr>
            </w:pPr>
            <w:r>
              <w:rPr>
                <w:rFonts w:hint="eastAsia"/>
                <w:color w:val="auto"/>
              </w:rPr>
              <w:t>156</w:t>
            </w:r>
          </w:p>
        </w:tc>
        <w:tc>
          <w:tcPr>
            <w:tcW w:w="0" w:type="auto"/>
            <w:vMerge w:val="continue"/>
            <w:vAlign w:val="center"/>
          </w:tcPr>
          <w:p w14:paraId="017F0B02">
            <w:pPr>
              <w:pStyle w:val="6"/>
              <w:rPr>
                <w:color w:val="auto"/>
              </w:rPr>
            </w:pPr>
          </w:p>
        </w:tc>
        <w:tc>
          <w:tcPr>
            <w:tcW w:w="0" w:type="auto"/>
            <w:vAlign w:val="center"/>
          </w:tcPr>
          <w:p w14:paraId="7981AC10">
            <w:pPr>
              <w:pStyle w:val="6"/>
              <w:rPr>
                <w:rFonts w:hint="eastAsia"/>
                <w:color w:val="auto"/>
              </w:rPr>
            </w:pPr>
            <w:r>
              <w:rPr>
                <w:rFonts w:hint="eastAsia"/>
                <w:color w:val="auto"/>
              </w:rPr>
              <w:t>▲环境条件要求的气候环境适应性</w:t>
            </w:r>
          </w:p>
        </w:tc>
        <w:tc>
          <w:tcPr>
            <w:tcW w:w="0" w:type="auto"/>
            <w:vAlign w:val="center"/>
          </w:tcPr>
          <w:p w14:paraId="7A04BB0C">
            <w:pPr>
              <w:pStyle w:val="6"/>
              <w:rPr>
                <w:rFonts w:hint="eastAsia"/>
                <w:color w:val="auto"/>
              </w:rPr>
            </w:pPr>
            <w:r>
              <w:rPr>
                <w:rFonts w:hint="eastAsia"/>
                <w:color w:val="auto"/>
              </w:rPr>
              <w:t>符合 GB/T 9813.1 中规定</w:t>
            </w:r>
          </w:p>
        </w:tc>
      </w:tr>
      <w:tr w14:paraId="26D2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F30FF28">
            <w:pPr>
              <w:pStyle w:val="6"/>
              <w:rPr>
                <w:rFonts w:hint="eastAsia"/>
                <w:color w:val="auto"/>
              </w:rPr>
            </w:pPr>
            <w:r>
              <w:rPr>
                <w:rFonts w:hint="eastAsia"/>
                <w:color w:val="auto"/>
              </w:rPr>
              <w:t>157</w:t>
            </w:r>
          </w:p>
        </w:tc>
        <w:tc>
          <w:tcPr>
            <w:tcW w:w="0" w:type="auto"/>
            <w:vMerge w:val="continue"/>
            <w:vAlign w:val="center"/>
          </w:tcPr>
          <w:p w14:paraId="3E12B68E">
            <w:pPr>
              <w:pStyle w:val="6"/>
              <w:rPr>
                <w:color w:val="auto"/>
              </w:rPr>
            </w:pPr>
          </w:p>
        </w:tc>
        <w:tc>
          <w:tcPr>
            <w:tcW w:w="0" w:type="auto"/>
            <w:vAlign w:val="center"/>
          </w:tcPr>
          <w:p w14:paraId="75B4E35E">
            <w:pPr>
              <w:pStyle w:val="6"/>
              <w:rPr>
                <w:rFonts w:hint="eastAsia"/>
                <w:color w:val="auto"/>
              </w:rPr>
            </w:pPr>
            <w:r>
              <w:rPr>
                <w:rFonts w:hint="eastAsia"/>
                <w:color w:val="auto"/>
              </w:rPr>
              <w:t>▲环境条件要求的振动适应性</w:t>
            </w:r>
          </w:p>
        </w:tc>
        <w:tc>
          <w:tcPr>
            <w:tcW w:w="0" w:type="auto"/>
            <w:vAlign w:val="center"/>
          </w:tcPr>
          <w:p w14:paraId="7DE957EC">
            <w:pPr>
              <w:pStyle w:val="6"/>
              <w:rPr>
                <w:rFonts w:hint="eastAsia"/>
                <w:color w:val="auto"/>
              </w:rPr>
            </w:pPr>
            <w:r>
              <w:rPr>
                <w:rFonts w:hint="eastAsia"/>
                <w:color w:val="auto"/>
              </w:rPr>
              <w:t>符合 GB/T 9813.1 中规定</w:t>
            </w:r>
          </w:p>
        </w:tc>
      </w:tr>
      <w:tr w14:paraId="6303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23515B4">
            <w:pPr>
              <w:pStyle w:val="6"/>
              <w:rPr>
                <w:rFonts w:hint="eastAsia"/>
                <w:color w:val="auto"/>
              </w:rPr>
            </w:pPr>
            <w:r>
              <w:rPr>
                <w:rFonts w:hint="eastAsia"/>
                <w:color w:val="auto"/>
              </w:rPr>
              <w:t>158</w:t>
            </w:r>
          </w:p>
        </w:tc>
        <w:tc>
          <w:tcPr>
            <w:tcW w:w="0" w:type="auto"/>
            <w:vMerge w:val="continue"/>
            <w:vAlign w:val="center"/>
          </w:tcPr>
          <w:p w14:paraId="00B655D0">
            <w:pPr>
              <w:pStyle w:val="6"/>
              <w:rPr>
                <w:color w:val="auto"/>
              </w:rPr>
            </w:pPr>
          </w:p>
        </w:tc>
        <w:tc>
          <w:tcPr>
            <w:tcW w:w="0" w:type="auto"/>
            <w:vAlign w:val="center"/>
          </w:tcPr>
          <w:p w14:paraId="6FFD7B25">
            <w:pPr>
              <w:pStyle w:val="6"/>
              <w:rPr>
                <w:rFonts w:hint="eastAsia"/>
                <w:color w:val="auto"/>
              </w:rPr>
            </w:pPr>
            <w:r>
              <w:rPr>
                <w:rFonts w:hint="eastAsia"/>
                <w:color w:val="auto"/>
              </w:rPr>
              <w:t>▲环境条件要求的冲击适应性</w:t>
            </w:r>
          </w:p>
        </w:tc>
        <w:tc>
          <w:tcPr>
            <w:tcW w:w="0" w:type="auto"/>
            <w:vAlign w:val="center"/>
          </w:tcPr>
          <w:p w14:paraId="4D813956">
            <w:pPr>
              <w:pStyle w:val="6"/>
              <w:rPr>
                <w:rFonts w:hint="eastAsia"/>
                <w:color w:val="auto"/>
              </w:rPr>
            </w:pPr>
            <w:r>
              <w:rPr>
                <w:rFonts w:hint="eastAsia"/>
                <w:color w:val="auto"/>
              </w:rPr>
              <w:t>符合 GB/T 9813.1 中规定</w:t>
            </w:r>
          </w:p>
        </w:tc>
      </w:tr>
      <w:tr w14:paraId="3864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B8F61B7">
            <w:pPr>
              <w:pStyle w:val="6"/>
              <w:rPr>
                <w:rFonts w:hint="eastAsia"/>
                <w:color w:val="auto"/>
              </w:rPr>
            </w:pPr>
            <w:r>
              <w:rPr>
                <w:rFonts w:hint="eastAsia"/>
                <w:color w:val="auto"/>
              </w:rPr>
              <w:t>159</w:t>
            </w:r>
          </w:p>
        </w:tc>
        <w:tc>
          <w:tcPr>
            <w:tcW w:w="0" w:type="auto"/>
            <w:vMerge w:val="continue"/>
            <w:vAlign w:val="center"/>
          </w:tcPr>
          <w:p w14:paraId="3579508E">
            <w:pPr>
              <w:pStyle w:val="6"/>
              <w:rPr>
                <w:color w:val="auto"/>
              </w:rPr>
            </w:pPr>
          </w:p>
        </w:tc>
        <w:tc>
          <w:tcPr>
            <w:tcW w:w="0" w:type="auto"/>
            <w:vAlign w:val="center"/>
          </w:tcPr>
          <w:p w14:paraId="75C6222D">
            <w:pPr>
              <w:pStyle w:val="6"/>
              <w:rPr>
                <w:rFonts w:hint="eastAsia"/>
                <w:color w:val="auto"/>
              </w:rPr>
            </w:pPr>
            <w:r>
              <w:rPr>
                <w:rFonts w:hint="eastAsia"/>
                <w:color w:val="auto"/>
              </w:rPr>
              <w:t>▲环境条件要求的碰撞适应性</w:t>
            </w:r>
          </w:p>
        </w:tc>
        <w:tc>
          <w:tcPr>
            <w:tcW w:w="0" w:type="auto"/>
            <w:vAlign w:val="center"/>
          </w:tcPr>
          <w:p w14:paraId="66ECEF27">
            <w:pPr>
              <w:pStyle w:val="6"/>
              <w:rPr>
                <w:rFonts w:hint="eastAsia"/>
                <w:color w:val="auto"/>
              </w:rPr>
            </w:pPr>
            <w:r>
              <w:rPr>
                <w:rFonts w:hint="eastAsia"/>
                <w:color w:val="auto"/>
              </w:rPr>
              <w:t>符合 GB/T 9813.1 中规定</w:t>
            </w:r>
          </w:p>
        </w:tc>
      </w:tr>
      <w:tr w14:paraId="561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4BFD23">
            <w:pPr>
              <w:pStyle w:val="6"/>
              <w:rPr>
                <w:rFonts w:hint="eastAsia"/>
                <w:color w:val="auto"/>
              </w:rPr>
            </w:pPr>
            <w:r>
              <w:rPr>
                <w:rFonts w:hint="eastAsia"/>
                <w:color w:val="auto"/>
              </w:rPr>
              <w:t>160</w:t>
            </w:r>
          </w:p>
        </w:tc>
        <w:tc>
          <w:tcPr>
            <w:tcW w:w="0" w:type="auto"/>
            <w:vMerge w:val="continue"/>
            <w:vAlign w:val="center"/>
          </w:tcPr>
          <w:p w14:paraId="6D57834C">
            <w:pPr>
              <w:pStyle w:val="6"/>
              <w:rPr>
                <w:color w:val="auto"/>
              </w:rPr>
            </w:pPr>
          </w:p>
        </w:tc>
        <w:tc>
          <w:tcPr>
            <w:tcW w:w="0" w:type="auto"/>
            <w:vAlign w:val="center"/>
          </w:tcPr>
          <w:p w14:paraId="5D8DD086">
            <w:pPr>
              <w:pStyle w:val="6"/>
              <w:rPr>
                <w:rFonts w:hint="eastAsia"/>
                <w:color w:val="auto"/>
              </w:rPr>
            </w:pPr>
            <w:r>
              <w:rPr>
                <w:rFonts w:hint="eastAsia"/>
                <w:color w:val="auto"/>
              </w:rPr>
              <w:t>▲环境条件要求的运输包装件跌落适应性</w:t>
            </w:r>
          </w:p>
        </w:tc>
        <w:tc>
          <w:tcPr>
            <w:tcW w:w="0" w:type="auto"/>
            <w:vAlign w:val="center"/>
          </w:tcPr>
          <w:p w14:paraId="3232A9EC">
            <w:pPr>
              <w:pStyle w:val="6"/>
              <w:rPr>
                <w:rFonts w:hint="eastAsia"/>
                <w:color w:val="auto"/>
              </w:rPr>
            </w:pPr>
            <w:r>
              <w:rPr>
                <w:rFonts w:hint="eastAsia"/>
                <w:color w:val="auto"/>
              </w:rPr>
              <w:t>符合 GB/T 9813.1 中规定</w:t>
            </w:r>
          </w:p>
        </w:tc>
      </w:tr>
      <w:tr w14:paraId="6FC0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38F8A60">
            <w:pPr>
              <w:pStyle w:val="6"/>
              <w:rPr>
                <w:rFonts w:hint="eastAsia"/>
                <w:color w:val="auto"/>
              </w:rPr>
            </w:pPr>
            <w:r>
              <w:rPr>
                <w:rFonts w:hint="eastAsia"/>
                <w:color w:val="auto"/>
              </w:rPr>
              <w:t>161</w:t>
            </w:r>
          </w:p>
        </w:tc>
        <w:tc>
          <w:tcPr>
            <w:tcW w:w="0" w:type="auto"/>
            <w:vMerge w:val="continue"/>
            <w:vAlign w:val="center"/>
          </w:tcPr>
          <w:p w14:paraId="4C11FE22">
            <w:pPr>
              <w:pStyle w:val="6"/>
              <w:rPr>
                <w:color w:val="auto"/>
              </w:rPr>
            </w:pPr>
          </w:p>
        </w:tc>
        <w:tc>
          <w:tcPr>
            <w:tcW w:w="0" w:type="auto"/>
            <w:vAlign w:val="center"/>
          </w:tcPr>
          <w:p w14:paraId="2AA6AC5A">
            <w:pPr>
              <w:pStyle w:val="6"/>
              <w:rPr>
                <w:rFonts w:hint="eastAsia"/>
                <w:color w:val="auto"/>
              </w:rPr>
            </w:pPr>
            <w:r>
              <w:rPr>
                <w:rFonts w:hint="eastAsia"/>
                <w:color w:val="auto"/>
              </w:rPr>
              <w:t>▲MTBF 测试</w:t>
            </w:r>
          </w:p>
        </w:tc>
        <w:tc>
          <w:tcPr>
            <w:tcW w:w="0" w:type="auto"/>
            <w:vAlign w:val="center"/>
          </w:tcPr>
          <w:p w14:paraId="697ED24A">
            <w:pPr>
              <w:pStyle w:val="6"/>
              <w:rPr>
                <w:rFonts w:hint="eastAsia"/>
                <w:color w:val="auto"/>
              </w:rPr>
            </w:pPr>
            <w:r>
              <w:rPr>
                <w:rFonts w:hint="eastAsia"/>
                <w:color w:val="auto"/>
              </w:rPr>
              <w:t>MTBF(m1)≥3 万小时</w:t>
            </w:r>
          </w:p>
        </w:tc>
      </w:tr>
      <w:tr w14:paraId="73D4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BC7975">
            <w:pPr>
              <w:pStyle w:val="6"/>
              <w:rPr>
                <w:rFonts w:hint="eastAsia"/>
                <w:color w:val="auto"/>
              </w:rPr>
            </w:pPr>
            <w:r>
              <w:rPr>
                <w:rFonts w:hint="eastAsia"/>
                <w:color w:val="auto"/>
              </w:rPr>
              <w:t>162</w:t>
            </w:r>
          </w:p>
        </w:tc>
        <w:tc>
          <w:tcPr>
            <w:tcW w:w="0" w:type="auto"/>
            <w:vMerge w:val="restart"/>
            <w:vAlign w:val="center"/>
          </w:tcPr>
          <w:p w14:paraId="63031CAE">
            <w:pPr>
              <w:pStyle w:val="6"/>
              <w:rPr>
                <w:rFonts w:hint="eastAsia"/>
                <w:color w:val="auto"/>
              </w:rPr>
            </w:pPr>
            <w:r>
              <w:rPr>
                <w:rFonts w:hint="eastAsia"/>
                <w:color w:val="auto"/>
              </w:rPr>
              <w:t>▲兼容要求</w:t>
            </w:r>
          </w:p>
        </w:tc>
        <w:tc>
          <w:tcPr>
            <w:tcW w:w="0" w:type="auto"/>
            <w:vAlign w:val="center"/>
          </w:tcPr>
          <w:p w14:paraId="4A5B3E97">
            <w:pPr>
              <w:pStyle w:val="6"/>
              <w:rPr>
                <w:rFonts w:hint="eastAsia"/>
                <w:color w:val="auto"/>
              </w:rPr>
            </w:pPr>
            <w:r>
              <w:rPr>
                <w:rFonts w:hint="eastAsia"/>
                <w:color w:val="auto"/>
              </w:rPr>
              <w:t>▲常用软件兼容</w:t>
            </w:r>
          </w:p>
        </w:tc>
        <w:tc>
          <w:tcPr>
            <w:tcW w:w="0" w:type="auto"/>
            <w:vAlign w:val="center"/>
          </w:tcPr>
          <w:p w14:paraId="7A814F9E">
            <w:pPr>
              <w:pStyle w:val="6"/>
              <w:rPr>
                <w:rFonts w:hint="eastAsia"/>
                <w:color w:val="auto"/>
              </w:rPr>
            </w:pPr>
            <w:r>
              <w:rPr>
                <w:rFonts w:hint="eastAsia"/>
                <w:color w:val="auto"/>
              </w:rPr>
              <w:t>支持流式软件、版式软件、浏览器、邮件采购人端、解压软件、多媒体、图形图像处理等常用软件</w:t>
            </w:r>
          </w:p>
        </w:tc>
      </w:tr>
      <w:tr w14:paraId="5DAD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E60A7F2">
            <w:pPr>
              <w:pStyle w:val="6"/>
              <w:rPr>
                <w:rFonts w:hint="eastAsia"/>
                <w:color w:val="auto"/>
              </w:rPr>
            </w:pPr>
            <w:r>
              <w:rPr>
                <w:rFonts w:hint="eastAsia"/>
                <w:color w:val="auto"/>
              </w:rPr>
              <w:t>163</w:t>
            </w:r>
          </w:p>
        </w:tc>
        <w:tc>
          <w:tcPr>
            <w:tcW w:w="0" w:type="auto"/>
            <w:vMerge w:val="continue"/>
            <w:vAlign w:val="center"/>
          </w:tcPr>
          <w:p w14:paraId="2776A206">
            <w:pPr>
              <w:pStyle w:val="6"/>
              <w:rPr>
                <w:color w:val="auto"/>
              </w:rPr>
            </w:pPr>
          </w:p>
        </w:tc>
        <w:tc>
          <w:tcPr>
            <w:tcW w:w="0" w:type="auto"/>
            <w:vAlign w:val="center"/>
          </w:tcPr>
          <w:p w14:paraId="008CF27E">
            <w:pPr>
              <w:pStyle w:val="6"/>
              <w:rPr>
                <w:rFonts w:hint="eastAsia"/>
                <w:color w:val="auto"/>
              </w:rPr>
            </w:pPr>
            <w:r>
              <w:rPr>
                <w:rFonts w:hint="eastAsia"/>
                <w:color w:val="auto"/>
              </w:rPr>
              <w:t>▲数据库兼容</w:t>
            </w:r>
          </w:p>
        </w:tc>
        <w:tc>
          <w:tcPr>
            <w:tcW w:w="0" w:type="auto"/>
            <w:vAlign w:val="center"/>
          </w:tcPr>
          <w:p w14:paraId="62F7F44A">
            <w:pPr>
              <w:pStyle w:val="6"/>
              <w:rPr>
                <w:rFonts w:hint="eastAsia"/>
                <w:color w:val="auto"/>
              </w:rPr>
            </w:pPr>
            <w:r>
              <w:rPr>
                <w:rFonts w:hint="eastAsia"/>
                <w:color w:val="auto"/>
              </w:rPr>
              <w:t>兼容 3 个及以上厂商的数据库产品</w:t>
            </w:r>
          </w:p>
        </w:tc>
      </w:tr>
      <w:tr w14:paraId="0719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71FF469">
            <w:pPr>
              <w:pStyle w:val="6"/>
              <w:rPr>
                <w:rFonts w:hint="eastAsia"/>
                <w:color w:val="auto"/>
              </w:rPr>
            </w:pPr>
            <w:r>
              <w:rPr>
                <w:rFonts w:hint="eastAsia"/>
                <w:color w:val="auto"/>
              </w:rPr>
              <w:t>164</w:t>
            </w:r>
          </w:p>
        </w:tc>
        <w:tc>
          <w:tcPr>
            <w:tcW w:w="0" w:type="auto"/>
            <w:vMerge w:val="continue"/>
            <w:vAlign w:val="center"/>
          </w:tcPr>
          <w:p w14:paraId="614B9990">
            <w:pPr>
              <w:pStyle w:val="6"/>
              <w:rPr>
                <w:color w:val="auto"/>
              </w:rPr>
            </w:pPr>
          </w:p>
        </w:tc>
        <w:tc>
          <w:tcPr>
            <w:tcW w:w="0" w:type="auto"/>
            <w:vAlign w:val="center"/>
          </w:tcPr>
          <w:p w14:paraId="310FD9E9">
            <w:pPr>
              <w:pStyle w:val="6"/>
              <w:rPr>
                <w:rFonts w:hint="eastAsia"/>
                <w:color w:val="auto"/>
              </w:rPr>
            </w:pPr>
            <w:r>
              <w:rPr>
                <w:rFonts w:hint="eastAsia"/>
                <w:color w:val="auto"/>
              </w:rPr>
              <w:t>▲中间件兼容</w:t>
            </w:r>
          </w:p>
        </w:tc>
        <w:tc>
          <w:tcPr>
            <w:tcW w:w="0" w:type="auto"/>
            <w:vAlign w:val="center"/>
          </w:tcPr>
          <w:p w14:paraId="1F0A4494">
            <w:pPr>
              <w:pStyle w:val="6"/>
              <w:rPr>
                <w:rFonts w:hint="eastAsia"/>
                <w:color w:val="auto"/>
              </w:rPr>
            </w:pPr>
            <w:r>
              <w:rPr>
                <w:rFonts w:hint="eastAsia"/>
                <w:color w:val="auto"/>
              </w:rPr>
              <w:t>兼容 3 个及以上厂商中间件产品</w:t>
            </w:r>
          </w:p>
        </w:tc>
      </w:tr>
      <w:tr w14:paraId="06D0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69BD17">
            <w:pPr>
              <w:pStyle w:val="6"/>
              <w:rPr>
                <w:rFonts w:hint="eastAsia"/>
                <w:color w:val="auto"/>
              </w:rPr>
            </w:pPr>
            <w:r>
              <w:rPr>
                <w:rFonts w:hint="eastAsia"/>
                <w:color w:val="auto"/>
              </w:rPr>
              <w:t>165</w:t>
            </w:r>
          </w:p>
        </w:tc>
        <w:tc>
          <w:tcPr>
            <w:tcW w:w="0" w:type="auto"/>
            <w:vMerge w:val="continue"/>
            <w:vAlign w:val="center"/>
          </w:tcPr>
          <w:p w14:paraId="58F3D699">
            <w:pPr>
              <w:pStyle w:val="6"/>
              <w:rPr>
                <w:color w:val="auto"/>
              </w:rPr>
            </w:pPr>
          </w:p>
        </w:tc>
        <w:tc>
          <w:tcPr>
            <w:tcW w:w="0" w:type="auto"/>
            <w:vAlign w:val="center"/>
          </w:tcPr>
          <w:p w14:paraId="752E130D">
            <w:pPr>
              <w:pStyle w:val="6"/>
              <w:rPr>
                <w:rFonts w:hint="eastAsia"/>
                <w:color w:val="auto"/>
              </w:rPr>
            </w:pPr>
            <w:r>
              <w:rPr>
                <w:rFonts w:hint="eastAsia"/>
                <w:color w:val="auto"/>
              </w:rPr>
              <w:t>▲平台软件兼容</w:t>
            </w:r>
          </w:p>
        </w:tc>
        <w:tc>
          <w:tcPr>
            <w:tcW w:w="0" w:type="auto"/>
            <w:vAlign w:val="center"/>
          </w:tcPr>
          <w:p w14:paraId="771E9B83">
            <w:pPr>
              <w:pStyle w:val="6"/>
              <w:rPr>
                <w:rFonts w:hint="eastAsia"/>
                <w:color w:val="auto"/>
              </w:rPr>
            </w:pPr>
            <w:r>
              <w:rPr>
                <w:rFonts w:hint="eastAsia"/>
                <w:color w:val="auto"/>
              </w:rPr>
              <w:t>兼容 3 个及以上厂商云计算及大数据平台</w:t>
            </w:r>
          </w:p>
        </w:tc>
      </w:tr>
      <w:tr w14:paraId="6171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5F6D210">
            <w:pPr>
              <w:pStyle w:val="6"/>
              <w:rPr>
                <w:rFonts w:hint="eastAsia"/>
                <w:color w:val="auto"/>
              </w:rPr>
            </w:pPr>
            <w:r>
              <w:rPr>
                <w:rFonts w:hint="eastAsia"/>
                <w:color w:val="auto"/>
              </w:rPr>
              <w:t>166</w:t>
            </w:r>
          </w:p>
        </w:tc>
        <w:tc>
          <w:tcPr>
            <w:tcW w:w="0" w:type="auto"/>
            <w:vAlign w:val="center"/>
          </w:tcPr>
          <w:p w14:paraId="3E9A053B">
            <w:pPr>
              <w:pStyle w:val="6"/>
              <w:rPr>
                <w:rFonts w:hint="eastAsia"/>
                <w:color w:val="auto"/>
              </w:rPr>
            </w:pPr>
            <w:r>
              <w:rPr>
                <w:rFonts w:hint="eastAsia"/>
                <w:color w:val="auto"/>
              </w:rPr>
              <w:t>▲包装及运输要求</w:t>
            </w:r>
          </w:p>
        </w:tc>
        <w:tc>
          <w:tcPr>
            <w:tcW w:w="0" w:type="auto"/>
            <w:vAlign w:val="center"/>
          </w:tcPr>
          <w:p w14:paraId="5BF569CE">
            <w:pPr>
              <w:pStyle w:val="6"/>
              <w:rPr>
                <w:rFonts w:hint="eastAsia"/>
                <w:color w:val="auto"/>
              </w:rPr>
            </w:pPr>
            <w:r>
              <w:rPr>
                <w:rFonts w:hint="eastAsia"/>
                <w:color w:val="auto"/>
              </w:rPr>
              <w:t>▲标志、包装、运输和贮存</w:t>
            </w:r>
          </w:p>
        </w:tc>
        <w:tc>
          <w:tcPr>
            <w:tcW w:w="0" w:type="auto"/>
            <w:vAlign w:val="center"/>
          </w:tcPr>
          <w:p w14:paraId="15696E1F">
            <w:pPr>
              <w:pStyle w:val="6"/>
              <w:rPr>
                <w:rFonts w:hint="eastAsia"/>
                <w:color w:val="auto"/>
              </w:rPr>
            </w:pPr>
            <w:r>
              <w:rPr>
                <w:rFonts w:hint="eastAsia"/>
                <w:color w:val="auto"/>
              </w:rPr>
              <w:t>符合 GB/T 9813.1 和商品包装政府采购需求标准的相关规定</w:t>
            </w:r>
          </w:p>
        </w:tc>
      </w:tr>
      <w:tr w14:paraId="3ABC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8A8D096">
            <w:pPr>
              <w:pStyle w:val="6"/>
              <w:rPr>
                <w:rFonts w:hint="eastAsia"/>
                <w:color w:val="auto"/>
              </w:rPr>
            </w:pPr>
            <w:r>
              <w:rPr>
                <w:rFonts w:hint="eastAsia"/>
                <w:color w:val="auto"/>
              </w:rPr>
              <w:t>167</w:t>
            </w:r>
          </w:p>
        </w:tc>
        <w:tc>
          <w:tcPr>
            <w:tcW w:w="0" w:type="auto"/>
            <w:vMerge w:val="restart"/>
            <w:vAlign w:val="center"/>
          </w:tcPr>
          <w:p w14:paraId="010A33A1">
            <w:pPr>
              <w:pStyle w:val="6"/>
              <w:rPr>
                <w:rFonts w:hint="eastAsia"/>
                <w:color w:val="auto"/>
              </w:rPr>
            </w:pPr>
            <w:r>
              <w:rPr>
                <w:rFonts w:hint="eastAsia"/>
                <w:color w:val="auto"/>
              </w:rPr>
              <w:t>▲服务要求</w:t>
            </w:r>
          </w:p>
        </w:tc>
        <w:tc>
          <w:tcPr>
            <w:tcW w:w="0" w:type="auto"/>
            <w:vAlign w:val="center"/>
          </w:tcPr>
          <w:p w14:paraId="2941337C">
            <w:pPr>
              <w:pStyle w:val="6"/>
              <w:rPr>
                <w:rFonts w:hint="eastAsia"/>
                <w:color w:val="auto"/>
              </w:rPr>
            </w:pPr>
            <w:r>
              <w:rPr>
                <w:rFonts w:hint="eastAsia"/>
                <w:color w:val="auto"/>
              </w:rPr>
              <w:t>▲配置检查工具</w:t>
            </w:r>
          </w:p>
        </w:tc>
        <w:tc>
          <w:tcPr>
            <w:tcW w:w="0" w:type="auto"/>
            <w:vAlign w:val="center"/>
          </w:tcPr>
          <w:p w14:paraId="2ABE1D2A">
            <w:pPr>
              <w:pStyle w:val="6"/>
              <w:rPr>
                <w:rFonts w:hint="eastAsia"/>
                <w:color w:val="auto"/>
              </w:rPr>
            </w:pPr>
            <w:r>
              <w:rPr>
                <w:rFonts w:hint="eastAsia"/>
                <w:color w:val="auto"/>
              </w:rPr>
              <w:t>供应商提供自检测试工具</w:t>
            </w:r>
          </w:p>
        </w:tc>
      </w:tr>
      <w:tr w14:paraId="175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D96CEC">
            <w:pPr>
              <w:pStyle w:val="6"/>
              <w:rPr>
                <w:rFonts w:hint="eastAsia"/>
                <w:color w:val="auto"/>
              </w:rPr>
            </w:pPr>
            <w:r>
              <w:rPr>
                <w:rFonts w:hint="eastAsia"/>
                <w:color w:val="auto"/>
              </w:rPr>
              <w:t>168</w:t>
            </w:r>
          </w:p>
        </w:tc>
        <w:tc>
          <w:tcPr>
            <w:tcW w:w="0" w:type="auto"/>
            <w:vMerge w:val="continue"/>
            <w:vAlign w:val="center"/>
          </w:tcPr>
          <w:p w14:paraId="6FF6BF17">
            <w:pPr>
              <w:pStyle w:val="6"/>
              <w:rPr>
                <w:color w:val="auto"/>
              </w:rPr>
            </w:pPr>
          </w:p>
        </w:tc>
        <w:tc>
          <w:tcPr>
            <w:tcW w:w="0" w:type="auto"/>
            <w:vAlign w:val="center"/>
          </w:tcPr>
          <w:p w14:paraId="740C6AC0">
            <w:pPr>
              <w:pStyle w:val="6"/>
              <w:rPr>
                <w:rFonts w:hint="eastAsia"/>
                <w:color w:val="auto"/>
              </w:rPr>
            </w:pPr>
            <w:r>
              <w:rPr>
                <w:rFonts w:hint="eastAsia"/>
                <w:color w:val="auto"/>
              </w:rPr>
              <w:t>▲服务响应</w:t>
            </w:r>
          </w:p>
        </w:tc>
        <w:tc>
          <w:tcPr>
            <w:tcW w:w="0" w:type="auto"/>
            <w:vAlign w:val="center"/>
          </w:tcPr>
          <w:p w14:paraId="5CEA6736">
            <w:pPr>
              <w:pStyle w:val="6"/>
              <w:rPr>
                <w:rFonts w:hint="eastAsia"/>
                <w:color w:val="auto"/>
              </w:rPr>
            </w:pPr>
            <w:r>
              <w:rPr>
                <w:rFonts w:hint="eastAsia"/>
                <w:color w:val="auto"/>
              </w:rPr>
              <w:t>a)供应商提供电话、电子邮件、远程连接等多种形式服务；</w:t>
            </w:r>
            <w:r>
              <w:rPr>
                <w:rFonts w:hint="eastAsia"/>
                <w:color w:val="auto"/>
              </w:rPr>
              <w:br w:type="textWrapping"/>
            </w:r>
            <w:r>
              <w:rPr>
                <w:rFonts w:hint="eastAsia"/>
                <w:color w:val="auto"/>
              </w:rPr>
              <w:t>b)供应商提供同城 4h、异地 12h 技术响应服务，2 个工作日解决问题，对于未能解决的问题和故障应提供可行的升级方案，并提供周转设备或更换设备；</w:t>
            </w:r>
            <w:r>
              <w:rPr>
                <w:rFonts w:hint="eastAsia"/>
                <w:color w:val="auto"/>
              </w:rPr>
              <w:br w:type="textWrapping"/>
            </w:r>
            <w:r>
              <w:rPr>
                <w:rFonts w:hint="eastAsia"/>
                <w:color w:val="auto"/>
              </w:rPr>
              <w:t>c)建立全国技术服务体系和服务团体，符合专业服务体系标准要求，提供原厂中文服务；</w:t>
            </w:r>
            <w:r>
              <w:rPr>
                <w:rFonts w:hint="eastAsia"/>
                <w:color w:val="auto"/>
              </w:rPr>
              <w:br w:type="textWrapping"/>
            </w:r>
            <w:r>
              <w:rPr>
                <w:rFonts w:hint="eastAsia"/>
                <w:color w:val="auto"/>
              </w:rPr>
              <w:t>d)服务周期内提供产品的维修、换件和升级服务</w:t>
            </w:r>
          </w:p>
        </w:tc>
      </w:tr>
      <w:tr w14:paraId="3E41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99424B5">
            <w:pPr>
              <w:pStyle w:val="6"/>
              <w:rPr>
                <w:rFonts w:hint="eastAsia"/>
                <w:color w:val="auto"/>
              </w:rPr>
            </w:pPr>
            <w:r>
              <w:rPr>
                <w:rFonts w:hint="eastAsia"/>
                <w:color w:val="auto"/>
              </w:rPr>
              <w:t>169</w:t>
            </w:r>
          </w:p>
        </w:tc>
        <w:tc>
          <w:tcPr>
            <w:tcW w:w="0" w:type="auto"/>
            <w:vMerge w:val="continue"/>
            <w:vAlign w:val="center"/>
          </w:tcPr>
          <w:p w14:paraId="41CB3D82">
            <w:pPr>
              <w:pStyle w:val="6"/>
              <w:rPr>
                <w:color w:val="auto"/>
              </w:rPr>
            </w:pPr>
          </w:p>
        </w:tc>
        <w:tc>
          <w:tcPr>
            <w:tcW w:w="0" w:type="auto"/>
            <w:vAlign w:val="center"/>
          </w:tcPr>
          <w:p w14:paraId="778D87BF">
            <w:pPr>
              <w:pStyle w:val="6"/>
              <w:rPr>
                <w:rFonts w:hint="eastAsia"/>
                <w:color w:val="auto"/>
              </w:rPr>
            </w:pPr>
            <w:r>
              <w:rPr>
                <w:rFonts w:hint="eastAsia"/>
                <w:color w:val="auto"/>
              </w:rPr>
              <w:t>▲服务周期</w:t>
            </w:r>
          </w:p>
        </w:tc>
        <w:tc>
          <w:tcPr>
            <w:tcW w:w="0" w:type="auto"/>
            <w:vAlign w:val="center"/>
          </w:tcPr>
          <w:p w14:paraId="2E628B38">
            <w:pPr>
              <w:pStyle w:val="6"/>
              <w:rPr>
                <w:rFonts w:hint="eastAsia"/>
                <w:color w:val="auto"/>
              </w:rPr>
            </w:pPr>
            <w:r>
              <w:rPr>
                <w:rFonts w:hint="eastAsia"/>
                <w:color w:val="auto"/>
              </w:rPr>
              <w:t>a) 设备停产后应继续提供质量保障服务（含备品备件），服务终止时间与最后一批设备交付时间间隔不低于6 年；</w:t>
            </w:r>
            <w:r>
              <w:rPr>
                <w:rFonts w:hint="eastAsia"/>
                <w:color w:val="auto"/>
              </w:rPr>
              <w:br w:type="textWrapping"/>
            </w:r>
            <w:r>
              <w:rPr>
                <w:rFonts w:hint="eastAsia"/>
                <w:color w:val="auto"/>
              </w:rPr>
              <w:t>b) 产品停止服务时间应提前 1 年告知；</w:t>
            </w:r>
            <w:r>
              <w:rPr>
                <w:rFonts w:hint="eastAsia"/>
                <w:color w:val="auto"/>
              </w:rPr>
              <w:br w:type="textWrapping"/>
            </w:r>
            <w:r>
              <w:rPr>
                <w:rFonts w:hint="eastAsia"/>
                <w:color w:val="auto"/>
              </w:rPr>
              <w:t>c) 应明确产品发布日期</w:t>
            </w:r>
          </w:p>
        </w:tc>
      </w:tr>
      <w:tr w14:paraId="4826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11CD00B">
            <w:pPr>
              <w:pStyle w:val="6"/>
              <w:rPr>
                <w:rFonts w:hint="eastAsia"/>
                <w:color w:val="auto"/>
              </w:rPr>
            </w:pPr>
            <w:r>
              <w:rPr>
                <w:rFonts w:hint="eastAsia"/>
                <w:color w:val="auto"/>
              </w:rPr>
              <w:t>170</w:t>
            </w:r>
          </w:p>
        </w:tc>
        <w:tc>
          <w:tcPr>
            <w:tcW w:w="0" w:type="auto"/>
            <w:vMerge w:val="continue"/>
            <w:vAlign w:val="center"/>
          </w:tcPr>
          <w:p w14:paraId="380B6F56">
            <w:pPr>
              <w:pStyle w:val="6"/>
              <w:rPr>
                <w:color w:val="auto"/>
              </w:rPr>
            </w:pPr>
          </w:p>
        </w:tc>
        <w:tc>
          <w:tcPr>
            <w:tcW w:w="0" w:type="auto"/>
            <w:vAlign w:val="center"/>
          </w:tcPr>
          <w:p w14:paraId="22B5DEA5">
            <w:pPr>
              <w:pStyle w:val="6"/>
              <w:rPr>
                <w:rFonts w:hint="eastAsia"/>
                <w:color w:val="auto"/>
              </w:rPr>
            </w:pPr>
            <w:r>
              <w:rPr>
                <w:rFonts w:hint="eastAsia"/>
                <w:color w:val="auto"/>
              </w:rPr>
              <w:t>▲预装操作系统</w:t>
            </w:r>
          </w:p>
        </w:tc>
        <w:tc>
          <w:tcPr>
            <w:tcW w:w="0" w:type="auto"/>
            <w:vAlign w:val="center"/>
          </w:tcPr>
          <w:p w14:paraId="6957CF80">
            <w:pPr>
              <w:pStyle w:val="6"/>
              <w:rPr>
                <w:rFonts w:hint="eastAsia"/>
                <w:color w:val="auto"/>
              </w:rPr>
            </w:pPr>
            <w:r>
              <w:rPr>
                <w:rFonts w:hint="eastAsia"/>
                <w:color w:val="auto"/>
              </w:rPr>
              <w:t>预装符合桌面操作系统政府采购需求标准的正版操作系统</w:t>
            </w:r>
          </w:p>
        </w:tc>
      </w:tr>
      <w:tr w14:paraId="79BC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98980E1">
            <w:pPr>
              <w:pStyle w:val="6"/>
              <w:rPr>
                <w:rFonts w:hint="eastAsia"/>
                <w:color w:val="auto"/>
              </w:rPr>
            </w:pPr>
            <w:r>
              <w:rPr>
                <w:rFonts w:hint="eastAsia"/>
                <w:color w:val="auto"/>
              </w:rPr>
              <w:t>171</w:t>
            </w:r>
          </w:p>
        </w:tc>
        <w:tc>
          <w:tcPr>
            <w:tcW w:w="0" w:type="auto"/>
            <w:vMerge w:val="continue"/>
            <w:vAlign w:val="center"/>
          </w:tcPr>
          <w:p w14:paraId="13664526">
            <w:pPr>
              <w:pStyle w:val="6"/>
              <w:rPr>
                <w:color w:val="auto"/>
              </w:rPr>
            </w:pPr>
          </w:p>
        </w:tc>
        <w:tc>
          <w:tcPr>
            <w:tcW w:w="0" w:type="auto"/>
            <w:vAlign w:val="center"/>
          </w:tcPr>
          <w:p w14:paraId="774EC5AF">
            <w:pPr>
              <w:pStyle w:val="6"/>
              <w:rPr>
                <w:rFonts w:hint="eastAsia"/>
                <w:color w:val="auto"/>
              </w:rPr>
            </w:pPr>
            <w:r>
              <w:rPr>
                <w:rFonts w:hint="eastAsia"/>
                <w:color w:val="auto"/>
              </w:rPr>
              <w:t>▲培训服务</w:t>
            </w:r>
          </w:p>
        </w:tc>
        <w:tc>
          <w:tcPr>
            <w:tcW w:w="0" w:type="auto"/>
            <w:vAlign w:val="center"/>
          </w:tcPr>
          <w:p w14:paraId="608CFB00">
            <w:pPr>
              <w:pStyle w:val="6"/>
              <w:rPr>
                <w:rFonts w:hint="eastAsia"/>
                <w:color w:val="auto"/>
              </w:rPr>
            </w:pPr>
            <w:r>
              <w:rPr>
                <w:rFonts w:hint="eastAsia"/>
                <w:color w:val="auto"/>
              </w:rPr>
              <w:t>供应商提供培训材料、产品手册、培训视频等培训相关内容</w:t>
            </w:r>
          </w:p>
        </w:tc>
      </w:tr>
      <w:tr w14:paraId="3AAB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325C9966">
            <w:pPr>
              <w:pStyle w:val="6"/>
              <w:rPr>
                <w:rFonts w:hint="eastAsia"/>
                <w:color w:val="auto"/>
              </w:rPr>
            </w:pPr>
            <w:r>
              <w:rPr>
                <w:rFonts w:hint="eastAsia"/>
                <w:color w:val="auto"/>
              </w:rPr>
              <w:t>172</w:t>
            </w:r>
          </w:p>
        </w:tc>
        <w:tc>
          <w:tcPr>
            <w:tcW w:w="0" w:type="auto"/>
            <w:vMerge w:val="continue"/>
            <w:vAlign w:val="center"/>
          </w:tcPr>
          <w:p w14:paraId="3EDEB5EC">
            <w:pPr>
              <w:pStyle w:val="6"/>
              <w:rPr>
                <w:color w:val="auto"/>
              </w:rPr>
            </w:pPr>
          </w:p>
        </w:tc>
        <w:tc>
          <w:tcPr>
            <w:tcW w:w="0" w:type="auto"/>
            <w:vAlign w:val="center"/>
          </w:tcPr>
          <w:p w14:paraId="5FFACBC6">
            <w:pPr>
              <w:pStyle w:val="6"/>
              <w:rPr>
                <w:rFonts w:hint="eastAsia"/>
                <w:color w:val="auto"/>
              </w:rPr>
            </w:pPr>
            <w:r>
              <w:rPr>
                <w:rFonts w:hint="eastAsia"/>
                <w:color w:val="auto"/>
              </w:rPr>
              <w:t>▲典型问题解决手册</w:t>
            </w:r>
          </w:p>
        </w:tc>
        <w:tc>
          <w:tcPr>
            <w:tcW w:w="0" w:type="auto"/>
            <w:vAlign w:val="center"/>
          </w:tcPr>
          <w:p w14:paraId="79329639">
            <w:pPr>
              <w:pStyle w:val="6"/>
              <w:rPr>
                <w:rFonts w:hint="eastAsia"/>
                <w:color w:val="auto"/>
              </w:rPr>
            </w:pPr>
            <w:r>
              <w:rPr>
                <w:rFonts w:hint="eastAsia"/>
                <w:color w:val="auto"/>
              </w:rPr>
              <w:t>供应商提供典型问题解决说明文档或视频</w:t>
            </w:r>
          </w:p>
        </w:tc>
      </w:tr>
      <w:tr w14:paraId="2061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4F46E8C">
            <w:pPr>
              <w:pStyle w:val="6"/>
              <w:rPr>
                <w:rFonts w:hint="eastAsia"/>
                <w:color w:val="auto"/>
              </w:rPr>
            </w:pPr>
            <w:r>
              <w:rPr>
                <w:rFonts w:hint="eastAsia"/>
                <w:color w:val="auto"/>
              </w:rPr>
              <w:t>173</w:t>
            </w:r>
          </w:p>
        </w:tc>
        <w:tc>
          <w:tcPr>
            <w:tcW w:w="0" w:type="auto"/>
            <w:vMerge w:val="continue"/>
            <w:vAlign w:val="center"/>
          </w:tcPr>
          <w:p w14:paraId="5A808578">
            <w:pPr>
              <w:pStyle w:val="6"/>
              <w:rPr>
                <w:color w:val="auto"/>
              </w:rPr>
            </w:pPr>
          </w:p>
        </w:tc>
        <w:tc>
          <w:tcPr>
            <w:tcW w:w="0" w:type="auto"/>
            <w:vAlign w:val="center"/>
          </w:tcPr>
          <w:p w14:paraId="33A21BB0">
            <w:pPr>
              <w:pStyle w:val="6"/>
              <w:rPr>
                <w:rFonts w:hint="eastAsia"/>
                <w:color w:val="auto"/>
              </w:rPr>
            </w:pPr>
            <w:r>
              <w:rPr>
                <w:rFonts w:hint="eastAsia"/>
                <w:color w:val="auto"/>
              </w:rPr>
              <w:t>▲厂家升级软件与扩容服务</w:t>
            </w:r>
          </w:p>
        </w:tc>
        <w:tc>
          <w:tcPr>
            <w:tcW w:w="0" w:type="auto"/>
            <w:vAlign w:val="center"/>
          </w:tcPr>
          <w:p w14:paraId="7F9B9AD3">
            <w:pPr>
              <w:pStyle w:val="6"/>
              <w:rPr>
                <w:rFonts w:hint="eastAsia"/>
                <w:color w:val="auto"/>
              </w:rPr>
            </w:pPr>
            <w:r>
              <w:rPr>
                <w:rFonts w:hint="eastAsia"/>
                <w:color w:val="auto"/>
              </w:rPr>
              <w:t>供应商提供上门升级部件/软件与扩容的增值服务</w:t>
            </w:r>
          </w:p>
        </w:tc>
      </w:tr>
      <w:tr w14:paraId="7FEC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232BF7D">
            <w:pPr>
              <w:pStyle w:val="6"/>
              <w:rPr>
                <w:rFonts w:hint="eastAsia"/>
                <w:color w:val="auto"/>
              </w:rPr>
            </w:pPr>
            <w:r>
              <w:rPr>
                <w:rFonts w:hint="eastAsia"/>
                <w:color w:val="auto"/>
              </w:rPr>
              <w:t>174</w:t>
            </w:r>
          </w:p>
        </w:tc>
        <w:tc>
          <w:tcPr>
            <w:tcW w:w="0" w:type="auto"/>
            <w:vMerge w:val="continue"/>
            <w:vAlign w:val="center"/>
          </w:tcPr>
          <w:p w14:paraId="76B5D2DE">
            <w:pPr>
              <w:pStyle w:val="6"/>
              <w:rPr>
                <w:color w:val="auto"/>
              </w:rPr>
            </w:pPr>
          </w:p>
        </w:tc>
        <w:tc>
          <w:tcPr>
            <w:tcW w:w="0" w:type="auto"/>
            <w:vAlign w:val="center"/>
          </w:tcPr>
          <w:p w14:paraId="24FD9752">
            <w:pPr>
              <w:pStyle w:val="6"/>
              <w:rPr>
                <w:rFonts w:hint="eastAsia"/>
                <w:color w:val="auto"/>
              </w:rPr>
            </w:pPr>
            <w:r>
              <w:rPr>
                <w:rFonts w:hint="eastAsia"/>
                <w:color w:val="auto"/>
              </w:rPr>
              <w:t>▲整机质量服务要求</w:t>
            </w:r>
          </w:p>
        </w:tc>
        <w:tc>
          <w:tcPr>
            <w:tcW w:w="0" w:type="auto"/>
            <w:vAlign w:val="center"/>
          </w:tcPr>
          <w:p w14:paraId="7932309D">
            <w:pPr>
              <w:pStyle w:val="6"/>
              <w:rPr>
                <w:rFonts w:hint="eastAsia"/>
                <w:color w:val="auto"/>
              </w:rPr>
            </w:pPr>
            <w:r>
              <w:rPr>
                <w:rFonts w:hint="eastAsia"/>
                <w:color w:val="auto"/>
              </w:rPr>
              <w:t>免费服务周期（含换件和维修）应不小于 3 年</w:t>
            </w:r>
          </w:p>
        </w:tc>
      </w:tr>
      <w:tr w14:paraId="43F8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9E34233">
            <w:pPr>
              <w:pStyle w:val="6"/>
              <w:rPr>
                <w:rFonts w:hint="eastAsia"/>
                <w:color w:val="auto"/>
              </w:rPr>
            </w:pPr>
            <w:r>
              <w:rPr>
                <w:rFonts w:hint="eastAsia"/>
                <w:color w:val="auto"/>
              </w:rPr>
              <w:t>175</w:t>
            </w:r>
          </w:p>
        </w:tc>
        <w:tc>
          <w:tcPr>
            <w:tcW w:w="0" w:type="auto"/>
            <w:vMerge w:val="continue"/>
            <w:vAlign w:val="center"/>
          </w:tcPr>
          <w:p w14:paraId="0BDCD5A1">
            <w:pPr>
              <w:pStyle w:val="6"/>
              <w:rPr>
                <w:color w:val="auto"/>
              </w:rPr>
            </w:pPr>
          </w:p>
        </w:tc>
        <w:tc>
          <w:tcPr>
            <w:tcW w:w="0" w:type="auto"/>
            <w:vAlign w:val="center"/>
          </w:tcPr>
          <w:p w14:paraId="7B56E47C">
            <w:pPr>
              <w:pStyle w:val="6"/>
              <w:rPr>
                <w:rFonts w:hint="eastAsia"/>
                <w:color w:val="auto"/>
              </w:rPr>
            </w:pPr>
            <w:r>
              <w:rPr>
                <w:rFonts w:hint="eastAsia"/>
                <w:color w:val="auto"/>
              </w:rPr>
              <w:t>▲合格证书要求</w:t>
            </w:r>
          </w:p>
        </w:tc>
        <w:tc>
          <w:tcPr>
            <w:tcW w:w="0" w:type="auto"/>
            <w:vAlign w:val="center"/>
          </w:tcPr>
          <w:p w14:paraId="577BF880">
            <w:pPr>
              <w:pStyle w:val="6"/>
              <w:rPr>
                <w:rFonts w:hint="eastAsia"/>
                <w:color w:val="auto"/>
              </w:rPr>
            </w:pPr>
            <w:r>
              <w:rPr>
                <w:rFonts w:hint="eastAsia"/>
                <w:color w:val="auto"/>
              </w:rPr>
              <w:t>供应商提供产品合格证</w:t>
            </w:r>
          </w:p>
        </w:tc>
      </w:tr>
      <w:tr w14:paraId="01ED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0234D5E3">
            <w:pPr>
              <w:pStyle w:val="6"/>
              <w:rPr>
                <w:rFonts w:hint="eastAsia"/>
                <w:color w:val="auto"/>
              </w:rPr>
            </w:pPr>
            <w:r>
              <w:rPr>
                <w:rFonts w:hint="eastAsia"/>
                <w:color w:val="auto"/>
              </w:rPr>
              <w:t>176</w:t>
            </w:r>
          </w:p>
        </w:tc>
        <w:tc>
          <w:tcPr>
            <w:tcW w:w="0" w:type="auto"/>
            <w:vMerge w:val="continue"/>
            <w:vAlign w:val="center"/>
          </w:tcPr>
          <w:p w14:paraId="6DB08E75">
            <w:pPr>
              <w:pStyle w:val="6"/>
              <w:rPr>
                <w:color w:val="auto"/>
              </w:rPr>
            </w:pPr>
          </w:p>
        </w:tc>
        <w:tc>
          <w:tcPr>
            <w:tcW w:w="0" w:type="auto"/>
            <w:vAlign w:val="center"/>
          </w:tcPr>
          <w:p w14:paraId="6DD0BB25">
            <w:pPr>
              <w:pStyle w:val="6"/>
              <w:rPr>
                <w:rFonts w:hint="eastAsia"/>
                <w:color w:val="auto"/>
              </w:rPr>
            </w:pPr>
            <w:r>
              <w:rPr>
                <w:rFonts w:hint="eastAsia"/>
                <w:color w:val="auto"/>
              </w:rPr>
              <w:t>▲开箱组装/使用指导要求</w:t>
            </w:r>
          </w:p>
        </w:tc>
        <w:tc>
          <w:tcPr>
            <w:tcW w:w="0" w:type="auto"/>
            <w:vAlign w:val="center"/>
          </w:tcPr>
          <w:p w14:paraId="58FABAAE">
            <w:pPr>
              <w:pStyle w:val="6"/>
              <w:rPr>
                <w:rFonts w:hint="eastAsia"/>
                <w:color w:val="auto"/>
              </w:rPr>
            </w:pPr>
            <w:r>
              <w:rPr>
                <w:rFonts w:hint="eastAsia"/>
                <w:color w:val="auto"/>
              </w:rPr>
              <w:t>供应商提供开箱组装/使用指导</w:t>
            </w:r>
          </w:p>
        </w:tc>
      </w:tr>
      <w:tr w14:paraId="1376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8AEC306">
            <w:pPr>
              <w:pStyle w:val="6"/>
              <w:rPr>
                <w:rFonts w:hint="eastAsia"/>
                <w:color w:val="auto"/>
              </w:rPr>
            </w:pPr>
            <w:r>
              <w:rPr>
                <w:rFonts w:hint="eastAsia"/>
                <w:color w:val="auto"/>
              </w:rPr>
              <w:t>177</w:t>
            </w:r>
          </w:p>
        </w:tc>
        <w:tc>
          <w:tcPr>
            <w:tcW w:w="0" w:type="auto"/>
            <w:vMerge w:val="continue"/>
            <w:vAlign w:val="center"/>
          </w:tcPr>
          <w:p w14:paraId="193BD26E">
            <w:pPr>
              <w:pStyle w:val="6"/>
              <w:rPr>
                <w:color w:val="auto"/>
              </w:rPr>
            </w:pPr>
          </w:p>
        </w:tc>
        <w:tc>
          <w:tcPr>
            <w:tcW w:w="0" w:type="auto"/>
            <w:vAlign w:val="center"/>
          </w:tcPr>
          <w:p w14:paraId="6DE9E2A8">
            <w:pPr>
              <w:pStyle w:val="6"/>
              <w:rPr>
                <w:rFonts w:hint="eastAsia"/>
                <w:color w:val="auto"/>
              </w:rPr>
            </w:pPr>
            <w:r>
              <w:rPr>
                <w:rFonts w:hint="eastAsia"/>
                <w:color w:val="auto"/>
              </w:rPr>
              <w:t>▲驱动下载服务要求</w:t>
            </w:r>
          </w:p>
        </w:tc>
        <w:tc>
          <w:tcPr>
            <w:tcW w:w="0" w:type="auto"/>
            <w:vAlign w:val="center"/>
          </w:tcPr>
          <w:p w14:paraId="20F90458">
            <w:pPr>
              <w:pStyle w:val="6"/>
              <w:rPr>
                <w:rFonts w:hint="eastAsia"/>
                <w:color w:val="auto"/>
              </w:rPr>
            </w:pPr>
            <w:r>
              <w:rPr>
                <w:rFonts w:hint="eastAsia"/>
                <w:color w:val="auto"/>
              </w:rPr>
              <w:t>供应商提供驱动光盘或下载方式</w:t>
            </w:r>
          </w:p>
        </w:tc>
      </w:tr>
      <w:tr w14:paraId="4136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5715606">
            <w:pPr>
              <w:pStyle w:val="6"/>
              <w:rPr>
                <w:rFonts w:hint="eastAsia"/>
                <w:color w:val="auto"/>
              </w:rPr>
            </w:pPr>
            <w:r>
              <w:rPr>
                <w:rFonts w:hint="eastAsia"/>
                <w:color w:val="auto"/>
              </w:rPr>
              <w:t>178</w:t>
            </w:r>
          </w:p>
        </w:tc>
        <w:tc>
          <w:tcPr>
            <w:tcW w:w="0" w:type="auto"/>
            <w:vMerge w:val="continue"/>
            <w:vAlign w:val="center"/>
          </w:tcPr>
          <w:p w14:paraId="5ED124B9">
            <w:pPr>
              <w:pStyle w:val="6"/>
              <w:rPr>
                <w:color w:val="auto"/>
              </w:rPr>
            </w:pPr>
          </w:p>
        </w:tc>
        <w:tc>
          <w:tcPr>
            <w:tcW w:w="0" w:type="auto"/>
            <w:vAlign w:val="center"/>
          </w:tcPr>
          <w:p w14:paraId="18A98794">
            <w:pPr>
              <w:pStyle w:val="6"/>
              <w:rPr>
                <w:rFonts w:hint="eastAsia"/>
                <w:color w:val="auto"/>
              </w:rPr>
            </w:pPr>
            <w:r>
              <w:rPr>
                <w:rFonts w:hint="eastAsia"/>
                <w:color w:val="auto"/>
              </w:rPr>
              <w:t>▲兼容适配软件下载服务要求</w:t>
            </w:r>
          </w:p>
        </w:tc>
        <w:tc>
          <w:tcPr>
            <w:tcW w:w="0" w:type="auto"/>
            <w:vAlign w:val="center"/>
          </w:tcPr>
          <w:p w14:paraId="0C1C9391">
            <w:pPr>
              <w:pStyle w:val="6"/>
              <w:rPr>
                <w:rFonts w:hint="eastAsia"/>
                <w:color w:val="auto"/>
              </w:rPr>
            </w:pPr>
            <w:r>
              <w:rPr>
                <w:rFonts w:hint="eastAsia"/>
                <w:color w:val="auto"/>
              </w:rPr>
              <w:t>供应商提供兼容适配软件下载渠道（光盘、网站）</w:t>
            </w:r>
          </w:p>
        </w:tc>
      </w:tr>
      <w:tr w14:paraId="31C3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5BA2F62">
            <w:pPr>
              <w:pStyle w:val="6"/>
              <w:rPr>
                <w:rFonts w:hint="eastAsia"/>
                <w:color w:val="auto"/>
              </w:rPr>
            </w:pPr>
            <w:r>
              <w:rPr>
                <w:rFonts w:hint="eastAsia"/>
                <w:color w:val="auto"/>
              </w:rPr>
              <w:t>179</w:t>
            </w:r>
          </w:p>
        </w:tc>
        <w:tc>
          <w:tcPr>
            <w:tcW w:w="0" w:type="auto"/>
            <w:vMerge w:val="continue"/>
            <w:vAlign w:val="center"/>
          </w:tcPr>
          <w:p w14:paraId="6E7A7357">
            <w:pPr>
              <w:pStyle w:val="6"/>
              <w:rPr>
                <w:color w:val="auto"/>
              </w:rPr>
            </w:pPr>
          </w:p>
        </w:tc>
        <w:tc>
          <w:tcPr>
            <w:tcW w:w="0" w:type="auto"/>
            <w:vAlign w:val="center"/>
          </w:tcPr>
          <w:p w14:paraId="4DACE393">
            <w:pPr>
              <w:pStyle w:val="6"/>
              <w:rPr>
                <w:rFonts w:hint="eastAsia"/>
                <w:color w:val="auto"/>
              </w:rPr>
            </w:pPr>
            <w:r>
              <w:rPr>
                <w:rFonts w:hint="eastAsia"/>
                <w:color w:val="auto"/>
              </w:rPr>
              <w:t>跨架构平台应用兼容</w:t>
            </w:r>
          </w:p>
        </w:tc>
        <w:tc>
          <w:tcPr>
            <w:tcW w:w="0" w:type="auto"/>
            <w:vAlign w:val="center"/>
          </w:tcPr>
          <w:p w14:paraId="4D8AF4BA">
            <w:pPr>
              <w:pStyle w:val="6"/>
              <w:rPr>
                <w:rFonts w:hint="eastAsia"/>
                <w:color w:val="auto"/>
              </w:rPr>
            </w:pPr>
            <w:r>
              <w:rPr>
                <w:rFonts w:hint="eastAsia"/>
                <w:color w:val="auto"/>
              </w:rPr>
              <w:t>不涉及</w:t>
            </w:r>
          </w:p>
        </w:tc>
      </w:tr>
      <w:tr w14:paraId="00E6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7F3E42D1">
            <w:pPr>
              <w:pStyle w:val="6"/>
              <w:rPr>
                <w:rFonts w:hint="eastAsia"/>
                <w:color w:val="auto"/>
              </w:rPr>
            </w:pPr>
            <w:r>
              <w:rPr>
                <w:rFonts w:hint="eastAsia"/>
                <w:color w:val="auto"/>
              </w:rPr>
              <w:t>180</w:t>
            </w:r>
          </w:p>
        </w:tc>
        <w:tc>
          <w:tcPr>
            <w:tcW w:w="0" w:type="auto"/>
            <w:vAlign w:val="center"/>
          </w:tcPr>
          <w:p w14:paraId="790E2C64">
            <w:pPr>
              <w:pStyle w:val="6"/>
              <w:rPr>
                <w:rFonts w:hint="eastAsia"/>
                <w:color w:val="auto"/>
              </w:rPr>
            </w:pPr>
            <w:r>
              <w:rPr>
                <w:rFonts w:hint="eastAsia"/>
                <w:color w:val="auto"/>
              </w:rPr>
              <w:t>▲供应链合规性</w:t>
            </w:r>
          </w:p>
        </w:tc>
        <w:tc>
          <w:tcPr>
            <w:tcW w:w="0" w:type="auto"/>
            <w:vAlign w:val="center"/>
          </w:tcPr>
          <w:p w14:paraId="2C9BCCD4">
            <w:pPr>
              <w:pStyle w:val="6"/>
              <w:rPr>
                <w:rFonts w:hint="eastAsia"/>
                <w:color w:val="auto"/>
              </w:rPr>
            </w:pPr>
            <w:r>
              <w:rPr>
                <w:rFonts w:hint="eastAsia"/>
                <w:color w:val="auto"/>
              </w:rPr>
              <w:t>▲产品部件保障</w:t>
            </w:r>
          </w:p>
        </w:tc>
        <w:tc>
          <w:tcPr>
            <w:tcW w:w="0" w:type="auto"/>
            <w:vAlign w:val="center"/>
          </w:tcPr>
          <w:p w14:paraId="32F40888">
            <w:pPr>
              <w:pStyle w:val="6"/>
              <w:rPr>
                <w:rFonts w:hint="eastAsia"/>
                <w:color w:val="auto"/>
              </w:rPr>
            </w:pPr>
            <w:r>
              <w:rPr>
                <w:rFonts w:hint="eastAsia"/>
                <w:color w:val="auto"/>
              </w:rPr>
              <w:t>供应商保障产品主要部件，提供 6 年的备件服务能力（自购买之日起），或提供可兼容原设备的升级换代产品</w:t>
            </w:r>
          </w:p>
        </w:tc>
      </w:tr>
      <w:tr w14:paraId="0ADD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ABEEE3A">
            <w:pPr>
              <w:pStyle w:val="6"/>
              <w:rPr>
                <w:rFonts w:hint="eastAsia"/>
                <w:color w:val="auto"/>
              </w:rPr>
            </w:pPr>
            <w:r>
              <w:rPr>
                <w:rFonts w:hint="eastAsia"/>
                <w:color w:val="auto"/>
              </w:rPr>
              <w:t>181</w:t>
            </w:r>
          </w:p>
        </w:tc>
        <w:tc>
          <w:tcPr>
            <w:tcW w:w="0" w:type="auto"/>
            <w:vMerge w:val="restart"/>
            <w:vAlign w:val="center"/>
          </w:tcPr>
          <w:p w14:paraId="764BFB21">
            <w:pPr>
              <w:pStyle w:val="6"/>
              <w:rPr>
                <w:rFonts w:hint="eastAsia"/>
                <w:color w:val="auto"/>
              </w:rPr>
            </w:pPr>
            <w:r>
              <w:rPr>
                <w:rFonts w:hint="eastAsia"/>
                <w:color w:val="auto"/>
              </w:rPr>
              <w:t>▲供应链质量</w:t>
            </w:r>
          </w:p>
        </w:tc>
        <w:tc>
          <w:tcPr>
            <w:tcW w:w="0" w:type="auto"/>
            <w:vAlign w:val="center"/>
          </w:tcPr>
          <w:p w14:paraId="7C7BAD64">
            <w:pPr>
              <w:pStyle w:val="6"/>
              <w:rPr>
                <w:rFonts w:hint="eastAsia"/>
                <w:color w:val="auto"/>
              </w:rPr>
            </w:pPr>
            <w:r>
              <w:rPr>
                <w:rFonts w:hint="eastAsia"/>
                <w:color w:val="auto"/>
              </w:rPr>
              <w:t>▲抗干扰性</w:t>
            </w:r>
          </w:p>
        </w:tc>
        <w:tc>
          <w:tcPr>
            <w:tcW w:w="0" w:type="auto"/>
            <w:vAlign w:val="center"/>
          </w:tcPr>
          <w:p w14:paraId="44D6310D">
            <w:pPr>
              <w:pStyle w:val="6"/>
              <w:rPr>
                <w:rFonts w:hint="eastAsia"/>
                <w:color w:val="auto"/>
              </w:rPr>
            </w:pPr>
            <w:r>
              <w:rPr>
                <w:rFonts w:hint="eastAsia"/>
                <w:color w:val="auto"/>
              </w:rPr>
              <w:t>当产品部件出现供应风险时，供应商应通知采购人并提供风险应对方案确保产品的服务保障</w:t>
            </w:r>
          </w:p>
        </w:tc>
      </w:tr>
      <w:tr w14:paraId="7A09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3E6B2A8">
            <w:pPr>
              <w:pStyle w:val="6"/>
              <w:rPr>
                <w:rFonts w:hint="eastAsia"/>
                <w:color w:val="auto"/>
              </w:rPr>
            </w:pPr>
            <w:r>
              <w:rPr>
                <w:rFonts w:hint="eastAsia"/>
                <w:color w:val="auto"/>
              </w:rPr>
              <w:t>182</w:t>
            </w:r>
          </w:p>
        </w:tc>
        <w:tc>
          <w:tcPr>
            <w:tcW w:w="0" w:type="auto"/>
            <w:vMerge w:val="continue"/>
            <w:vAlign w:val="center"/>
          </w:tcPr>
          <w:p w14:paraId="0EA6D74F">
            <w:pPr>
              <w:pStyle w:val="6"/>
              <w:rPr>
                <w:color w:val="auto"/>
              </w:rPr>
            </w:pPr>
          </w:p>
        </w:tc>
        <w:tc>
          <w:tcPr>
            <w:tcW w:w="0" w:type="auto"/>
            <w:vAlign w:val="center"/>
          </w:tcPr>
          <w:p w14:paraId="0AA2CEF1">
            <w:pPr>
              <w:pStyle w:val="6"/>
              <w:rPr>
                <w:rFonts w:hint="eastAsia"/>
                <w:color w:val="auto"/>
              </w:rPr>
            </w:pPr>
            <w:r>
              <w:rPr>
                <w:rFonts w:hint="eastAsia"/>
                <w:color w:val="auto"/>
              </w:rPr>
              <w:t>▲供应能力证明</w:t>
            </w:r>
          </w:p>
        </w:tc>
        <w:tc>
          <w:tcPr>
            <w:tcW w:w="0" w:type="auto"/>
            <w:vAlign w:val="center"/>
          </w:tcPr>
          <w:p w14:paraId="58D9B7F9">
            <w:pPr>
              <w:pStyle w:val="6"/>
              <w:rPr>
                <w:rFonts w:hint="eastAsia"/>
                <w:color w:val="auto"/>
              </w:rPr>
            </w:pPr>
            <w:r>
              <w:rPr>
                <w:rFonts w:hint="eastAsia"/>
                <w:color w:val="auto"/>
              </w:rPr>
              <w:t>供应商提供供应链稳定承诺书，确保产品的部件在产品服务周期内稳定供货</w:t>
            </w:r>
          </w:p>
        </w:tc>
      </w:tr>
      <w:tr w14:paraId="00B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442B0CAB">
            <w:pPr>
              <w:pStyle w:val="6"/>
              <w:rPr>
                <w:rFonts w:hint="eastAsia"/>
                <w:color w:val="auto"/>
              </w:rPr>
            </w:pPr>
            <w:r>
              <w:rPr>
                <w:rFonts w:hint="eastAsia"/>
                <w:color w:val="auto"/>
              </w:rPr>
              <w:t>183</w:t>
            </w:r>
          </w:p>
        </w:tc>
        <w:tc>
          <w:tcPr>
            <w:tcW w:w="0" w:type="auto"/>
            <w:vAlign w:val="center"/>
          </w:tcPr>
          <w:p w14:paraId="1E4109AA">
            <w:pPr>
              <w:pStyle w:val="6"/>
              <w:rPr>
                <w:rFonts w:hint="eastAsia"/>
                <w:color w:val="auto"/>
              </w:rPr>
            </w:pPr>
            <w:r>
              <w:rPr>
                <w:rFonts w:hint="eastAsia"/>
                <w:color w:val="auto"/>
              </w:rPr>
              <w:t>▲关键部件安全要求</w:t>
            </w:r>
          </w:p>
        </w:tc>
        <w:tc>
          <w:tcPr>
            <w:tcW w:w="0" w:type="auto"/>
            <w:vAlign w:val="center"/>
          </w:tcPr>
          <w:p w14:paraId="7C50B788">
            <w:pPr>
              <w:pStyle w:val="6"/>
              <w:rPr>
                <w:rFonts w:hint="eastAsia"/>
                <w:color w:val="auto"/>
              </w:rPr>
            </w:pPr>
            <w:r>
              <w:rPr>
                <w:rFonts w:hint="eastAsia"/>
                <w:color w:val="auto"/>
              </w:rPr>
              <w:t>▲关键部件安全要求</w:t>
            </w:r>
          </w:p>
        </w:tc>
        <w:tc>
          <w:tcPr>
            <w:tcW w:w="0" w:type="auto"/>
            <w:vAlign w:val="center"/>
          </w:tcPr>
          <w:p w14:paraId="5EE2E307">
            <w:pPr>
              <w:rPr>
                <w:color w:val="auto"/>
              </w:rPr>
            </w:pPr>
            <w:r>
              <w:rPr>
                <w:rFonts w:hint="eastAsia"/>
                <w:color w:val="auto"/>
              </w:rPr>
              <w:t>不涉及</w:t>
            </w:r>
          </w:p>
        </w:tc>
      </w:tr>
      <w:tr w14:paraId="5D8E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23D6ADA">
            <w:pPr>
              <w:pStyle w:val="6"/>
              <w:rPr>
                <w:rFonts w:hint="eastAsia"/>
                <w:color w:val="auto"/>
              </w:rPr>
            </w:pPr>
            <w:r>
              <w:rPr>
                <w:rFonts w:hint="eastAsia"/>
                <w:color w:val="auto"/>
              </w:rPr>
              <w:t>184</w:t>
            </w:r>
          </w:p>
        </w:tc>
        <w:tc>
          <w:tcPr>
            <w:tcW w:w="0" w:type="auto"/>
            <w:vMerge w:val="restart"/>
            <w:vAlign w:val="center"/>
          </w:tcPr>
          <w:p w14:paraId="57A75099">
            <w:pPr>
              <w:pStyle w:val="6"/>
              <w:rPr>
                <w:rFonts w:hint="eastAsia"/>
                <w:color w:val="auto"/>
              </w:rPr>
            </w:pPr>
            <w:r>
              <w:rPr>
                <w:rFonts w:hint="eastAsia"/>
                <w:color w:val="auto"/>
              </w:rPr>
              <w:t>▲整机安全性要求</w:t>
            </w:r>
          </w:p>
        </w:tc>
        <w:tc>
          <w:tcPr>
            <w:tcW w:w="0" w:type="auto"/>
            <w:vAlign w:val="center"/>
          </w:tcPr>
          <w:p w14:paraId="168EFF88">
            <w:pPr>
              <w:pStyle w:val="6"/>
              <w:rPr>
                <w:rFonts w:hint="eastAsia"/>
                <w:color w:val="auto"/>
              </w:rPr>
            </w:pPr>
            <w:r>
              <w:rPr>
                <w:rFonts w:hint="eastAsia"/>
                <w:color w:val="auto"/>
              </w:rPr>
              <w:t>▲密码算法实现</w:t>
            </w:r>
          </w:p>
        </w:tc>
        <w:tc>
          <w:tcPr>
            <w:tcW w:w="0" w:type="auto"/>
            <w:vAlign w:val="center"/>
          </w:tcPr>
          <w:p w14:paraId="4FB4C190">
            <w:pPr>
              <w:rPr>
                <w:color w:val="auto"/>
              </w:rPr>
            </w:pPr>
            <w:r>
              <w:rPr>
                <w:rFonts w:hint="eastAsia"/>
                <w:color w:val="auto"/>
              </w:rPr>
              <w:t>不涉及</w:t>
            </w:r>
          </w:p>
        </w:tc>
      </w:tr>
      <w:tr w14:paraId="2B8D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6FC2AC25">
            <w:pPr>
              <w:pStyle w:val="6"/>
              <w:rPr>
                <w:rFonts w:hint="eastAsia"/>
                <w:color w:val="auto"/>
              </w:rPr>
            </w:pPr>
            <w:r>
              <w:rPr>
                <w:rFonts w:hint="eastAsia"/>
                <w:color w:val="auto"/>
              </w:rPr>
              <w:t>185</w:t>
            </w:r>
          </w:p>
        </w:tc>
        <w:tc>
          <w:tcPr>
            <w:tcW w:w="0" w:type="auto"/>
            <w:vMerge w:val="continue"/>
            <w:vAlign w:val="center"/>
          </w:tcPr>
          <w:p w14:paraId="0AB7B462">
            <w:pPr>
              <w:pStyle w:val="6"/>
              <w:rPr>
                <w:color w:val="auto"/>
              </w:rPr>
            </w:pPr>
          </w:p>
        </w:tc>
        <w:tc>
          <w:tcPr>
            <w:tcW w:w="0" w:type="auto"/>
            <w:vAlign w:val="center"/>
          </w:tcPr>
          <w:p w14:paraId="2F51FF4A">
            <w:pPr>
              <w:pStyle w:val="6"/>
              <w:rPr>
                <w:rFonts w:hint="eastAsia"/>
                <w:color w:val="auto"/>
              </w:rPr>
            </w:pPr>
            <w:r>
              <w:rPr>
                <w:rFonts w:hint="eastAsia"/>
                <w:color w:val="auto"/>
              </w:rPr>
              <w:t>USB 端口管控</w:t>
            </w:r>
          </w:p>
        </w:tc>
        <w:tc>
          <w:tcPr>
            <w:tcW w:w="0" w:type="auto"/>
            <w:vAlign w:val="center"/>
          </w:tcPr>
          <w:p w14:paraId="502C97DE">
            <w:pPr>
              <w:pStyle w:val="6"/>
              <w:rPr>
                <w:rFonts w:hint="eastAsia"/>
                <w:color w:val="auto"/>
              </w:rPr>
            </w:pPr>
            <w:r>
              <w:rPr>
                <w:rFonts w:hint="eastAsia"/>
                <w:color w:val="auto"/>
              </w:rPr>
              <w:t>支持 USB 端口管控</w:t>
            </w:r>
          </w:p>
        </w:tc>
      </w:tr>
      <w:tr w14:paraId="527C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4C6A58B">
            <w:pPr>
              <w:pStyle w:val="6"/>
              <w:rPr>
                <w:rFonts w:hint="eastAsia"/>
                <w:color w:val="auto"/>
              </w:rPr>
            </w:pPr>
            <w:r>
              <w:rPr>
                <w:rFonts w:hint="eastAsia"/>
                <w:color w:val="auto"/>
              </w:rPr>
              <w:t>186</w:t>
            </w:r>
          </w:p>
        </w:tc>
        <w:tc>
          <w:tcPr>
            <w:tcW w:w="0" w:type="auto"/>
            <w:vMerge w:val="continue"/>
            <w:vAlign w:val="center"/>
          </w:tcPr>
          <w:p w14:paraId="09A758F0">
            <w:pPr>
              <w:pStyle w:val="6"/>
              <w:rPr>
                <w:color w:val="auto"/>
              </w:rPr>
            </w:pPr>
          </w:p>
        </w:tc>
        <w:tc>
          <w:tcPr>
            <w:tcW w:w="0" w:type="auto"/>
            <w:vAlign w:val="center"/>
          </w:tcPr>
          <w:p w14:paraId="500B21BF">
            <w:pPr>
              <w:pStyle w:val="6"/>
              <w:rPr>
                <w:rFonts w:hint="eastAsia"/>
                <w:color w:val="auto"/>
              </w:rPr>
            </w:pPr>
            <w:r>
              <w:rPr>
                <w:rFonts w:hint="eastAsia"/>
                <w:color w:val="auto"/>
              </w:rPr>
              <w:t>安全物理锁</w:t>
            </w:r>
          </w:p>
        </w:tc>
        <w:tc>
          <w:tcPr>
            <w:tcW w:w="0" w:type="auto"/>
            <w:vAlign w:val="center"/>
          </w:tcPr>
          <w:p w14:paraId="727AAE09">
            <w:pPr>
              <w:pStyle w:val="6"/>
              <w:rPr>
                <w:rFonts w:hint="eastAsia"/>
                <w:color w:val="auto"/>
              </w:rPr>
            </w:pPr>
            <w:r>
              <w:rPr>
                <w:rFonts w:hint="eastAsia"/>
                <w:color w:val="auto"/>
              </w:rPr>
              <w:t>支持安全物理锁</w:t>
            </w:r>
          </w:p>
        </w:tc>
      </w:tr>
      <w:tr w14:paraId="4B51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536AE8AA">
            <w:pPr>
              <w:pStyle w:val="6"/>
              <w:rPr>
                <w:rFonts w:hint="eastAsia"/>
                <w:color w:val="auto"/>
              </w:rPr>
            </w:pPr>
            <w:r>
              <w:rPr>
                <w:rFonts w:hint="eastAsia"/>
                <w:color w:val="auto"/>
              </w:rPr>
              <w:t>187</w:t>
            </w:r>
          </w:p>
        </w:tc>
        <w:tc>
          <w:tcPr>
            <w:tcW w:w="0" w:type="auto"/>
            <w:vMerge w:val="continue"/>
            <w:vAlign w:val="center"/>
          </w:tcPr>
          <w:p w14:paraId="4B1CC964">
            <w:pPr>
              <w:pStyle w:val="6"/>
              <w:rPr>
                <w:color w:val="auto"/>
              </w:rPr>
            </w:pPr>
          </w:p>
        </w:tc>
        <w:tc>
          <w:tcPr>
            <w:tcW w:w="0" w:type="auto"/>
            <w:vAlign w:val="center"/>
          </w:tcPr>
          <w:p w14:paraId="3EEB3384">
            <w:pPr>
              <w:pStyle w:val="6"/>
              <w:rPr>
                <w:rFonts w:hint="eastAsia"/>
                <w:color w:val="auto"/>
              </w:rPr>
            </w:pPr>
            <w:r>
              <w:rPr>
                <w:rFonts w:hint="eastAsia"/>
                <w:color w:val="auto"/>
              </w:rPr>
              <w:t>▲信息安全基本要求</w:t>
            </w:r>
          </w:p>
        </w:tc>
        <w:tc>
          <w:tcPr>
            <w:tcW w:w="0" w:type="auto"/>
            <w:vAlign w:val="center"/>
          </w:tcPr>
          <w:p w14:paraId="4D6D85A7">
            <w:pPr>
              <w:pStyle w:val="6"/>
              <w:rPr>
                <w:rFonts w:hint="eastAsia"/>
                <w:color w:val="auto"/>
              </w:rPr>
            </w:pPr>
            <w:r>
              <w:rPr>
                <w:rFonts w:hint="eastAsia"/>
                <w:color w:val="auto"/>
              </w:rPr>
              <w:t>a) 产品应符合 GB/T 39276 的 5.2 的规定；</w:t>
            </w:r>
            <w:r>
              <w:rPr>
                <w:rFonts w:hint="eastAsia"/>
                <w:color w:val="auto"/>
              </w:rPr>
              <w:br w:type="textWrapping"/>
            </w:r>
            <w:r>
              <w:rPr>
                <w:rFonts w:hint="eastAsia"/>
                <w:color w:val="auto"/>
              </w:rPr>
              <w:t>b) 生产厂商应建立漏洞跟踪表，保证产品版本涉及到的漏洞(如驱动程序等)可查看；</w:t>
            </w:r>
            <w:r>
              <w:rPr>
                <w:rFonts w:hint="eastAsia"/>
                <w:color w:val="auto"/>
              </w:rPr>
              <w:br w:type="textWrapping"/>
            </w:r>
            <w:r>
              <w:rPr>
                <w:rFonts w:hint="eastAsia"/>
                <w:color w:val="auto"/>
              </w:rPr>
              <w:t>c) 产品不得包含已知的恶意代码或漏洞，不存在未声明的指令、功能、接口</w:t>
            </w:r>
          </w:p>
        </w:tc>
      </w:tr>
      <w:tr w14:paraId="7010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1989E083">
            <w:pPr>
              <w:pStyle w:val="6"/>
              <w:rPr>
                <w:rFonts w:hint="eastAsia"/>
                <w:color w:val="auto"/>
              </w:rPr>
            </w:pPr>
            <w:r>
              <w:rPr>
                <w:rFonts w:hint="eastAsia"/>
                <w:color w:val="auto"/>
              </w:rPr>
              <w:t>188</w:t>
            </w:r>
          </w:p>
        </w:tc>
        <w:tc>
          <w:tcPr>
            <w:tcW w:w="0" w:type="auto"/>
            <w:vMerge w:val="continue"/>
            <w:vAlign w:val="center"/>
          </w:tcPr>
          <w:p w14:paraId="23610028">
            <w:pPr>
              <w:pStyle w:val="6"/>
              <w:rPr>
                <w:color w:val="auto"/>
              </w:rPr>
            </w:pPr>
          </w:p>
        </w:tc>
        <w:tc>
          <w:tcPr>
            <w:tcW w:w="0" w:type="auto"/>
            <w:vAlign w:val="center"/>
          </w:tcPr>
          <w:p w14:paraId="7035A1FC">
            <w:pPr>
              <w:pStyle w:val="6"/>
              <w:rPr>
                <w:rFonts w:hint="eastAsia"/>
                <w:color w:val="auto"/>
              </w:rPr>
            </w:pPr>
            <w:r>
              <w:rPr>
                <w:rFonts w:hint="eastAsia"/>
                <w:color w:val="auto"/>
              </w:rPr>
              <w:t>▲固件安全启动</w:t>
            </w:r>
          </w:p>
        </w:tc>
        <w:tc>
          <w:tcPr>
            <w:tcW w:w="0" w:type="auto"/>
            <w:vAlign w:val="center"/>
          </w:tcPr>
          <w:p w14:paraId="0435752E">
            <w:pPr>
              <w:pStyle w:val="6"/>
              <w:rPr>
                <w:rFonts w:hint="eastAsia"/>
                <w:color w:val="auto"/>
              </w:rPr>
            </w:pPr>
            <w:r>
              <w:rPr>
                <w:rFonts w:hint="eastAsia"/>
                <w:color w:val="auto"/>
              </w:rPr>
              <w:t>支持固件安全启动功能，固件启动过程中只有通过启动校验才能正常启动</w:t>
            </w:r>
          </w:p>
        </w:tc>
      </w:tr>
      <w:tr w14:paraId="7522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Align w:val="center"/>
          </w:tcPr>
          <w:p w14:paraId="2ED399AA">
            <w:pPr>
              <w:pStyle w:val="6"/>
              <w:rPr>
                <w:rFonts w:hint="eastAsia"/>
                <w:color w:val="auto"/>
              </w:rPr>
            </w:pPr>
            <w:r>
              <w:rPr>
                <w:rFonts w:hint="eastAsia"/>
                <w:color w:val="auto"/>
              </w:rPr>
              <w:t>189</w:t>
            </w:r>
          </w:p>
        </w:tc>
        <w:tc>
          <w:tcPr>
            <w:tcW w:w="0" w:type="auto"/>
            <w:vMerge w:val="continue"/>
            <w:vAlign w:val="center"/>
          </w:tcPr>
          <w:p w14:paraId="174CF675">
            <w:pPr>
              <w:pStyle w:val="6"/>
              <w:rPr>
                <w:color w:val="auto"/>
              </w:rPr>
            </w:pPr>
          </w:p>
        </w:tc>
        <w:tc>
          <w:tcPr>
            <w:tcW w:w="0" w:type="auto"/>
            <w:vAlign w:val="center"/>
          </w:tcPr>
          <w:p w14:paraId="4C32650F">
            <w:pPr>
              <w:pStyle w:val="6"/>
              <w:rPr>
                <w:rFonts w:hint="eastAsia"/>
                <w:color w:val="auto"/>
              </w:rPr>
            </w:pPr>
            <w:r>
              <w:rPr>
                <w:rFonts w:hint="eastAsia"/>
                <w:color w:val="auto"/>
              </w:rPr>
              <w:t>▲限用物质的限量要求</w:t>
            </w:r>
          </w:p>
        </w:tc>
        <w:tc>
          <w:tcPr>
            <w:tcW w:w="0" w:type="auto"/>
            <w:vAlign w:val="center"/>
          </w:tcPr>
          <w:p w14:paraId="42D4A168">
            <w:pPr>
              <w:pStyle w:val="6"/>
              <w:rPr>
                <w:rFonts w:hint="eastAsia"/>
                <w:color w:val="auto"/>
              </w:rPr>
            </w:pPr>
            <w:r>
              <w:rPr>
                <w:rFonts w:hint="eastAsia"/>
                <w:color w:val="auto"/>
              </w:rPr>
              <w:t>符合 GB/T 26572 中规定</w:t>
            </w:r>
          </w:p>
        </w:tc>
      </w:tr>
      <w:tr w14:paraId="065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7F6C0775">
            <w:pPr>
              <w:rPr>
                <w:color w:val="auto"/>
              </w:rPr>
            </w:pPr>
            <w:r>
              <w:rPr>
                <w:color w:val="auto"/>
              </w:rPr>
              <w:t>190</w:t>
            </w:r>
          </w:p>
        </w:tc>
        <w:tc>
          <w:tcPr>
            <w:tcW w:w="0" w:type="auto"/>
            <w:vMerge w:val="restart"/>
            <w:vAlign w:val="center"/>
          </w:tcPr>
          <w:p w14:paraId="4FEF5AB6">
            <w:pPr>
              <w:pStyle w:val="6"/>
              <w:rPr>
                <w:rFonts w:hint="eastAsia" w:ascii="仿宋" w:hAnsi="仿宋" w:eastAsia="仿宋"/>
                <w:color w:val="auto"/>
                <w:kern w:val="0"/>
                <w:szCs w:val="21"/>
              </w:rPr>
            </w:pPr>
            <w:r>
              <w:rPr>
                <w:color w:val="auto"/>
              </w:rPr>
              <w:t>硬盘保护套件</w:t>
            </w:r>
          </w:p>
        </w:tc>
        <w:tc>
          <w:tcPr>
            <w:tcW w:w="0" w:type="auto"/>
            <w:vAlign w:val="center"/>
          </w:tcPr>
          <w:p w14:paraId="066F57B8">
            <w:pPr>
              <w:pStyle w:val="6"/>
              <w:rPr>
                <w:rFonts w:hint="eastAsia"/>
                <w:color w:val="auto"/>
              </w:rPr>
            </w:pPr>
            <w:r>
              <w:rPr>
                <w:rFonts w:hint="eastAsia" w:ascii="宋体" w:hAnsi="宋体"/>
                <w:b/>
                <w:color w:val="auto"/>
                <w:kern w:val="0"/>
                <w:sz w:val="18"/>
                <w:szCs w:val="18"/>
              </w:rPr>
              <w:t>△</w:t>
            </w:r>
            <w:r>
              <w:rPr>
                <w:rFonts w:hint="eastAsia"/>
                <w:color w:val="auto"/>
              </w:rPr>
              <w:t>兼容性</w:t>
            </w:r>
          </w:p>
        </w:tc>
        <w:tc>
          <w:tcPr>
            <w:tcW w:w="0" w:type="auto"/>
            <w:vAlign w:val="center"/>
          </w:tcPr>
          <w:p w14:paraId="49E1BCD5">
            <w:pPr>
              <w:rPr>
                <w:rFonts w:hint="eastAsia"/>
                <w:color w:val="auto"/>
              </w:rPr>
            </w:pPr>
            <w:r>
              <w:rPr>
                <w:color w:val="auto"/>
              </w:rPr>
              <w:t>原厂预装</w:t>
            </w:r>
            <w:r>
              <w:rPr>
                <w:rFonts w:hint="eastAsia"/>
                <w:color w:val="auto"/>
              </w:rPr>
              <w:t>同品牌</w:t>
            </w:r>
            <w:r>
              <w:rPr>
                <w:color w:val="auto"/>
              </w:rPr>
              <w:t>硬盘保护套件（出厂预装，不接受后加软件）</w:t>
            </w:r>
          </w:p>
        </w:tc>
      </w:tr>
      <w:tr w14:paraId="4AB6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19D95F8F">
            <w:pPr>
              <w:rPr>
                <w:color w:val="auto"/>
              </w:rPr>
            </w:pPr>
            <w:r>
              <w:rPr>
                <w:color w:val="auto"/>
              </w:rPr>
              <w:t>191</w:t>
            </w:r>
          </w:p>
        </w:tc>
        <w:tc>
          <w:tcPr>
            <w:tcW w:w="0" w:type="auto"/>
            <w:vMerge w:val="continue"/>
            <w:vAlign w:val="center"/>
          </w:tcPr>
          <w:p w14:paraId="2B2BB63D">
            <w:pPr>
              <w:pStyle w:val="6"/>
              <w:rPr>
                <w:rFonts w:hint="eastAsia" w:ascii="仿宋" w:hAnsi="仿宋" w:eastAsia="仿宋"/>
                <w:color w:val="auto"/>
                <w:kern w:val="0"/>
                <w:szCs w:val="21"/>
              </w:rPr>
            </w:pPr>
          </w:p>
        </w:tc>
        <w:tc>
          <w:tcPr>
            <w:tcW w:w="0" w:type="auto"/>
            <w:vAlign w:val="center"/>
          </w:tcPr>
          <w:p w14:paraId="011F1D82">
            <w:pPr>
              <w:pStyle w:val="6"/>
              <w:rPr>
                <w:rFonts w:hint="eastAsia"/>
                <w:color w:val="auto"/>
              </w:rPr>
            </w:pPr>
            <w:r>
              <w:rPr>
                <w:rFonts w:hint="eastAsia"/>
                <w:color w:val="auto"/>
              </w:rPr>
              <w:t>底层架构</w:t>
            </w:r>
          </w:p>
        </w:tc>
        <w:tc>
          <w:tcPr>
            <w:tcW w:w="0" w:type="auto"/>
          </w:tcPr>
          <w:p w14:paraId="535AA8A4">
            <w:pPr>
              <w:rPr>
                <w:color w:val="auto"/>
              </w:rPr>
            </w:pPr>
            <w:r>
              <w:rPr>
                <w:color w:val="auto"/>
              </w:rPr>
              <w:t>所有功能全部架构基于Windows平台，简单易懂，方便操作；</w:t>
            </w:r>
          </w:p>
        </w:tc>
      </w:tr>
      <w:tr w14:paraId="75BF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8FCF93A">
            <w:pPr>
              <w:rPr>
                <w:color w:val="auto"/>
              </w:rPr>
            </w:pPr>
            <w:r>
              <w:rPr>
                <w:color w:val="auto"/>
              </w:rPr>
              <w:t>192</w:t>
            </w:r>
          </w:p>
        </w:tc>
        <w:tc>
          <w:tcPr>
            <w:tcW w:w="0" w:type="auto"/>
            <w:vMerge w:val="continue"/>
            <w:vAlign w:val="center"/>
          </w:tcPr>
          <w:p w14:paraId="7DA24A84">
            <w:pPr>
              <w:pStyle w:val="6"/>
              <w:rPr>
                <w:rFonts w:hint="eastAsia" w:ascii="仿宋" w:hAnsi="仿宋" w:eastAsia="仿宋"/>
                <w:color w:val="auto"/>
                <w:kern w:val="0"/>
                <w:szCs w:val="21"/>
              </w:rPr>
            </w:pPr>
          </w:p>
        </w:tc>
        <w:tc>
          <w:tcPr>
            <w:tcW w:w="0" w:type="auto"/>
            <w:vAlign w:val="center"/>
          </w:tcPr>
          <w:p w14:paraId="15319017">
            <w:pPr>
              <w:pStyle w:val="6"/>
              <w:rPr>
                <w:rFonts w:hint="eastAsia"/>
                <w:color w:val="auto"/>
              </w:rPr>
            </w:pPr>
            <w:r>
              <w:rPr>
                <w:color w:val="auto"/>
              </w:rPr>
              <w:t>双硬盘保护同传</w:t>
            </w:r>
          </w:p>
        </w:tc>
        <w:tc>
          <w:tcPr>
            <w:tcW w:w="0" w:type="auto"/>
          </w:tcPr>
          <w:p w14:paraId="379D76FD">
            <w:pPr>
              <w:rPr>
                <w:color w:val="auto"/>
              </w:rPr>
            </w:pPr>
            <w:r>
              <w:rPr>
                <w:color w:val="auto"/>
              </w:rPr>
              <w:t>支持双硬盘保护同传（各种规格的SSD及机械硬盘），双硬盘环境混合硬盘跨硬盘安装多操作系统；</w:t>
            </w:r>
          </w:p>
        </w:tc>
      </w:tr>
      <w:tr w14:paraId="4F95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3EA4C7F">
            <w:pPr>
              <w:rPr>
                <w:color w:val="auto"/>
              </w:rPr>
            </w:pPr>
            <w:r>
              <w:rPr>
                <w:color w:val="auto"/>
              </w:rPr>
              <w:t>193</w:t>
            </w:r>
          </w:p>
        </w:tc>
        <w:tc>
          <w:tcPr>
            <w:tcW w:w="0" w:type="auto"/>
            <w:vMerge w:val="continue"/>
            <w:vAlign w:val="center"/>
          </w:tcPr>
          <w:p w14:paraId="06AB9F30">
            <w:pPr>
              <w:pStyle w:val="6"/>
              <w:rPr>
                <w:rFonts w:hint="eastAsia" w:ascii="仿宋" w:hAnsi="仿宋" w:eastAsia="仿宋"/>
                <w:color w:val="auto"/>
                <w:kern w:val="0"/>
                <w:szCs w:val="21"/>
              </w:rPr>
            </w:pPr>
          </w:p>
        </w:tc>
        <w:tc>
          <w:tcPr>
            <w:tcW w:w="0" w:type="auto"/>
            <w:vAlign w:val="center"/>
          </w:tcPr>
          <w:p w14:paraId="70B70ECB">
            <w:pPr>
              <w:pStyle w:val="6"/>
              <w:rPr>
                <w:rFonts w:hint="eastAsia"/>
                <w:color w:val="auto"/>
              </w:rPr>
            </w:pPr>
            <w:r>
              <w:rPr>
                <w:rFonts w:hint="eastAsia"/>
                <w:color w:val="auto"/>
              </w:rPr>
              <w:t>操作系统</w:t>
            </w:r>
          </w:p>
        </w:tc>
        <w:tc>
          <w:tcPr>
            <w:tcW w:w="0" w:type="auto"/>
          </w:tcPr>
          <w:p w14:paraId="26680392">
            <w:pPr>
              <w:rPr>
                <w:color w:val="auto"/>
              </w:rPr>
            </w:pPr>
            <w:r>
              <w:rPr>
                <w:rFonts w:hint="eastAsia"/>
                <w:color w:val="auto"/>
              </w:rPr>
              <w:t>最多支持创建6</w:t>
            </w:r>
            <w:r>
              <w:rPr>
                <w:color w:val="auto"/>
              </w:rPr>
              <w:t>4</w:t>
            </w:r>
            <w:r>
              <w:rPr>
                <w:rFonts w:hint="eastAsia"/>
                <w:color w:val="auto"/>
              </w:rPr>
              <w:t>个操作系统，可隐藏操作系统不让使用，支持数据分区自动清除，支持共享保护分区；</w:t>
            </w:r>
          </w:p>
        </w:tc>
      </w:tr>
      <w:tr w14:paraId="0C20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65922F4A">
            <w:pPr>
              <w:rPr>
                <w:color w:val="auto"/>
              </w:rPr>
            </w:pPr>
            <w:r>
              <w:rPr>
                <w:color w:val="auto"/>
              </w:rPr>
              <w:t>194</w:t>
            </w:r>
          </w:p>
        </w:tc>
        <w:tc>
          <w:tcPr>
            <w:tcW w:w="0" w:type="auto"/>
            <w:vMerge w:val="continue"/>
            <w:vAlign w:val="center"/>
          </w:tcPr>
          <w:p w14:paraId="63C5EEFD">
            <w:pPr>
              <w:pStyle w:val="6"/>
              <w:rPr>
                <w:rFonts w:hint="eastAsia" w:ascii="仿宋" w:hAnsi="仿宋" w:eastAsia="仿宋"/>
                <w:color w:val="auto"/>
                <w:kern w:val="0"/>
                <w:szCs w:val="21"/>
              </w:rPr>
            </w:pPr>
          </w:p>
        </w:tc>
        <w:tc>
          <w:tcPr>
            <w:tcW w:w="0" w:type="auto"/>
            <w:vAlign w:val="center"/>
          </w:tcPr>
          <w:p w14:paraId="6207D304">
            <w:pPr>
              <w:pStyle w:val="6"/>
              <w:rPr>
                <w:rFonts w:hint="eastAsia"/>
                <w:color w:val="auto"/>
              </w:rPr>
            </w:pPr>
            <w:r>
              <w:rPr>
                <w:color w:val="auto"/>
              </w:rPr>
              <w:t>树状多点还原</w:t>
            </w:r>
          </w:p>
        </w:tc>
        <w:tc>
          <w:tcPr>
            <w:tcW w:w="0" w:type="auto"/>
          </w:tcPr>
          <w:p w14:paraId="4A1DBB65">
            <w:pPr>
              <w:rPr>
                <w:color w:val="auto"/>
              </w:rPr>
            </w:pPr>
            <w:r>
              <w:rPr>
                <w:color w:val="auto"/>
              </w:rPr>
              <w:t>采用树状多点还原技术，最高支持建立254个还原点，每个还原点皆各自独立；</w:t>
            </w:r>
            <w:r>
              <w:rPr>
                <w:rFonts w:hint="eastAsia"/>
                <w:color w:val="auto"/>
              </w:rPr>
              <w:t xml:space="preserve"> </w:t>
            </w:r>
          </w:p>
        </w:tc>
      </w:tr>
      <w:tr w14:paraId="6EB0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B90B1E9">
            <w:pPr>
              <w:rPr>
                <w:color w:val="auto"/>
              </w:rPr>
            </w:pPr>
            <w:r>
              <w:rPr>
                <w:color w:val="auto"/>
              </w:rPr>
              <w:t>195</w:t>
            </w:r>
          </w:p>
        </w:tc>
        <w:tc>
          <w:tcPr>
            <w:tcW w:w="0" w:type="auto"/>
            <w:vMerge w:val="continue"/>
            <w:vAlign w:val="center"/>
          </w:tcPr>
          <w:p w14:paraId="11A64406">
            <w:pPr>
              <w:pStyle w:val="6"/>
              <w:rPr>
                <w:rFonts w:hint="eastAsia" w:ascii="仿宋" w:hAnsi="仿宋" w:eastAsia="仿宋"/>
                <w:color w:val="auto"/>
                <w:kern w:val="0"/>
                <w:szCs w:val="21"/>
              </w:rPr>
            </w:pPr>
          </w:p>
        </w:tc>
        <w:tc>
          <w:tcPr>
            <w:tcW w:w="0" w:type="auto"/>
            <w:vAlign w:val="center"/>
          </w:tcPr>
          <w:p w14:paraId="45D321D5">
            <w:pPr>
              <w:pStyle w:val="6"/>
              <w:rPr>
                <w:rFonts w:hint="eastAsia"/>
                <w:color w:val="auto"/>
              </w:rPr>
            </w:pPr>
            <w:r>
              <w:rPr>
                <w:rFonts w:hint="eastAsia" w:ascii="宋体" w:hAnsi="宋体"/>
                <w:b/>
                <w:color w:val="auto"/>
                <w:kern w:val="0"/>
                <w:sz w:val="18"/>
                <w:szCs w:val="18"/>
              </w:rPr>
              <w:t>△</w:t>
            </w:r>
            <w:r>
              <w:rPr>
                <w:color w:val="auto"/>
              </w:rPr>
              <w:t>网络同传</w:t>
            </w:r>
          </w:p>
        </w:tc>
        <w:tc>
          <w:tcPr>
            <w:tcW w:w="0" w:type="auto"/>
          </w:tcPr>
          <w:p w14:paraId="7B454E3B">
            <w:pPr>
              <w:rPr>
                <w:color w:val="auto"/>
              </w:rPr>
            </w:pPr>
            <w:r>
              <w:rPr>
                <w:color w:val="auto"/>
              </w:rPr>
              <w:t>支持网络同传功能，可方便快速的进行远程系统部署并监控客户端的网卡发包率，硬盘读写速度（提供功能截图证明）</w:t>
            </w:r>
            <w:r>
              <w:rPr>
                <w:rFonts w:hint="eastAsia"/>
                <w:color w:val="auto"/>
              </w:rPr>
              <w:t>；</w:t>
            </w:r>
          </w:p>
        </w:tc>
      </w:tr>
      <w:tr w14:paraId="52D6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7E04E02">
            <w:pPr>
              <w:rPr>
                <w:color w:val="auto"/>
              </w:rPr>
            </w:pPr>
            <w:r>
              <w:rPr>
                <w:color w:val="auto"/>
              </w:rPr>
              <w:t>196</w:t>
            </w:r>
          </w:p>
        </w:tc>
        <w:tc>
          <w:tcPr>
            <w:tcW w:w="0" w:type="auto"/>
            <w:vMerge w:val="continue"/>
            <w:vAlign w:val="center"/>
          </w:tcPr>
          <w:p w14:paraId="5BA18DA1">
            <w:pPr>
              <w:pStyle w:val="6"/>
              <w:rPr>
                <w:rFonts w:hint="eastAsia" w:ascii="仿宋" w:hAnsi="仿宋" w:eastAsia="仿宋"/>
                <w:color w:val="auto"/>
                <w:kern w:val="0"/>
                <w:szCs w:val="21"/>
              </w:rPr>
            </w:pPr>
          </w:p>
        </w:tc>
        <w:tc>
          <w:tcPr>
            <w:tcW w:w="0" w:type="auto"/>
            <w:vAlign w:val="center"/>
          </w:tcPr>
          <w:p w14:paraId="1A74F4BC">
            <w:pPr>
              <w:pStyle w:val="6"/>
              <w:rPr>
                <w:rFonts w:hint="eastAsia"/>
                <w:color w:val="auto"/>
              </w:rPr>
            </w:pPr>
            <w:r>
              <w:rPr>
                <w:rFonts w:hint="eastAsia" w:ascii="宋体" w:hAnsi="宋体"/>
                <w:b/>
                <w:color w:val="auto"/>
                <w:kern w:val="0"/>
                <w:sz w:val="18"/>
                <w:szCs w:val="18"/>
              </w:rPr>
              <w:t>△</w:t>
            </w:r>
            <w:r>
              <w:rPr>
                <w:color w:val="auto"/>
              </w:rPr>
              <w:t>远程功能</w:t>
            </w:r>
          </w:p>
        </w:tc>
        <w:tc>
          <w:tcPr>
            <w:tcW w:w="0" w:type="auto"/>
          </w:tcPr>
          <w:p w14:paraId="3760333F">
            <w:pPr>
              <w:rPr>
                <w:color w:val="auto"/>
              </w:rPr>
            </w:pPr>
            <w:r>
              <w:rPr>
                <w:color w:val="auto"/>
              </w:rPr>
              <w:t>支持远程喚醒、远程重新启动、远程关机功能（提供功能截图证明）</w:t>
            </w:r>
            <w:r>
              <w:rPr>
                <w:rFonts w:hint="eastAsia"/>
                <w:color w:val="auto"/>
              </w:rPr>
              <w:t>；</w:t>
            </w:r>
          </w:p>
        </w:tc>
      </w:tr>
      <w:tr w14:paraId="6CB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569E818A">
            <w:pPr>
              <w:rPr>
                <w:color w:val="auto"/>
              </w:rPr>
            </w:pPr>
            <w:r>
              <w:rPr>
                <w:color w:val="auto"/>
              </w:rPr>
              <w:t>197</w:t>
            </w:r>
          </w:p>
        </w:tc>
        <w:tc>
          <w:tcPr>
            <w:tcW w:w="0" w:type="auto"/>
            <w:vMerge w:val="continue"/>
            <w:vAlign w:val="center"/>
          </w:tcPr>
          <w:p w14:paraId="61269E04">
            <w:pPr>
              <w:pStyle w:val="6"/>
              <w:rPr>
                <w:rFonts w:hint="eastAsia" w:ascii="仿宋" w:hAnsi="仿宋" w:eastAsia="仿宋"/>
                <w:color w:val="auto"/>
                <w:kern w:val="0"/>
                <w:szCs w:val="21"/>
              </w:rPr>
            </w:pPr>
          </w:p>
        </w:tc>
        <w:tc>
          <w:tcPr>
            <w:tcW w:w="0" w:type="auto"/>
            <w:vAlign w:val="center"/>
          </w:tcPr>
          <w:p w14:paraId="44194D2C">
            <w:pPr>
              <w:pStyle w:val="6"/>
              <w:rPr>
                <w:rFonts w:hint="eastAsia"/>
                <w:color w:val="auto"/>
              </w:rPr>
            </w:pPr>
            <w:r>
              <w:rPr>
                <w:rFonts w:hint="eastAsia" w:ascii="宋体" w:hAnsi="宋体"/>
                <w:b/>
                <w:color w:val="auto"/>
                <w:kern w:val="0"/>
                <w:sz w:val="18"/>
                <w:szCs w:val="18"/>
              </w:rPr>
              <w:t>△</w:t>
            </w:r>
            <w:r>
              <w:rPr>
                <w:color w:val="auto"/>
              </w:rPr>
              <w:t>网页过滤</w:t>
            </w:r>
          </w:p>
        </w:tc>
        <w:tc>
          <w:tcPr>
            <w:tcW w:w="0" w:type="auto"/>
          </w:tcPr>
          <w:p w14:paraId="6251BF72">
            <w:pPr>
              <w:rPr>
                <w:color w:val="auto"/>
              </w:rPr>
            </w:pPr>
            <w:r>
              <w:rPr>
                <w:color w:val="auto"/>
              </w:rPr>
              <w:t>网页过滤功能，可控制客户端是否能上网，或者设定机房内计算机内外网的访问黑白名单（提供功能截图证明）</w:t>
            </w:r>
            <w:r>
              <w:rPr>
                <w:rFonts w:hint="eastAsia"/>
                <w:color w:val="auto"/>
              </w:rPr>
              <w:t>；</w:t>
            </w:r>
          </w:p>
        </w:tc>
      </w:tr>
      <w:tr w14:paraId="4828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3F74B33C">
            <w:pPr>
              <w:rPr>
                <w:color w:val="auto"/>
              </w:rPr>
            </w:pPr>
            <w:r>
              <w:rPr>
                <w:color w:val="auto"/>
              </w:rPr>
              <w:t>198</w:t>
            </w:r>
          </w:p>
        </w:tc>
        <w:tc>
          <w:tcPr>
            <w:tcW w:w="0" w:type="auto"/>
            <w:vMerge w:val="continue"/>
            <w:vAlign w:val="center"/>
          </w:tcPr>
          <w:p w14:paraId="4FABEEB6">
            <w:pPr>
              <w:pStyle w:val="6"/>
              <w:rPr>
                <w:rFonts w:hint="eastAsia" w:ascii="仿宋" w:hAnsi="仿宋" w:eastAsia="仿宋"/>
                <w:color w:val="auto"/>
                <w:kern w:val="0"/>
                <w:szCs w:val="21"/>
              </w:rPr>
            </w:pPr>
          </w:p>
        </w:tc>
        <w:tc>
          <w:tcPr>
            <w:tcW w:w="0" w:type="auto"/>
            <w:vAlign w:val="center"/>
          </w:tcPr>
          <w:p w14:paraId="446E87A7">
            <w:pPr>
              <w:pStyle w:val="6"/>
              <w:rPr>
                <w:rFonts w:hint="eastAsia"/>
                <w:color w:val="auto"/>
              </w:rPr>
            </w:pPr>
            <w:r>
              <w:rPr>
                <w:rFonts w:hint="eastAsia"/>
                <w:color w:val="auto"/>
              </w:rPr>
              <w:t>智能定位</w:t>
            </w:r>
          </w:p>
        </w:tc>
        <w:tc>
          <w:tcPr>
            <w:tcW w:w="0" w:type="auto"/>
          </w:tcPr>
          <w:p w14:paraId="5F41E720">
            <w:pPr>
              <w:rPr>
                <w:color w:val="auto"/>
              </w:rPr>
            </w:pPr>
            <w:r>
              <w:rPr>
                <w:rFonts w:hint="eastAsia"/>
                <w:color w:val="auto"/>
              </w:rPr>
              <w:t>支持智能定位故障及功能，可监测网卡丢包率、硬盘读写率、最慢机I</w:t>
            </w:r>
            <w:r>
              <w:rPr>
                <w:color w:val="auto"/>
              </w:rPr>
              <w:t>P</w:t>
            </w:r>
            <w:r>
              <w:rPr>
                <w:rFonts w:hint="eastAsia"/>
                <w:color w:val="auto"/>
              </w:rPr>
              <w:t>，自动调节延迟；</w:t>
            </w:r>
          </w:p>
        </w:tc>
      </w:tr>
      <w:tr w14:paraId="16F3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61885469">
            <w:pPr>
              <w:rPr>
                <w:color w:val="auto"/>
              </w:rPr>
            </w:pPr>
            <w:r>
              <w:rPr>
                <w:color w:val="auto"/>
              </w:rPr>
              <w:t>199</w:t>
            </w:r>
          </w:p>
        </w:tc>
        <w:tc>
          <w:tcPr>
            <w:tcW w:w="0" w:type="auto"/>
            <w:vMerge w:val="continue"/>
            <w:vAlign w:val="center"/>
          </w:tcPr>
          <w:p w14:paraId="4C7A4E43">
            <w:pPr>
              <w:pStyle w:val="6"/>
              <w:rPr>
                <w:rFonts w:hint="eastAsia" w:ascii="仿宋" w:hAnsi="仿宋" w:eastAsia="仿宋"/>
                <w:color w:val="auto"/>
                <w:kern w:val="0"/>
                <w:szCs w:val="21"/>
              </w:rPr>
            </w:pPr>
          </w:p>
        </w:tc>
        <w:tc>
          <w:tcPr>
            <w:tcW w:w="0" w:type="auto"/>
            <w:vAlign w:val="center"/>
          </w:tcPr>
          <w:p w14:paraId="68377023">
            <w:pPr>
              <w:pStyle w:val="6"/>
              <w:rPr>
                <w:rFonts w:hint="eastAsia"/>
                <w:color w:val="auto"/>
              </w:rPr>
            </w:pPr>
            <w:r>
              <w:rPr>
                <w:rFonts w:hint="eastAsia" w:ascii="宋体" w:hAnsi="宋体"/>
                <w:b/>
                <w:color w:val="auto"/>
                <w:kern w:val="0"/>
                <w:sz w:val="18"/>
                <w:szCs w:val="18"/>
              </w:rPr>
              <w:t>△</w:t>
            </w:r>
            <w:r>
              <w:rPr>
                <w:color w:val="auto"/>
              </w:rPr>
              <w:t>外设管控</w:t>
            </w:r>
          </w:p>
        </w:tc>
        <w:tc>
          <w:tcPr>
            <w:tcW w:w="0" w:type="auto"/>
          </w:tcPr>
          <w:p w14:paraId="641EDE99">
            <w:pPr>
              <w:rPr>
                <w:color w:val="auto"/>
              </w:rPr>
            </w:pPr>
            <w:r>
              <w:rPr>
                <w:color w:val="auto"/>
              </w:rPr>
              <w:t>支持客户端禁止使用USB、DVD/CD-ROM存储设备（提供功能截图证明）</w:t>
            </w:r>
            <w:r>
              <w:rPr>
                <w:rFonts w:hint="eastAsia"/>
                <w:color w:val="auto"/>
              </w:rPr>
              <w:t>；</w:t>
            </w:r>
          </w:p>
        </w:tc>
      </w:tr>
      <w:tr w14:paraId="2C3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2A0E52E4">
            <w:pPr>
              <w:rPr>
                <w:color w:val="auto"/>
              </w:rPr>
            </w:pPr>
            <w:r>
              <w:rPr>
                <w:color w:val="auto"/>
              </w:rPr>
              <w:t>200</w:t>
            </w:r>
          </w:p>
        </w:tc>
        <w:tc>
          <w:tcPr>
            <w:tcW w:w="0" w:type="auto"/>
            <w:vMerge w:val="continue"/>
            <w:vAlign w:val="center"/>
          </w:tcPr>
          <w:p w14:paraId="72E78D52">
            <w:pPr>
              <w:pStyle w:val="6"/>
              <w:rPr>
                <w:rFonts w:hint="eastAsia" w:ascii="仿宋" w:hAnsi="仿宋" w:eastAsia="仿宋"/>
                <w:color w:val="auto"/>
                <w:kern w:val="0"/>
                <w:szCs w:val="21"/>
              </w:rPr>
            </w:pPr>
          </w:p>
        </w:tc>
        <w:tc>
          <w:tcPr>
            <w:tcW w:w="0" w:type="auto"/>
            <w:vAlign w:val="center"/>
          </w:tcPr>
          <w:p w14:paraId="2F317FCB">
            <w:pPr>
              <w:pStyle w:val="6"/>
              <w:rPr>
                <w:rFonts w:hint="eastAsia"/>
                <w:color w:val="auto"/>
              </w:rPr>
            </w:pPr>
            <w:r>
              <w:rPr>
                <w:rFonts w:hint="eastAsia"/>
                <w:color w:val="auto"/>
              </w:rPr>
              <w:t>B</w:t>
            </w:r>
            <w:r>
              <w:rPr>
                <w:color w:val="auto"/>
              </w:rPr>
              <w:t>IOS</w:t>
            </w:r>
            <w:r>
              <w:rPr>
                <w:rFonts w:hint="eastAsia"/>
                <w:color w:val="auto"/>
              </w:rPr>
              <w:t>同传及恢复</w:t>
            </w:r>
          </w:p>
        </w:tc>
        <w:tc>
          <w:tcPr>
            <w:tcW w:w="0" w:type="auto"/>
          </w:tcPr>
          <w:p w14:paraId="3E0EA15B">
            <w:pPr>
              <w:rPr>
                <w:color w:val="auto"/>
              </w:rPr>
            </w:pPr>
            <w:r>
              <w:rPr>
                <w:rFonts w:hint="eastAsia"/>
                <w:color w:val="auto"/>
              </w:rPr>
              <w:t>支持B</w:t>
            </w:r>
            <w:r>
              <w:rPr>
                <w:color w:val="auto"/>
              </w:rPr>
              <w:t>IOS</w:t>
            </w:r>
            <w:r>
              <w:rPr>
                <w:rFonts w:hint="eastAsia"/>
                <w:color w:val="auto"/>
              </w:rPr>
              <w:t>同传及恢复，发送端修改B</w:t>
            </w:r>
            <w:r>
              <w:rPr>
                <w:color w:val="auto"/>
              </w:rPr>
              <w:t>IOS</w:t>
            </w:r>
            <w:r>
              <w:rPr>
                <w:rFonts w:hint="eastAsia"/>
                <w:color w:val="auto"/>
              </w:rPr>
              <w:t>设置后可同传至客户端机器；</w:t>
            </w:r>
          </w:p>
        </w:tc>
      </w:tr>
      <w:tr w14:paraId="7E5C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75480B82">
            <w:pPr>
              <w:rPr>
                <w:color w:val="auto"/>
              </w:rPr>
            </w:pPr>
            <w:r>
              <w:rPr>
                <w:color w:val="auto"/>
              </w:rPr>
              <w:t>201</w:t>
            </w:r>
          </w:p>
        </w:tc>
        <w:tc>
          <w:tcPr>
            <w:tcW w:w="0" w:type="auto"/>
            <w:vMerge w:val="continue"/>
            <w:vAlign w:val="center"/>
          </w:tcPr>
          <w:p w14:paraId="669CA150">
            <w:pPr>
              <w:pStyle w:val="6"/>
              <w:rPr>
                <w:rFonts w:hint="eastAsia" w:ascii="仿宋" w:hAnsi="仿宋" w:eastAsia="仿宋"/>
                <w:color w:val="auto"/>
                <w:kern w:val="0"/>
                <w:szCs w:val="21"/>
              </w:rPr>
            </w:pPr>
          </w:p>
        </w:tc>
        <w:tc>
          <w:tcPr>
            <w:tcW w:w="0" w:type="auto"/>
            <w:vAlign w:val="center"/>
          </w:tcPr>
          <w:p w14:paraId="75ACA0F6">
            <w:pPr>
              <w:pStyle w:val="6"/>
              <w:rPr>
                <w:rFonts w:hint="eastAsia"/>
                <w:color w:val="auto"/>
              </w:rPr>
            </w:pPr>
            <w:r>
              <w:rPr>
                <w:rFonts w:hint="eastAsia" w:ascii="宋体" w:hAnsi="宋体"/>
                <w:b/>
                <w:color w:val="auto"/>
                <w:kern w:val="0"/>
                <w:sz w:val="18"/>
                <w:szCs w:val="18"/>
              </w:rPr>
              <w:t>△</w:t>
            </w:r>
            <w:r>
              <w:rPr>
                <w:color w:val="auto"/>
              </w:rPr>
              <w:t>开机选单</w:t>
            </w:r>
          </w:p>
        </w:tc>
        <w:tc>
          <w:tcPr>
            <w:tcW w:w="0" w:type="auto"/>
          </w:tcPr>
          <w:p w14:paraId="5B11C14A">
            <w:pPr>
              <w:rPr>
                <w:color w:val="auto"/>
              </w:rPr>
            </w:pPr>
            <w:r>
              <w:rPr>
                <w:color w:val="auto"/>
              </w:rPr>
              <w:t>支持【开机选单】不动作时自动关机功能和自动进入操作系统（提供功能截图证明）</w:t>
            </w:r>
            <w:r>
              <w:rPr>
                <w:rFonts w:hint="eastAsia"/>
                <w:color w:val="auto"/>
              </w:rPr>
              <w:t>；</w:t>
            </w:r>
          </w:p>
        </w:tc>
      </w:tr>
      <w:tr w14:paraId="4936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15FFD1FA">
            <w:pPr>
              <w:rPr>
                <w:color w:val="auto"/>
              </w:rPr>
            </w:pPr>
            <w:r>
              <w:rPr>
                <w:color w:val="auto"/>
              </w:rPr>
              <w:t>202</w:t>
            </w:r>
          </w:p>
        </w:tc>
        <w:tc>
          <w:tcPr>
            <w:tcW w:w="0" w:type="auto"/>
            <w:vMerge w:val="continue"/>
            <w:vAlign w:val="center"/>
          </w:tcPr>
          <w:p w14:paraId="066E9A1B">
            <w:pPr>
              <w:pStyle w:val="6"/>
              <w:rPr>
                <w:rFonts w:hint="eastAsia" w:ascii="仿宋" w:hAnsi="仿宋" w:eastAsia="仿宋"/>
                <w:color w:val="auto"/>
                <w:kern w:val="0"/>
                <w:szCs w:val="21"/>
              </w:rPr>
            </w:pPr>
          </w:p>
        </w:tc>
        <w:tc>
          <w:tcPr>
            <w:tcW w:w="0" w:type="auto"/>
            <w:vAlign w:val="center"/>
          </w:tcPr>
          <w:p w14:paraId="5FF4565C">
            <w:pPr>
              <w:pStyle w:val="6"/>
              <w:rPr>
                <w:rFonts w:hint="eastAsia"/>
                <w:color w:val="auto"/>
              </w:rPr>
            </w:pPr>
            <w:r>
              <w:rPr>
                <w:rFonts w:hint="eastAsia" w:ascii="宋体" w:hAnsi="宋体"/>
                <w:b/>
                <w:color w:val="auto"/>
                <w:kern w:val="0"/>
                <w:sz w:val="18"/>
                <w:szCs w:val="18"/>
              </w:rPr>
              <w:t>△</w:t>
            </w:r>
            <w:r>
              <w:rPr>
                <w:color w:val="auto"/>
              </w:rPr>
              <w:t>软件自动注册</w:t>
            </w:r>
          </w:p>
        </w:tc>
        <w:tc>
          <w:tcPr>
            <w:tcW w:w="0" w:type="auto"/>
          </w:tcPr>
          <w:p w14:paraId="47C8E890">
            <w:pPr>
              <w:rPr>
                <w:color w:val="auto"/>
              </w:rPr>
            </w:pPr>
            <w:r>
              <w:rPr>
                <w:color w:val="auto"/>
              </w:rPr>
              <w:t>支持软件自动注册和KMS（提供功能截图证明）</w:t>
            </w:r>
            <w:r>
              <w:rPr>
                <w:rFonts w:hint="eastAsia"/>
                <w:color w:val="auto"/>
              </w:rPr>
              <w:t>；</w:t>
            </w:r>
          </w:p>
        </w:tc>
      </w:tr>
      <w:tr w14:paraId="25FE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Pr>
          <w:p w14:paraId="2C0CD4BB">
            <w:pPr>
              <w:rPr>
                <w:color w:val="auto"/>
              </w:rPr>
            </w:pPr>
            <w:r>
              <w:rPr>
                <w:color w:val="auto"/>
              </w:rPr>
              <w:t>203</w:t>
            </w:r>
          </w:p>
        </w:tc>
        <w:tc>
          <w:tcPr>
            <w:tcW w:w="0" w:type="auto"/>
            <w:vMerge w:val="continue"/>
            <w:vAlign w:val="center"/>
          </w:tcPr>
          <w:p w14:paraId="2A1268E6">
            <w:pPr>
              <w:pStyle w:val="6"/>
              <w:rPr>
                <w:rFonts w:hint="eastAsia" w:ascii="仿宋" w:hAnsi="仿宋" w:eastAsia="仿宋"/>
                <w:color w:val="auto"/>
                <w:kern w:val="0"/>
                <w:szCs w:val="21"/>
              </w:rPr>
            </w:pPr>
          </w:p>
        </w:tc>
        <w:tc>
          <w:tcPr>
            <w:tcW w:w="0" w:type="auto"/>
            <w:vAlign w:val="center"/>
          </w:tcPr>
          <w:p w14:paraId="4C71031F">
            <w:pPr>
              <w:pStyle w:val="6"/>
              <w:rPr>
                <w:rFonts w:hint="eastAsia"/>
                <w:color w:val="auto"/>
              </w:rPr>
            </w:pPr>
            <w:r>
              <w:rPr>
                <w:color w:val="auto"/>
              </w:rPr>
              <w:t>虚拟磁盘</w:t>
            </w:r>
          </w:p>
        </w:tc>
        <w:tc>
          <w:tcPr>
            <w:tcW w:w="0" w:type="auto"/>
          </w:tcPr>
          <w:p w14:paraId="09D9FCC9">
            <w:pPr>
              <w:rPr>
                <w:color w:val="auto"/>
              </w:rPr>
            </w:pPr>
            <w:r>
              <w:rPr>
                <w:color w:val="auto"/>
              </w:rPr>
              <w:t>支持通过虚拟磁盘功能加载进度环境的高级模式，可在不进入系统的情况下拷贝有效数据</w:t>
            </w:r>
            <w:r>
              <w:rPr>
                <w:rFonts w:hint="eastAsia"/>
                <w:color w:val="auto"/>
              </w:rPr>
              <w:t>。</w:t>
            </w:r>
          </w:p>
        </w:tc>
      </w:tr>
    </w:tbl>
    <w:p w14:paraId="04014206">
      <w:pPr>
        <w:pStyle w:val="12"/>
        <w:spacing w:beforeAutospacing="0" w:afterAutospacing="0" w:line="276"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备注：标有“▲”的技术参数为实质性响应要求，投标人要特别加以注意，必须对此响应并完全满足这些要求，否则将按无效投标处理，标有“△”的技术参数为重要技术要求，负偏离导致扣分。</w:t>
      </w:r>
    </w:p>
    <w:p w14:paraId="4D201202">
      <w:pPr>
        <w:pStyle w:val="2"/>
        <w:rPr>
          <w:rFonts w:hint="eastAsia" w:ascii="仿宋_GB2312" w:hAnsi="仿宋_GB2312" w:eastAsia="仿宋_GB2312" w:cs="仿宋_GB2312"/>
          <w:color w:val="auto"/>
          <w:sz w:val="24"/>
          <w:szCs w:val="24"/>
          <w14:ligatures w14:val="none"/>
        </w:rPr>
      </w:pPr>
      <w:r>
        <w:rPr>
          <w:rFonts w:hint="eastAsia" w:ascii="仿宋_GB2312" w:hAnsi="仿宋_GB2312" w:eastAsia="仿宋_GB2312" w:cs="仿宋_GB2312"/>
          <w:color w:val="auto"/>
          <w:sz w:val="24"/>
          <w:szCs w:val="24"/>
          <w14:ligatures w14:val="none"/>
        </w:rPr>
        <w:t>三、其他技术要求</w:t>
      </w:r>
    </w:p>
    <w:p w14:paraId="2A01573F">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1、投标人应提供所代表品牌厂商原装、全新的、符合国家及用户提出的有关质量标准的设备和产品。</w:t>
      </w:r>
    </w:p>
    <w:p w14:paraId="6D6F31E9">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2、如果因为所代表品牌厂商无法提供的原因而提供其他品牌的设备/部件，投标人应明确说明并提出质量保证承诺。</w:t>
      </w:r>
    </w:p>
    <w:p w14:paraId="6ACA0C50">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3、所有设备、器材在开箱检验时必须完好，无破损，配置与装箱单相符。</w:t>
      </w:r>
    </w:p>
    <w:p w14:paraId="06EE1CBF">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4、所建议的设备的性能应达到或超过指标要求表中所列技术指标。投标人应注意该表的值仅列出了最低限度。投标人在响应建议中必须列出具体数值。</w:t>
      </w:r>
    </w:p>
    <w:p w14:paraId="06DC3F46">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5、投标人在投标文件中建议提供的设备能反映投标人在设备配置技术要求中建议的指标。</w:t>
      </w:r>
    </w:p>
    <w:p w14:paraId="58FF6023">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6、投标人投标时所提供的设备如在实际供货时已经废型（不列入该厂家当时的产品系统），如果未能按原价提供更高配置的设备，则按违约处理。</w:t>
      </w:r>
    </w:p>
    <w:p w14:paraId="78437954">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7、现场勘察</w:t>
      </w:r>
    </w:p>
    <w:p w14:paraId="20AA1B8F">
      <w:pPr>
        <w:spacing w:line="360" w:lineRule="auto"/>
        <w:ind w:firstLine="480" w:firstLineChars="200"/>
        <w:rPr>
          <w:rFonts w:hint="eastAsia" w:ascii="仿宋_GB2312" w:hAnsi="仿宋_GB2312" w:eastAsia="仿宋_GB2312" w:cs="仿宋_GB2312"/>
          <w:strike/>
          <w:color w:val="auto"/>
          <w:sz w:val="24"/>
          <w:szCs w:val="24"/>
          <w:lang w:bidi="ar"/>
        </w:rPr>
      </w:pPr>
      <w:r>
        <w:rPr>
          <w:rFonts w:hint="eastAsia" w:ascii="仿宋_GB2312" w:hAnsi="仿宋_GB2312" w:eastAsia="仿宋_GB2312" w:cs="仿宋_GB2312"/>
          <w:color w:val="auto"/>
          <w:sz w:val="24"/>
          <w:szCs w:val="24"/>
          <w:lang w:bidi="ar"/>
        </w:rPr>
        <w:t>7.1采购人不统一组织现场勘察，投标人可自行决定是否需要对项目所在场地及周围环境进行现场勘察，现场勘察所发生的费用由投标供应商自行承担。</w:t>
      </w:r>
    </w:p>
    <w:p w14:paraId="10A72233">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7.2现场勘察完毕，将认为供应商已了解现场情况，并充分理解了为之所承担的风险、义务和责任。</w:t>
      </w:r>
    </w:p>
    <w:p w14:paraId="4EA6E4BF">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7.3在现场勘察过程中，投标供应商应承担在此期间所造成的人身伤害、财产损失或损坏的责任，无论何种原因所造成，采购人均不负责，如由此导致采购人承担责任的，采购人有权向该供应商行使追偿权。</w:t>
      </w:r>
    </w:p>
    <w:p w14:paraId="6F05C6AF">
      <w:pPr>
        <w:numPr>
          <w:ilvl w:val="0"/>
          <w:numId w:val="3"/>
        </w:num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投标人投标时应提供设备技术偏离情况、企业实力、业绩、质保期、响应能力、项目团队、对项目的理解、整体建设方案、施工组织方案、售后服务方案等材料。</w:t>
      </w:r>
    </w:p>
    <w:p w14:paraId="765C2D46">
      <w:pPr>
        <w:numPr>
          <w:ilvl w:val="0"/>
          <w:numId w:val="3"/>
        </w:num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▲中标人需完成所有设备的安装、调试，</w:t>
      </w:r>
      <w:r>
        <w:rPr>
          <w:rFonts w:hint="eastAsia" w:ascii="仿宋_GB2312" w:hAnsi="仿宋_GB2312" w:eastAsia="仿宋_GB2312" w:cs="仿宋_GB2312"/>
          <w:color w:val="auto"/>
          <w:sz w:val="24"/>
          <w:szCs w:val="24"/>
          <w:lang w:eastAsia="zh-CN" w:bidi="ar"/>
        </w:rPr>
        <w:t>配合采购人做好软件安装工作，</w:t>
      </w:r>
      <w:r>
        <w:rPr>
          <w:rFonts w:hint="eastAsia" w:ascii="仿宋_GB2312" w:hAnsi="仿宋_GB2312" w:eastAsia="仿宋_GB2312" w:cs="仿宋_GB2312"/>
          <w:color w:val="auto"/>
          <w:sz w:val="24"/>
          <w:szCs w:val="24"/>
          <w:lang w:bidi="ar"/>
        </w:rPr>
        <w:t>确保交付时采购人能够直接正常使用。如中标人提供的设备无法正常使用或者兼容系统，需无条件进行整改，直至正常使用为止。</w:t>
      </w:r>
    </w:p>
    <w:p w14:paraId="3F45A99F">
      <w:pPr>
        <w:pStyle w:val="2"/>
        <w:rPr>
          <w:rFonts w:hint="eastAsia" w:ascii="仿宋_GB2312" w:hAnsi="仿宋_GB2312" w:eastAsia="仿宋_GB2312" w:cs="仿宋_GB2312"/>
          <w:color w:val="auto"/>
          <w:sz w:val="24"/>
          <w:szCs w:val="24"/>
          <w14:ligatures w14:val="none"/>
        </w:rPr>
      </w:pPr>
      <w:r>
        <w:rPr>
          <w:rFonts w:hint="eastAsia" w:ascii="仿宋_GB2312" w:hAnsi="仿宋_GB2312" w:eastAsia="仿宋_GB2312" w:cs="仿宋_GB2312"/>
          <w:color w:val="auto"/>
          <w:sz w:val="24"/>
          <w:szCs w:val="24"/>
          <w14:ligatures w14:val="none"/>
        </w:rPr>
        <w:t>四、商务要求：</w:t>
      </w:r>
    </w:p>
    <w:p w14:paraId="69F92667">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实施要求：中标人应负责按合同中规定的建设项目内容完成硬件设计部署，并保证按合同相关要求按时完成硬件及后台相关系统设备安装、调试、运行等工作；施工期间，中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施工单位负责赔偿；提供的设备、配件必须提供随机资料（说明书、合格证、图纸、保修单及操作保养等资料），其他附件及材料必须符合国家有关标准。</w:t>
      </w:r>
    </w:p>
    <w:p w14:paraId="247F7AAA">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2、测试要求：中标人应按照合同要求测试所有硬件，负责合同中所有软硬件的现场部署、现场验收测试。</w:t>
      </w:r>
    </w:p>
    <w:p w14:paraId="2FB93C91">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3、验收要求：</w:t>
      </w:r>
    </w:p>
    <w:p w14:paraId="38497A6F">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3.1本项目要求在合同签订后</w:t>
      </w:r>
      <w:r>
        <w:rPr>
          <w:rFonts w:hint="eastAsia" w:ascii="仿宋_GB2312" w:hAnsi="仿宋_GB2312" w:eastAsia="仿宋_GB2312" w:cs="仿宋_GB2312"/>
          <w:color w:val="auto"/>
          <w:sz w:val="24"/>
          <w:szCs w:val="24"/>
          <w:highlight w:val="none"/>
          <w:lang w:bidi="ar"/>
        </w:rPr>
        <w:t>15个</w:t>
      </w:r>
      <w:r>
        <w:rPr>
          <w:rFonts w:hint="eastAsia" w:ascii="仿宋_GB2312" w:hAnsi="仿宋_GB2312" w:eastAsia="仿宋_GB2312" w:cs="仿宋_GB2312"/>
          <w:color w:val="auto"/>
          <w:sz w:val="24"/>
          <w:szCs w:val="24"/>
          <w:lang w:bidi="ar"/>
        </w:rPr>
        <w:t>工作日内完成全部相关硬件设备的安装调试并通过项目验收。</w:t>
      </w:r>
    </w:p>
    <w:p w14:paraId="38B331C4">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3.2通过测试判断产品质量是否符合产品需求、功能实现是否正确，性能方面是否符合运行要求，并且产品可以最终上线。</w:t>
      </w:r>
    </w:p>
    <w:p w14:paraId="7F4B6617">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3.3采购人负责组织验收小组参与项目验收。</w:t>
      </w:r>
    </w:p>
    <w:p w14:paraId="3DB88FC0">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3.4供货安装完成后，中标供应商应该向采购人提交申请验收报告，并且提供主要货物的出厂合格证书（或报告）等完整的技术档案资料，若中标供应商未能按照上述要求履行的，导致无法及时验收的，则须由中标供应商承担一切责任。</w:t>
      </w:r>
    </w:p>
    <w:p w14:paraId="754CCAF2">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4、报价要求：</w:t>
      </w:r>
    </w:p>
    <w:p w14:paraId="1A1112F1">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4.1投标人应自行勘察现场，如认为有本表未列明的其他必须设备、材料，清单数量不足或需要其他相关费用，由各投标人自行列明并报价，计入投标总价；在项目实施中，由于投标人漏项、错项造成需要增加项目或数量的，由投标人承担，招标人不接受投标人以该项目未列入以上清单或数量不足而要求招标人增加费用。</w:t>
      </w:r>
    </w:p>
    <w:p w14:paraId="02F27648">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4.2投标人应根据招标文件报出合同总价。合同总价一旦核实确认，不得再做更改。对投标人漏报致使系统未能达到需求的功能和效果，其费用和后果由投标人自行负责。</w:t>
      </w:r>
    </w:p>
    <w:p w14:paraId="56336A03">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4.3在符合总体要求的前提下，投标人可对招标文件中没有提及的内容，按自己的理解适当增加，但有关价格及费用必须在报价文件中单独列出，并说明理由。</w:t>
      </w:r>
    </w:p>
    <w:p w14:paraId="546006E9">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4.4所有报价均应已包含国家规定的所有税费、项目采购委托费、第三方质量检测费等。</w:t>
      </w:r>
    </w:p>
    <w:p w14:paraId="636C0AA5">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w:t>
      </w:r>
      <w:r>
        <w:rPr>
          <w:rFonts w:hint="eastAsia" w:ascii="仿宋_GB2312" w:hAnsi="仿宋_GB2312" w:eastAsia="仿宋_GB2312" w:cs="仿宋_GB2312"/>
          <w:color w:val="auto"/>
          <w:sz w:val="24"/>
          <w:szCs w:val="24"/>
          <w:lang w:val="en-US" w:eastAsia="zh-CN" w:bidi="ar"/>
        </w:rPr>
        <w:t>5</w:t>
      </w:r>
      <w:r>
        <w:rPr>
          <w:rFonts w:hint="eastAsia" w:ascii="仿宋_GB2312" w:hAnsi="仿宋_GB2312" w:eastAsia="仿宋_GB2312" w:cs="仿宋_GB2312"/>
          <w:color w:val="auto"/>
          <w:sz w:val="24"/>
          <w:szCs w:val="24"/>
          <w:lang w:bidi="ar"/>
        </w:rPr>
        <w:t>本次采购的供货除包括上述设备外，还应包括随机随机软件、技术资料（包括操作手册、使用指南、维修指南和含维修网点在内的服务手册等）、设备运行所必需的随机消耗材料，相应的技术服务与质量保证。</w:t>
      </w:r>
    </w:p>
    <w:p w14:paraId="75069B1B">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▲5、质保要求：本项目要求至少三年整体质保（项目终验通过之日起计算），原厂质保期高于投标人质保承诺的按原厂执行。</w:t>
      </w:r>
    </w:p>
    <w:p w14:paraId="003B0AFB">
      <w:pPr>
        <w:pStyle w:val="2"/>
        <w:rPr>
          <w:rFonts w:hint="eastAsia" w:ascii="仿宋_GB2312" w:hAnsi="仿宋_GB2312" w:eastAsia="仿宋_GB2312" w:cs="仿宋_GB2312"/>
          <w:color w:val="auto"/>
          <w:sz w:val="24"/>
          <w:szCs w:val="24"/>
          <w14:ligatures w14:val="none"/>
        </w:rPr>
      </w:pPr>
      <w:r>
        <w:rPr>
          <w:rFonts w:hint="eastAsia" w:ascii="仿宋_GB2312" w:hAnsi="仿宋_GB2312" w:eastAsia="仿宋_GB2312" w:cs="仿宋_GB2312"/>
          <w:color w:val="auto"/>
          <w:sz w:val="24"/>
          <w:szCs w:val="24"/>
          <w14:ligatures w14:val="none"/>
        </w:rPr>
        <w:t>五、其他要求：</w:t>
      </w:r>
    </w:p>
    <w:p w14:paraId="0D2B46B3">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1要求投标人提供的服务不得低于标准服务，即与投标设备制造厂商通过网站等对外公布的有效服务标准相一致（投标人不得另行制作网页）。在标准服务基础上，投标人还应达到以下标准：</w:t>
      </w:r>
    </w:p>
    <w:p w14:paraId="7B145B77">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投标货物制造厂商应具有完善的服务保障体系（在最终供货地有直接设立或授权的售后服务机构，配备有足够的、有相应资质的专业技术人员）；供应商也应就投标货物的品质和服务对采购机构和采购单位负责。</w:t>
      </w:r>
    </w:p>
    <w:p w14:paraId="2917CD0F">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3投标人应明确说明此次投标的服务策略，提供此次投标货物的服务计划（售后服务内容、等级、相关服务指标、售后服务组织机构及人员安排情况及其联络信息）。</w:t>
      </w:r>
    </w:p>
    <w:p w14:paraId="5F643935">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4在投标货物质保期内，供应商应提供不低于三年7</w:t>
      </w:r>
      <w:r>
        <w:rPr>
          <w:rFonts w:hint="eastAsia" w:ascii="仿宋_GB2312" w:hAnsi="仿宋_GB2312" w:eastAsia="仿宋_GB2312" w:cs="仿宋_GB2312"/>
          <w:color w:val="auto"/>
          <w:sz w:val="24"/>
          <w:szCs w:val="24"/>
          <w:lang w:val="en-US" w:eastAsia="zh-CN" w:bidi="ar"/>
        </w:rPr>
        <w:t>*</w:t>
      </w:r>
      <w:r>
        <w:rPr>
          <w:rFonts w:hint="eastAsia" w:ascii="仿宋_GB2312" w:hAnsi="仿宋_GB2312" w:eastAsia="仿宋_GB2312" w:cs="仿宋_GB2312"/>
          <w:color w:val="auto"/>
          <w:sz w:val="24"/>
          <w:szCs w:val="24"/>
          <w:lang w:bidi="ar"/>
        </w:rPr>
        <w:t xml:space="preserve">24小时的现场质保和技术支持服务，对故障能即时响应，1小时以内到现场，4小时以内解决问题；不能当场修复的，必须采取提供备品、备件或备机等措施，以保证采购人的正常使用。如果逾期未作出响应，供应商应承担由于故障所造成的全部损失。 </w:t>
      </w:r>
    </w:p>
    <w:p w14:paraId="117AF10B">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5当投标货物发生非人为因素严重故障时，供应商应当免费在七日内将补充或者更换的货物运抵发生故障的货物所在地，由此产生的一切相关费用由供应商负担。</w:t>
      </w:r>
    </w:p>
    <w:p w14:paraId="4B1C25FD">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6质保期内所有因更换或修理设备或部件而导致设备停止运行的时间应从其质保期内扣除。</w:t>
      </w:r>
    </w:p>
    <w:p w14:paraId="59310D74">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7供应商在质保期内安装的任何零配件，必须是其投标设备制造厂商原产的或是经其认可的。</w:t>
      </w:r>
    </w:p>
    <w:p w14:paraId="4CCC9C9A">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8所有的替代零配件必须是新的未使用和未经修复的，除非最终用户提供书面许可，否则不可使用此范围外的其他（非新的）配件。</w:t>
      </w:r>
    </w:p>
    <w:p w14:paraId="0FBBA804">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9供应商必须为维修和技术支持所未能解决的问题和故障提供正式的升级方案。</w:t>
      </w:r>
    </w:p>
    <w:p w14:paraId="704A7C3A">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10在质保期内，供应商有责任解决所提供的投标设备和软件系统的任何问题，在质保期满后，当需要时供应商仍须对因投标设备本身的固有缺陷和瑕疵承担相应责任。</w:t>
      </w:r>
    </w:p>
    <w:p w14:paraId="1BC54B15">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▲11免费运维服务（等同于质保期）：系统调试开通移交后，甲方（采购人）组织人员在设备乙方（供应商）的指导下上岗操作，乙方进行系统维护；运维期同质保期。</w:t>
      </w:r>
    </w:p>
    <w:p w14:paraId="7EDB68E5">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12设立专业的运行维护服务队伍：</w:t>
      </w:r>
    </w:p>
    <w:p w14:paraId="053B9B63">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1提供7</w:t>
      </w:r>
      <w:r>
        <w:rPr>
          <w:rFonts w:hint="eastAsia" w:ascii="仿宋_GB2312" w:hAnsi="仿宋_GB2312" w:eastAsia="仿宋_GB2312" w:cs="仿宋_GB2312"/>
          <w:color w:val="auto"/>
          <w:sz w:val="24"/>
          <w:szCs w:val="24"/>
          <w:lang w:val="en-US" w:eastAsia="zh-CN" w:bidi="ar"/>
        </w:rPr>
        <w:t>*</w:t>
      </w:r>
      <w:r>
        <w:rPr>
          <w:rFonts w:hint="eastAsia" w:ascii="仿宋_GB2312" w:hAnsi="仿宋_GB2312" w:eastAsia="仿宋_GB2312" w:cs="仿宋_GB2312"/>
          <w:color w:val="auto"/>
          <w:sz w:val="24"/>
          <w:szCs w:val="24"/>
          <w:lang w:bidi="ar"/>
        </w:rPr>
        <w:t>24小时电话技术支持。1小时以内到现场，对于4小时内不能排除系统、设备故障的，应提供必要的备机备件，以确保各系统的正常运行。</w:t>
      </w:r>
    </w:p>
    <w:p w14:paraId="24F1F5D1">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2定期、日常维护巡检。每一季度进行一次系统设备的状态和运行情况、对专用设备进行清洁维护保养等工作。</w:t>
      </w:r>
    </w:p>
    <w:p w14:paraId="60A2C4B4">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3遇重大活动，接到甲方通知后，必须无条件派工程师实行现场技术保障，确保系统在活动期间正常运行。</w:t>
      </w:r>
    </w:p>
    <w:p w14:paraId="44B1FD1F">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13、交货地点要求：使用单位指定地点，投标人须派专业人员将产品送到指定地点并安装调试完毕，其所有费用由投标人承担。</w:t>
      </w:r>
    </w:p>
    <w:p w14:paraId="034DE93D">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14、中标人应免费提供技术培训服务（包括授课费、资料费、参加培训人员的差旅食宿费）。投标人需在投标文件中列出详细的技术培训计划，包括培训课程、参加培训的人数、培训时间、培训地点等。</w:t>
      </w:r>
    </w:p>
    <w:p w14:paraId="4C0F785F">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培训方式：包括但不仅限于现场培训及集中培训。</w:t>
      </w:r>
    </w:p>
    <w:p w14:paraId="38EDE94A">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①现场培训：在设备系统到位时，将有针对性的对于不同的人员进行现场的实际培训，主要包括所安装的各项系统的基本安装步骤、维护、性能调试的数据指标；</w:t>
      </w:r>
    </w:p>
    <w:p w14:paraId="50614225">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②集中培训：准备好培训相关培训资料和教材，对日常操作人员和系统维护人员进行集中培训，培训次数不少于2次（以甲方实际要求为准）。</w:t>
      </w:r>
    </w:p>
    <w:p w14:paraId="65970041">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③中标人为甲方提供的培训包括系统培训和设备培训，其中中标人需负责协调各设备供应商提供相关设备培训，整个培训由中标人召集和组织，由各设备供应商协助举办，期间所产生的相关费用由中标人承担。</w:t>
      </w:r>
    </w:p>
    <w:p w14:paraId="52B671F1">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④投标人须专门设立一个培训组（不少于2人）负责本次项目的培训任务，所有培训人员由资深管理人员和技术人员担当，所有主要培训人员都具有三年以上的实际教学经验。</w:t>
      </w:r>
    </w:p>
    <w:p w14:paraId="59856392">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⑤在项目正式实施前，中标人现场施工技术人员需对用户相关子系统的技术人员进行简单的培训，实施过程中，进行全程项目同步培训，培训人数根据项目的实际情况，每次培训的人员数量将以甲方的需求为准。</w:t>
      </w:r>
    </w:p>
    <w:p w14:paraId="0460E55F">
      <w:pPr>
        <w:spacing w:line="360" w:lineRule="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培训时间及地点：</w:t>
      </w:r>
      <w:r>
        <w:rPr>
          <w:rFonts w:hint="eastAsia" w:ascii="仿宋_GB2312" w:hAnsi="仿宋_GB2312" w:eastAsia="仿宋_GB2312" w:cs="仿宋_GB2312"/>
          <w:color w:val="auto"/>
          <w:sz w:val="24"/>
          <w:szCs w:val="24"/>
          <w:u w:val="single"/>
          <w:lang w:bidi="ar"/>
        </w:rPr>
        <w:t xml:space="preserve">                           </w:t>
      </w:r>
    </w:p>
    <w:p w14:paraId="1366D50C">
      <w:pPr>
        <w:spacing w:line="360" w:lineRule="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    时间：</w:t>
      </w:r>
      <w:r>
        <w:rPr>
          <w:rFonts w:hint="eastAsia" w:ascii="仿宋_GB2312" w:hAnsi="仿宋_GB2312" w:eastAsia="仿宋_GB2312" w:cs="仿宋_GB2312"/>
          <w:color w:val="auto"/>
          <w:sz w:val="24"/>
          <w:szCs w:val="24"/>
          <w:u w:val="single"/>
          <w:lang w:bidi="ar"/>
        </w:rPr>
        <w:t xml:space="preserve">                               </w:t>
      </w:r>
    </w:p>
    <w:p w14:paraId="6D49ED37">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①现场培训随项目实施在现场进行培训；</w:t>
      </w:r>
    </w:p>
    <w:p w14:paraId="2DE48303">
      <w:pPr>
        <w:spacing w:line="360" w:lineRule="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    ②集中系统的培训，时间定于试运行完成后开始，培训时间双方根据项目情况、用户技术人员技术基础情况协商。</w:t>
      </w:r>
    </w:p>
    <w:p w14:paraId="27DDD507">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地点:</w:t>
      </w:r>
      <w:r>
        <w:rPr>
          <w:rFonts w:hint="eastAsia" w:ascii="仿宋_GB2312" w:hAnsi="仿宋_GB2312" w:eastAsia="仿宋_GB2312" w:cs="仿宋_GB2312"/>
          <w:color w:val="auto"/>
          <w:sz w:val="24"/>
          <w:szCs w:val="24"/>
          <w:u w:val="single"/>
          <w:lang w:bidi="ar"/>
        </w:rPr>
        <w:t xml:space="preserve">                                     </w:t>
      </w:r>
    </w:p>
    <w:p w14:paraId="410E1EB5">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①在项目实施期在施工现场作为培训地点予以手把手的培训；</w:t>
      </w:r>
    </w:p>
    <w:p w14:paraId="36938742">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②集中培训地点由双方协商安排培训会址。</w:t>
      </w:r>
    </w:p>
    <w:p w14:paraId="1967CA7E">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15.其他：</w:t>
      </w:r>
    </w:p>
    <w:p w14:paraId="0115D9C8">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1投标人应对招标、实施、操作等过程中采取保密和安全措施，因投标人造成的不良影响和损失，投标人应承担相应责任。</w:t>
      </w:r>
    </w:p>
    <w:p w14:paraId="7F88DC6F">
      <w:pPr>
        <w:spacing w:line="360" w:lineRule="auto"/>
        <w:ind w:firstLine="480" w:firstLineChars="20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2招标人认为投标人提供的产品和服务不能满足需求，可否决、终止本次采购。</w:t>
      </w:r>
    </w:p>
    <w:p w14:paraId="645B399E">
      <w:pPr>
        <w:pStyle w:val="7"/>
        <w:numPr>
          <w:ilvl w:val="0"/>
          <w:numId w:val="4"/>
        </w:numPr>
        <w:rPr>
          <w:rFonts w:hint="default"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付款方式：</w:t>
      </w:r>
    </w:p>
    <w:p w14:paraId="395D34D8">
      <w:pPr>
        <w:pStyle w:val="7"/>
        <w:rPr>
          <w:rFonts w:hint="eastAsia" w:ascii="仿宋_GB2312" w:hAnsi="仿宋_GB2312" w:eastAsia="仿宋_GB2312" w:cs="仿宋_GB2312"/>
          <w:color w:val="auto"/>
        </w:rPr>
      </w:pPr>
      <w:r>
        <w:rPr>
          <w:rFonts w:hint="eastAsia" w:ascii="仿宋_GB2312" w:hAnsi="仿宋_GB2312" w:eastAsia="仿宋_GB2312" w:cs="仿宋_GB2312"/>
          <w:color w:val="auto"/>
        </w:rPr>
        <w:t>预付款：合同签订后，在合同生效后以及具备实施条件后的</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个工作日内，采购单位根据供应商提供的等额正规发票，按财政部门规定的支付方式向供应商支付合同总额的40%到合同约定的供应商账户。</w:t>
      </w:r>
    </w:p>
    <w:p w14:paraId="3C0A2C21">
      <w:pPr>
        <w:pStyle w:val="7"/>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剩余款项：</w:t>
      </w:r>
      <w:r>
        <w:rPr>
          <w:rFonts w:hint="eastAsia" w:ascii="仿宋_GB2312" w:hAnsi="仿宋_GB2312" w:eastAsia="仿宋_GB2312" w:cs="仿宋_GB2312"/>
          <w:color w:val="auto"/>
        </w:rPr>
        <w:t>完成所有设备到货安装调试并初验通过，设备正常运行1个月并终验合格后5个工作日内，按财政部门规定的支付方式支付60%合同款。</w:t>
      </w:r>
    </w:p>
    <w:p w14:paraId="6B47BDCB">
      <w:pPr>
        <w:pStyle w:val="7"/>
        <w:jc w:val="center"/>
        <w:rPr>
          <w:rFonts w:hint="eastAsia" w:ascii="仿宋_GB2312" w:hAnsi="仿宋_GB2312" w:eastAsia="仿宋_GB2312" w:cs="仿宋_GB2312"/>
          <w:color w:val="auto"/>
          <w:sz w:val="24"/>
          <w:szCs w:val="24"/>
        </w:rPr>
      </w:pPr>
    </w:p>
    <w:p w14:paraId="7467B470">
      <w:pPr>
        <w:pStyle w:val="7"/>
        <w:jc w:val="center"/>
        <w:rPr>
          <w:rFonts w:hint="eastAsia" w:ascii="宋体" w:hAnsi="宋体" w:eastAsia="宋体" w:cs="宋体"/>
          <w:color w:val="auto"/>
        </w:rPr>
      </w:pPr>
    </w:p>
    <w:p w14:paraId="77111330">
      <w:pPr>
        <w:pStyle w:val="7"/>
        <w:jc w:val="center"/>
        <w:rPr>
          <w:rFonts w:hint="eastAsia" w:ascii="宋体" w:hAnsi="宋体" w:eastAsia="宋体" w:cs="宋体"/>
          <w:color w:val="auto"/>
        </w:rPr>
      </w:pPr>
    </w:p>
    <w:p w14:paraId="039BCC26">
      <w:pPr>
        <w:rPr>
          <w:rFonts w:hint="eastAsia" w:ascii="宋体" w:hAnsi="宋体" w:eastAsia="宋体" w:cs="宋体"/>
          <w:color w:val="auto"/>
          <w:sz w:val="28"/>
          <w:szCs w:val="28"/>
          <w14:ligatures w14:val="none"/>
        </w:rPr>
      </w:pPr>
      <w:r>
        <w:rPr>
          <w:rFonts w:hint="eastAsia" w:ascii="宋体" w:hAnsi="宋体" w:eastAsia="宋体" w:cs="宋体"/>
          <w:color w:val="auto"/>
          <w:sz w:val="28"/>
          <w:szCs w:val="28"/>
          <w14:ligatures w14:val="none"/>
        </w:rPr>
        <w:br w:type="page"/>
      </w:r>
    </w:p>
    <w:p w14:paraId="08C5FE06">
      <w:pPr>
        <w:pStyle w:val="7"/>
        <w:rPr>
          <w:rFonts w:hint="eastAsia" w:ascii="仿宋_GB2312" w:hAnsi="仿宋_GB2312" w:eastAsia="仿宋_GB2312" w:cs="仿宋_GB2312"/>
          <w:b/>
          <w:color w:val="auto"/>
          <w:sz w:val="32"/>
          <w:szCs w:val="32"/>
          <w:highlight w:val="none"/>
        </w:rPr>
      </w:pPr>
    </w:p>
    <w:p w14:paraId="5C4799A7">
      <w:pPr>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第四部分</w:t>
      </w:r>
      <w:bookmarkStart w:id="27" w:name="_Toc184308054"/>
      <w:bookmarkEnd w:id="27"/>
      <w:bookmarkStart w:id="28" w:name="_Toc184314440"/>
      <w:bookmarkEnd w:id="28"/>
      <w:bookmarkStart w:id="29" w:name="_Toc184308089"/>
      <w:bookmarkEnd w:id="29"/>
      <w:bookmarkStart w:id="30" w:name="_Toc184308041"/>
      <w:bookmarkEnd w:id="30"/>
      <w:bookmarkStart w:id="31" w:name="_Toc184308074"/>
      <w:bookmarkEnd w:id="31"/>
      <w:bookmarkStart w:id="32" w:name="_Toc184310337"/>
      <w:bookmarkEnd w:id="32"/>
      <w:bookmarkStart w:id="33" w:name="_Toc184308087"/>
      <w:bookmarkEnd w:id="33"/>
      <w:bookmarkStart w:id="34" w:name="_Toc184310330"/>
      <w:bookmarkEnd w:id="34"/>
      <w:bookmarkStart w:id="35" w:name="_Toc184310335"/>
      <w:bookmarkEnd w:id="35"/>
      <w:bookmarkStart w:id="36" w:name="_Toc184313282"/>
      <w:bookmarkEnd w:id="36"/>
      <w:bookmarkStart w:id="37" w:name="_Toc184308108"/>
      <w:bookmarkEnd w:id="37"/>
      <w:bookmarkStart w:id="38" w:name="_Toc184314468"/>
      <w:bookmarkEnd w:id="38"/>
      <w:bookmarkStart w:id="39" w:name="_Toc184310325"/>
      <w:bookmarkEnd w:id="39"/>
      <w:bookmarkStart w:id="40" w:name="_Toc184313267"/>
      <w:bookmarkEnd w:id="40"/>
      <w:bookmarkStart w:id="41" w:name="_Toc184314444"/>
      <w:bookmarkEnd w:id="41"/>
      <w:bookmarkStart w:id="42" w:name="_Toc184314416"/>
      <w:bookmarkEnd w:id="42"/>
      <w:bookmarkStart w:id="43" w:name="_Toc184310310"/>
      <w:bookmarkEnd w:id="43"/>
      <w:bookmarkStart w:id="44" w:name="_Toc184308058"/>
      <w:bookmarkEnd w:id="44"/>
      <w:bookmarkStart w:id="45" w:name="_Toc184314475"/>
      <w:bookmarkEnd w:id="45"/>
      <w:bookmarkStart w:id="46" w:name="_Toc184308073"/>
      <w:bookmarkEnd w:id="46"/>
      <w:bookmarkStart w:id="47" w:name="_Toc184314453"/>
      <w:bookmarkEnd w:id="47"/>
      <w:bookmarkStart w:id="48" w:name="_Toc184310343"/>
      <w:bookmarkEnd w:id="48"/>
      <w:bookmarkStart w:id="49" w:name="_Toc184313253"/>
      <w:bookmarkEnd w:id="49"/>
      <w:bookmarkStart w:id="50" w:name="_Toc184313241"/>
      <w:bookmarkEnd w:id="50"/>
      <w:bookmarkStart w:id="51" w:name="_Toc184308078"/>
      <w:bookmarkEnd w:id="51"/>
      <w:bookmarkStart w:id="52" w:name="_Toc184308045"/>
      <w:bookmarkEnd w:id="52"/>
      <w:bookmarkStart w:id="53" w:name="_Toc184314448"/>
      <w:bookmarkEnd w:id="53"/>
      <w:bookmarkStart w:id="54" w:name="_Toc184312104"/>
      <w:bookmarkEnd w:id="54"/>
      <w:bookmarkStart w:id="55" w:name="_Toc184308075"/>
      <w:bookmarkEnd w:id="55"/>
      <w:bookmarkStart w:id="56" w:name="_Toc184313288"/>
      <w:bookmarkEnd w:id="56"/>
      <w:bookmarkStart w:id="57" w:name="_Toc184310282"/>
      <w:bookmarkEnd w:id="57"/>
      <w:bookmarkStart w:id="58" w:name="_Toc184314471"/>
      <w:bookmarkEnd w:id="58"/>
      <w:bookmarkStart w:id="59" w:name="_Toc184312136"/>
      <w:bookmarkEnd w:id="59"/>
      <w:bookmarkStart w:id="60" w:name="_Toc184308044"/>
      <w:bookmarkEnd w:id="60"/>
      <w:bookmarkStart w:id="61" w:name="_Toc184312099"/>
      <w:bookmarkEnd w:id="61"/>
      <w:bookmarkStart w:id="62" w:name="_Toc184312075"/>
      <w:bookmarkEnd w:id="62"/>
      <w:bookmarkStart w:id="63" w:name="_Toc184312102"/>
      <w:bookmarkEnd w:id="63"/>
      <w:bookmarkStart w:id="64" w:name="_Toc184310301"/>
      <w:bookmarkEnd w:id="64"/>
      <w:bookmarkStart w:id="65" w:name="_Toc184314458"/>
      <w:bookmarkEnd w:id="65"/>
      <w:bookmarkStart w:id="66" w:name="_Toc184310316"/>
      <w:bookmarkEnd w:id="66"/>
      <w:bookmarkStart w:id="67" w:name="_Toc184312077"/>
      <w:bookmarkEnd w:id="67"/>
      <w:bookmarkStart w:id="68" w:name="_Toc184310293"/>
      <w:bookmarkEnd w:id="68"/>
      <w:bookmarkStart w:id="69" w:name="_Toc184313296"/>
      <w:bookmarkEnd w:id="69"/>
      <w:bookmarkStart w:id="70" w:name="_Toc184308060"/>
      <w:bookmarkEnd w:id="70"/>
      <w:bookmarkStart w:id="71" w:name="_Toc184313279"/>
      <w:bookmarkEnd w:id="71"/>
      <w:bookmarkStart w:id="72" w:name="_Toc184312069"/>
      <w:bookmarkEnd w:id="72"/>
      <w:bookmarkStart w:id="73" w:name="_Toc184314478"/>
      <w:bookmarkEnd w:id="73"/>
      <w:bookmarkStart w:id="74" w:name="_Toc184310323"/>
      <w:bookmarkEnd w:id="74"/>
      <w:bookmarkStart w:id="75" w:name="_Toc184314418"/>
      <w:bookmarkEnd w:id="75"/>
      <w:bookmarkStart w:id="76" w:name="_Toc184314417"/>
      <w:bookmarkEnd w:id="76"/>
      <w:bookmarkStart w:id="77" w:name="_Toc184308094"/>
      <w:bookmarkEnd w:id="77"/>
      <w:bookmarkStart w:id="78" w:name="_Toc184312083"/>
      <w:bookmarkEnd w:id="78"/>
      <w:bookmarkStart w:id="79" w:name="_Toc184313245"/>
      <w:bookmarkEnd w:id="79"/>
      <w:bookmarkStart w:id="80" w:name="_Toc184313260"/>
      <w:bookmarkEnd w:id="80"/>
      <w:bookmarkStart w:id="81" w:name="_Toc184310324"/>
      <w:bookmarkEnd w:id="81"/>
      <w:bookmarkStart w:id="82" w:name="_Toc184312126"/>
      <w:bookmarkEnd w:id="82"/>
      <w:bookmarkStart w:id="83" w:name="_Toc184313287"/>
      <w:bookmarkEnd w:id="83"/>
      <w:bookmarkStart w:id="84" w:name="_Toc184314430"/>
      <w:bookmarkEnd w:id="84"/>
      <w:bookmarkStart w:id="85" w:name="_Toc184312112"/>
      <w:bookmarkEnd w:id="85"/>
      <w:bookmarkStart w:id="86" w:name="_Toc184313301"/>
      <w:bookmarkEnd w:id="86"/>
      <w:bookmarkStart w:id="87" w:name="_Toc184314434"/>
      <w:bookmarkEnd w:id="87"/>
      <w:bookmarkStart w:id="88" w:name="_Toc184310317"/>
      <w:bookmarkEnd w:id="88"/>
      <w:bookmarkStart w:id="89" w:name="_Toc184310280"/>
      <w:bookmarkEnd w:id="89"/>
      <w:bookmarkStart w:id="90" w:name="_Toc184310300"/>
      <w:bookmarkEnd w:id="90"/>
      <w:bookmarkStart w:id="91" w:name="_Toc184314428"/>
      <w:bookmarkEnd w:id="91"/>
      <w:bookmarkStart w:id="92" w:name="_Toc184308065"/>
      <w:bookmarkEnd w:id="92"/>
      <w:bookmarkStart w:id="93" w:name="_Toc184308050"/>
      <w:bookmarkEnd w:id="93"/>
      <w:bookmarkStart w:id="94" w:name="_Toc184314480"/>
      <w:bookmarkEnd w:id="94"/>
      <w:bookmarkStart w:id="95" w:name="_Toc184314435"/>
      <w:bookmarkEnd w:id="95"/>
      <w:bookmarkStart w:id="96" w:name="_Toc184314465"/>
      <w:bookmarkEnd w:id="96"/>
      <w:bookmarkStart w:id="97" w:name="_Toc184313262"/>
      <w:bookmarkEnd w:id="97"/>
      <w:bookmarkStart w:id="98" w:name="_Toc184313302"/>
      <w:bookmarkEnd w:id="98"/>
      <w:bookmarkStart w:id="99" w:name="_Toc184312100"/>
      <w:bookmarkEnd w:id="99"/>
      <w:bookmarkStart w:id="100" w:name="_Toc184314463"/>
      <w:bookmarkEnd w:id="100"/>
      <w:bookmarkStart w:id="101" w:name="_Toc184308085"/>
      <w:bookmarkEnd w:id="101"/>
      <w:bookmarkStart w:id="102" w:name="_Toc184310321"/>
      <w:bookmarkEnd w:id="102"/>
      <w:bookmarkStart w:id="103" w:name="_Toc184314441"/>
      <w:bookmarkEnd w:id="103"/>
      <w:bookmarkStart w:id="104" w:name="_Toc184308096"/>
      <w:bookmarkEnd w:id="104"/>
      <w:bookmarkStart w:id="105" w:name="_Toc184312134"/>
      <w:bookmarkEnd w:id="105"/>
      <w:bookmarkStart w:id="106" w:name="_Toc184310326"/>
      <w:bookmarkEnd w:id="106"/>
      <w:bookmarkStart w:id="107" w:name="_Toc184314459"/>
      <w:bookmarkEnd w:id="107"/>
      <w:bookmarkStart w:id="108" w:name="_Toc184310322"/>
      <w:bookmarkEnd w:id="108"/>
      <w:bookmarkStart w:id="109" w:name="_Toc184310311"/>
      <w:bookmarkEnd w:id="109"/>
      <w:bookmarkStart w:id="110" w:name="_Toc184313303"/>
      <w:bookmarkEnd w:id="110"/>
      <w:bookmarkStart w:id="111" w:name="_Toc184314451"/>
      <w:bookmarkEnd w:id="111"/>
      <w:bookmarkStart w:id="112" w:name="_Toc184308082"/>
      <w:bookmarkEnd w:id="112"/>
      <w:bookmarkStart w:id="113" w:name="_Toc184308064"/>
      <w:bookmarkEnd w:id="113"/>
      <w:bookmarkStart w:id="114" w:name="_Toc184312093"/>
      <w:bookmarkEnd w:id="114"/>
      <w:bookmarkStart w:id="115" w:name="_Toc184308106"/>
      <w:bookmarkEnd w:id="115"/>
      <w:bookmarkStart w:id="116" w:name="_Toc184313263"/>
      <w:bookmarkEnd w:id="116"/>
      <w:bookmarkStart w:id="117" w:name="_Toc184308080"/>
      <w:bookmarkEnd w:id="117"/>
      <w:bookmarkStart w:id="118" w:name="_Toc184308059"/>
      <w:bookmarkEnd w:id="118"/>
      <w:bookmarkStart w:id="119" w:name="_Toc184308105"/>
      <w:bookmarkEnd w:id="119"/>
      <w:bookmarkStart w:id="120" w:name="_Toc184308037"/>
      <w:bookmarkEnd w:id="120"/>
      <w:bookmarkStart w:id="121" w:name="_Toc184313289"/>
      <w:bookmarkEnd w:id="121"/>
      <w:bookmarkStart w:id="122" w:name="_Toc184313300"/>
      <w:bookmarkEnd w:id="122"/>
      <w:bookmarkStart w:id="123" w:name="_Toc184312107"/>
      <w:bookmarkEnd w:id="123"/>
      <w:bookmarkStart w:id="124" w:name="_Toc184310307"/>
      <w:bookmarkEnd w:id="124"/>
      <w:bookmarkStart w:id="125" w:name="_Toc184308101"/>
      <w:bookmarkEnd w:id="125"/>
      <w:bookmarkStart w:id="126" w:name="_Toc184310314"/>
      <w:bookmarkEnd w:id="126"/>
      <w:bookmarkStart w:id="127" w:name="_Toc184314473"/>
      <w:bookmarkEnd w:id="127"/>
      <w:bookmarkStart w:id="128" w:name="_Toc184310278"/>
      <w:bookmarkEnd w:id="128"/>
      <w:bookmarkStart w:id="129" w:name="_Toc184312086"/>
      <w:bookmarkEnd w:id="129"/>
      <w:bookmarkStart w:id="130" w:name="_Toc184312128"/>
      <w:bookmarkEnd w:id="130"/>
      <w:bookmarkStart w:id="131" w:name="_Toc184312080"/>
      <w:bookmarkEnd w:id="131"/>
      <w:bookmarkStart w:id="132" w:name="_Toc184308072"/>
      <w:bookmarkEnd w:id="132"/>
      <w:bookmarkStart w:id="133" w:name="_Toc184312132"/>
      <w:bookmarkEnd w:id="133"/>
      <w:bookmarkStart w:id="134" w:name="_Toc184312133"/>
      <w:bookmarkEnd w:id="134"/>
      <w:bookmarkStart w:id="135" w:name="_Toc184313261"/>
      <w:bookmarkEnd w:id="135"/>
      <w:bookmarkStart w:id="136" w:name="_Toc184314419"/>
      <w:bookmarkEnd w:id="136"/>
      <w:bookmarkStart w:id="137" w:name="_Toc184312094"/>
      <w:bookmarkEnd w:id="137"/>
      <w:bookmarkStart w:id="138" w:name="_Toc184308057"/>
      <w:bookmarkEnd w:id="138"/>
      <w:bookmarkStart w:id="139" w:name="_Toc184312124"/>
      <w:bookmarkEnd w:id="139"/>
      <w:bookmarkStart w:id="140" w:name="_Toc184312096"/>
      <w:bookmarkEnd w:id="140"/>
      <w:bookmarkStart w:id="141" w:name="_Toc184310292"/>
      <w:bookmarkEnd w:id="141"/>
      <w:bookmarkStart w:id="142" w:name="_Toc184310331"/>
      <w:bookmarkEnd w:id="142"/>
      <w:bookmarkStart w:id="143" w:name="_Toc184312092"/>
      <w:bookmarkEnd w:id="143"/>
      <w:bookmarkStart w:id="144" w:name="_Toc184314460"/>
      <w:bookmarkEnd w:id="144"/>
      <w:bookmarkStart w:id="145" w:name="_Toc184310342"/>
      <w:bookmarkEnd w:id="145"/>
      <w:bookmarkStart w:id="146" w:name="_Toc184312119"/>
      <w:bookmarkEnd w:id="146"/>
      <w:bookmarkStart w:id="147" w:name="_Toc184313308"/>
      <w:bookmarkEnd w:id="147"/>
      <w:bookmarkStart w:id="148" w:name="_Toc184312081"/>
      <w:bookmarkEnd w:id="148"/>
      <w:bookmarkStart w:id="149" w:name="_Toc184313284"/>
      <w:bookmarkEnd w:id="149"/>
      <w:bookmarkStart w:id="150" w:name="_Toc184314427"/>
      <w:bookmarkEnd w:id="150"/>
      <w:bookmarkStart w:id="151" w:name="_Toc184314476"/>
      <w:bookmarkEnd w:id="151"/>
      <w:bookmarkStart w:id="152" w:name="_Toc184313251"/>
      <w:bookmarkEnd w:id="152"/>
      <w:bookmarkStart w:id="153" w:name="_Toc184312109"/>
      <w:bookmarkEnd w:id="153"/>
      <w:bookmarkStart w:id="154" w:name="_Toc184308071"/>
      <w:bookmarkEnd w:id="154"/>
      <w:bookmarkStart w:id="155" w:name="_Toc184308055"/>
      <w:bookmarkEnd w:id="155"/>
      <w:bookmarkStart w:id="156" w:name="_Toc184310305"/>
      <w:bookmarkEnd w:id="156"/>
      <w:bookmarkStart w:id="157" w:name="_Toc184310315"/>
      <w:bookmarkEnd w:id="157"/>
      <w:bookmarkStart w:id="158" w:name="_Toc184308052"/>
      <w:bookmarkEnd w:id="158"/>
      <w:bookmarkStart w:id="159" w:name="_Toc184314415"/>
      <w:bookmarkEnd w:id="159"/>
      <w:bookmarkStart w:id="160" w:name="_Toc184310291"/>
      <w:bookmarkEnd w:id="160"/>
      <w:bookmarkStart w:id="161" w:name="_Toc184312091"/>
      <w:bookmarkEnd w:id="161"/>
      <w:bookmarkStart w:id="162" w:name="_Toc184310290"/>
      <w:bookmarkEnd w:id="162"/>
      <w:bookmarkStart w:id="163" w:name="_Toc184312135"/>
      <w:bookmarkEnd w:id="163"/>
      <w:bookmarkStart w:id="164" w:name="_Toc184314450"/>
      <w:bookmarkEnd w:id="164"/>
      <w:bookmarkStart w:id="165" w:name="_Toc184314424"/>
      <w:bookmarkEnd w:id="165"/>
      <w:bookmarkStart w:id="166" w:name="_Toc184313297"/>
      <w:bookmarkEnd w:id="166"/>
      <w:bookmarkStart w:id="167" w:name="_Toc184308103"/>
      <w:bookmarkEnd w:id="167"/>
      <w:bookmarkStart w:id="168" w:name="_Toc184313266"/>
      <w:bookmarkEnd w:id="168"/>
      <w:bookmarkStart w:id="169" w:name="_Toc184308056"/>
      <w:bookmarkEnd w:id="169"/>
      <w:bookmarkStart w:id="170" w:name="_Toc184312139"/>
      <w:bookmarkEnd w:id="170"/>
      <w:bookmarkStart w:id="171" w:name="_Toc184308088"/>
      <w:bookmarkEnd w:id="171"/>
      <w:bookmarkStart w:id="172" w:name="_Toc184312105"/>
      <w:bookmarkEnd w:id="172"/>
      <w:bookmarkStart w:id="173" w:name="_Toc184310309"/>
      <w:bookmarkEnd w:id="173"/>
      <w:bookmarkStart w:id="174" w:name="_Toc184313274"/>
      <w:bookmarkEnd w:id="174"/>
      <w:bookmarkStart w:id="175" w:name="_Toc184310329"/>
      <w:bookmarkEnd w:id="175"/>
      <w:bookmarkStart w:id="176" w:name="_Toc184313278"/>
      <w:bookmarkEnd w:id="176"/>
      <w:bookmarkStart w:id="177" w:name="_Toc184314423"/>
      <w:bookmarkEnd w:id="177"/>
      <w:bookmarkStart w:id="178" w:name="_Toc184313265"/>
      <w:bookmarkEnd w:id="178"/>
      <w:bookmarkStart w:id="179" w:name="_Toc184312071"/>
      <w:bookmarkEnd w:id="179"/>
      <w:bookmarkStart w:id="180" w:name="_Toc184313238"/>
      <w:bookmarkEnd w:id="180"/>
      <w:bookmarkStart w:id="181" w:name="_Toc184310273"/>
      <w:bookmarkEnd w:id="181"/>
      <w:bookmarkStart w:id="182" w:name="_Toc184314442"/>
      <w:bookmarkEnd w:id="182"/>
      <w:bookmarkStart w:id="183" w:name="_Toc184314452"/>
      <w:bookmarkEnd w:id="183"/>
      <w:bookmarkStart w:id="184" w:name="_Toc184308046"/>
      <w:bookmarkEnd w:id="184"/>
      <w:bookmarkStart w:id="185" w:name="_Toc184313242"/>
      <w:bookmarkEnd w:id="185"/>
      <w:bookmarkStart w:id="186" w:name="_Toc184310296"/>
      <w:bookmarkEnd w:id="186"/>
      <w:bookmarkStart w:id="187" w:name="_Toc184314443"/>
      <w:bookmarkEnd w:id="187"/>
      <w:bookmarkStart w:id="188" w:name="_Toc184314412"/>
      <w:bookmarkEnd w:id="188"/>
      <w:bookmarkStart w:id="189" w:name="_Toc184308102"/>
      <w:bookmarkEnd w:id="189"/>
      <w:bookmarkStart w:id="190" w:name="_Toc184310319"/>
      <w:bookmarkEnd w:id="190"/>
      <w:bookmarkStart w:id="191" w:name="_Toc184308098"/>
      <w:bookmarkEnd w:id="191"/>
      <w:bookmarkStart w:id="192" w:name="_Toc184312079"/>
      <w:bookmarkEnd w:id="192"/>
      <w:bookmarkStart w:id="193" w:name="_Toc184310334"/>
      <w:bookmarkEnd w:id="193"/>
      <w:bookmarkStart w:id="194" w:name="_Toc184310281"/>
      <w:bookmarkEnd w:id="194"/>
      <w:bookmarkStart w:id="195" w:name="_Toc184308095"/>
      <w:bookmarkEnd w:id="195"/>
      <w:bookmarkStart w:id="196" w:name="_Toc184312138"/>
      <w:bookmarkEnd w:id="196"/>
      <w:bookmarkStart w:id="197" w:name="_Toc184313258"/>
      <w:bookmarkEnd w:id="197"/>
      <w:bookmarkStart w:id="198" w:name="_Toc184308039"/>
      <w:bookmarkEnd w:id="198"/>
      <w:bookmarkStart w:id="199" w:name="_Toc184308107"/>
      <w:bookmarkEnd w:id="199"/>
      <w:bookmarkStart w:id="200" w:name="_Toc184312130"/>
      <w:bookmarkEnd w:id="200"/>
      <w:bookmarkStart w:id="201" w:name="_Toc184308084"/>
      <w:bookmarkEnd w:id="201"/>
      <w:bookmarkStart w:id="202" w:name="_Toc184314457"/>
      <w:bookmarkEnd w:id="202"/>
      <w:bookmarkStart w:id="203" w:name="_Toc184308093"/>
      <w:bookmarkEnd w:id="203"/>
      <w:bookmarkStart w:id="204" w:name="_Toc184313250"/>
      <w:bookmarkEnd w:id="204"/>
      <w:bookmarkStart w:id="205" w:name="_Toc184312122"/>
      <w:bookmarkEnd w:id="205"/>
      <w:bookmarkStart w:id="206" w:name="_Toc184308097"/>
      <w:bookmarkEnd w:id="206"/>
      <w:bookmarkStart w:id="207" w:name="_Toc184312125"/>
      <w:bookmarkEnd w:id="207"/>
      <w:bookmarkStart w:id="208" w:name="_Toc184314410"/>
      <w:bookmarkEnd w:id="208"/>
      <w:bookmarkStart w:id="209" w:name="_Toc184314474"/>
      <w:bookmarkEnd w:id="209"/>
      <w:bookmarkStart w:id="210" w:name="_Toc184314467"/>
      <w:bookmarkEnd w:id="210"/>
      <w:bookmarkStart w:id="211" w:name="_Toc184310288"/>
      <w:bookmarkEnd w:id="211"/>
      <w:bookmarkStart w:id="212" w:name="_Toc184313254"/>
      <w:bookmarkEnd w:id="212"/>
      <w:bookmarkStart w:id="213" w:name="_Toc184314456"/>
      <w:bookmarkEnd w:id="213"/>
      <w:bookmarkStart w:id="214" w:name="_Toc184310308"/>
      <w:bookmarkEnd w:id="214"/>
      <w:bookmarkStart w:id="215" w:name="_Toc184312121"/>
      <w:bookmarkEnd w:id="215"/>
      <w:bookmarkStart w:id="216" w:name="_Toc184313271"/>
      <w:bookmarkEnd w:id="216"/>
      <w:bookmarkStart w:id="217" w:name="_Toc184313275"/>
      <w:bookmarkEnd w:id="217"/>
      <w:bookmarkStart w:id="218" w:name="_Toc184312123"/>
      <w:bookmarkEnd w:id="218"/>
      <w:bookmarkStart w:id="219" w:name="_Toc184310275"/>
      <w:bookmarkEnd w:id="219"/>
      <w:bookmarkStart w:id="220" w:name="_Toc184313256"/>
      <w:bookmarkEnd w:id="220"/>
      <w:bookmarkStart w:id="221" w:name="_Toc184310272"/>
      <w:bookmarkEnd w:id="221"/>
      <w:bookmarkStart w:id="222" w:name="_Toc184313269"/>
      <w:bookmarkEnd w:id="222"/>
      <w:bookmarkStart w:id="223" w:name="_Toc184310306"/>
      <w:bookmarkEnd w:id="223"/>
      <w:bookmarkStart w:id="224" w:name="_Toc184310320"/>
      <w:bookmarkEnd w:id="224"/>
      <w:bookmarkStart w:id="225" w:name="_Toc184310318"/>
      <w:bookmarkEnd w:id="225"/>
      <w:bookmarkStart w:id="226" w:name="_Toc184313273"/>
      <w:bookmarkEnd w:id="226"/>
      <w:bookmarkStart w:id="227" w:name="_Toc184313272"/>
      <w:bookmarkEnd w:id="227"/>
      <w:bookmarkStart w:id="228" w:name="_Toc184313299"/>
      <w:bookmarkEnd w:id="228"/>
      <w:bookmarkStart w:id="229" w:name="_Toc184313293"/>
      <w:bookmarkEnd w:id="229"/>
      <w:bookmarkStart w:id="230" w:name="_Toc184310274"/>
      <w:bookmarkEnd w:id="230"/>
      <w:bookmarkStart w:id="231" w:name="_Toc184314414"/>
      <w:bookmarkEnd w:id="231"/>
      <w:bookmarkStart w:id="232" w:name="_Toc184314462"/>
      <w:bookmarkEnd w:id="232"/>
      <w:bookmarkStart w:id="233" w:name="_Toc184310336"/>
      <w:bookmarkEnd w:id="233"/>
      <w:bookmarkStart w:id="234" w:name="_Toc184313304"/>
      <w:bookmarkEnd w:id="234"/>
      <w:bookmarkStart w:id="235" w:name="_Toc184314437"/>
      <w:bookmarkEnd w:id="235"/>
      <w:bookmarkStart w:id="236" w:name="_Toc184312110"/>
      <w:bookmarkEnd w:id="236"/>
      <w:bookmarkStart w:id="237" w:name="_Toc184314466"/>
      <w:bookmarkEnd w:id="237"/>
      <w:bookmarkStart w:id="238" w:name="_Toc184308068"/>
      <w:bookmarkEnd w:id="238"/>
      <w:bookmarkStart w:id="239" w:name="_Toc184313286"/>
      <w:bookmarkEnd w:id="239"/>
      <w:bookmarkStart w:id="240" w:name="_Toc184310332"/>
      <w:bookmarkEnd w:id="240"/>
      <w:bookmarkStart w:id="241" w:name="_Toc184310340"/>
      <w:bookmarkEnd w:id="241"/>
      <w:bookmarkStart w:id="242" w:name="_Toc184308079"/>
      <w:bookmarkEnd w:id="242"/>
      <w:bookmarkStart w:id="243" w:name="_Toc184314439"/>
      <w:bookmarkEnd w:id="243"/>
      <w:bookmarkStart w:id="244" w:name="_Toc184314461"/>
      <w:bookmarkEnd w:id="244"/>
      <w:bookmarkStart w:id="245" w:name="_Toc184312115"/>
      <w:bookmarkEnd w:id="245"/>
      <w:bookmarkStart w:id="246" w:name="_Toc184313244"/>
      <w:bookmarkEnd w:id="246"/>
      <w:bookmarkStart w:id="247" w:name="_Toc184308049"/>
      <w:bookmarkEnd w:id="247"/>
      <w:bookmarkStart w:id="248" w:name="_Toc184310287"/>
      <w:bookmarkEnd w:id="248"/>
      <w:bookmarkStart w:id="249" w:name="_Toc184313277"/>
      <w:bookmarkEnd w:id="249"/>
      <w:bookmarkStart w:id="250" w:name="_Toc184313268"/>
      <w:bookmarkEnd w:id="250"/>
      <w:bookmarkStart w:id="251" w:name="_Toc184308040"/>
      <w:bookmarkEnd w:id="251"/>
      <w:bookmarkStart w:id="252" w:name="_Toc184312085"/>
      <w:bookmarkEnd w:id="252"/>
      <w:bookmarkStart w:id="253" w:name="_Toc184310279"/>
      <w:bookmarkEnd w:id="253"/>
      <w:bookmarkStart w:id="254" w:name="_Toc184314469"/>
      <w:bookmarkEnd w:id="254"/>
      <w:bookmarkStart w:id="255" w:name="_Toc184312090"/>
      <w:bookmarkEnd w:id="255"/>
      <w:bookmarkStart w:id="256" w:name="_Toc184314433"/>
      <w:bookmarkEnd w:id="256"/>
      <w:bookmarkStart w:id="257" w:name="_Toc184308077"/>
      <w:bookmarkEnd w:id="257"/>
      <w:bookmarkStart w:id="258" w:name="_Toc184313280"/>
      <w:bookmarkEnd w:id="258"/>
      <w:bookmarkStart w:id="259" w:name="_Toc184308070"/>
      <w:bookmarkEnd w:id="259"/>
      <w:bookmarkStart w:id="260" w:name="_Toc184312114"/>
      <w:bookmarkEnd w:id="260"/>
      <w:bookmarkStart w:id="261" w:name="_Toc184313305"/>
      <w:bookmarkEnd w:id="261"/>
      <w:bookmarkStart w:id="262" w:name="_Toc184310304"/>
      <w:bookmarkEnd w:id="262"/>
      <w:bookmarkStart w:id="263" w:name="_Toc184313290"/>
      <w:bookmarkEnd w:id="263"/>
      <w:bookmarkStart w:id="264" w:name="_Toc184312116"/>
      <w:bookmarkEnd w:id="264"/>
      <w:bookmarkStart w:id="265" w:name="_Toc184314445"/>
      <w:bookmarkEnd w:id="265"/>
      <w:bookmarkStart w:id="266" w:name="_Toc184312074"/>
      <w:bookmarkEnd w:id="266"/>
      <w:bookmarkStart w:id="267" w:name="_Toc184310327"/>
      <w:bookmarkEnd w:id="267"/>
      <w:bookmarkStart w:id="268" w:name="_Toc184313283"/>
      <w:bookmarkEnd w:id="268"/>
      <w:bookmarkStart w:id="269" w:name="_Toc184313255"/>
      <w:bookmarkEnd w:id="269"/>
      <w:bookmarkStart w:id="270" w:name="_Toc184314446"/>
      <w:bookmarkEnd w:id="270"/>
      <w:bookmarkStart w:id="271" w:name="_Toc184314449"/>
      <w:bookmarkEnd w:id="271"/>
      <w:bookmarkStart w:id="272" w:name="_Toc184314454"/>
      <w:bookmarkEnd w:id="272"/>
      <w:bookmarkStart w:id="273" w:name="_Toc184313295"/>
      <w:bookmarkEnd w:id="273"/>
      <w:bookmarkStart w:id="274" w:name="_Toc184308092"/>
      <w:bookmarkEnd w:id="274"/>
      <w:bookmarkStart w:id="275" w:name="_Toc184314482"/>
      <w:bookmarkEnd w:id="275"/>
      <w:bookmarkStart w:id="276" w:name="_Toc184312111"/>
      <w:bookmarkEnd w:id="276"/>
      <w:bookmarkStart w:id="277" w:name="_Toc184308090"/>
      <w:bookmarkEnd w:id="277"/>
      <w:bookmarkStart w:id="278" w:name="_Toc184308067"/>
      <w:bookmarkEnd w:id="278"/>
      <w:bookmarkStart w:id="279" w:name="_Toc184310298"/>
      <w:bookmarkEnd w:id="279"/>
      <w:bookmarkStart w:id="280" w:name="_Toc184308104"/>
      <w:bookmarkEnd w:id="280"/>
      <w:bookmarkStart w:id="281" w:name="_Toc184312113"/>
      <w:bookmarkEnd w:id="281"/>
      <w:bookmarkStart w:id="282" w:name="_Toc184314472"/>
      <w:bookmarkEnd w:id="282"/>
      <w:bookmarkStart w:id="283" w:name="_Toc184314479"/>
      <w:bookmarkEnd w:id="283"/>
      <w:bookmarkStart w:id="284" w:name="_Toc184312106"/>
      <w:bookmarkEnd w:id="284"/>
      <w:bookmarkStart w:id="285" w:name="_Toc184313246"/>
      <w:bookmarkEnd w:id="285"/>
      <w:bookmarkStart w:id="286" w:name="_Toc184313276"/>
      <w:bookmarkEnd w:id="286"/>
      <w:bookmarkStart w:id="287" w:name="_Toc184308048"/>
      <w:bookmarkEnd w:id="287"/>
      <w:bookmarkStart w:id="288" w:name="_Toc184314481"/>
      <w:bookmarkEnd w:id="288"/>
      <w:bookmarkStart w:id="289" w:name="_Toc184313307"/>
      <w:bookmarkEnd w:id="289"/>
      <w:bookmarkStart w:id="290" w:name="_Toc184310283"/>
      <w:bookmarkEnd w:id="290"/>
      <w:bookmarkStart w:id="291" w:name="_Toc184313291"/>
      <w:bookmarkEnd w:id="291"/>
      <w:bookmarkStart w:id="292" w:name="_Toc184308076"/>
      <w:bookmarkEnd w:id="292"/>
      <w:bookmarkStart w:id="293" w:name="_Toc184312078"/>
      <w:bookmarkEnd w:id="293"/>
      <w:bookmarkStart w:id="294" w:name="_Toc184310338"/>
      <w:bookmarkEnd w:id="294"/>
      <w:bookmarkStart w:id="295" w:name="_Toc184313309"/>
      <w:bookmarkEnd w:id="295"/>
      <w:bookmarkStart w:id="296" w:name="_Toc184310344"/>
      <w:bookmarkEnd w:id="296"/>
      <w:bookmarkStart w:id="297" w:name="_Toc184312129"/>
      <w:bookmarkEnd w:id="297"/>
      <w:bookmarkStart w:id="298" w:name="_Toc184314470"/>
      <w:bookmarkEnd w:id="298"/>
      <w:bookmarkStart w:id="299" w:name="_Toc184312118"/>
      <w:bookmarkEnd w:id="299"/>
      <w:bookmarkStart w:id="300" w:name="_Toc184313239"/>
      <w:bookmarkEnd w:id="300"/>
      <w:bookmarkStart w:id="301" w:name="_Toc184308043"/>
      <w:bookmarkEnd w:id="301"/>
      <w:bookmarkStart w:id="302" w:name="_Toc184314429"/>
      <w:bookmarkEnd w:id="302"/>
      <w:bookmarkStart w:id="303" w:name="_Toc184310328"/>
      <w:bookmarkEnd w:id="303"/>
      <w:bookmarkStart w:id="304" w:name="_Toc184314455"/>
      <w:bookmarkEnd w:id="304"/>
      <w:bookmarkStart w:id="305" w:name="_Toc184312108"/>
      <w:bookmarkEnd w:id="305"/>
      <w:bookmarkStart w:id="306" w:name="_Toc184308042"/>
      <w:bookmarkEnd w:id="306"/>
      <w:bookmarkStart w:id="307" w:name="_Toc184308091"/>
      <w:bookmarkEnd w:id="307"/>
      <w:bookmarkStart w:id="308" w:name="_Toc184314464"/>
      <w:bookmarkEnd w:id="308"/>
      <w:bookmarkStart w:id="309" w:name="_Toc184312088"/>
      <w:bookmarkEnd w:id="309"/>
      <w:bookmarkStart w:id="310" w:name="_Toc184314447"/>
      <w:bookmarkEnd w:id="310"/>
      <w:bookmarkStart w:id="311" w:name="_Toc184308051"/>
      <w:bookmarkEnd w:id="311"/>
      <w:bookmarkStart w:id="312" w:name="_Toc184310289"/>
      <w:bookmarkEnd w:id="312"/>
      <w:bookmarkStart w:id="313" w:name="_Toc184312073"/>
      <w:bookmarkEnd w:id="313"/>
      <w:bookmarkStart w:id="314" w:name="_Toc184310284"/>
      <w:bookmarkEnd w:id="314"/>
      <w:bookmarkStart w:id="315" w:name="_Toc184313240"/>
      <w:bookmarkEnd w:id="315"/>
      <w:bookmarkStart w:id="316" w:name="_Toc184313264"/>
      <w:bookmarkEnd w:id="316"/>
      <w:bookmarkStart w:id="317" w:name="_Toc184308053"/>
      <w:bookmarkEnd w:id="317"/>
      <w:bookmarkStart w:id="318" w:name="_Toc184312072"/>
      <w:bookmarkEnd w:id="318"/>
      <w:bookmarkStart w:id="319" w:name="_Toc184310312"/>
      <w:bookmarkEnd w:id="319"/>
      <w:bookmarkStart w:id="320" w:name="_Toc184314426"/>
      <w:bookmarkEnd w:id="320"/>
      <w:bookmarkStart w:id="321" w:name="_Toc184312084"/>
      <w:bookmarkEnd w:id="321"/>
      <w:bookmarkStart w:id="322" w:name="_Toc184312087"/>
      <w:bookmarkEnd w:id="322"/>
      <w:bookmarkStart w:id="323" w:name="_Toc184314431"/>
      <w:bookmarkEnd w:id="323"/>
      <w:bookmarkStart w:id="324" w:name="_Toc184313281"/>
      <w:bookmarkEnd w:id="324"/>
      <w:bookmarkStart w:id="325" w:name="_Toc184310295"/>
      <w:bookmarkEnd w:id="325"/>
      <w:bookmarkStart w:id="326" w:name="_Toc184313285"/>
      <w:bookmarkEnd w:id="326"/>
      <w:bookmarkStart w:id="327" w:name="_Toc184313270"/>
      <w:bookmarkEnd w:id="327"/>
      <w:bookmarkStart w:id="328" w:name="_Toc184308062"/>
      <w:bookmarkEnd w:id="328"/>
      <w:bookmarkStart w:id="329" w:name="_Toc184314420"/>
      <w:bookmarkEnd w:id="329"/>
      <w:bookmarkStart w:id="330" w:name="_Toc184312068"/>
      <w:bookmarkEnd w:id="330"/>
      <w:bookmarkStart w:id="331" w:name="_Toc184313252"/>
      <w:bookmarkEnd w:id="331"/>
      <w:bookmarkStart w:id="332" w:name="_Toc184310341"/>
      <w:bookmarkEnd w:id="332"/>
      <w:bookmarkStart w:id="333" w:name="_Toc184313294"/>
      <w:bookmarkEnd w:id="333"/>
      <w:bookmarkStart w:id="334" w:name="_Toc184310302"/>
      <w:bookmarkEnd w:id="334"/>
      <w:bookmarkStart w:id="335" w:name="_Toc184308063"/>
      <w:bookmarkEnd w:id="335"/>
      <w:bookmarkStart w:id="336" w:name="_Toc184314422"/>
      <w:bookmarkEnd w:id="336"/>
      <w:bookmarkStart w:id="337" w:name="_Toc184312076"/>
      <w:bookmarkEnd w:id="337"/>
      <w:bookmarkStart w:id="338" w:name="_Toc184313248"/>
      <w:bookmarkEnd w:id="338"/>
      <w:bookmarkStart w:id="339" w:name="_Toc184312070"/>
      <w:bookmarkEnd w:id="339"/>
      <w:bookmarkStart w:id="340" w:name="_Toc184310313"/>
      <w:bookmarkEnd w:id="340"/>
      <w:bookmarkStart w:id="341" w:name="_Toc184314411"/>
      <w:bookmarkEnd w:id="341"/>
      <w:bookmarkStart w:id="342" w:name="_Toc184310299"/>
      <w:bookmarkEnd w:id="342"/>
      <w:bookmarkStart w:id="343" w:name="_Toc184310294"/>
      <w:bookmarkEnd w:id="343"/>
      <w:bookmarkStart w:id="344" w:name="_Toc184312120"/>
      <w:bookmarkEnd w:id="344"/>
      <w:bookmarkStart w:id="345" w:name="_Toc184308061"/>
      <w:bookmarkEnd w:id="345"/>
      <w:bookmarkStart w:id="346" w:name="_Toc184308086"/>
      <w:bookmarkEnd w:id="346"/>
      <w:bookmarkStart w:id="347" w:name="_Toc184312089"/>
      <w:bookmarkEnd w:id="347"/>
      <w:bookmarkStart w:id="348" w:name="_Toc184314438"/>
      <w:bookmarkEnd w:id="348"/>
      <w:bookmarkStart w:id="349" w:name="_Toc184312137"/>
      <w:bookmarkEnd w:id="349"/>
      <w:bookmarkStart w:id="350" w:name="_Toc184308081"/>
      <w:bookmarkEnd w:id="350"/>
      <w:bookmarkStart w:id="351" w:name="_Toc184308099"/>
      <w:bookmarkEnd w:id="351"/>
      <w:bookmarkStart w:id="352" w:name="_Toc184313298"/>
      <w:bookmarkEnd w:id="352"/>
      <w:bookmarkStart w:id="353" w:name="_Toc184313243"/>
      <w:bookmarkEnd w:id="353"/>
      <w:bookmarkStart w:id="354" w:name="_Toc184314477"/>
      <w:bookmarkEnd w:id="354"/>
      <w:bookmarkStart w:id="355" w:name="_Toc184313259"/>
      <w:bookmarkEnd w:id="355"/>
      <w:bookmarkStart w:id="356" w:name="_Toc184313249"/>
      <w:bookmarkEnd w:id="356"/>
      <w:bookmarkStart w:id="357" w:name="_Toc184314413"/>
      <w:bookmarkEnd w:id="357"/>
      <w:bookmarkStart w:id="358" w:name="_Toc184313292"/>
      <w:bookmarkEnd w:id="358"/>
      <w:bookmarkStart w:id="359" w:name="_Toc184310303"/>
      <w:bookmarkEnd w:id="359"/>
      <w:bookmarkStart w:id="360" w:name="_Toc184312097"/>
      <w:bookmarkEnd w:id="360"/>
      <w:bookmarkStart w:id="361" w:name="_Toc184312098"/>
      <w:bookmarkEnd w:id="361"/>
      <w:bookmarkStart w:id="362" w:name="_Toc184310286"/>
      <w:bookmarkEnd w:id="362"/>
      <w:bookmarkStart w:id="363" w:name="_Toc184314421"/>
      <w:bookmarkEnd w:id="363"/>
      <w:bookmarkStart w:id="364" w:name="_Toc184310276"/>
      <w:bookmarkEnd w:id="364"/>
      <w:bookmarkStart w:id="365" w:name="_Toc184308036"/>
      <w:bookmarkEnd w:id="365"/>
      <w:bookmarkStart w:id="366" w:name="_Toc184310339"/>
      <w:bookmarkEnd w:id="366"/>
      <w:bookmarkStart w:id="367" w:name="_Toc184312101"/>
      <w:bookmarkEnd w:id="367"/>
      <w:bookmarkStart w:id="368" w:name="_Toc184313257"/>
      <w:bookmarkEnd w:id="368"/>
      <w:bookmarkStart w:id="369" w:name="_Toc184314432"/>
      <w:bookmarkEnd w:id="369"/>
      <w:bookmarkStart w:id="370" w:name="_Toc184314425"/>
      <w:bookmarkEnd w:id="370"/>
      <w:bookmarkStart w:id="371" w:name="_Toc184312127"/>
      <w:bookmarkEnd w:id="371"/>
      <w:bookmarkStart w:id="372" w:name="_Toc184313310"/>
      <w:bookmarkEnd w:id="372"/>
      <w:bookmarkStart w:id="373" w:name="_Toc184310333"/>
      <w:bookmarkEnd w:id="373"/>
      <w:bookmarkStart w:id="374" w:name="_Toc184310285"/>
      <w:bookmarkEnd w:id="374"/>
      <w:bookmarkStart w:id="375" w:name="_Toc184308069"/>
      <w:bookmarkEnd w:id="375"/>
      <w:bookmarkStart w:id="376" w:name="_Toc184313247"/>
      <w:bookmarkEnd w:id="376"/>
      <w:bookmarkStart w:id="377" w:name="_Toc184312095"/>
      <w:bookmarkEnd w:id="377"/>
      <w:bookmarkStart w:id="378" w:name="_Toc184308066"/>
      <w:bookmarkEnd w:id="378"/>
      <w:bookmarkStart w:id="379" w:name="_Toc184312131"/>
      <w:bookmarkEnd w:id="379"/>
      <w:bookmarkStart w:id="380" w:name="_Toc184308100"/>
      <w:bookmarkEnd w:id="380"/>
      <w:bookmarkStart w:id="381" w:name="_Toc184313306"/>
      <w:bookmarkEnd w:id="381"/>
      <w:bookmarkStart w:id="382" w:name="_Toc184312117"/>
      <w:bookmarkEnd w:id="382"/>
      <w:bookmarkStart w:id="383" w:name="_Toc184312103"/>
      <w:bookmarkEnd w:id="383"/>
      <w:bookmarkStart w:id="384" w:name="_Toc184312067"/>
      <w:bookmarkEnd w:id="384"/>
      <w:bookmarkStart w:id="385" w:name="_Toc184310297"/>
      <w:bookmarkEnd w:id="385"/>
      <w:bookmarkStart w:id="386" w:name="_Toc184308038"/>
      <w:bookmarkEnd w:id="386"/>
      <w:bookmarkStart w:id="387" w:name="_Toc184308083"/>
      <w:bookmarkEnd w:id="387"/>
      <w:bookmarkStart w:id="388" w:name="_Toc184308047"/>
      <w:bookmarkEnd w:id="388"/>
      <w:bookmarkStart w:id="389" w:name="_Toc184314436"/>
      <w:bookmarkEnd w:id="389"/>
      <w:bookmarkStart w:id="390" w:name="_Toc184310277"/>
      <w:bookmarkEnd w:id="390"/>
      <w:bookmarkStart w:id="391" w:name="_Toc184312082"/>
      <w:bookmarkEnd w:id="391"/>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评标办法</w:t>
      </w:r>
    </w:p>
    <w:p w14:paraId="5E96719C">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评标办法前附表</w:t>
      </w:r>
    </w:p>
    <w:tbl>
      <w:tblPr>
        <w:tblStyle w:val="1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35"/>
        <w:gridCol w:w="4537"/>
        <w:gridCol w:w="750"/>
        <w:gridCol w:w="850"/>
        <w:gridCol w:w="1404"/>
      </w:tblGrid>
      <w:tr w14:paraId="29F4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A01BE18">
            <w:pPr>
              <w:ind w:right="3"/>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类别</w:t>
            </w:r>
          </w:p>
        </w:tc>
        <w:tc>
          <w:tcPr>
            <w:tcW w:w="635" w:type="dxa"/>
            <w:tcBorders>
              <w:top w:val="single" w:color="auto" w:sz="4" w:space="0"/>
              <w:left w:val="single" w:color="auto" w:sz="4" w:space="0"/>
              <w:bottom w:val="single" w:color="auto" w:sz="4" w:space="0"/>
              <w:right w:val="single" w:color="auto" w:sz="4" w:space="0"/>
            </w:tcBorders>
            <w:noWrap w:val="0"/>
            <w:vAlign w:val="center"/>
          </w:tcPr>
          <w:p w14:paraId="44D6C887">
            <w:pPr>
              <w:ind w:right="3"/>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序号</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31AE52B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pacing w:val="4"/>
                <w:sz w:val="24"/>
                <w:szCs w:val="24"/>
                <w:highlight w:val="none"/>
              </w:rPr>
              <w:t>评分标准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B729574">
            <w:pPr>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权重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021706">
            <w:pPr>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主观分/客观分属性</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C1664CD">
            <w:pPr>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投标文件中评标标准相应的商务技术资料目录*</w:t>
            </w:r>
          </w:p>
        </w:tc>
      </w:tr>
      <w:tr w14:paraId="57C7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5" w:type="dxa"/>
            <w:vMerge w:val="restart"/>
            <w:tcBorders>
              <w:left w:val="single" w:color="auto" w:sz="4" w:space="0"/>
              <w:right w:val="single" w:color="auto" w:sz="4" w:space="0"/>
            </w:tcBorders>
            <w:noWrap w:val="0"/>
            <w:vAlign w:val="center"/>
          </w:tcPr>
          <w:p w14:paraId="1AF64D5B">
            <w:pPr>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商务部分（</w:t>
            </w:r>
            <w:r>
              <w:rPr>
                <w:rFonts w:hint="eastAsia" w:ascii="仿宋_GB2312" w:hAnsi="仿宋_GB2312" w:eastAsia="仿宋_GB2312" w:cs="仿宋_GB2312"/>
                <w:color w:val="auto"/>
                <w:sz w:val="24"/>
                <w:szCs w:val="24"/>
                <w:highlight w:val="none"/>
                <w:lang w:val="en-US" w:eastAsia="zh-CN"/>
              </w:rPr>
              <w:t>22.5</w:t>
            </w:r>
            <w:r>
              <w:rPr>
                <w:rFonts w:hint="eastAsia" w:ascii="仿宋_GB2312" w:hAnsi="仿宋_GB2312" w:eastAsia="仿宋_GB2312" w:cs="仿宋_GB2312"/>
                <w:color w:val="auto"/>
                <w:sz w:val="24"/>
                <w:szCs w:val="24"/>
                <w:highlight w:val="none"/>
              </w:rPr>
              <w:t>分）</w:t>
            </w:r>
          </w:p>
        </w:tc>
        <w:tc>
          <w:tcPr>
            <w:tcW w:w="635" w:type="dxa"/>
            <w:tcBorders>
              <w:left w:val="single" w:color="auto" w:sz="4" w:space="0"/>
              <w:right w:val="single" w:color="auto" w:sz="4" w:space="0"/>
            </w:tcBorders>
            <w:noWrap w:val="0"/>
            <w:vAlign w:val="center"/>
          </w:tcPr>
          <w:p w14:paraId="789A70D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34A1B36A">
            <w:pPr>
              <w:keepNext w:val="0"/>
              <w:keepLines w:val="0"/>
              <w:pageBreakBefore w:val="0"/>
              <w:widowControl w:val="0"/>
              <w:kinsoku/>
              <w:wordWrap/>
              <w:overflowPunct/>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根据投标人提供的类似案例业绩,每提供一份采购合同，得1分，最高得3分。</w:t>
            </w:r>
          </w:p>
          <w:p w14:paraId="52B156EE">
            <w:pPr>
              <w:keepNext w:val="0"/>
              <w:keepLines w:val="0"/>
              <w:pageBreakBefore w:val="0"/>
              <w:widowControl w:val="0"/>
              <w:kinsoku/>
              <w:wordWrap/>
              <w:overflowPunct/>
              <w:topLinePunct/>
              <w:autoSpaceDE/>
              <w:autoSpaceDN/>
              <w:bidi w:val="0"/>
              <w:adjustRightInd/>
              <w:snapToGrid/>
              <w:spacing w:line="400" w:lineRule="exact"/>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注：1.合同签订时间为 2022年1月1日（含）至开标截止时间的时间段内，合同由投标人签订，否则不得分。</w:t>
            </w:r>
          </w:p>
          <w:p w14:paraId="15BD2C87">
            <w:pPr>
              <w:keepNext w:val="0"/>
              <w:keepLines w:val="0"/>
              <w:pageBreakBefore w:val="0"/>
              <w:widowControl w:val="0"/>
              <w:numPr>
                <w:ilvl w:val="0"/>
                <w:numId w:val="5"/>
              </w:numPr>
              <w:kinsoku/>
              <w:wordWrap/>
              <w:overflowPunct/>
              <w:topLinePunct/>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sz w:val="24"/>
                <w:szCs w:val="24"/>
              </w:rPr>
              <w:t>类似案例业绩是指合同内容必须包含</w:t>
            </w:r>
            <w:r>
              <w:rPr>
                <w:rFonts w:hint="eastAsia" w:ascii="仿宋_GB2312" w:hAnsi="仿宋_GB2312" w:eastAsia="仿宋_GB2312" w:cs="仿宋_GB2312"/>
                <w:b/>
                <w:bCs/>
                <w:color w:val="auto"/>
                <w:sz w:val="24"/>
                <w:szCs w:val="24"/>
                <w:lang w:val="en-US" w:eastAsia="zh-CN"/>
              </w:rPr>
              <w:t>台式</w:t>
            </w:r>
            <w:r>
              <w:rPr>
                <w:rFonts w:hint="eastAsia" w:ascii="仿宋_GB2312" w:hAnsi="仿宋_GB2312" w:eastAsia="仿宋_GB2312" w:cs="仿宋_GB2312"/>
                <w:b/>
                <w:bCs/>
                <w:color w:val="auto"/>
                <w:sz w:val="24"/>
                <w:szCs w:val="24"/>
              </w:rPr>
              <w:t>计算机，否则不得分。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CD83822">
            <w:pPr>
              <w:ind w:firstLine="249" w:firstLineChars="100"/>
              <w:outlineLvl w:val="0"/>
              <w:rPr>
                <w:rFonts w:hint="default"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b/>
                <w:color w:val="auto"/>
                <w:spacing w:val="4"/>
                <w:sz w:val="24"/>
                <w:szCs w:val="24"/>
                <w:highlight w:val="none"/>
                <w:lang w:eastAsia="zh-CN"/>
              </w:rPr>
              <w:t>3</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C99575B">
            <w:pPr>
              <w:jc w:val="center"/>
              <w:rPr>
                <w:rFonts w:hint="eastAsia" w:ascii="仿宋_GB2312" w:hAnsi="仿宋_GB2312" w:eastAsia="仿宋_GB2312" w:cs="仿宋_GB2312"/>
                <w:b/>
                <w:color w:val="auto"/>
                <w:spacing w:val="4"/>
                <w:sz w:val="24"/>
                <w:szCs w:val="24"/>
                <w:highlight w:val="none"/>
              </w:rPr>
            </w:pPr>
          </w:p>
          <w:p w14:paraId="333493E4">
            <w:pPr>
              <w:jc w:val="center"/>
              <w:rPr>
                <w:rFonts w:hint="eastAsia" w:ascii="仿宋_GB2312" w:hAnsi="仿宋_GB2312" w:eastAsia="仿宋_GB2312" w:cs="仿宋_GB2312"/>
                <w:b/>
                <w:color w:val="auto"/>
                <w:spacing w:val="4"/>
                <w:sz w:val="24"/>
                <w:szCs w:val="24"/>
                <w:highlight w:val="none"/>
              </w:rPr>
            </w:pPr>
          </w:p>
          <w:p w14:paraId="6C489F68">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pacing w:val="4"/>
                <w:sz w:val="24"/>
                <w:szCs w:val="24"/>
                <w:highlight w:val="none"/>
              </w:rPr>
              <w:t>客观分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163C03F6">
            <w:pPr>
              <w:rPr>
                <w:rFonts w:hint="eastAsia" w:ascii="仿宋_GB2312" w:hAnsi="仿宋_GB2312" w:eastAsia="仿宋_GB2312" w:cs="仿宋_GB2312"/>
                <w:color w:val="auto"/>
                <w:sz w:val="24"/>
                <w:szCs w:val="24"/>
                <w:highlight w:val="none"/>
              </w:rPr>
            </w:pPr>
          </w:p>
        </w:tc>
      </w:tr>
      <w:tr w14:paraId="2A9F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5" w:type="dxa"/>
            <w:vMerge w:val="continue"/>
            <w:tcBorders>
              <w:left w:val="single" w:color="auto" w:sz="4" w:space="0"/>
              <w:right w:val="single" w:color="auto" w:sz="4" w:space="0"/>
            </w:tcBorders>
            <w:noWrap w:val="0"/>
            <w:vAlign w:val="center"/>
          </w:tcPr>
          <w:p w14:paraId="6D8C2F83">
            <w:pPr>
              <w:jc w:val="center"/>
              <w:rPr>
                <w:rFonts w:hint="eastAsia" w:ascii="仿宋_GB2312" w:hAnsi="仿宋_GB2312" w:eastAsia="仿宋_GB2312" w:cs="仿宋_GB2312"/>
                <w:b/>
                <w:color w:val="auto"/>
                <w:sz w:val="24"/>
                <w:szCs w:val="24"/>
                <w:highlight w:val="none"/>
              </w:rPr>
            </w:pPr>
          </w:p>
        </w:tc>
        <w:tc>
          <w:tcPr>
            <w:tcW w:w="635" w:type="dxa"/>
            <w:tcBorders>
              <w:left w:val="single" w:color="auto" w:sz="4" w:space="0"/>
              <w:right w:val="single" w:color="auto" w:sz="4" w:space="0"/>
            </w:tcBorders>
            <w:noWrap w:val="0"/>
            <w:vAlign w:val="center"/>
          </w:tcPr>
          <w:p w14:paraId="3AE7669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1691F772">
            <w:pPr>
              <w:pStyle w:val="7"/>
              <w:spacing w:after="0"/>
              <w:ind w:left="0" w:leftChars="0"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投标人所投设备</w:t>
            </w:r>
            <w:r>
              <w:rPr>
                <w:rFonts w:hint="eastAsia" w:ascii="仿宋_GB2312" w:hAnsi="仿宋_GB2312" w:eastAsia="仿宋_GB2312" w:cs="仿宋_GB2312"/>
                <w:color w:val="auto"/>
                <w:sz w:val="24"/>
                <w:szCs w:val="24"/>
                <w:lang w:val="en-US" w:eastAsia="zh-CN"/>
              </w:rPr>
              <w:t>均提供</w:t>
            </w:r>
            <w:r>
              <w:rPr>
                <w:rFonts w:hint="eastAsia" w:ascii="仿宋_GB2312" w:hAnsi="仿宋_GB2312" w:eastAsia="仿宋_GB2312" w:cs="仿宋_GB2312"/>
                <w:color w:val="auto"/>
                <w:sz w:val="24"/>
                <w:szCs w:val="24"/>
              </w:rPr>
              <w:t>原厂24小时快速修复服务，承诺当日下午4点前报修，下一自然日24点前修复，若没有完成修复，原厂需为客户免费赠送延迟日数对应的原厂月度延保服务。本项满足得5分。投标人提供承诺函，格式自拟，未提供的不得分。</w:t>
            </w:r>
          </w:p>
          <w:p w14:paraId="6FA722FB">
            <w:pPr>
              <w:pStyle w:val="7"/>
              <w:spacing w:after="0"/>
              <w:ind w:left="0" w:leftChars="0" w:firstLine="0" w:firstLineChars="0"/>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bCs/>
                <w:color w:val="auto"/>
                <w:sz w:val="24"/>
                <w:szCs w:val="24"/>
                <w:lang w:eastAsia="zh-CN"/>
              </w:rPr>
              <w:t>注：</w:t>
            </w:r>
            <w:r>
              <w:rPr>
                <w:rFonts w:hint="eastAsia" w:ascii="仿宋_GB2312" w:hAnsi="仿宋_GB2312" w:eastAsia="仿宋_GB2312" w:cs="仿宋_GB2312"/>
                <w:b/>
                <w:bCs/>
                <w:color w:val="auto"/>
                <w:sz w:val="24"/>
                <w:szCs w:val="24"/>
              </w:rPr>
              <w:t>提供相应服务内容的原厂盖章承诺函</w:t>
            </w:r>
            <w:r>
              <w:rPr>
                <w:rFonts w:hint="eastAsia" w:ascii="仿宋_GB2312" w:hAnsi="仿宋_GB2312" w:eastAsia="仿宋_GB2312" w:cs="仿宋_GB2312"/>
                <w:b/>
                <w:bCs/>
                <w:color w:val="auto"/>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7D2423">
            <w:pPr>
              <w:jc w:val="center"/>
              <w:rPr>
                <w:rFonts w:hint="default"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color w:val="auto"/>
                <w:sz w:val="24"/>
                <w:szCs w:val="24"/>
                <w:highlight w:val="none"/>
                <w:lang w:eastAsia="zh-CN"/>
              </w:rPr>
              <w:t>5</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B484EE">
            <w:pPr>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客观分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18219A99">
            <w:pPr>
              <w:rPr>
                <w:rFonts w:hint="eastAsia" w:ascii="仿宋_GB2312" w:hAnsi="仿宋_GB2312" w:eastAsia="仿宋_GB2312" w:cs="仿宋_GB2312"/>
                <w:color w:val="auto"/>
                <w:sz w:val="24"/>
                <w:szCs w:val="24"/>
                <w:highlight w:val="none"/>
              </w:rPr>
            </w:pPr>
          </w:p>
        </w:tc>
      </w:tr>
      <w:tr w14:paraId="1EFA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noWrap w:val="0"/>
            <w:vAlign w:val="center"/>
          </w:tcPr>
          <w:p w14:paraId="1FE18D04">
            <w:pPr>
              <w:jc w:val="center"/>
              <w:rPr>
                <w:rFonts w:hint="eastAsia" w:ascii="仿宋_GB2312" w:hAnsi="仿宋_GB2312" w:eastAsia="仿宋_GB2312" w:cs="仿宋_GB2312"/>
                <w:b/>
                <w:color w:val="auto"/>
                <w:sz w:val="24"/>
                <w:szCs w:val="24"/>
                <w:highlight w:val="none"/>
              </w:rPr>
            </w:pPr>
          </w:p>
        </w:tc>
        <w:tc>
          <w:tcPr>
            <w:tcW w:w="635" w:type="dxa"/>
            <w:tcBorders>
              <w:left w:val="single" w:color="auto" w:sz="4" w:space="0"/>
              <w:right w:val="single" w:color="auto" w:sz="4" w:space="0"/>
            </w:tcBorders>
            <w:noWrap w:val="0"/>
            <w:vAlign w:val="center"/>
          </w:tcPr>
          <w:p w14:paraId="2EFACC4D">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4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F87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投标人所有设备原厂服务达到CTEAS售后服务体系，完善程度达到五星级的，得1分；六星级的得2分；七星级及以上的得3分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五星级以下不得分。</w:t>
            </w:r>
          </w:p>
          <w:p w14:paraId="4FB47B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注：提供相应证书，未提供不得分。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4FF1AE">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color w:val="auto"/>
                <w:spacing w:val="4"/>
                <w:sz w:val="24"/>
                <w:szCs w:val="24"/>
                <w:highlight w:val="none"/>
                <w:lang w:val="en-US" w:eastAsia="zh-CN"/>
              </w:rPr>
              <w:t>3</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57FD6">
            <w:pPr>
              <w:jc w:val="center"/>
              <w:rPr>
                <w:rFonts w:hint="eastAsia" w:ascii="仿宋_GB2312" w:hAnsi="仿宋_GB2312" w:eastAsia="仿宋_GB2312" w:cs="仿宋_GB2312"/>
                <w:b/>
                <w:color w:val="auto"/>
                <w:spacing w:val="4"/>
                <w:sz w:val="24"/>
                <w:szCs w:val="24"/>
                <w:highlight w:val="none"/>
              </w:rPr>
            </w:pPr>
          </w:p>
          <w:p w14:paraId="421947DB">
            <w:pPr>
              <w:jc w:val="center"/>
              <w:rPr>
                <w:rFonts w:hint="eastAsia" w:ascii="仿宋_GB2312" w:hAnsi="仿宋_GB2312" w:eastAsia="仿宋_GB2312" w:cs="仿宋_GB2312"/>
                <w:b/>
                <w:color w:val="auto"/>
                <w:spacing w:val="4"/>
                <w:sz w:val="24"/>
                <w:szCs w:val="24"/>
                <w:highlight w:val="none"/>
              </w:rPr>
            </w:pPr>
          </w:p>
          <w:p w14:paraId="02E7B8ED">
            <w:pPr>
              <w:jc w:val="center"/>
              <w:rPr>
                <w:rFonts w:hint="eastAsia" w:ascii="仿宋_GB2312" w:hAnsi="仿宋_GB2312" w:eastAsia="仿宋_GB2312" w:cs="仿宋_GB2312"/>
                <w:b/>
                <w:color w:val="auto"/>
                <w:spacing w:val="4"/>
                <w:kern w:val="2"/>
                <w:sz w:val="24"/>
                <w:szCs w:val="24"/>
                <w:highlight w:val="none"/>
                <w:lang w:val="en-US" w:eastAsia="zh-CN" w:bidi="ar-SA"/>
              </w:rPr>
            </w:pPr>
            <w:r>
              <w:rPr>
                <w:rFonts w:hint="eastAsia" w:ascii="仿宋_GB2312" w:hAnsi="仿宋_GB2312" w:eastAsia="仿宋_GB2312" w:cs="仿宋_GB2312"/>
                <w:b/>
                <w:color w:val="auto"/>
                <w:spacing w:val="4"/>
                <w:sz w:val="24"/>
                <w:szCs w:val="24"/>
                <w:highlight w:val="none"/>
                <w:lang w:eastAsia="zh-CN"/>
              </w:rPr>
              <w:t>客</w:t>
            </w:r>
            <w:r>
              <w:rPr>
                <w:rFonts w:hint="eastAsia" w:ascii="仿宋_GB2312" w:hAnsi="仿宋_GB2312" w:eastAsia="仿宋_GB2312" w:cs="仿宋_GB2312"/>
                <w:b/>
                <w:color w:val="auto"/>
                <w:spacing w:val="4"/>
                <w:sz w:val="24"/>
                <w:szCs w:val="24"/>
                <w:highlight w:val="none"/>
              </w:rPr>
              <w:t>观分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46A20811">
            <w:pPr>
              <w:rPr>
                <w:rFonts w:hint="eastAsia" w:ascii="仿宋_GB2312" w:hAnsi="仿宋_GB2312" w:eastAsia="仿宋_GB2312" w:cs="仿宋_GB2312"/>
                <w:color w:val="auto"/>
                <w:sz w:val="24"/>
                <w:szCs w:val="24"/>
                <w:highlight w:val="none"/>
              </w:rPr>
            </w:pPr>
          </w:p>
        </w:tc>
      </w:tr>
      <w:tr w14:paraId="4C5C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5" w:type="dxa"/>
            <w:vMerge w:val="continue"/>
            <w:tcBorders>
              <w:left w:val="single" w:color="auto" w:sz="4" w:space="0"/>
              <w:right w:val="single" w:color="auto" w:sz="4" w:space="0"/>
            </w:tcBorders>
            <w:noWrap w:val="0"/>
            <w:vAlign w:val="center"/>
          </w:tcPr>
          <w:p w14:paraId="18024564">
            <w:pPr>
              <w:jc w:val="center"/>
              <w:rPr>
                <w:rFonts w:hint="eastAsia" w:ascii="仿宋_GB2312" w:hAnsi="仿宋_GB2312" w:eastAsia="仿宋_GB2312" w:cs="仿宋_GB2312"/>
                <w:b/>
                <w:color w:val="auto"/>
                <w:sz w:val="24"/>
                <w:szCs w:val="24"/>
                <w:highlight w:val="none"/>
              </w:rPr>
            </w:pPr>
          </w:p>
        </w:tc>
        <w:tc>
          <w:tcPr>
            <w:tcW w:w="635" w:type="dxa"/>
            <w:tcBorders>
              <w:left w:val="single" w:color="auto" w:sz="4" w:space="0"/>
              <w:right w:val="single" w:color="auto" w:sz="4" w:space="0"/>
            </w:tcBorders>
            <w:noWrap w:val="0"/>
            <w:vAlign w:val="center"/>
          </w:tcPr>
          <w:p w14:paraId="49A20208">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4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05F86">
            <w:pPr>
              <w:pStyle w:val="7"/>
              <w:spacing w:after="0"/>
              <w:ind w:left="0" w:leftChars="0" w:firstLine="0" w:firstLineChars="0"/>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根据投标人提供的售后服务</w:t>
            </w:r>
            <w:r>
              <w:rPr>
                <w:rFonts w:hint="eastAsia" w:ascii="仿宋_GB2312" w:hAnsi="仿宋_GB2312" w:eastAsia="仿宋_GB2312" w:cs="仿宋_GB2312"/>
                <w:color w:val="auto"/>
                <w:sz w:val="24"/>
                <w:szCs w:val="24"/>
                <w:lang w:eastAsia="zh-CN"/>
              </w:rPr>
              <w:t>方案，包括售后服务</w:t>
            </w:r>
            <w:r>
              <w:rPr>
                <w:rFonts w:hint="eastAsia" w:ascii="仿宋_GB2312" w:hAnsi="仿宋_GB2312" w:eastAsia="仿宋_GB2312" w:cs="仿宋_GB2312"/>
                <w:color w:val="auto"/>
                <w:sz w:val="24"/>
                <w:szCs w:val="24"/>
              </w:rPr>
              <w:t>的技术力量、响应速度、承诺故障排除时间、日常维护方案打分</w:t>
            </w:r>
            <w:r>
              <w:rPr>
                <w:rFonts w:hint="eastAsia" w:ascii="仿宋_GB2312" w:hAnsi="仿宋_GB2312" w:eastAsia="仿宋_GB2312" w:cs="仿宋_GB2312"/>
                <w:color w:val="auto"/>
                <w:sz w:val="24"/>
                <w:szCs w:val="24"/>
                <w:lang w:eastAsia="zh-CN"/>
              </w:rPr>
              <w:t>，最多得</w:t>
            </w:r>
            <w:r>
              <w:rPr>
                <w:rFonts w:hint="eastAsia" w:ascii="仿宋_GB2312" w:hAnsi="仿宋_GB2312" w:eastAsia="仿宋_GB2312" w:cs="仿宋_GB2312"/>
                <w:color w:val="auto"/>
                <w:sz w:val="24"/>
                <w:szCs w:val="24"/>
                <w:lang w:val="en-US" w:eastAsia="zh-CN"/>
              </w:rPr>
              <w:t>8分。</w:t>
            </w:r>
          </w:p>
          <w:p w14:paraId="19AA4403">
            <w:pPr>
              <w:pStyle w:val="7"/>
              <w:spacing w:after="0"/>
              <w:ind w:left="0" w:leftChars="0" w:firstLine="0" w:firstLineChars="0"/>
              <w:jc w:val="left"/>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以上每点，描述完整详细且与采购人实际需求完全契合的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14:paraId="3D2501B1">
            <w:pPr>
              <w:pStyle w:val="7"/>
              <w:spacing w:after="0"/>
              <w:ind w:left="0" w:leftChars="0" w:firstLine="0" w:firstLineChars="0"/>
              <w:jc w:val="left"/>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描述较详细完整或与采购人实际需求部分符合的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w:t>
            </w: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14:paraId="06C89BCA">
            <w:pPr>
              <w:pStyle w:val="7"/>
              <w:spacing w:after="0"/>
              <w:ind w:left="0" w:leftChars="0" w:firstLine="0" w:firstLineChars="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color w:val="auto"/>
                <w:szCs w:val="24"/>
                <w:highlight w:val="none"/>
              </w:rPr>
              <w:t>未提供或完全不符合采购人需求的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得0分</w:t>
            </w:r>
            <w:r>
              <w:rPr>
                <w:rFonts w:hint="eastAsia" w:ascii="仿宋_GB2312" w:hAnsi="仿宋_GB2312" w:eastAsia="仿宋_GB2312" w:cs="仿宋_GB2312"/>
                <w:color w:val="auto"/>
                <w:szCs w:val="24"/>
                <w:highlight w:val="none"/>
                <w:lang w:eastAsia="zh-CN"/>
              </w:rPr>
              <w:t>。</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C2F472">
            <w:pPr>
              <w:jc w:val="center"/>
              <w:rPr>
                <w:rFonts w:hint="default" w:ascii="仿宋_GB2312" w:hAnsi="仿宋_GB2312" w:eastAsia="仿宋_GB2312" w:cs="仿宋_GB2312"/>
                <w:color w:val="auto"/>
                <w:kern w:val="2"/>
                <w:sz w:val="24"/>
                <w:szCs w:val="24"/>
                <w:highlight w:val="none"/>
                <w:lang w:eastAsia="zh-CN" w:bidi="ar-SA"/>
              </w:rPr>
            </w:pPr>
            <w:r>
              <w:rPr>
                <w:rFonts w:hint="default" w:ascii="仿宋_GB2312" w:hAnsi="仿宋_GB2312" w:eastAsia="仿宋_GB2312" w:cs="仿宋_GB2312"/>
                <w:b/>
                <w:bCs/>
                <w:color w:val="auto"/>
                <w:kern w:val="2"/>
                <w:sz w:val="24"/>
                <w:szCs w:val="24"/>
                <w:highlight w:val="none"/>
                <w:lang w:eastAsia="zh-CN" w:bidi="ar-SA"/>
              </w:rPr>
              <w:t>8</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A2025A5">
            <w:pPr>
              <w:jc w:val="center"/>
              <w:rPr>
                <w:rFonts w:hint="eastAsia" w:ascii="仿宋_GB2312" w:hAnsi="仿宋_GB2312" w:eastAsia="仿宋_GB2312" w:cs="仿宋_GB2312"/>
                <w:b/>
                <w:color w:val="auto"/>
                <w:spacing w:val="4"/>
                <w:sz w:val="24"/>
                <w:szCs w:val="24"/>
                <w:highlight w:val="none"/>
              </w:rPr>
            </w:pPr>
          </w:p>
          <w:p w14:paraId="3386D0C4">
            <w:pPr>
              <w:jc w:val="center"/>
              <w:rPr>
                <w:rFonts w:hint="eastAsia" w:ascii="仿宋_GB2312" w:hAnsi="仿宋_GB2312" w:eastAsia="仿宋_GB2312" w:cs="仿宋_GB2312"/>
                <w:b/>
                <w:color w:val="auto"/>
                <w:spacing w:val="4"/>
                <w:sz w:val="24"/>
                <w:szCs w:val="24"/>
                <w:highlight w:val="none"/>
              </w:rPr>
            </w:pPr>
          </w:p>
          <w:p w14:paraId="77B866F0">
            <w:pPr>
              <w:jc w:val="center"/>
              <w:rPr>
                <w:rFonts w:hint="eastAsia" w:ascii="仿宋_GB2312" w:hAnsi="仿宋_GB2312" w:eastAsia="仿宋_GB2312" w:cs="仿宋_GB2312"/>
                <w:b/>
                <w:color w:val="auto"/>
                <w:spacing w:val="4"/>
                <w:sz w:val="24"/>
                <w:szCs w:val="24"/>
                <w:highlight w:val="none"/>
              </w:rPr>
            </w:pPr>
          </w:p>
          <w:p w14:paraId="7D768F96">
            <w:pPr>
              <w:jc w:val="center"/>
              <w:rPr>
                <w:rFonts w:hint="eastAsia" w:ascii="仿宋_GB2312" w:hAnsi="仿宋_GB2312" w:eastAsia="仿宋_GB2312" w:cs="仿宋_GB2312"/>
                <w:b/>
                <w:color w:val="auto"/>
                <w:spacing w:val="4"/>
                <w:kern w:val="2"/>
                <w:sz w:val="24"/>
                <w:szCs w:val="24"/>
                <w:highlight w:val="none"/>
                <w:lang w:val="en-US" w:eastAsia="zh-CN" w:bidi="ar-SA"/>
              </w:rPr>
            </w:pPr>
            <w:r>
              <w:rPr>
                <w:rFonts w:hint="eastAsia" w:ascii="仿宋_GB2312" w:hAnsi="仿宋_GB2312" w:eastAsia="仿宋_GB2312" w:cs="仿宋_GB2312"/>
                <w:b/>
                <w:color w:val="auto"/>
                <w:spacing w:val="4"/>
                <w:sz w:val="24"/>
                <w:szCs w:val="24"/>
                <w:highlight w:val="none"/>
                <w:lang w:eastAsia="zh-CN"/>
              </w:rPr>
              <w:t>主</w:t>
            </w:r>
            <w:r>
              <w:rPr>
                <w:rFonts w:hint="eastAsia" w:ascii="仿宋_GB2312" w:hAnsi="仿宋_GB2312" w:eastAsia="仿宋_GB2312" w:cs="仿宋_GB2312"/>
                <w:b/>
                <w:color w:val="auto"/>
                <w:spacing w:val="4"/>
                <w:sz w:val="24"/>
                <w:szCs w:val="24"/>
                <w:highlight w:val="none"/>
              </w:rPr>
              <w:t>观分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3F88F6AC">
            <w:pPr>
              <w:rPr>
                <w:rFonts w:hint="eastAsia" w:ascii="仿宋_GB2312" w:hAnsi="仿宋_GB2312" w:eastAsia="仿宋_GB2312" w:cs="仿宋_GB2312"/>
                <w:color w:val="auto"/>
                <w:sz w:val="24"/>
                <w:szCs w:val="24"/>
                <w:highlight w:val="none"/>
              </w:rPr>
            </w:pPr>
          </w:p>
        </w:tc>
      </w:tr>
      <w:tr w14:paraId="1868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85" w:type="dxa"/>
            <w:vMerge w:val="continue"/>
            <w:tcBorders>
              <w:left w:val="single" w:color="auto" w:sz="4" w:space="0"/>
              <w:right w:val="single" w:color="auto" w:sz="4" w:space="0"/>
            </w:tcBorders>
            <w:noWrap w:val="0"/>
            <w:vAlign w:val="center"/>
          </w:tcPr>
          <w:p w14:paraId="403FF5EA">
            <w:pPr>
              <w:jc w:val="center"/>
              <w:rPr>
                <w:rFonts w:hint="eastAsia" w:ascii="仿宋_GB2312" w:hAnsi="仿宋_GB2312" w:eastAsia="仿宋_GB2312" w:cs="仿宋_GB2312"/>
                <w:b/>
                <w:color w:val="auto"/>
                <w:sz w:val="24"/>
                <w:szCs w:val="24"/>
                <w:highlight w:val="none"/>
              </w:rPr>
            </w:pPr>
          </w:p>
        </w:tc>
        <w:tc>
          <w:tcPr>
            <w:tcW w:w="635" w:type="dxa"/>
            <w:tcBorders>
              <w:left w:val="single" w:color="auto" w:sz="4" w:space="0"/>
              <w:right w:val="single" w:color="auto" w:sz="4" w:space="0"/>
            </w:tcBorders>
            <w:noWrap w:val="0"/>
            <w:vAlign w:val="center"/>
          </w:tcPr>
          <w:p w14:paraId="4BE7A52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4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992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根据投标人对本项目整体质保承诺打分，整体质保4年的，得1分；整体质保5年及以上的，得2分。投标人提供承诺函，格式自拟，未提供的不得分。</w:t>
            </w:r>
          </w:p>
          <w:p w14:paraId="1FBD72E9">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rPr>
              <w:t>注:原厂质保期高于投标人质保承诺的按原厂执行。</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A2D7B">
            <w:pPr>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eastAsia="zh-CN"/>
              </w:rPr>
              <w:t>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590C92">
            <w:pPr>
              <w:jc w:val="center"/>
              <w:rPr>
                <w:rFonts w:hint="eastAsia" w:ascii="仿宋_GB2312" w:hAnsi="仿宋_GB2312" w:eastAsia="仿宋_GB2312" w:cs="仿宋_GB2312"/>
                <w:b/>
                <w:color w:val="auto"/>
                <w:spacing w:val="4"/>
                <w:sz w:val="24"/>
                <w:szCs w:val="24"/>
                <w:highlight w:val="none"/>
              </w:rPr>
            </w:pPr>
          </w:p>
          <w:p w14:paraId="5DB05B93">
            <w:pPr>
              <w:jc w:val="center"/>
              <w:rPr>
                <w:rFonts w:hint="eastAsia" w:ascii="仿宋_GB2312" w:hAnsi="仿宋_GB2312" w:eastAsia="仿宋_GB2312" w:cs="仿宋_GB2312"/>
                <w:b/>
                <w:color w:val="auto"/>
                <w:spacing w:val="4"/>
                <w:sz w:val="24"/>
                <w:szCs w:val="24"/>
                <w:highlight w:val="none"/>
              </w:rPr>
            </w:pPr>
          </w:p>
          <w:p w14:paraId="4ADB6502">
            <w:pPr>
              <w:jc w:val="center"/>
              <w:rPr>
                <w:rFonts w:hint="eastAsia" w:ascii="仿宋_GB2312" w:hAnsi="仿宋_GB2312" w:eastAsia="仿宋_GB2312" w:cs="仿宋_GB2312"/>
                <w:b/>
                <w:color w:val="auto"/>
                <w:spacing w:val="4"/>
                <w:kern w:val="2"/>
                <w:sz w:val="24"/>
                <w:szCs w:val="24"/>
                <w:highlight w:val="none"/>
                <w:lang w:val="en-US" w:eastAsia="zh-CN" w:bidi="ar-SA"/>
              </w:rPr>
            </w:pPr>
            <w:r>
              <w:rPr>
                <w:rFonts w:hint="eastAsia" w:ascii="仿宋_GB2312" w:hAnsi="仿宋_GB2312" w:eastAsia="仿宋_GB2312" w:cs="仿宋_GB2312"/>
                <w:b/>
                <w:color w:val="auto"/>
                <w:spacing w:val="4"/>
                <w:sz w:val="24"/>
                <w:szCs w:val="24"/>
                <w:highlight w:val="none"/>
              </w:rPr>
              <w:t>客观分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126CED52">
            <w:pPr>
              <w:rPr>
                <w:rFonts w:hint="eastAsia" w:ascii="仿宋_GB2312" w:hAnsi="仿宋_GB2312" w:eastAsia="仿宋_GB2312" w:cs="仿宋_GB2312"/>
                <w:color w:val="auto"/>
                <w:sz w:val="24"/>
                <w:szCs w:val="24"/>
                <w:highlight w:val="none"/>
              </w:rPr>
            </w:pPr>
          </w:p>
        </w:tc>
      </w:tr>
      <w:tr w14:paraId="040F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85" w:type="dxa"/>
            <w:vMerge w:val="continue"/>
            <w:tcBorders>
              <w:left w:val="single" w:color="auto" w:sz="4" w:space="0"/>
              <w:right w:val="single" w:color="auto" w:sz="4" w:space="0"/>
            </w:tcBorders>
            <w:noWrap w:val="0"/>
            <w:vAlign w:val="center"/>
          </w:tcPr>
          <w:p w14:paraId="64BCA804">
            <w:pPr>
              <w:jc w:val="center"/>
              <w:rPr>
                <w:rFonts w:hint="eastAsia" w:ascii="仿宋_GB2312" w:hAnsi="仿宋_GB2312" w:eastAsia="仿宋_GB2312" w:cs="仿宋_GB2312"/>
                <w:b/>
                <w:color w:val="auto"/>
                <w:sz w:val="24"/>
                <w:szCs w:val="24"/>
                <w:highlight w:val="none"/>
              </w:rPr>
            </w:pPr>
          </w:p>
        </w:tc>
        <w:tc>
          <w:tcPr>
            <w:tcW w:w="635" w:type="dxa"/>
            <w:tcBorders>
              <w:left w:val="single" w:color="auto" w:sz="4" w:space="0"/>
              <w:right w:val="single" w:color="auto" w:sz="4" w:space="0"/>
            </w:tcBorders>
            <w:noWrap w:val="0"/>
            <w:vAlign w:val="center"/>
          </w:tcPr>
          <w:p w14:paraId="3EEDC336">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4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2147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color w:val="auto"/>
                <w:sz w:val="24"/>
                <w:szCs w:val="24"/>
                <w:highlight w:val="none"/>
              </w:rPr>
              <w:t>所投</w:t>
            </w:r>
            <w:r>
              <w:rPr>
                <w:rFonts w:hint="eastAsia" w:ascii="仿宋_GB2312" w:hAnsi="仿宋_GB2312" w:eastAsia="仿宋_GB2312" w:cs="仿宋_GB2312"/>
                <w:color w:val="auto"/>
                <w:sz w:val="24"/>
                <w:szCs w:val="24"/>
                <w:highlight w:val="none"/>
                <w:lang w:eastAsia="zh-CN"/>
              </w:rPr>
              <w:t>台式电脑（</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）、台式电脑（</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具有有效的环境标志产品认证证书的</w:t>
            </w:r>
            <w:r>
              <w:rPr>
                <w:rFonts w:hint="eastAsia" w:ascii="仿宋_GB2312" w:hAnsi="仿宋_GB2312" w:eastAsia="仿宋_GB2312" w:cs="仿宋_GB2312"/>
                <w:color w:val="auto"/>
                <w:sz w:val="24"/>
                <w:szCs w:val="24"/>
                <w:highlight w:val="none"/>
                <w:lang w:eastAsia="zh-CN"/>
              </w:rPr>
              <w:t>，每个</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0.75</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分；</w:t>
            </w:r>
          </w:p>
          <w:p w14:paraId="7239BBCF">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sz w:val="24"/>
                <w:szCs w:val="24"/>
                <w:highlight w:val="none"/>
                <w:lang w:val="en-US" w:eastAsia="zh-CN"/>
              </w:rPr>
              <w:t>注：须提供国家确定的认证机构出具的、处于有效期之内的认证证书，或者提供查询网址及查询截图。</w:t>
            </w:r>
            <w:r>
              <w:rPr>
                <w:rFonts w:hint="eastAsia" w:ascii="仿宋_GB2312" w:hAnsi="仿宋_GB2312" w:eastAsia="仿宋_GB2312" w:cs="仿宋_GB2312"/>
                <w:b/>
                <w:bCs/>
                <w:color w:val="auto"/>
                <w:sz w:val="24"/>
                <w:szCs w:val="24"/>
                <w:highlight w:val="none"/>
              </w:rPr>
              <w:t>认证证书所列产品型号与所投产品不一致的不予认可。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519B63">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1.5</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856C8E2">
            <w:pPr>
              <w:jc w:val="center"/>
              <w:rPr>
                <w:rFonts w:hint="eastAsia" w:ascii="仿宋_GB2312" w:hAnsi="仿宋_GB2312" w:eastAsia="仿宋_GB2312" w:cs="仿宋_GB2312"/>
                <w:b/>
                <w:color w:val="auto"/>
                <w:spacing w:val="4"/>
                <w:sz w:val="24"/>
                <w:szCs w:val="24"/>
                <w:highlight w:val="none"/>
              </w:rPr>
            </w:pPr>
          </w:p>
          <w:p w14:paraId="4C2712A5">
            <w:pPr>
              <w:jc w:val="center"/>
              <w:rPr>
                <w:rFonts w:hint="eastAsia" w:ascii="仿宋_GB2312" w:hAnsi="仿宋_GB2312" w:eastAsia="仿宋_GB2312" w:cs="仿宋_GB2312"/>
                <w:b/>
                <w:color w:val="auto"/>
                <w:spacing w:val="4"/>
                <w:sz w:val="24"/>
                <w:szCs w:val="24"/>
                <w:highlight w:val="none"/>
              </w:rPr>
            </w:pPr>
          </w:p>
          <w:p w14:paraId="2C2F53EE">
            <w:pPr>
              <w:jc w:val="center"/>
              <w:rPr>
                <w:rFonts w:hint="eastAsia" w:ascii="仿宋_GB2312" w:hAnsi="仿宋_GB2312" w:eastAsia="仿宋_GB2312" w:cs="仿宋_GB2312"/>
                <w:b/>
                <w:color w:val="auto"/>
                <w:spacing w:val="4"/>
                <w:sz w:val="24"/>
                <w:szCs w:val="24"/>
                <w:highlight w:val="none"/>
              </w:rPr>
            </w:pPr>
          </w:p>
          <w:p w14:paraId="70E3E187">
            <w:pPr>
              <w:jc w:val="center"/>
              <w:rPr>
                <w:rFonts w:hint="eastAsia" w:ascii="仿宋_GB2312" w:hAnsi="仿宋_GB2312" w:eastAsia="仿宋_GB2312" w:cs="仿宋_GB2312"/>
                <w:b/>
                <w:color w:val="auto"/>
                <w:spacing w:val="4"/>
                <w:sz w:val="24"/>
                <w:szCs w:val="24"/>
                <w:highlight w:val="none"/>
              </w:rPr>
            </w:pPr>
          </w:p>
          <w:p w14:paraId="6B5F330F">
            <w:pPr>
              <w:jc w:val="center"/>
              <w:rPr>
                <w:rFonts w:hint="eastAsia" w:ascii="仿宋_GB2312" w:hAnsi="仿宋_GB2312" w:eastAsia="仿宋_GB2312" w:cs="仿宋_GB2312"/>
                <w:b/>
                <w:color w:val="auto"/>
                <w:spacing w:val="4"/>
                <w:kern w:val="2"/>
                <w:sz w:val="24"/>
                <w:szCs w:val="24"/>
                <w:highlight w:val="none"/>
                <w:lang w:val="en-US" w:eastAsia="zh-CN" w:bidi="ar-SA"/>
              </w:rPr>
            </w:pPr>
            <w:r>
              <w:rPr>
                <w:rFonts w:hint="eastAsia" w:ascii="仿宋_GB2312" w:hAnsi="仿宋_GB2312" w:eastAsia="仿宋_GB2312" w:cs="仿宋_GB2312"/>
                <w:b/>
                <w:color w:val="auto"/>
                <w:spacing w:val="4"/>
                <w:sz w:val="24"/>
                <w:szCs w:val="24"/>
                <w:highlight w:val="none"/>
              </w:rPr>
              <w:t>客观分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7B2AB5D8">
            <w:pPr>
              <w:rPr>
                <w:rFonts w:hint="eastAsia" w:ascii="仿宋_GB2312" w:hAnsi="仿宋_GB2312" w:eastAsia="仿宋_GB2312" w:cs="仿宋_GB2312"/>
                <w:color w:val="auto"/>
                <w:sz w:val="24"/>
                <w:szCs w:val="24"/>
                <w:highlight w:val="none"/>
              </w:rPr>
            </w:pPr>
          </w:p>
        </w:tc>
      </w:tr>
      <w:tr w14:paraId="780D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5" w:type="dxa"/>
            <w:vMerge w:val="restart"/>
            <w:tcBorders>
              <w:left w:val="single" w:color="auto" w:sz="4" w:space="0"/>
              <w:right w:val="single" w:color="auto" w:sz="4" w:space="0"/>
            </w:tcBorders>
            <w:noWrap w:val="0"/>
            <w:vAlign w:val="center"/>
          </w:tcPr>
          <w:p w14:paraId="61F6549A">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技术部分（</w:t>
            </w:r>
            <w:r>
              <w:rPr>
                <w:rFonts w:hint="eastAsia" w:ascii="仿宋_GB2312" w:hAnsi="仿宋_GB2312" w:eastAsia="仿宋_GB2312" w:cs="仿宋_GB2312"/>
                <w:color w:val="auto"/>
                <w:sz w:val="24"/>
                <w:szCs w:val="24"/>
                <w:highlight w:val="none"/>
                <w:lang w:val="en-US" w:eastAsia="zh-CN"/>
              </w:rPr>
              <w:t>47.5</w:t>
            </w:r>
            <w:bookmarkStart w:id="508" w:name="_GoBack"/>
            <w:bookmarkEnd w:id="508"/>
            <w:r>
              <w:rPr>
                <w:rFonts w:hint="eastAsia" w:ascii="仿宋_GB2312" w:hAnsi="仿宋_GB2312" w:eastAsia="仿宋_GB2312" w:cs="仿宋_GB2312"/>
                <w:color w:val="auto"/>
                <w:sz w:val="24"/>
                <w:szCs w:val="24"/>
                <w:highlight w:val="none"/>
              </w:rPr>
              <w:t>）</w:t>
            </w:r>
          </w:p>
        </w:tc>
        <w:tc>
          <w:tcPr>
            <w:tcW w:w="635" w:type="dxa"/>
            <w:tcBorders>
              <w:left w:val="single" w:color="auto" w:sz="4" w:space="0"/>
              <w:right w:val="single" w:color="auto" w:sz="4" w:space="0"/>
            </w:tcBorders>
            <w:noWrap w:val="0"/>
            <w:vAlign w:val="center"/>
          </w:tcPr>
          <w:p w14:paraId="1394E94A">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4537" w:type="dxa"/>
            <w:tcBorders>
              <w:top w:val="single" w:color="auto" w:sz="4" w:space="0"/>
              <w:left w:val="single" w:color="auto" w:sz="4" w:space="0"/>
              <w:right w:val="single" w:color="auto" w:sz="4" w:space="0"/>
            </w:tcBorders>
            <w:noWrap w:val="0"/>
            <w:vAlign w:val="center"/>
          </w:tcPr>
          <w:p w14:paraId="239D70A5">
            <w:pPr>
              <w:pStyle w:val="7"/>
              <w:spacing w:after="0"/>
              <w:ind w:left="0" w:leftChars="0"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根据投标人的投标文件是否满足本次招标文件</w:t>
            </w: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eastAsia="zh-CN"/>
              </w:rPr>
              <w:t>三</w:t>
            </w:r>
            <w:r>
              <w:rPr>
                <w:rFonts w:hint="eastAsia" w:ascii="仿宋_GB2312" w:hAnsi="仿宋_GB2312" w:eastAsia="仿宋_GB2312" w:cs="仿宋_GB2312"/>
                <w:color w:val="auto"/>
                <w:sz w:val="24"/>
                <w:szCs w:val="24"/>
                <w:highlight w:val="none"/>
              </w:rPr>
              <w:t>部分</w:t>
            </w:r>
            <w:r>
              <w:rPr>
                <w:rFonts w:hint="eastAsia" w:ascii="仿宋_GB2312" w:hAnsi="仿宋_GB2312" w:eastAsia="仿宋_GB2312" w:cs="仿宋_GB2312"/>
                <w:color w:val="auto"/>
                <w:sz w:val="24"/>
                <w:szCs w:val="24"/>
                <w:highlight w:val="none"/>
                <w:lang w:eastAsia="zh-CN"/>
              </w:rPr>
              <w:t>采购需求二、技术要求</w:t>
            </w:r>
            <w:r>
              <w:rPr>
                <w:rFonts w:hint="eastAsia" w:ascii="仿宋_GB2312" w:hAnsi="仿宋_GB2312" w:eastAsia="仿宋_GB2312" w:cs="仿宋_GB2312"/>
                <w:color w:val="auto"/>
                <w:sz w:val="24"/>
                <w:szCs w:val="24"/>
              </w:rPr>
              <w:t>中标注“△”的技术参数要求打分，</w:t>
            </w:r>
            <w:r>
              <w:rPr>
                <w:rFonts w:hint="eastAsia" w:ascii="仿宋_GB2312" w:hAnsi="仿宋_GB2312" w:eastAsia="仿宋_GB2312" w:cs="仿宋_GB2312"/>
                <w:color w:val="auto"/>
                <w:sz w:val="24"/>
                <w:szCs w:val="24"/>
                <w:lang w:eastAsia="zh-CN"/>
              </w:rPr>
              <w:t>共</w:t>
            </w:r>
            <w:r>
              <w:rPr>
                <w:rFonts w:hint="eastAsia" w:ascii="仿宋_GB2312" w:hAnsi="仿宋_GB2312" w:eastAsia="仿宋_GB2312" w:cs="仿宋_GB2312"/>
                <w:color w:val="auto"/>
                <w:sz w:val="24"/>
                <w:szCs w:val="24"/>
                <w:lang w:val="en-US" w:eastAsia="zh-CN"/>
              </w:rPr>
              <w:t>14项21分，不</w:t>
            </w:r>
            <w:r>
              <w:rPr>
                <w:rFonts w:hint="eastAsia" w:ascii="仿宋_GB2312" w:hAnsi="仿宋_GB2312" w:eastAsia="仿宋_GB2312" w:cs="仿宋_GB2312"/>
                <w:color w:val="auto"/>
                <w:sz w:val="24"/>
                <w:szCs w:val="24"/>
              </w:rPr>
              <w:t>符合要求的每项</w:t>
            </w:r>
            <w:r>
              <w:rPr>
                <w:rFonts w:hint="eastAsia" w:ascii="仿宋_GB2312" w:hAnsi="仿宋_GB2312" w:eastAsia="仿宋_GB2312" w:cs="仿宋_GB2312"/>
                <w:color w:val="auto"/>
                <w:sz w:val="24"/>
                <w:szCs w:val="24"/>
                <w:lang w:val="en-US" w:eastAsia="zh-CN"/>
              </w:rPr>
              <w:t>扣1.5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扣完为止。</w:t>
            </w:r>
          </w:p>
          <w:p w14:paraId="4CB2EF87">
            <w:pPr>
              <w:pStyle w:val="7"/>
              <w:spacing w:after="0"/>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rPr>
              <w:t>注：投标人未按要求提供相关证明的，视作不符合要求，该项不得分。</w:t>
            </w:r>
          </w:p>
        </w:tc>
        <w:tc>
          <w:tcPr>
            <w:tcW w:w="750" w:type="dxa"/>
            <w:tcBorders>
              <w:top w:val="single" w:color="auto" w:sz="4" w:space="0"/>
              <w:left w:val="single" w:color="auto" w:sz="4" w:space="0"/>
              <w:right w:val="single" w:color="auto" w:sz="4" w:space="0"/>
            </w:tcBorders>
            <w:noWrap w:val="0"/>
            <w:vAlign w:val="center"/>
          </w:tcPr>
          <w:p w14:paraId="3EF71A50">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850" w:type="dxa"/>
            <w:tcBorders>
              <w:top w:val="single" w:color="auto" w:sz="4" w:space="0"/>
              <w:left w:val="single" w:color="auto" w:sz="4" w:space="0"/>
              <w:right w:val="single" w:color="auto" w:sz="4" w:space="0"/>
            </w:tcBorders>
            <w:noWrap w:val="0"/>
            <w:vAlign w:val="center"/>
          </w:tcPr>
          <w:p w14:paraId="70EFABBE">
            <w:pPr>
              <w:adjustRightInd w:val="0"/>
              <w:snapToGrid w:val="0"/>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客观分</w:t>
            </w:r>
          </w:p>
        </w:tc>
        <w:tc>
          <w:tcPr>
            <w:tcW w:w="1404" w:type="dxa"/>
            <w:tcBorders>
              <w:top w:val="single" w:color="auto" w:sz="4" w:space="0"/>
              <w:left w:val="single" w:color="auto" w:sz="4" w:space="0"/>
              <w:right w:val="single" w:color="auto" w:sz="4" w:space="0"/>
            </w:tcBorders>
            <w:noWrap w:val="0"/>
            <w:vAlign w:val="top"/>
          </w:tcPr>
          <w:p w14:paraId="5F62742D">
            <w:pPr>
              <w:adjustRightInd w:val="0"/>
              <w:snapToGrid w:val="0"/>
              <w:rPr>
                <w:rFonts w:hint="eastAsia" w:ascii="仿宋_GB2312" w:hAnsi="仿宋_GB2312" w:eastAsia="仿宋_GB2312" w:cs="仿宋_GB2312"/>
                <w:color w:val="auto"/>
                <w:sz w:val="24"/>
                <w:szCs w:val="24"/>
                <w:highlight w:val="none"/>
              </w:rPr>
            </w:pPr>
          </w:p>
        </w:tc>
      </w:tr>
      <w:tr w14:paraId="4C31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noWrap w:val="0"/>
            <w:vAlign w:val="center"/>
          </w:tcPr>
          <w:p w14:paraId="02039958">
            <w:pPr>
              <w:rPr>
                <w:rFonts w:hint="eastAsia" w:ascii="仿宋_GB2312" w:hAnsi="仿宋_GB2312" w:eastAsia="仿宋_GB2312" w:cs="仿宋_GB2312"/>
                <w:color w:val="auto"/>
                <w:sz w:val="24"/>
                <w:szCs w:val="24"/>
                <w:highlight w:val="none"/>
              </w:rPr>
            </w:pPr>
          </w:p>
        </w:tc>
        <w:tc>
          <w:tcPr>
            <w:tcW w:w="635" w:type="dxa"/>
            <w:tcBorders>
              <w:left w:val="single" w:color="auto" w:sz="4" w:space="0"/>
              <w:right w:val="single" w:color="auto" w:sz="4" w:space="0"/>
            </w:tcBorders>
            <w:noWrap w:val="0"/>
            <w:vAlign w:val="center"/>
          </w:tcPr>
          <w:p w14:paraId="496372DB">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8</w:t>
            </w:r>
          </w:p>
        </w:tc>
        <w:tc>
          <w:tcPr>
            <w:tcW w:w="4537" w:type="dxa"/>
            <w:tcBorders>
              <w:top w:val="single" w:color="auto" w:sz="4" w:space="0"/>
              <w:left w:val="single" w:color="auto" w:sz="4" w:space="0"/>
              <w:right w:val="single" w:color="auto" w:sz="4" w:space="0"/>
            </w:tcBorders>
            <w:noWrap w:val="0"/>
            <w:vAlign w:val="center"/>
          </w:tcPr>
          <w:p w14:paraId="685D5DAB">
            <w:pPr>
              <w:pStyle w:val="7"/>
              <w:spacing w:after="0"/>
              <w:ind w:left="0" w:leftChars="0" w:firstLine="0" w:firstLineChars="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根据投标人的投标文件是否满足本次</w:t>
            </w:r>
            <w:r>
              <w:rPr>
                <w:rFonts w:hint="eastAsia" w:ascii="仿宋_GB2312" w:hAnsi="仿宋_GB2312" w:eastAsia="仿宋_GB2312" w:cs="仿宋_GB2312"/>
                <w:color w:val="auto"/>
                <w:sz w:val="24"/>
                <w:szCs w:val="24"/>
                <w:highlight w:val="none"/>
              </w:rPr>
              <w:t>第</w:t>
            </w:r>
            <w:r>
              <w:rPr>
                <w:rFonts w:hint="eastAsia" w:ascii="仿宋_GB2312" w:hAnsi="仿宋_GB2312" w:eastAsia="仿宋_GB2312" w:cs="仿宋_GB2312"/>
                <w:color w:val="auto"/>
                <w:sz w:val="24"/>
                <w:szCs w:val="24"/>
                <w:highlight w:val="none"/>
                <w:lang w:eastAsia="zh-CN"/>
              </w:rPr>
              <w:t>三</w:t>
            </w:r>
            <w:r>
              <w:rPr>
                <w:rFonts w:hint="eastAsia" w:ascii="仿宋_GB2312" w:hAnsi="仿宋_GB2312" w:eastAsia="仿宋_GB2312" w:cs="仿宋_GB2312"/>
                <w:color w:val="auto"/>
                <w:sz w:val="24"/>
                <w:szCs w:val="24"/>
                <w:highlight w:val="none"/>
              </w:rPr>
              <w:t>部分</w:t>
            </w:r>
            <w:r>
              <w:rPr>
                <w:rFonts w:hint="eastAsia" w:ascii="仿宋_GB2312" w:hAnsi="仿宋_GB2312" w:eastAsia="仿宋_GB2312" w:cs="仿宋_GB2312"/>
                <w:color w:val="auto"/>
                <w:sz w:val="24"/>
                <w:szCs w:val="24"/>
                <w:highlight w:val="none"/>
                <w:lang w:eastAsia="zh-CN"/>
              </w:rPr>
              <w:t>采购需求二、技术要求</w:t>
            </w:r>
            <w:r>
              <w:rPr>
                <w:rFonts w:hint="eastAsia" w:ascii="仿宋_GB2312" w:hAnsi="仿宋_GB2312" w:eastAsia="仿宋_GB2312" w:cs="仿宋_GB2312"/>
                <w:color w:val="auto"/>
                <w:sz w:val="24"/>
                <w:szCs w:val="24"/>
                <w:lang w:val="en-US" w:eastAsia="zh-CN"/>
              </w:rPr>
              <w:t>2.1台式电脑（1）序号190-203和2.2台式电脑（2）序号190-203，除标注</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外，共14项10.5分，负偏离的每项扣0.75分，扣完为止。</w:t>
            </w:r>
          </w:p>
          <w:p w14:paraId="79692A83">
            <w:pPr>
              <w:pStyle w:val="7"/>
              <w:spacing w:after="0"/>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rPr>
              <w:t>注：投标人未按要求提供相关证明的，视作不符合要求，该项不得分。</w:t>
            </w:r>
          </w:p>
        </w:tc>
        <w:tc>
          <w:tcPr>
            <w:tcW w:w="750" w:type="dxa"/>
            <w:tcBorders>
              <w:top w:val="single" w:color="auto" w:sz="4" w:space="0"/>
              <w:left w:val="single" w:color="auto" w:sz="4" w:space="0"/>
              <w:right w:val="single" w:color="auto" w:sz="4" w:space="0"/>
            </w:tcBorders>
            <w:noWrap w:val="0"/>
            <w:vAlign w:val="center"/>
          </w:tcPr>
          <w:p w14:paraId="6ACC3E86">
            <w:pPr>
              <w:jc w:val="center"/>
              <w:rPr>
                <w:rFonts w:hint="eastAsia" w:ascii="仿宋_GB2312" w:hAnsi="仿宋_GB2312" w:eastAsia="仿宋_GB2312" w:cs="仿宋_GB2312"/>
                <w:b w:val="0"/>
                <w:bCs/>
                <w:color w:val="auto"/>
                <w:spacing w:val="4"/>
                <w:sz w:val="24"/>
                <w:szCs w:val="24"/>
                <w:highlight w:val="none"/>
                <w:lang w:val="en-US" w:eastAsia="zh-CN"/>
              </w:rPr>
            </w:pPr>
          </w:p>
          <w:p w14:paraId="364B51EE">
            <w:pPr>
              <w:jc w:val="center"/>
              <w:rPr>
                <w:rFonts w:hint="eastAsia" w:ascii="仿宋_GB2312" w:hAnsi="仿宋_GB2312" w:eastAsia="仿宋_GB2312" w:cs="仿宋_GB2312"/>
                <w:b w:val="0"/>
                <w:bCs/>
                <w:color w:val="auto"/>
                <w:spacing w:val="4"/>
                <w:sz w:val="24"/>
                <w:szCs w:val="24"/>
                <w:highlight w:val="none"/>
                <w:lang w:val="en-US" w:eastAsia="zh-CN"/>
              </w:rPr>
            </w:pPr>
          </w:p>
          <w:p w14:paraId="2C101AC6">
            <w:pPr>
              <w:jc w:val="center"/>
              <w:rPr>
                <w:rFonts w:hint="eastAsia" w:ascii="仿宋_GB2312" w:hAnsi="仿宋_GB2312" w:eastAsia="仿宋_GB2312" w:cs="仿宋_GB2312"/>
                <w:b w:val="0"/>
                <w:bCs/>
                <w:color w:val="auto"/>
                <w:spacing w:val="4"/>
                <w:sz w:val="24"/>
                <w:szCs w:val="24"/>
                <w:highlight w:val="none"/>
                <w:lang w:val="en-US" w:eastAsia="zh-CN"/>
              </w:rPr>
            </w:pPr>
          </w:p>
          <w:p w14:paraId="0EA18B5E">
            <w:pPr>
              <w:jc w:val="center"/>
              <w:rPr>
                <w:rFonts w:hint="eastAsia" w:ascii="仿宋_GB2312" w:hAnsi="仿宋_GB2312" w:eastAsia="仿宋_GB2312" w:cs="仿宋_GB2312"/>
                <w:b w:val="0"/>
                <w:bCs/>
                <w:color w:val="auto"/>
                <w:spacing w:val="4"/>
                <w:sz w:val="24"/>
                <w:szCs w:val="24"/>
                <w:highlight w:val="none"/>
                <w:lang w:val="en-US" w:eastAsia="zh-CN"/>
              </w:rPr>
            </w:pPr>
          </w:p>
          <w:p w14:paraId="74A3F084">
            <w:pPr>
              <w:jc w:val="center"/>
              <w:rPr>
                <w:rFonts w:hint="default" w:ascii="仿宋_GB2312" w:hAnsi="仿宋_GB2312" w:eastAsia="仿宋_GB2312" w:cs="仿宋_GB2312"/>
                <w:b/>
                <w:color w:val="auto"/>
                <w:spacing w:val="4"/>
                <w:sz w:val="24"/>
                <w:szCs w:val="24"/>
                <w:highlight w:val="none"/>
                <w:lang w:val="en-US" w:eastAsia="zh-CN"/>
              </w:rPr>
            </w:pPr>
            <w:r>
              <w:rPr>
                <w:rFonts w:hint="eastAsia" w:ascii="仿宋_GB2312" w:hAnsi="仿宋_GB2312" w:eastAsia="仿宋_GB2312" w:cs="仿宋_GB2312"/>
                <w:b w:val="0"/>
                <w:bCs/>
                <w:color w:val="auto"/>
                <w:spacing w:val="4"/>
                <w:sz w:val="24"/>
                <w:szCs w:val="24"/>
                <w:highlight w:val="none"/>
                <w:lang w:val="en-US" w:eastAsia="zh-CN"/>
              </w:rPr>
              <w:t>10.5</w:t>
            </w:r>
          </w:p>
        </w:tc>
        <w:tc>
          <w:tcPr>
            <w:tcW w:w="850" w:type="dxa"/>
            <w:tcBorders>
              <w:top w:val="single" w:color="auto" w:sz="4" w:space="0"/>
              <w:left w:val="single" w:color="auto" w:sz="4" w:space="0"/>
              <w:right w:val="single" w:color="auto" w:sz="4" w:space="0"/>
            </w:tcBorders>
            <w:noWrap w:val="0"/>
            <w:vAlign w:val="center"/>
          </w:tcPr>
          <w:p w14:paraId="2877701F">
            <w:pPr>
              <w:adjustRightInd w:val="0"/>
              <w:snapToGrid w:val="0"/>
              <w:jc w:val="center"/>
              <w:rPr>
                <w:rFonts w:hint="eastAsia" w:ascii="仿宋_GB2312" w:hAnsi="仿宋_GB2312" w:eastAsia="仿宋_GB2312" w:cs="仿宋_GB2312"/>
                <w:b/>
                <w:color w:val="auto"/>
                <w:spacing w:val="4"/>
                <w:sz w:val="24"/>
                <w:szCs w:val="24"/>
                <w:highlight w:val="none"/>
              </w:rPr>
            </w:pPr>
          </w:p>
          <w:p w14:paraId="568170BC">
            <w:pPr>
              <w:adjustRightInd w:val="0"/>
              <w:snapToGrid w:val="0"/>
              <w:jc w:val="center"/>
              <w:rPr>
                <w:rFonts w:hint="eastAsia" w:ascii="仿宋_GB2312" w:hAnsi="仿宋_GB2312" w:eastAsia="仿宋_GB2312" w:cs="仿宋_GB2312"/>
                <w:b/>
                <w:color w:val="auto"/>
                <w:spacing w:val="4"/>
                <w:sz w:val="24"/>
                <w:szCs w:val="24"/>
                <w:highlight w:val="none"/>
              </w:rPr>
            </w:pPr>
          </w:p>
          <w:p w14:paraId="3B7752C6">
            <w:pPr>
              <w:adjustRightInd w:val="0"/>
              <w:snapToGrid w:val="0"/>
              <w:jc w:val="center"/>
              <w:rPr>
                <w:rFonts w:hint="eastAsia" w:ascii="仿宋_GB2312" w:hAnsi="仿宋_GB2312" w:eastAsia="仿宋_GB2312" w:cs="仿宋_GB2312"/>
                <w:b/>
                <w:color w:val="auto"/>
                <w:spacing w:val="4"/>
                <w:sz w:val="24"/>
                <w:szCs w:val="24"/>
                <w:highlight w:val="none"/>
              </w:rPr>
            </w:pPr>
          </w:p>
          <w:p w14:paraId="0F46E248">
            <w:pPr>
              <w:adjustRightInd w:val="0"/>
              <w:snapToGrid w:val="0"/>
              <w:jc w:val="center"/>
              <w:rPr>
                <w:rFonts w:hint="eastAsia" w:ascii="仿宋_GB2312" w:hAnsi="仿宋_GB2312" w:eastAsia="仿宋_GB2312" w:cs="仿宋_GB2312"/>
                <w:b/>
                <w:color w:val="auto"/>
                <w:spacing w:val="4"/>
                <w:sz w:val="24"/>
                <w:szCs w:val="24"/>
                <w:highlight w:val="none"/>
              </w:rPr>
            </w:pPr>
          </w:p>
          <w:p w14:paraId="03DA066F">
            <w:pPr>
              <w:adjustRightInd w:val="0"/>
              <w:snapToGrid w:val="0"/>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客观分</w:t>
            </w:r>
          </w:p>
        </w:tc>
        <w:tc>
          <w:tcPr>
            <w:tcW w:w="1404" w:type="dxa"/>
            <w:tcBorders>
              <w:top w:val="single" w:color="auto" w:sz="4" w:space="0"/>
              <w:left w:val="single" w:color="auto" w:sz="4" w:space="0"/>
              <w:right w:val="single" w:color="auto" w:sz="4" w:space="0"/>
            </w:tcBorders>
            <w:noWrap w:val="0"/>
            <w:vAlign w:val="top"/>
          </w:tcPr>
          <w:p w14:paraId="172C9A22">
            <w:pPr>
              <w:adjustRightInd w:val="0"/>
              <w:snapToGrid w:val="0"/>
              <w:rPr>
                <w:rFonts w:hint="eastAsia" w:ascii="仿宋_GB2312" w:hAnsi="仿宋_GB2312" w:eastAsia="仿宋_GB2312" w:cs="仿宋_GB2312"/>
                <w:color w:val="auto"/>
                <w:sz w:val="24"/>
                <w:szCs w:val="24"/>
                <w:highlight w:val="none"/>
              </w:rPr>
            </w:pPr>
          </w:p>
        </w:tc>
      </w:tr>
      <w:tr w14:paraId="4F06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noWrap w:val="0"/>
            <w:vAlign w:val="center"/>
          </w:tcPr>
          <w:p w14:paraId="2D391C27">
            <w:pPr>
              <w:rPr>
                <w:rFonts w:hint="eastAsia" w:ascii="仿宋_GB2312" w:hAnsi="仿宋_GB2312" w:eastAsia="仿宋_GB2312" w:cs="仿宋_GB2312"/>
                <w:color w:val="auto"/>
                <w:sz w:val="24"/>
                <w:szCs w:val="24"/>
                <w:highlight w:val="none"/>
              </w:rPr>
            </w:pPr>
          </w:p>
        </w:tc>
        <w:tc>
          <w:tcPr>
            <w:tcW w:w="635" w:type="dxa"/>
            <w:tcBorders>
              <w:left w:val="single" w:color="auto" w:sz="4" w:space="0"/>
              <w:right w:val="single" w:color="auto" w:sz="4" w:space="0"/>
            </w:tcBorders>
            <w:noWrap w:val="0"/>
            <w:vAlign w:val="center"/>
          </w:tcPr>
          <w:p w14:paraId="7FDD0CB2">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p>
        </w:tc>
        <w:tc>
          <w:tcPr>
            <w:tcW w:w="4537" w:type="dxa"/>
            <w:tcBorders>
              <w:top w:val="single" w:color="auto" w:sz="4" w:space="0"/>
              <w:left w:val="single" w:color="auto" w:sz="4" w:space="0"/>
              <w:right w:val="single" w:color="auto" w:sz="4" w:space="0"/>
            </w:tcBorders>
            <w:noWrap w:val="0"/>
            <w:vAlign w:val="center"/>
          </w:tcPr>
          <w:p w14:paraId="1DB85483">
            <w:pPr>
              <w:pStyle w:val="7"/>
              <w:spacing w:after="0"/>
              <w:ind w:left="0" w:leftChars="0"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eastAsia="zh-CN"/>
              </w:rPr>
              <w:t>根</w:t>
            </w:r>
            <w:r>
              <w:rPr>
                <w:rFonts w:hint="eastAsia" w:ascii="仿宋_GB2312" w:hAnsi="仿宋_GB2312" w:eastAsia="仿宋_GB2312" w:cs="仿宋_GB2312"/>
                <w:color w:val="auto"/>
                <w:szCs w:val="24"/>
                <w:highlight w:val="none"/>
              </w:rPr>
              <w:t>据投标人为本项目提供的培训方案和技术指导方案</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包括培训</w:t>
            </w:r>
            <w:r>
              <w:rPr>
                <w:rFonts w:hint="eastAsia" w:ascii="仿宋_GB2312" w:hAnsi="仿宋_GB2312" w:eastAsia="仿宋_GB2312" w:cs="仿宋_GB2312"/>
                <w:color w:val="auto"/>
                <w:szCs w:val="24"/>
                <w:highlight w:val="none"/>
                <w:lang w:eastAsia="zh-CN"/>
              </w:rPr>
              <w:t>内容</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szCs w:val="24"/>
                <w:highlight w:val="none"/>
                <w:lang w:eastAsia="zh-CN"/>
              </w:rPr>
              <w:t>培训计划</w:t>
            </w:r>
            <w:r>
              <w:rPr>
                <w:rFonts w:hint="eastAsia" w:ascii="仿宋_GB2312" w:hAnsi="仿宋_GB2312" w:eastAsia="仿宋_GB2312" w:cs="仿宋_GB2312"/>
                <w:color w:val="auto"/>
                <w:szCs w:val="24"/>
                <w:highlight w:val="none"/>
              </w:rPr>
              <w:t>、人员结构等情况打分，最多得</w:t>
            </w:r>
            <w:r>
              <w:rPr>
                <w:rFonts w:hint="eastAsia" w:ascii="仿宋_GB2312" w:hAnsi="仿宋_GB2312" w:eastAsia="仿宋_GB2312" w:cs="仿宋_GB2312"/>
                <w:color w:val="auto"/>
                <w:szCs w:val="24"/>
                <w:highlight w:val="none"/>
                <w:lang w:val="en-US" w:eastAsia="zh-CN"/>
              </w:rPr>
              <w:t>6</w:t>
            </w:r>
            <w:r>
              <w:rPr>
                <w:rFonts w:hint="eastAsia" w:ascii="仿宋_GB2312" w:hAnsi="仿宋_GB2312" w:eastAsia="仿宋_GB2312" w:cs="仿宋_GB2312"/>
                <w:color w:val="auto"/>
                <w:szCs w:val="24"/>
                <w:highlight w:val="none"/>
              </w:rPr>
              <w:t>分。</w:t>
            </w:r>
          </w:p>
          <w:p w14:paraId="5103D25B">
            <w:pPr>
              <w:pStyle w:val="7"/>
              <w:spacing w:after="0"/>
              <w:ind w:left="0" w:leftChars="0" w:firstLine="0" w:firstLineChars="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以上每点，描述完整详细且与采购人实际需求完全契合的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14:paraId="2D406DBD">
            <w:pPr>
              <w:pStyle w:val="7"/>
              <w:spacing w:after="0"/>
              <w:ind w:left="0" w:leftChars="0" w:firstLine="0" w:firstLineChars="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描述较详细完整或与采购人实际需求部分符合的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w:t>
            </w: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14:paraId="769965CA">
            <w:pPr>
              <w:pStyle w:val="7"/>
              <w:spacing w:after="0"/>
              <w:ind w:left="0" w:leftChars="0" w:firstLine="0" w:firstLineChars="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Cs w:val="24"/>
                <w:highlight w:val="none"/>
              </w:rPr>
              <w:t>未提供或完全不符合采购人需求的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得0分</w:t>
            </w:r>
            <w:r>
              <w:rPr>
                <w:rFonts w:hint="eastAsia" w:ascii="仿宋_GB2312" w:hAnsi="仿宋_GB2312" w:eastAsia="仿宋_GB2312" w:cs="仿宋_GB2312"/>
                <w:color w:val="auto"/>
                <w:szCs w:val="24"/>
                <w:highlight w:val="none"/>
                <w:lang w:eastAsia="zh-CN"/>
              </w:rPr>
              <w:t>。</w:t>
            </w:r>
          </w:p>
        </w:tc>
        <w:tc>
          <w:tcPr>
            <w:tcW w:w="750" w:type="dxa"/>
            <w:tcBorders>
              <w:top w:val="single" w:color="auto" w:sz="4" w:space="0"/>
              <w:left w:val="single" w:color="auto" w:sz="4" w:space="0"/>
              <w:right w:val="single" w:color="auto" w:sz="4" w:space="0"/>
            </w:tcBorders>
            <w:noWrap w:val="0"/>
            <w:vAlign w:val="center"/>
          </w:tcPr>
          <w:p w14:paraId="7E17C37B">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pacing w:val="4"/>
                <w:sz w:val="24"/>
                <w:szCs w:val="24"/>
                <w:highlight w:val="none"/>
                <w:lang w:val="en-US" w:eastAsia="zh-CN"/>
              </w:rPr>
              <w:t>6</w:t>
            </w:r>
          </w:p>
        </w:tc>
        <w:tc>
          <w:tcPr>
            <w:tcW w:w="850" w:type="dxa"/>
            <w:tcBorders>
              <w:top w:val="single" w:color="auto" w:sz="4" w:space="0"/>
              <w:left w:val="single" w:color="auto" w:sz="4" w:space="0"/>
              <w:right w:val="single" w:color="auto" w:sz="4" w:space="0"/>
            </w:tcBorders>
            <w:noWrap w:val="0"/>
            <w:vAlign w:val="center"/>
          </w:tcPr>
          <w:p w14:paraId="7283B857">
            <w:pPr>
              <w:adjustRightInd w:val="0"/>
              <w:snapToGrid w:val="0"/>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主观分</w:t>
            </w:r>
          </w:p>
        </w:tc>
        <w:tc>
          <w:tcPr>
            <w:tcW w:w="1404" w:type="dxa"/>
            <w:tcBorders>
              <w:top w:val="single" w:color="auto" w:sz="4" w:space="0"/>
              <w:left w:val="single" w:color="auto" w:sz="4" w:space="0"/>
              <w:right w:val="single" w:color="auto" w:sz="4" w:space="0"/>
            </w:tcBorders>
            <w:noWrap w:val="0"/>
            <w:vAlign w:val="top"/>
          </w:tcPr>
          <w:p w14:paraId="07B1CEBE">
            <w:pPr>
              <w:adjustRightInd w:val="0"/>
              <w:snapToGrid w:val="0"/>
              <w:rPr>
                <w:rFonts w:hint="eastAsia" w:ascii="仿宋_GB2312" w:hAnsi="仿宋_GB2312" w:eastAsia="仿宋_GB2312" w:cs="仿宋_GB2312"/>
                <w:color w:val="auto"/>
                <w:sz w:val="24"/>
                <w:szCs w:val="24"/>
                <w:highlight w:val="none"/>
              </w:rPr>
            </w:pPr>
          </w:p>
        </w:tc>
      </w:tr>
      <w:tr w14:paraId="51B3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885" w:type="dxa"/>
            <w:vMerge w:val="continue"/>
            <w:tcBorders>
              <w:left w:val="single" w:color="auto" w:sz="4" w:space="0"/>
              <w:right w:val="single" w:color="auto" w:sz="4" w:space="0"/>
            </w:tcBorders>
            <w:noWrap w:val="0"/>
            <w:vAlign w:val="center"/>
          </w:tcPr>
          <w:p w14:paraId="1A06CDE5">
            <w:pPr>
              <w:rPr>
                <w:rFonts w:hint="eastAsia" w:ascii="仿宋_GB2312" w:hAnsi="仿宋_GB2312" w:eastAsia="仿宋_GB2312" w:cs="仿宋_GB2312"/>
                <w:color w:val="auto"/>
                <w:spacing w:val="4"/>
                <w:sz w:val="24"/>
                <w:szCs w:val="24"/>
                <w:highlight w:val="none"/>
              </w:rPr>
            </w:pPr>
          </w:p>
        </w:tc>
        <w:tc>
          <w:tcPr>
            <w:tcW w:w="635" w:type="dxa"/>
            <w:tcBorders>
              <w:left w:val="single" w:color="auto" w:sz="4" w:space="0"/>
              <w:right w:val="single" w:color="auto" w:sz="4" w:space="0"/>
            </w:tcBorders>
            <w:noWrap w:val="0"/>
            <w:vAlign w:val="center"/>
          </w:tcPr>
          <w:p w14:paraId="5378B656">
            <w:pPr>
              <w:widowControl/>
              <w:jc w:val="center"/>
              <w:rPr>
                <w:rFonts w:hint="default" w:ascii="仿宋_GB2312" w:hAnsi="仿宋_GB2312" w:eastAsia="仿宋_GB2312" w:cs="仿宋_GB2312"/>
                <w:color w:val="auto"/>
                <w:spacing w:val="4"/>
                <w:sz w:val="24"/>
                <w:szCs w:val="24"/>
                <w:highlight w:val="none"/>
                <w:lang w:val="en-US" w:eastAsia="zh-CN"/>
              </w:rPr>
            </w:pPr>
            <w:r>
              <w:rPr>
                <w:rFonts w:hint="eastAsia" w:ascii="仿宋_GB2312" w:hAnsi="仿宋_GB2312" w:eastAsia="仿宋_GB2312" w:cs="仿宋_GB2312"/>
                <w:color w:val="auto"/>
                <w:spacing w:val="4"/>
                <w:sz w:val="24"/>
                <w:szCs w:val="24"/>
                <w:highlight w:val="none"/>
                <w:lang w:val="en-US" w:eastAsia="zh-CN"/>
              </w:rPr>
              <w:t>10</w:t>
            </w:r>
          </w:p>
        </w:tc>
        <w:tc>
          <w:tcPr>
            <w:tcW w:w="4537" w:type="dxa"/>
            <w:tcBorders>
              <w:top w:val="single" w:color="auto" w:sz="4" w:space="0"/>
              <w:left w:val="single" w:color="auto" w:sz="4" w:space="0"/>
              <w:right w:val="single" w:color="auto" w:sz="4" w:space="0"/>
            </w:tcBorders>
            <w:noWrap w:val="0"/>
            <w:vAlign w:val="center"/>
          </w:tcPr>
          <w:p w14:paraId="6E0B21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根据投标人提供</w:t>
            </w:r>
            <w:r>
              <w:rPr>
                <w:rFonts w:hint="eastAsia" w:ascii="仿宋_GB2312" w:hAnsi="仿宋_GB2312" w:eastAsia="仿宋_GB2312" w:cs="仿宋_GB2312"/>
                <w:color w:val="auto"/>
                <w:sz w:val="24"/>
                <w:szCs w:val="24"/>
                <w:lang w:eastAsia="zh-CN"/>
              </w:rPr>
              <w:t>实施方案，包括</w:t>
            </w:r>
            <w:r>
              <w:rPr>
                <w:rFonts w:hint="eastAsia" w:ascii="仿宋_GB2312" w:hAnsi="仿宋_GB2312" w:eastAsia="仿宋_GB2312" w:cs="仿宋_GB2312"/>
                <w:color w:val="auto"/>
                <w:sz w:val="24"/>
                <w:szCs w:val="24"/>
                <w:highlight w:val="none"/>
                <w:lang w:val="en-US" w:eastAsia="zh-CN"/>
              </w:rPr>
              <w:t>设备供货、进度计划安排、</w:t>
            </w:r>
            <w:r>
              <w:rPr>
                <w:rFonts w:hint="eastAsia" w:ascii="仿宋_GB2312" w:hAnsi="仿宋_GB2312" w:eastAsia="仿宋_GB2312" w:cs="仿宋_GB2312"/>
                <w:color w:val="auto"/>
                <w:sz w:val="24"/>
                <w:szCs w:val="24"/>
              </w:rPr>
              <w:t>安装、调试、验收方案</w:t>
            </w:r>
            <w:r>
              <w:rPr>
                <w:rFonts w:hint="eastAsia" w:ascii="仿宋_GB2312" w:hAnsi="仿宋_GB2312" w:eastAsia="仿宋_GB2312" w:cs="仿宋_GB2312"/>
                <w:color w:val="auto"/>
                <w:sz w:val="24"/>
                <w:szCs w:val="24"/>
                <w:lang w:eastAsia="zh-CN"/>
              </w:rPr>
              <w:t>打分，最多得</w:t>
            </w:r>
            <w:r>
              <w:rPr>
                <w:rFonts w:hint="eastAsia" w:ascii="仿宋_GB2312" w:hAnsi="仿宋_GB2312" w:eastAsia="仿宋_GB2312" w:cs="仿宋_GB2312"/>
                <w:color w:val="auto"/>
                <w:sz w:val="24"/>
                <w:szCs w:val="24"/>
                <w:lang w:val="en-US" w:eastAsia="zh-CN"/>
              </w:rPr>
              <w:t>10分。</w:t>
            </w:r>
          </w:p>
          <w:p w14:paraId="50A07ADD">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以上每点，描述完整详细且与采购人实际需求完全契合的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14:paraId="21B700A0">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描述较详细完整或与采购人实际需求部分符合的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w:t>
            </w: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14:paraId="4576CFC3">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仿宋_GB2312"/>
                <w:color w:val="auto"/>
                <w:lang w:eastAsia="zh-CN"/>
              </w:rPr>
            </w:pPr>
            <w:r>
              <w:rPr>
                <w:rFonts w:hint="eastAsia" w:ascii="仿宋_GB2312" w:hAnsi="仿宋_GB2312" w:eastAsia="仿宋_GB2312" w:cs="仿宋_GB2312"/>
                <w:color w:val="auto"/>
                <w:szCs w:val="24"/>
                <w:highlight w:val="none"/>
              </w:rPr>
              <w:t>未提供或完全不符合采购人需求的</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得0分</w:t>
            </w:r>
            <w:r>
              <w:rPr>
                <w:rFonts w:hint="eastAsia" w:ascii="仿宋_GB2312" w:hAnsi="仿宋_GB2312" w:eastAsia="仿宋_GB2312" w:cs="仿宋_GB2312"/>
                <w:color w:val="auto"/>
                <w:szCs w:val="24"/>
                <w:highlight w:val="none"/>
                <w:lang w:eastAsia="zh-CN"/>
              </w:rPr>
              <w:t>。</w:t>
            </w:r>
          </w:p>
        </w:tc>
        <w:tc>
          <w:tcPr>
            <w:tcW w:w="750" w:type="dxa"/>
            <w:tcBorders>
              <w:top w:val="single" w:color="auto" w:sz="4" w:space="0"/>
              <w:left w:val="single" w:color="auto" w:sz="4" w:space="0"/>
              <w:right w:val="single" w:color="auto" w:sz="4" w:space="0"/>
            </w:tcBorders>
            <w:noWrap w:val="0"/>
            <w:vAlign w:val="center"/>
          </w:tcPr>
          <w:p w14:paraId="217F5451">
            <w:pPr>
              <w:ind w:firstLine="124" w:firstLineChars="50"/>
              <w:jc w:val="center"/>
              <w:outlineLvl w:val="0"/>
              <w:rPr>
                <w:rFonts w:hint="default" w:ascii="仿宋_GB2312" w:hAnsi="仿宋_GB2312" w:eastAsia="仿宋_GB2312" w:cs="仿宋_GB2312"/>
                <w:b/>
                <w:color w:val="auto"/>
                <w:spacing w:val="4"/>
                <w:sz w:val="24"/>
                <w:szCs w:val="24"/>
                <w:highlight w:val="none"/>
                <w:lang w:eastAsia="zh-CN"/>
              </w:rPr>
            </w:pPr>
            <w:r>
              <w:rPr>
                <w:rFonts w:hint="default" w:ascii="仿宋_GB2312" w:hAnsi="仿宋_GB2312" w:eastAsia="仿宋_GB2312" w:cs="仿宋_GB2312"/>
                <w:b/>
                <w:color w:val="auto"/>
                <w:spacing w:val="4"/>
                <w:sz w:val="24"/>
                <w:szCs w:val="24"/>
                <w:highlight w:val="none"/>
                <w:lang w:eastAsia="zh-CN"/>
              </w:rPr>
              <w:t>10</w:t>
            </w:r>
          </w:p>
        </w:tc>
        <w:tc>
          <w:tcPr>
            <w:tcW w:w="850" w:type="dxa"/>
            <w:tcBorders>
              <w:top w:val="single" w:color="auto" w:sz="4" w:space="0"/>
              <w:left w:val="single" w:color="auto" w:sz="4" w:space="0"/>
              <w:right w:val="single" w:color="auto" w:sz="4" w:space="0"/>
            </w:tcBorders>
            <w:noWrap w:val="0"/>
            <w:vAlign w:val="center"/>
          </w:tcPr>
          <w:p w14:paraId="4EBB237B">
            <w:pPr>
              <w:adjustRightInd w:val="0"/>
              <w:snapToGrid w:val="0"/>
              <w:jc w:val="center"/>
              <w:rPr>
                <w:rFonts w:hint="eastAsia" w:ascii="仿宋_GB2312" w:hAnsi="仿宋_GB2312" w:eastAsia="仿宋_GB2312" w:cs="仿宋_GB2312"/>
                <w:b/>
                <w:color w:val="auto"/>
                <w:spacing w:val="4"/>
                <w:sz w:val="24"/>
                <w:szCs w:val="24"/>
                <w:highlight w:val="none"/>
              </w:rPr>
            </w:pPr>
            <w:r>
              <w:rPr>
                <w:rFonts w:hint="eastAsia" w:ascii="仿宋_GB2312" w:hAnsi="仿宋_GB2312" w:eastAsia="仿宋_GB2312" w:cs="仿宋_GB2312"/>
                <w:b/>
                <w:color w:val="auto"/>
                <w:spacing w:val="4"/>
                <w:sz w:val="24"/>
                <w:szCs w:val="24"/>
                <w:highlight w:val="none"/>
              </w:rPr>
              <w:t>主观分</w:t>
            </w:r>
          </w:p>
        </w:tc>
        <w:tc>
          <w:tcPr>
            <w:tcW w:w="1404" w:type="dxa"/>
            <w:tcBorders>
              <w:top w:val="single" w:color="auto" w:sz="4" w:space="0"/>
              <w:left w:val="single" w:color="auto" w:sz="4" w:space="0"/>
              <w:right w:val="single" w:color="auto" w:sz="4" w:space="0"/>
            </w:tcBorders>
            <w:noWrap w:val="0"/>
            <w:vAlign w:val="top"/>
          </w:tcPr>
          <w:p w14:paraId="2A1CA1D3">
            <w:pPr>
              <w:adjustRightInd w:val="0"/>
              <w:snapToGrid w:val="0"/>
              <w:rPr>
                <w:rFonts w:hint="eastAsia" w:ascii="仿宋_GB2312" w:hAnsi="仿宋_GB2312" w:eastAsia="仿宋_GB2312" w:cs="仿宋_GB2312"/>
                <w:color w:val="auto"/>
                <w:sz w:val="24"/>
                <w:szCs w:val="24"/>
                <w:highlight w:val="none"/>
              </w:rPr>
            </w:pPr>
          </w:p>
        </w:tc>
      </w:tr>
      <w:tr w14:paraId="18D7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tcBorders>
              <w:left w:val="single" w:color="auto" w:sz="4" w:space="0"/>
              <w:right w:val="single" w:color="auto" w:sz="4" w:space="0"/>
            </w:tcBorders>
            <w:noWrap w:val="0"/>
            <w:vAlign w:val="center"/>
          </w:tcPr>
          <w:p w14:paraId="76504B18">
            <w:pPr>
              <w:topLinePunct/>
              <w:spacing w:line="360" w:lineRule="auto"/>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w:t>
            </w:r>
          </w:p>
          <w:p w14:paraId="32074859">
            <w:pPr>
              <w:ind w:firstLine="120" w:firstLineChars="5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p>
        </w:tc>
        <w:tc>
          <w:tcPr>
            <w:tcW w:w="635" w:type="dxa"/>
            <w:tcBorders>
              <w:left w:val="single" w:color="auto" w:sz="4" w:space="0"/>
              <w:right w:val="single" w:color="auto" w:sz="4" w:space="0"/>
            </w:tcBorders>
            <w:noWrap w:val="0"/>
            <w:vAlign w:val="center"/>
          </w:tcPr>
          <w:p w14:paraId="28B71DEB">
            <w:pPr>
              <w:jc w:val="center"/>
              <w:rPr>
                <w:rFonts w:hint="eastAsia" w:ascii="仿宋_GB2312" w:hAnsi="仿宋_GB2312" w:eastAsia="仿宋_GB2312" w:cs="仿宋_GB2312"/>
                <w:color w:val="auto"/>
                <w:spacing w:val="4"/>
                <w:sz w:val="24"/>
                <w:szCs w:val="24"/>
                <w:highlight w:val="none"/>
                <w:lang w:val="en-US" w:eastAsia="zh-CN" w:bidi="en-US"/>
              </w:rPr>
            </w:pPr>
            <w:r>
              <w:rPr>
                <w:rFonts w:hint="eastAsia" w:ascii="仿宋_GB2312" w:hAnsi="仿宋_GB2312" w:eastAsia="仿宋_GB2312" w:cs="仿宋_GB2312"/>
                <w:color w:val="auto"/>
                <w:spacing w:val="4"/>
                <w:sz w:val="24"/>
                <w:szCs w:val="24"/>
                <w:highlight w:val="none"/>
                <w:lang w:val="en-US" w:eastAsia="zh-CN" w:bidi="en-US"/>
              </w:rPr>
              <w:t>11</w:t>
            </w:r>
          </w:p>
        </w:tc>
        <w:tc>
          <w:tcPr>
            <w:tcW w:w="4537" w:type="dxa"/>
            <w:tcBorders>
              <w:top w:val="single" w:color="auto" w:sz="4" w:space="0"/>
              <w:left w:val="single" w:color="auto" w:sz="4" w:space="0"/>
              <w:bottom w:val="single" w:color="auto" w:sz="4" w:space="0"/>
              <w:right w:val="single" w:color="auto" w:sz="4" w:space="0"/>
            </w:tcBorders>
            <w:noWrap w:val="0"/>
            <w:vAlign w:val="center"/>
          </w:tcPr>
          <w:p w14:paraId="32AF0F3D">
            <w:pPr>
              <w:spacing w:line="440" w:lineRule="exact"/>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0］的计算公式计算。</w:t>
            </w:r>
          </w:p>
          <w:p w14:paraId="4DEF06BE">
            <w:pPr>
              <w:widowControl/>
              <w:shd w:val="clear" w:color="auto" w:fill="FFFFFF"/>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评标过程中，不得去掉报价中的最高报价和最低报价。</w:t>
            </w:r>
          </w:p>
          <w:p w14:paraId="3179BAA8">
            <w:pPr>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因落实政府采购政策需要进行价格调整的，以调整后的价格计算评标基准价和投标报价。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641F02D">
            <w:pPr>
              <w:ind w:firstLine="120" w:firstLineChars="50"/>
              <w:jc w:val="center"/>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0848AA7">
            <w:pPr>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价格分</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49276A92">
            <w:pPr>
              <w:rPr>
                <w:rFonts w:hint="eastAsia" w:ascii="仿宋_GB2312" w:hAnsi="仿宋_GB2312" w:eastAsia="仿宋_GB2312" w:cs="仿宋_GB2312"/>
                <w:color w:val="auto"/>
                <w:sz w:val="24"/>
                <w:szCs w:val="24"/>
                <w:highlight w:val="none"/>
              </w:rPr>
            </w:pPr>
          </w:p>
        </w:tc>
      </w:tr>
    </w:tbl>
    <w:p w14:paraId="4B6AD34D">
      <w:pPr>
        <w:spacing w:line="420" w:lineRule="exact"/>
        <w:ind w:firstLine="472" w:firstLineChars="196"/>
        <w:contextualSpacing/>
        <w:rPr>
          <w:rFonts w:hint="eastAsia" w:ascii="仿宋_GB2312" w:hAnsi="仿宋_GB2312" w:eastAsia="仿宋_GB2312" w:cs="仿宋_GB2312"/>
          <w:b/>
          <w:color w:val="auto"/>
          <w:sz w:val="24"/>
          <w:szCs w:val="24"/>
          <w:highlight w:val="none"/>
        </w:rPr>
      </w:pPr>
    </w:p>
    <w:p w14:paraId="48A2728B">
      <w:pPr>
        <w:spacing w:line="420" w:lineRule="exact"/>
        <w:ind w:firstLine="472" w:firstLineChars="196"/>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*备注：投标人编制投标文件（商务技术文件部分）时，建议按此目录（序号和内容）提供评标标准相应的商务技术资料。 </w:t>
      </w:r>
    </w:p>
    <w:p w14:paraId="459D753A">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一、评标方法</w:t>
      </w:r>
    </w:p>
    <w:p w14:paraId="11E67CE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3DF5F441">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二、评标标准</w:t>
      </w:r>
    </w:p>
    <w:p w14:paraId="28671B1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评标标准：见评标办法前附表。</w:t>
      </w:r>
    </w:p>
    <w:p w14:paraId="398201C3">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三、评标程序</w:t>
      </w:r>
    </w:p>
    <w:p w14:paraId="554BD7C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3.1符合性审查。评标委员会应当对符合资格的投标人的投标文件进行符合性审查，以确定其是否满足招标文件的实质性要求。不满足招标文件的实质性要求的，投标无效。</w:t>
      </w:r>
    </w:p>
    <w:p w14:paraId="21DFEA2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比较与评价。评标委员会应当按照招标文件中规定的评标方法和标准，对符合性审查合格的投标文件进行商务和技术评估，综合比较与评价。</w:t>
      </w:r>
    </w:p>
    <w:p w14:paraId="357C582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3.3汇总商务技术得分。评标委员会各成员应当独立对每个投标人的商务和技术文件进行评价，并汇总商务技术得分情况。</w:t>
      </w:r>
    </w:p>
    <w:p w14:paraId="77D38B4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3.4报价评审。</w:t>
      </w:r>
    </w:p>
    <w:p w14:paraId="1586A32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3.4.1投标文件报价出现前后不一致的，按照下列规定修正：</w:t>
      </w:r>
    </w:p>
    <w:p w14:paraId="6E34E46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3.4.1.1投标文件中开标一览表(报价表)内容与投标文件中相应内容不一致的，以开标一览表(报价表)为准;</w:t>
      </w:r>
    </w:p>
    <w:p w14:paraId="2F9ECE5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3.4.1.2大写金额和小写金额不一致的，以大写金额为准;</w:t>
      </w:r>
    </w:p>
    <w:p w14:paraId="4D376F7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3.4.1.3单价金额小数点或者百分比有明显错位的，以开标一览表的总价为准，并修改单价;</w:t>
      </w:r>
    </w:p>
    <w:p w14:paraId="0E70349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3.4.1.4总价金额与按单价汇总金额不一致的，以单价金额计算结果为准。</w:t>
      </w:r>
    </w:p>
    <w:p w14:paraId="24D17C5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79116F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3.4.2投标文件出现不是唯一的、有选择性投标报价的，投标无效。</w:t>
      </w:r>
    </w:p>
    <w:p w14:paraId="31130D6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3.4.3投标报价超过招标文件中规定的预算金额或者最高限价的，投标无效。</w:t>
      </w:r>
    </w:p>
    <w:p w14:paraId="3F9A2BC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706A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E876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834DA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041672F8">
      <w:pPr>
        <w:keepNext w:val="0"/>
        <w:keepLines w:val="0"/>
        <w:pageBreakBefore w:val="0"/>
        <w:widowControl w:val="0"/>
        <w:kinsoku/>
        <w:wordWrap/>
        <w:overflowPunct/>
        <w:topLinePunct w:val="0"/>
        <w:autoSpaceDE/>
        <w:autoSpaceDN/>
        <w:bidi w:val="0"/>
        <w:adjustRightInd/>
        <w:snapToGrid/>
        <w:spacing w:line="420" w:lineRule="exact"/>
        <w:ind w:firstLine="602" w:firstLineChars="250"/>
        <w:contextualSpacing/>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四、评标中的其他事项</w:t>
      </w:r>
    </w:p>
    <w:p w14:paraId="0A259111">
      <w:pPr>
        <w:keepNext w:val="0"/>
        <w:keepLines w:val="0"/>
        <w:pageBreakBefore w:val="0"/>
        <w:widowControl w:val="0"/>
        <w:kinsoku/>
        <w:wordWrap/>
        <w:overflowPunct/>
        <w:topLinePunct w:val="0"/>
        <w:autoSpaceDE/>
        <w:autoSpaceDN/>
        <w:bidi w:val="0"/>
        <w:adjustRightInd/>
        <w:snapToGrid/>
        <w:spacing w:line="420" w:lineRule="exact"/>
        <w:ind w:firstLine="600" w:firstLineChars="25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0D4067">
      <w:pPr>
        <w:keepNext w:val="0"/>
        <w:keepLines w:val="0"/>
        <w:pageBreakBefore w:val="0"/>
        <w:widowControl w:val="0"/>
        <w:kinsoku/>
        <w:wordWrap/>
        <w:overflowPunct/>
        <w:topLinePunct w:val="0"/>
        <w:autoSpaceDE/>
        <w:autoSpaceDN/>
        <w:bidi w:val="0"/>
        <w:adjustRightInd/>
        <w:snapToGrid/>
        <w:spacing w:line="420" w:lineRule="exact"/>
        <w:ind w:firstLine="600" w:firstLineChars="25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4.2投标无效。有下列情况之一的，投标无效：</w:t>
      </w:r>
    </w:p>
    <w:p w14:paraId="5A2AA84C">
      <w:pPr>
        <w:keepNext w:val="0"/>
        <w:keepLines w:val="0"/>
        <w:pageBreakBefore w:val="0"/>
        <w:widowControl w:val="0"/>
        <w:kinsoku/>
        <w:wordWrap/>
        <w:overflowPunct/>
        <w:topLinePunct w:val="0"/>
        <w:autoSpaceDE/>
        <w:autoSpaceDN/>
        <w:bidi w:val="0"/>
        <w:adjustRightInd/>
        <w:snapToGrid/>
        <w:spacing w:line="420" w:lineRule="exact"/>
        <w:ind w:firstLine="600" w:firstLineChars="25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4.2.1单位负责人为同一人或者存在直接控股、管理关系的不同供应商参加同一合同项下的政府采购活动的（均无效）；</w:t>
      </w:r>
    </w:p>
    <w:p w14:paraId="5E82107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4.2.2为采购项目提供整体设计、规范编制或者项目管理、监理、检测等服务的供应商再参加该采购项目的其他采购活动的；</w:t>
      </w:r>
    </w:p>
    <w:p w14:paraId="4D226D5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4.2.3投标人不具备招标文件中规定的资格要求的（投标人未提供有效的资格证明文件的，视为投标人不具备招标文件中规定的资格要求）；</w:t>
      </w:r>
    </w:p>
    <w:p w14:paraId="36C9EB7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4.2.4如以联合体形式参加政府采购活动的，联合体协议不符合招标文件规定的联合体协议要求的；</w:t>
      </w:r>
    </w:p>
    <w:p w14:paraId="2F93640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4.2.5投标文件未按招标文件的澄清、修改的内容编制，又不符合实质性要求的；</w:t>
      </w:r>
    </w:p>
    <w:p w14:paraId="269335D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4.2.6投标文件组成不全或内容字迹模糊辨认不清的而导致评标无法正常进行（经评标委员会认定并允许其当场更正的笔误除外的）；</w:t>
      </w:r>
    </w:p>
    <w:p w14:paraId="07F3BAB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4.2.7投标文件未按照招标文件要求签署、盖章的；</w:t>
      </w:r>
    </w:p>
    <w:p w14:paraId="2007A26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w:t>
      </w:r>
    </w:p>
    <w:p w14:paraId="7128F62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投标文件含有采购人不能接受的附加条件的；</w:t>
      </w:r>
    </w:p>
    <w:p w14:paraId="6800556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投标文件中承诺的投标有效期少于招标文件中载明的投标有效期的；</w:t>
      </w:r>
    </w:p>
    <w:p w14:paraId="39924B1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投标人所投内容不符合招标文件中实质性要求的；</w:t>
      </w:r>
    </w:p>
    <w:p w14:paraId="5E3AC86A">
      <w:pPr>
        <w:keepNext w:val="0"/>
        <w:keepLines w:val="0"/>
        <w:pageBreakBefore w:val="0"/>
        <w:widowControl w:val="0"/>
        <w:kinsoku/>
        <w:wordWrap/>
        <w:overflowPunct/>
        <w:topLinePunct w:val="0"/>
        <w:autoSpaceDE/>
        <w:autoSpaceDN/>
        <w:bidi w:val="0"/>
        <w:adjustRightInd/>
        <w:snapToGrid/>
        <w:spacing w:line="420" w:lineRule="exact"/>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4.2.1</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投标文件出现不是唯一的、有选择性投标报价的;</w:t>
      </w:r>
    </w:p>
    <w:p w14:paraId="3992285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投标报价高于本项目采购预算或者最高限价的;</w:t>
      </w:r>
    </w:p>
    <w:p w14:paraId="5872D98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5D53E26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《投标（开标）一览表》填写不完整或字迹不能辨认或有漏项的；</w:t>
      </w:r>
    </w:p>
    <w:p w14:paraId="630D794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投标人对根据修正原则修正后的报价不确认的；</w:t>
      </w:r>
    </w:p>
    <w:p w14:paraId="72EEC1F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投标人提供虚假材料投标的（包括但不限于以下情节）；</w:t>
      </w:r>
    </w:p>
    <w:p w14:paraId="49B4E8E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.1使用伪造、变造的许可证件；</w:t>
      </w:r>
    </w:p>
    <w:p w14:paraId="7F7158E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.2提供虚假的财务状况或者业绩；</w:t>
      </w:r>
    </w:p>
    <w:p w14:paraId="14E6E0FD">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.3提供虚假的项目负责人或者主要技术人员简历、劳动关系证明；</w:t>
      </w:r>
    </w:p>
    <w:p w14:paraId="3CDB501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.4提供虚假的信用状况；</w:t>
      </w:r>
    </w:p>
    <w:p w14:paraId="5F335B9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.5其他弄虚作假的行为。</w:t>
      </w:r>
    </w:p>
    <w:p w14:paraId="4E1231F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投标人有恶意串通、妨碍其他投标人的竞争行为、损害采购人或者其他投标人的合法权益情形的；有下列情形之一的，属于或视为恶意串通，其投标无效：</w:t>
      </w:r>
    </w:p>
    <w:p w14:paraId="53BC5A2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.1供应商直接或者间接从采购人或者采购代理机构处获得其他供应商的相关情况并修改其投标文件或者响应文件；</w:t>
      </w:r>
    </w:p>
    <w:p w14:paraId="350AAC0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.2供应商按照采购人或者采购代理机构的授意撤换、修改投标文件或者响应文件；</w:t>
      </w:r>
    </w:p>
    <w:p w14:paraId="4013A95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.3供应商之间协商报价、技术方案等投标文件或者响应文件的实质性内容；</w:t>
      </w:r>
    </w:p>
    <w:p w14:paraId="5BF68BFD">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.4属于同一集团、协会、商会等组织成员的供应商按照该组织要求协同参加政府采购活动；</w:t>
      </w:r>
    </w:p>
    <w:p w14:paraId="1A42045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.5供应商之间事先约定由某一特定供应商中标、成交；</w:t>
      </w:r>
    </w:p>
    <w:p w14:paraId="3205E96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.6供应商之间商定部分供应商放弃参加政府采购活动或者放弃中标、成交；</w:t>
      </w:r>
    </w:p>
    <w:p w14:paraId="785C6BB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.7供应商与采购人或者采购代理机构之间、供应商相互之间，为谋求特定供应商中标、成交或者排斥其他供应商的其他串通行为。</w:t>
      </w:r>
    </w:p>
    <w:p w14:paraId="0A6A153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.8不同投标人的投标文件由同一单位或者个人编制；</w:t>
      </w:r>
    </w:p>
    <w:p w14:paraId="18350A7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.9不同投标人委托同一单位或者个人办理投标事宜；</w:t>
      </w:r>
    </w:p>
    <w:p w14:paraId="2F05B13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.10不同投标人的投标文件载明的项目管理成员或者联系人员为同一人；</w:t>
      </w:r>
    </w:p>
    <w:p w14:paraId="08D484F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.11不同投标人的投标文件异常一致或者投标报价呈规律性差异；</w:t>
      </w:r>
    </w:p>
    <w:p w14:paraId="3740EAB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.12不同投标人的投标文件相互混装；</w:t>
      </w:r>
    </w:p>
    <w:p w14:paraId="4ED3E5A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w:t>
      </w:r>
      <w:r>
        <w:rPr>
          <w:rFonts w:hint="eastAsia" w:ascii="仿宋_GB2312" w:hAnsi="仿宋_GB2312" w:eastAsia="仿宋_GB2312" w:cs="仿宋_GB2312"/>
          <w:color w:val="auto"/>
          <w:sz w:val="24"/>
          <w:szCs w:val="24"/>
          <w:highlight w:val="none"/>
          <w:lang w:val="en-US" w:eastAsia="zh-CN"/>
        </w:rPr>
        <w:t>19</w:t>
      </w:r>
      <w:r>
        <w:rPr>
          <w:rFonts w:hint="eastAsia" w:ascii="仿宋_GB2312" w:hAnsi="仿宋_GB2312" w:eastAsia="仿宋_GB2312" w:cs="仿宋_GB2312"/>
          <w:color w:val="auto"/>
          <w:sz w:val="24"/>
          <w:szCs w:val="24"/>
          <w:highlight w:val="none"/>
        </w:rPr>
        <w:t>投标人仅提交备份投标文件，没有在电子交易平台传输递交投标文件的，投标无效；</w:t>
      </w:r>
    </w:p>
    <w:p w14:paraId="4A34601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以联合体形式投标的，在资格文件和商务技术文件中均未提供联合协议的，投标无效；</w:t>
      </w:r>
    </w:p>
    <w:p w14:paraId="2074B15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以分包方式履行合同的，在资格文件和商务技术文件中均未提供分包意向协议的，投标无效；</w:t>
      </w:r>
    </w:p>
    <w:p w14:paraId="1C6D316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专门面向中小企业采购的，在资格文件和商务技术文件中均未提供中小企业声明函的，投标无效；</w:t>
      </w:r>
    </w:p>
    <w:p w14:paraId="5CBB0B1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法律、法规、规章（适用本市的）及省级以上规范性文件（适用本市的）规定的其他无效情形；</w:t>
      </w:r>
    </w:p>
    <w:p w14:paraId="1C512BC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BE4760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投标文件不满足招标文件的其它实质性要求的。</w:t>
      </w:r>
    </w:p>
    <w:p w14:paraId="64E0645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5.废标。根据《中华人民共和国政府采购法》第三十六条之规定，在采购中，出现下列情形之一的，应予废标：</w:t>
      </w:r>
    </w:p>
    <w:p w14:paraId="48E38B8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5.1符合专业条件的供应商或者对招标文件作实质响应的供应商不足3家的；</w:t>
      </w:r>
    </w:p>
    <w:p w14:paraId="4003FEC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5.2出现影响采购公正的违法、违规行为的；</w:t>
      </w:r>
    </w:p>
    <w:p w14:paraId="1B5C84B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5.3投标人的报价均超过了采购预算，采购人不能支付的；</w:t>
      </w:r>
    </w:p>
    <w:p w14:paraId="14CE6BA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5.4因重大变故，采购任务取消的。</w:t>
      </w:r>
    </w:p>
    <w:p w14:paraId="023FDFF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废标后，采购代理机构应当将废标理由通知所有投标人。</w:t>
      </w:r>
    </w:p>
    <w:p w14:paraId="722F9A7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4C65F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7.重新开展采购。有政府采购法第七十一条、第七十二条规定的违法行为之一，影响或者可能影响中标、成交结果的，依照下列规定处理：</w:t>
      </w:r>
    </w:p>
    <w:p w14:paraId="091A73C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7.1未确定中标或者中标人的，终止本次政府采购活动，重新开展政府采购活动。</w:t>
      </w:r>
    </w:p>
    <w:p w14:paraId="080EC4C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530C1B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4FF4EE3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7.4政府采购合同已经履行，给采购人、供应商造成损失的，由责任人承担赔偿责任。</w:t>
      </w:r>
    </w:p>
    <w:p w14:paraId="6814109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67A0E95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8.评审过程的保密与录像</w:t>
      </w:r>
    </w:p>
    <w:p w14:paraId="2681276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EA06DC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9.录音录像。采购代理机构对评审工作现场进行全过程录音录像，录音录像资料作为采购项目文件随其他文件一并存档。</w:t>
      </w:r>
    </w:p>
    <w:bookmarkEnd w:id="26"/>
    <w:p w14:paraId="26BA2F43">
      <w:pPr>
        <w:pStyle w:val="7"/>
        <w:jc w:val="center"/>
        <w:rPr>
          <w:rFonts w:hint="eastAsia" w:ascii="仿宋_GB2312" w:hAnsi="仿宋_GB2312" w:eastAsia="仿宋_GB2312" w:cs="仿宋_GB2312"/>
          <w:color w:val="auto"/>
          <w:highlight w:val="none"/>
        </w:rPr>
      </w:pPr>
      <w:bookmarkStart w:id="392" w:name="第五部分"/>
      <w:bookmarkStart w:id="393" w:name="_Toc86217003"/>
    </w:p>
    <w:p w14:paraId="29A209EB">
      <w:pPr>
        <w:spacing w:line="540" w:lineRule="exact"/>
        <w:ind w:firstLine="281" w:firstLineChars="100"/>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第五部分</w:t>
      </w:r>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拟签订的合同文本</w:t>
      </w:r>
    </w:p>
    <w:p w14:paraId="7FCAFEB0">
      <w:pPr>
        <w:snapToGrid w:val="0"/>
        <w:spacing w:beforeLines="50" w:afterLines="50"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（具体条款以甲方为主协商确定）</w:t>
      </w:r>
    </w:p>
    <w:p w14:paraId="39EE6294">
      <w:pPr>
        <w:spacing w:line="560" w:lineRule="exact"/>
        <w:ind w:firstLine="562"/>
        <w:jc w:val="center"/>
        <w:outlineLvl w:val="0"/>
        <w:rPr>
          <w:rFonts w:ascii="仿宋" w:hAnsi="仿宋" w:eastAsia="仿宋" w:cs="宋体"/>
          <w:b/>
          <w:color w:val="auto"/>
          <w:sz w:val="30"/>
          <w:szCs w:val="30"/>
        </w:rPr>
      </w:pPr>
      <w:r>
        <w:rPr>
          <w:rFonts w:hint="eastAsia" w:ascii="仿宋" w:hAnsi="仿宋" w:eastAsia="仿宋" w:cs="宋体"/>
          <w:b/>
          <w:color w:val="auto"/>
          <w:sz w:val="30"/>
          <w:szCs w:val="30"/>
        </w:rPr>
        <w:t>拟签订的合同文本</w:t>
      </w:r>
    </w:p>
    <w:p w14:paraId="5802C2DE">
      <w:pPr>
        <w:spacing w:line="560" w:lineRule="exact"/>
        <w:rPr>
          <w:rFonts w:ascii="仿宋" w:hAnsi="仿宋" w:eastAsia="仿宋" w:cs="仿宋"/>
          <w:color w:val="auto"/>
          <w:sz w:val="24"/>
          <w:szCs w:val="24"/>
          <w:u w:val="single"/>
        </w:rPr>
      </w:pPr>
      <w:r>
        <w:rPr>
          <w:rFonts w:hint="eastAsia" w:ascii="仿宋" w:hAnsi="仿宋" w:eastAsia="仿宋" w:cs="仿宋"/>
          <w:color w:val="auto"/>
          <w:sz w:val="24"/>
          <w:szCs w:val="24"/>
        </w:rPr>
        <w:t>合同编号：</w:t>
      </w:r>
    </w:p>
    <w:p w14:paraId="6575FDF9">
      <w:pPr>
        <w:spacing w:line="560" w:lineRule="exact"/>
        <w:jc w:val="center"/>
        <w:rPr>
          <w:rFonts w:ascii="仿宋" w:hAnsi="仿宋" w:eastAsia="仿宋" w:cs="仿宋"/>
          <w:b/>
          <w:color w:val="auto"/>
          <w:sz w:val="24"/>
          <w:szCs w:val="24"/>
        </w:rPr>
      </w:pPr>
    </w:p>
    <w:p w14:paraId="091CFF6A">
      <w:pPr>
        <w:spacing w:line="560" w:lineRule="exact"/>
        <w:jc w:val="center"/>
        <w:rPr>
          <w:rFonts w:ascii="仿宋" w:hAnsi="仿宋" w:eastAsia="仿宋" w:cs="仿宋"/>
          <w:b/>
          <w:color w:val="auto"/>
          <w:sz w:val="24"/>
          <w:szCs w:val="24"/>
        </w:rPr>
      </w:pPr>
    </w:p>
    <w:p w14:paraId="03AFF9C5">
      <w:pPr>
        <w:spacing w:line="560" w:lineRule="exact"/>
        <w:jc w:val="center"/>
        <w:rPr>
          <w:rFonts w:ascii="仿宋" w:hAnsi="仿宋" w:eastAsia="仿宋" w:cs="仿宋"/>
          <w:b/>
          <w:color w:val="auto"/>
          <w:sz w:val="24"/>
          <w:szCs w:val="24"/>
        </w:rPr>
      </w:pPr>
    </w:p>
    <w:p w14:paraId="24B1F2EB">
      <w:pPr>
        <w:pStyle w:val="21"/>
        <w:spacing w:line="560" w:lineRule="exact"/>
        <w:ind w:firstLine="562"/>
        <w:jc w:val="center"/>
        <w:rPr>
          <w:rFonts w:ascii="仿宋" w:hAnsi="仿宋" w:eastAsia="仿宋" w:cs="仿宋"/>
          <w:b/>
          <w:color w:val="auto"/>
          <w:szCs w:val="24"/>
          <w:lang w:eastAsia="zh-CN"/>
        </w:rPr>
      </w:pPr>
      <w:r>
        <w:rPr>
          <w:rFonts w:hint="eastAsia" w:ascii="仿宋" w:hAnsi="仿宋" w:eastAsia="仿宋" w:cs="仿宋"/>
          <w:b/>
          <w:color w:val="auto"/>
          <w:szCs w:val="24"/>
          <w:lang w:eastAsia="zh-CN"/>
        </w:rPr>
        <w:t>第一部分 合同书</w:t>
      </w:r>
    </w:p>
    <w:p w14:paraId="1A9A50C1">
      <w:pPr>
        <w:spacing w:before="120" w:line="560" w:lineRule="exact"/>
        <w:rPr>
          <w:rFonts w:ascii="仿宋" w:hAnsi="仿宋" w:eastAsia="仿宋" w:cs="仿宋"/>
          <w:color w:val="auto"/>
          <w:sz w:val="24"/>
          <w:szCs w:val="24"/>
        </w:rPr>
      </w:pPr>
    </w:p>
    <w:p w14:paraId="009E5530">
      <w:pPr>
        <w:pStyle w:val="2"/>
        <w:spacing w:line="560" w:lineRule="exact"/>
        <w:rPr>
          <w:rFonts w:ascii="仿宋" w:hAnsi="仿宋" w:eastAsia="仿宋" w:cs="仿宋"/>
          <w:color w:val="auto"/>
          <w:sz w:val="24"/>
          <w:szCs w:val="24"/>
        </w:rPr>
      </w:pPr>
    </w:p>
    <w:p w14:paraId="0665B1E4">
      <w:pPr>
        <w:spacing w:before="120" w:line="560" w:lineRule="exact"/>
        <w:ind w:left="960"/>
        <w:rPr>
          <w:rFonts w:ascii="仿宋" w:hAnsi="仿宋" w:eastAsia="仿宋" w:cs="仿宋"/>
          <w:color w:val="auto"/>
          <w:sz w:val="24"/>
          <w:szCs w:val="24"/>
        </w:rPr>
      </w:pPr>
      <w:r>
        <w:rPr>
          <w:rFonts w:hint="eastAsia" w:ascii="仿宋" w:hAnsi="仿宋" w:eastAsia="仿宋" w:cs="仿宋"/>
          <w:color w:val="auto"/>
          <w:sz w:val="24"/>
          <w:szCs w:val="24"/>
        </w:rPr>
        <w:t>项目名称：</w:t>
      </w:r>
    </w:p>
    <w:p w14:paraId="29359662">
      <w:pPr>
        <w:pStyle w:val="22"/>
        <w:spacing w:before="120" w:line="560" w:lineRule="exact"/>
        <w:rPr>
          <w:rFonts w:ascii="仿宋" w:hAnsi="仿宋" w:eastAsia="仿宋" w:cs="仿宋"/>
          <w:color w:val="auto"/>
          <w:szCs w:val="24"/>
          <w:lang w:eastAsia="zh-CN"/>
        </w:rPr>
      </w:pPr>
    </w:p>
    <w:p w14:paraId="24540ABD">
      <w:pPr>
        <w:spacing w:line="560" w:lineRule="exact"/>
        <w:rPr>
          <w:rFonts w:ascii="仿宋" w:hAnsi="仿宋" w:eastAsia="仿宋" w:cs="仿宋"/>
          <w:color w:val="auto"/>
          <w:sz w:val="24"/>
          <w:szCs w:val="24"/>
        </w:rPr>
      </w:pPr>
    </w:p>
    <w:p w14:paraId="2AC03B42">
      <w:pPr>
        <w:spacing w:before="120" w:line="560" w:lineRule="exact"/>
        <w:ind w:left="960"/>
        <w:rPr>
          <w:rFonts w:ascii="仿宋" w:hAnsi="仿宋" w:eastAsia="仿宋" w:cs="仿宋"/>
          <w:color w:val="auto"/>
          <w:sz w:val="24"/>
          <w:szCs w:val="24"/>
          <w:u w:val="single"/>
        </w:rPr>
      </w:pPr>
      <w:r>
        <w:rPr>
          <w:rFonts w:hint="eastAsia" w:ascii="仿宋" w:hAnsi="仿宋" w:eastAsia="仿宋" w:cs="仿宋"/>
          <w:color w:val="auto"/>
          <w:sz w:val="24"/>
          <w:szCs w:val="24"/>
        </w:rPr>
        <w:t>甲方：</w:t>
      </w:r>
    </w:p>
    <w:p w14:paraId="5E8358D5">
      <w:pPr>
        <w:spacing w:before="120" w:line="560" w:lineRule="exact"/>
        <w:rPr>
          <w:rFonts w:ascii="仿宋" w:hAnsi="仿宋" w:eastAsia="仿宋" w:cs="仿宋"/>
          <w:color w:val="auto"/>
          <w:sz w:val="24"/>
          <w:szCs w:val="24"/>
        </w:rPr>
      </w:pPr>
    </w:p>
    <w:p w14:paraId="7A82B48A">
      <w:pPr>
        <w:spacing w:before="120" w:line="560" w:lineRule="exact"/>
        <w:ind w:left="960"/>
        <w:rPr>
          <w:rFonts w:ascii="仿宋" w:hAnsi="仿宋" w:eastAsia="仿宋" w:cs="仿宋"/>
          <w:color w:val="auto"/>
          <w:sz w:val="24"/>
          <w:szCs w:val="24"/>
          <w:u w:val="single"/>
        </w:rPr>
      </w:pPr>
      <w:r>
        <w:rPr>
          <w:rFonts w:hint="eastAsia" w:ascii="仿宋" w:hAnsi="仿宋" w:eastAsia="仿宋" w:cs="仿宋"/>
          <w:color w:val="auto"/>
          <w:sz w:val="24"/>
          <w:szCs w:val="24"/>
        </w:rPr>
        <w:t>乙方：</w:t>
      </w:r>
    </w:p>
    <w:p w14:paraId="7E206618">
      <w:pPr>
        <w:spacing w:before="120" w:line="560" w:lineRule="exact"/>
        <w:rPr>
          <w:rFonts w:ascii="仿宋" w:hAnsi="仿宋" w:eastAsia="仿宋" w:cs="仿宋"/>
          <w:color w:val="auto"/>
          <w:sz w:val="24"/>
          <w:szCs w:val="24"/>
        </w:rPr>
      </w:pPr>
    </w:p>
    <w:p w14:paraId="050D97AB">
      <w:pPr>
        <w:spacing w:before="120" w:line="560" w:lineRule="exact"/>
        <w:ind w:firstLine="840" w:firstLineChars="350"/>
        <w:rPr>
          <w:rFonts w:ascii="仿宋" w:hAnsi="仿宋" w:eastAsia="仿宋" w:cs="仿宋"/>
          <w:color w:val="auto"/>
          <w:sz w:val="24"/>
          <w:szCs w:val="24"/>
          <w:u w:val="single"/>
        </w:rPr>
      </w:pPr>
      <w:r>
        <w:rPr>
          <w:rFonts w:hint="eastAsia" w:ascii="仿宋" w:hAnsi="仿宋" w:eastAsia="仿宋" w:cs="仿宋"/>
          <w:color w:val="auto"/>
          <w:sz w:val="24"/>
          <w:szCs w:val="24"/>
        </w:rPr>
        <w:t>签订地：</w:t>
      </w:r>
    </w:p>
    <w:p w14:paraId="6FE7E6C7">
      <w:pPr>
        <w:spacing w:before="120" w:line="560" w:lineRule="exact"/>
        <w:rPr>
          <w:rFonts w:ascii="仿宋" w:hAnsi="仿宋" w:eastAsia="仿宋" w:cs="仿宋"/>
          <w:color w:val="auto"/>
          <w:sz w:val="24"/>
          <w:szCs w:val="24"/>
        </w:rPr>
      </w:pPr>
    </w:p>
    <w:p w14:paraId="005CFA37">
      <w:pPr>
        <w:spacing w:before="120" w:line="560" w:lineRule="exact"/>
        <w:ind w:firstLine="960" w:firstLineChars="400"/>
        <w:rPr>
          <w:rFonts w:ascii="仿宋" w:hAnsi="仿宋" w:eastAsia="仿宋" w:cs="仿宋"/>
          <w:color w:val="auto"/>
          <w:sz w:val="24"/>
          <w:szCs w:val="24"/>
          <w:u w:val="single"/>
        </w:rPr>
      </w:pPr>
      <w:r>
        <w:rPr>
          <w:rFonts w:hint="eastAsia" w:ascii="仿宋" w:hAnsi="仿宋" w:eastAsia="仿宋" w:cs="仿宋"/>
          <w:color w:val="auto"/>
          <w:sz w:val="24"/>
          <w:szCs w:val="24"/>
        </w:rPr>
        <w:t>签订日期：年月日</w:t>
      </w:r>
    </w:p>
    <w:p w14:paraId="6B38A5E1">
      <w:pPr>
        <w:widowControl/>
        <w:spacing w:line="560" w:lineRule="exact"/>
        <w:jc w:val="left"/>
        <w:rPr>
          <w:rFonts w:ascii="仿宋" w:hAnsi="仿宋" w:eastAsia="仿宋" w:cs="仿宋"/>
          <w:color w:val="auto"/>
          <w:kern w:val="0"/>
          <w:sz w:val="24"/>
          <w:szCs w:val="24"/>
        </w:rPr>
        <w:sectPr>
          <w:pgSz w:w="11907" w:h="16840"/>
          <w:pgMar w:top="1474" w:right="1814" w:bottom="1474" w:left="1814" w:header="851" w:footer="851" w:gutter="0"/>
          <w:cols w:space="720" w:num="1"/>
        </w:sectPr>
      </w:pPr>
    </w:p>
    <w:p w14:paraId="5A36C518">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年月日</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（采购人）   </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对</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评定，</w:t>
      </w:r>
      <w:r>
        <w:rPr>
          <w:rFonts w:hint="eastAsia" w:ascii="仿宋" w:hAnsi="仿宋" w:eastAsia="仿宋" w:cs="仿宋"/>
          <w:color w:val="auto"/>
          <w:sz w:val="24"/>
          <w:szCs w:val="24"/>
          <w:u w:val="single"/>
        </w:rPr>
        <w:t xml:space="preserve">   （中标或者成交供应商名称） </w:t>
      </w:r>
      <w:r>
        <w:rPr>
          <w:rFonts w:hint="eastAsia" w:ascii="仿宋" w:hAnsi="仿宋" w:eastAsia="仿宋" w:cs="仿宋"/>
          <w:color w:val="auto"/>
          <w:sz w:val="24"/>
          <w:szCs w:val="24"/>
        </w:rPr>
        <w:t>为该项目中标或者成交供应商。现于中标或者成交通知书发出之日起   个工作日内，按照采购文件确定的事项签订本合同。</w:t>
      </w:r>
    </w:p>
    <w:p w14:paraId="2C5685F6">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u w:val="single"/>
        </w:rPr>
        <w:t xml:space="preserve">   （采购人）   </w:t>
      </w:r>
      <w:r>
        <w:rPr>
          <w:rFonts w:hint="eastAsia" w:ascii="仿宋" w:hAnsi="仿宋" w:eastAsia="仿宋" w:cs="仿宋"/>
          <w:color w:val="auto"/>
          <w:sz w:val="24"/>
          <w:szCs w:val="24"/>
          <w:lang w:val="zh-CN"/>
        </w:rPr>
        <w:t>(以下简称：甲方)和</w:t>
      </w:r>
      <w:r>
        <w:rPr>
          <w:rFonts w:hint="eastAsia" w:ascii="仿宋" w:hAnsi="仿宋" w:eastAsia="仿宋" w:cs="仿宋"/>
          <w:color w:val="auto"/>
          <w:sz w:val="24"/>
          <w:szCs w:val="24"/>
          <w:u w:val="single"/>
        </w:rPr>
        <w:t xml:space="preserve">   （中或者成交标供应商名称）   </w:t>
      </w:r>
      <w:r>
        <w:rPr>
          <w:rFonts w:hint="eastAsia" w:ascii="仿宋" w:hAnsi="仿宋" w:eastAsia="仿宋" w:cs="仿宋"/>
          <w:color w:val="auto"/>
          <w:sz w:val="24"/>
          <w:szCs w:val="24"/>
          <w:lang w:val="zh-CN"/>
        </w:rPr>
        <w:t>(以下简称：乙方)协商一致，约定以下合同</w:t>
      </w:r>
      <w:r>
        <w:rPr>
          <w:rFonts w:hint="eastAsia" w:ascii="仿宋" w:hAnsi="仿宋" w:eastAsia="仿宋" w:cs="仿宋"/>
          <w:color w:val="auto"/>
          <w:sz w:val="24"/>
          <w:szCs w:val="24"/>
        </w:rPr>
        <w:t>条款，以兹共同遵守、全面履行。</w:t>
      </w:r>
    </w:p>
    <w:p w14:paraId="4EF4DCAA">
      <w:pPr>
        <w:spacing w:line="560" w:lineRule="exact"/>
        <w:ind w:firstLine="482" w:firstLineChars="200"/>
        <w:outlineLvl w:val="0"/>
        <w:rPr>
          <w:rFonts w:ascii="仿宋" w:hAnsi="仿宋" w:eastAsia="仿宋" w:cs="仿宋"/>
          <w:color w:val="auto"/>
          <w:sz w:val="24"/>
          <w:szCs w:val="24"/>
        </w:rPr>
      </w:pPr>
      <w:bookmarkStart w:id="394" w:name="_Toc20421"/>
      <w:bookmarkStart w:id="395" w:name="_Toc28855"/>
      <w:bookmarkStart w:id="396" w:name="_Toc19273"/>
      <w:bookmarkStart w:id="397" w:name="_Toc15367"/>
      <w:bookmarkStart w:id="398" w:name="_Toc22967"/>
      <w:r>
        <w:rPr>
          <w:rFonts w:hint="eastAsia" w:ascii="仿宋" w:hAnsi="仿宋" w:eastAsia="仿宋" w:cs="仿宋"/>
          <w:b/>
          <w:color w:val="auto"/>
          <w:sz w:val="24"/>
          <w:szCs w:val="24"/>
        </w:rPr>
        <w:t>1.1 合同组成部分</w:t>
      </w:r>
      <w:bookmarkEnd w:id="394"/>
      <w:bookmarkEnd w:id="395"/>
      <w:bookmarkEnd w:id="396"/>
      <w:bookmarkEnd w:id="397"/>
      <w:bookmarkEnd w:id="398"/>
    </w:p>
    <w:p w14:paraId="37FE0269">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498131">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1.1.1 本合同及其补充合同、变更协议；</w:t>
      </w:r>
    </w:p>
    <w:p w14:paraId="51DD80F7">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1.1.2 中标或者成交通知书；</w:t>
      </w:r>
    </w:p>
    <w:p w14:paraId="49A397BA">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1.1.3 投标或者响应文件（含澄清或者说明文件）；</w:t>
      </w:r>
    </w:p>
    <w:p w14:paraId="16102BAF">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1.1.4 采购文件（含澄清或者修改文件）；</w:t>
      </w:r>
    </w:p>
    <w:p w14:paraId="66958D3D">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1.1.5 其他相关采购文件。</w:t>
      </w:r>
    </w:p>
    <w:p w14:paraId="4E2FA368">
      <w:pPr>
        <w:spacing w:line="560" w:lineRule="exact"/>
        <w:ind w:firstLine="482" w:firstLineChars="200"/>
        <w:outlineLvl w:val="0"/>
        <w:rPr>
          <w:rFonts w:ascii="仿宋" w:hAnsi="仿宋" w:eastAsia="仿宋" w:cs="仿宋"/>
          <w:b/>
          <w:color w:val="auto"/>
          <w:sz w:val="24"/>
          <w:szCs w:val="24"/>
        </w:rPr>
      </w:pPr>
      <w:bookmarkStart w:id="399" w:name="_Toc6773"/>
      <w:bookmarkStart w:id="400" w:name="_Toc22185"/>
      <w:bookmarkStart w:id="401" w:name="_Toc2918"/>
      <w:bookmarkStart w:id="402" w:name="_Toc18585"/>
      <w:bookmarkStart w:id="403" w:name="_Toc6311"/>
      <w:r>
        <w:rPr>
          <w:rFonts w:hint="eastAsia" w:ascii="仿宋" w:hAnsi="仿宋" w:eastAsia="仿宋" w:cs="仿宋"/>
          <w:b/>
          <w:color w:val="auto"/>
          <w:sz w:val="24"/>
          <w:szCs w:val="24"/>
        </w:rPr>
        <w:t>1.2 标的</w:t>
      </w:r>
      <w:bookmarkEnd w:id="399"/>
      <w:bookmarkEnd w:id="400"/>
      <w:bookmarkEnd w:id="401"/>
      <w:bookmarkEnd w:id="402"/>
      <w:bookmarkEnd w:id="403"/>
    </w:p>
    <w:p w14:paraId="40F4F447">
      <w:pPr>
        <w:spacing w:line="560" w:lineRule="exact"/>
        <w:ind w:firstLine="480" w:firstLineChars="200"/>
        <w:outlineLvl w:val="0"/>
        <w:rPr>
          <w:rFonts w:ascii="仿宋" w:hAnsi="仿宋" w:eastAsia="仿宋" w:cs="仿宋"/>
          <w:b/>
          <w:color w:val="auto"/>
          <w:sz w:val="24"/>
          <w:szCs w:val="24"/>
        </w:rPr>
      </w:pPr>
      <w:r>
        <w:rPr>
          <w:rFonts w:hint="eastAsia" w:ascii="仿宋" w:hAnsi="仿宋" w:eastAsia="仿宋" w:cs="仿宋"/>
          <w:color w:val="auto"/>
          <w:sz w:val="24"/>
          <w:szCs w:val="24"/>
        </w:rPr>
        <w:t>1.2.1 货物名称、品牌、规格型号、花色：；</w:t>
      </w:r>
    </w:p>
    <w:p w14:paraId="358663D4">
      <w:pPr>
        <w:spacing w:line="560" w:lineRule="exact"/>
        <w:ind w:firstLine="480" w:firstLineChars="200"/>
        <w:outlineLvl w:val="0"/>
        <w:rPr>
          <w:rFonts w:ascii="仿宋" w:hAnsi="仿宋" w:eastAsia="仿宋" w:cs="仿宋"/>
          <w:color w:val="auto"/>
          <w:sz w:val="24"/>
          <w:szCs w:val="24"/>
        </w:rPr>
      </w:pPr>
      <w:r>
        <w:rPr>
          <w:rFonts w:hint="eastAsia" w:ascii="仿宋" w:hAnsi="仿宋" w:eastAsia="仿宋" w:cs="仿宋"/>
          <w:color w:val="auto"/>
          <w:sz w:val="24"/>
          <w:szCs w:val="24"/>
        </w:rPr>
        <w:t>1.2.2 货物数量：；</w:t>
      </w:r>
    </w:p>
    <w:p w14:paraId="4BB9B315">
      <w:pPr>
        <w:spacing w:line="560" w:lineRule="exact"/>
        <w:ind w:firstLine="480" w:firstLineChars="200"/>
        <w:outlineLvl w:val="0"/>
        <w:rPr>
          <w:rFonts w:ascii="仿宋" w:hAnsi="仿宋" w:eastAsia="仿宋" w:cs="仿宋"/>
          <w:b/>
          <w:color w:val="auto"/>
          <w:sz w:val="24"/>
          <w:szCs w:val="24"/>
        </w:rPr>
      </w:pPr>
      <w:r>
        <w:rPr>
          <w:rFonts w:hint="eastAsia" w:ascii="仿宋" w:hAnsi="仿宋" w:eastAsia="仿宋" w:cs="仿宋"/>
          <w:color w:val="auto"/>
          <w:sz w:val="24"/>
          <w:szCs w:val="24"/>
        </w:rPr>
        <w:t>1.2.3 货物质量：；</w:t>
      </w:r>
    </w:p>
    <w:p w14:paraId="60D0E0F4">
      <w:pPr>
        <w:spacing w:line="56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1.2.4 服务人员组成：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7C483C8">
      <w:pPr>
        <w:spacing w:line="56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1.2.5合同（是/否）涉及服务。若涉及服务的，则：</w:t>
      </w:r>
    </w:p>
    <w:p w14:paraId="4B074E56">
      <w:pPr>
        <w:spacing w:line="560" w:lineRule="exact"/>
        <w:ind w:firstLine="480" w:firstLineChars="200"/>
        <w:rPr>
          <w:rFonts w:ascii="仿宋" w:hAnsi="仿宋" w:eastAsia="仿宋" w:cs="仿宋"/>
          <w:color w:val="auto"/>
          <w:sz w:val="24"/>
          <w:szCs w:val="24"/>
          <w:u w:val="single"/>
        </w:rPr>
      </w:pPr>
      <w:bookmarkStart w:id="404" w:name="_Toc4929"/>
      <w:bookmarkStart w:id="405" w:name="_Toc13918"/>
      <w:bookmarkStart w:id="406" w:name="_Toc21124"/>
      <w:bookmarkStart w:id="407" w:name="_Toc1386"/>
      <w:bookmarkStart w:id="408" w:name="_Toc5635"/>
      <w:r>
        <w:rPr>
          <w:rFonts w:hint="eastAsia" w:ascii="仿宋" w:hAnsi="仿宋" w:eastAsia="仿宋" w:cs="仿宋"/>
          <w:color w:val="auto"/>
          <w:sz w:val="24"/>
          <w:szCs w:val="24"/>
        </w:rPr>
        <w:t>1.2.5.1 货物内容：；</w:t>
      </w:r>
    </w:p>
    <w:p w14:paraId="40997A16">
      <w:pPr>
        <w:spacing w:line="56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1.2.5.2 服务标准：；</w:t>
      </w:r>
    </w:p>
    <w:p w14:paraId="5DF5A2CD">
      <w:pPr>
        <w:spacing w:line="56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1.2.5.3 技术保障：</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493E7DF">
      <w:pPr>
        <w:spacing w:line="560" w:lineRule="exact"/>
        <w:ind w:firstLine="482" w:firstLineChars="200"/>
        <w:outlineLvl w:val="0"/>
        <w:rPr>
          <w:rFonts w:ascii="仿宋" w:hAnsi="仿宋" w:eastAsia="仿宋" w:cs="仿宋"/>
          <w:b/>
          <w:color w:val="auto"/>
          <w:sz w:val="24"/>
          <w:szCs w:val="24"/>
        </w:rPr>
      </w:pPr>
      <w:r>
        <w:rPr>
          <w:rFonts w:hint="eastAsia" w:ascii="仿宋" w:hAnsi="仿宋" w:eastAsia="仿宋" w:cs="仿宋"/>
          <w:b/>
          <w:color w:val="auto"/>
          <w:sz w:val="24"/>
          <w:szCs w:val="24"/>
        </w:rPr>
        <w:t>1.3 价款</w:t>
      </w:r>
      <w:bookmarkEnd w:id="404"/>
      <w:bookmarkEnd w:id="405"/>
      <w:bookmarkEnd w:id="406"/>
      <w:bookmarkEnd w:id="407"/>
      <w:bookmarkEnd w:id="408"/>
    </w:p>
    <w:p w14:paraId="54B33BA6">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1.3.1总价合同，本合同总价（含税）为：￥元（大写：元人民币）。</w:t>
      </w:r>
    </w:p>
    <w:p w14:paraId="69E35F0F">
      <w:pPr>
        <w:spacing w:line="56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F3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33CBC5">
            <w:pPr>
              <w:pStyle w:val="23"/>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358C7602">
            <w:pPr>
              <w:pStyle w:val="23"/>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539A3DF9">
            <w:pPr>
              <w:pStyle w:val="23"/>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14:paraId="49F4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CB0E15">
            <w:pPr>
              <w:pStyle w:val="23"/>
              <w:spacing w:line="560" w:lineRule="exact"/>
              <w:ind w:firstLine="200"/>
              <w:jc w:val="center"/>
              <w:rPr>
                <w:rFonts w:ascii="仿宋" w:hAnsi="仿宋" w:eastAsia="仿宋" w:cs="仿宋"/>
                <w:color w:val="auto"/>
                <w:sz w:val="24"/>
                <w:szCs w:val="24"/>
              </w:rPr>
            </w:pPr>
          </w:p>
        </w:tc>
        <w:tc>
          <w:tcPr>
            <w:tcW w:w="3402" w:type="dxa"/>
            <w:vAlign w:val="center"/>
          </w:tcPr>
          <w:p w14:paraId="25C00BAC">
            <w:pPr>
              <w:pStyle w:val="23"/>
              <w:spacing w:line="560" w:lineRule="exact"/>
              <w:ind w:firstLine="200"/>
              <w:jc w:val="center"/>
              <w:rPr>
                <w:rFonts w:ascii="仿宋" w:hAnsi="仿宋" w:eastAsia="仿宋" w:cs="仿宋"/>
                <w:color w:val="auto"/>
                <w:sz w:val="24"/>
                <w:szCs w:val="24"/>
              </w:rPr>
            </w:pPr>
          </w:p>
        </w:tc>
        <w:tc>
          <w:tcPr>
            <w:tcW w:w="2552" w:type="dxa"/>
            <w:vAlign w:val="center"/>
          </w:tcPr>
          <w:p w14:paraId="22FCAF10">
            <w:pPr>
              <w:pStyle w:val="23"/>
              <w:spacing w:line="560" w:lineRule="exact"/>
              <w:ind w:firstLine="200"/>
              <w:jc w:val="center"/>
              <w:rPr>
                <w:rFonts w:ascii="仿宋" w:hAnsi="仿宋" w:eastAsia="仿宋" w:cs="仿宋"/>
                <w:color w:val="auto"/>
                <w:sz w:val="24"/>
                <w:szCs w:val="24"/>
              </w:rPr>
            </w:pPr>
          </w:p>
        </w:tc>
      </w:tr>
      <w:tr w14:paraId="1A41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4E0C90">
            <w:pPr>
              <w:pStyle w:val="23"/>
              <w:spacing w:line="560" w:lineRule="exact"/>
              <w:ind w:firstLine="200"/>
              <w:jc w:val="center"/>
              <w:rPr>
                <w:rFonts w:ascii="仿宋" w:hAnsi="仿宋" w:eastAsia="仿宋" w:cs="仿宋"/>
                <w:color w:val="auto"/>
                <w:sz w:val="24"/>
                <w:szCs w:val="24"/>
              </w:rPr>
            </w:pPr>
          </w:p>
        </w:tc>
        <w:tc>
          <w:tcPr>
            <w:tcW w:w="3402" w:type="dxa"/>
            <w:vAlign w:val="center"/>
          </w:tcPr>
          <w:p w14:paraId="1366DFD4">
            <w:pPr>
              <w:pStyle w:val="23"/>
              <w:spacing w:line="560" w:lineRule="exact"/>
              <w:ind w:firstLine="200"/>
              <w:jc w:val="center"/>
              <w:rPr>
                <w:rFonts w:ascii="仿宋" w:hAnsi="仿宋" w:eastAsia="仿宋" w:cs="仿宋"/>
                <w:color w:val="auto"/>
                <w:sz w:val="24"/>
                <w:szCs w:val="24"/>
              </w:rPr>
            </w:pPr>
          </w:p>
        </w:tc>
        <w:tc>
          <w:tcPr>
            <w:tcW w:w="2552" w:type="dxa"/>
            <w:vAlign w:val="center"/>
          </w:tcPr>
          <w:p w14:paraId="5501D728">
            <w:pPr>
              <w:pStyle w:val="23"/>
              <w:spacing w:line="560" w:lineRule="exact"/>
              <w:ind w:firstLine="200"/>
              <w:jc w:val="center"/>
              <w:rPr>
                <w:rFonts w:ascii="仿宋" w:hAnsi="仿宋" w:eastAsia="仿宋" w:cs="仿宋"/>
                <w:color w:val="auto"/>
                <w:sz w:val="24"/>
                <w:szCs w:val="24"/>
              </w:rPr>
            </w:pPr>
          </w:p>
        </w:tc>
      </w:tr>
      <w:tr w14:paraId="0834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D3F96A">
            <w:pPr>
              <w:pStyle w:val="23"/>
              <w:spacing w:line="560" w:lineRule="exact"/>
              <w:ind w:firstLine="200"/>
              <w:jc w:val="center"/>
              <w:rPr>
                <w:rFonts w:ascii="仿宋" w:hAnsi="仿宋" w:eastAsia="仿宋" w:cs="仿宋"/>
                <w:color w:val="auto"/>
                <w:sz w:val="24"/>
                <w:szCs w:val="24"/>
              </w:rPr>
            </w:pPr>
          </w:p>
        </w:tc>
        <w:tc>
          <w:tcPr>
            <w:tcW w:w="3402" w:type="dxa"/>
            <w:vAlign w:val="center"/>
          </w:tcPr>
          <w:p w14:paraId="4D613486">
            <w:pPr>
              <w:pStyle w:val="23"/>
              <w:spacing w:line="560" w:lineRule="exact"/>
              <w:ind w:firstLine="200"/>
              <w:jc w:val="center"/>
              <w:rPr>
                <w:rFonts w:ascii="仿宋" w:hAnsi="仿宋" w:eastAsia="仿宋" w:cs="仿宋"/>
                <w:color w:val="auto"/>
                <w:sz w:val="24"/>
                <w:szCs w:val="24"/>
              </w:rPr>
            </w:pPr>
          </w:p>
        </w:tc>
        <w:tc>
          <w:tcPr>
            <w:tcW w:w="2552" w:type="dxa"/>
            <w:vAlign w:val="center"/>
          </w:tcPr>
          <w:p w14:paraId="684F2D23">
            <w:pPr>
              <w:pStyle w:val="23"/>
              <w:spacing w:line="560" w:lineRule="exact"/>
              <w:ind w:firstLine="200"/>
              <w:jc w:val="center"/>
              <w:rPr>
                <w:rFonts w:ascii="仿宋" w:hAnsi="仿宋" w:eastAsia="仿宋" w:cs="仿宋"/>
                <w:color w:val="auto"/>
                <w:sz w:val="24"/>
                <w:szCs w:val="24"/>
              </w:rPr>
            </w:pPr>
          </w:p>
        </w:tc>
      </w:tr>
      <w:tr w14:paraId="1BFE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3CEC7">
            <w:pPr>
              <w:pStyle w:val="23"/>
              <w:spacing w:line="560" w:lineRule="exact"/>
              <w:ind w:firstLine="200"/>
              <w:jc w:val="center"/>
              <w:rPr>
                <w:rFonts w:ascii="仿宋" w:hAnsi="仿宋" w:eastAsia="仿宋" w:cs="仿宋"/>
                <w:color w:val="auto"/>
                <w:sz w:val="24"/>
                <w:szCs w:val="24"/>
              </w:rPr>
            </w:pPr>
          </w:p>
        </w:tc>
        <w:tc>
          <w:tcPr>
            <w:tcW w:w="3402" w:type="dxa"/>
            <w:vAlign w:val="center"/>
          </w:tcPr>
          <w:p w14:paraId="590E3051">
            <w:pPr>
              <w:pStyle w:val="23"/>
              <w:spacing w:line="560" w:lineRule="exact"/>
              <w:ind w:firstLine="200"/>
              <w:jc w:val="center"/>
              <w:rPr>
                <w:rFonts w:ascii="仿宋" w:hAnsi="仿宋" w:eastAsia="仿宋" w:cs="仿宋"/>
                <w:color w:val="auto"/>
                <w:sz w:val="24"/>
                <w:szCs w:val="24"/>
              </w:rPr>
            </w:pPr>
          </w:p>
        </w:tc>
        <w:tc>
          <w:tcPr>
            <w:tcW w:w="2552" w:type="dxa"/>
            <w:vAlign w:val="center"/>
          </w:tcPr>
          <w:p w14:paraId="6882B273">
            <w:pPr>
              <w:pStyle w:val="23"/>
              <w:spacing w:line="560" w:lineRule="exact"/>
              <w:ind w:firstLine="200"/>
              <w:jc w:val="center"/>
              <w:rPr>
                <w:rFonts w:ascii="仿宋" w:hAnsi="仿宋" w:eastAsia="仿宋" w:cs="仿宋"/>
                <w:color w:val="auto"/>
                <w:sz w:val="24"/>
                <w:szCs w:val="24"/>
              </w:rPr>
            </w:pPr>
          </w:p>
        </w:tc>
      </w:tr>
      <w:tr w14:paraId="2609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7988EAF">
            <w:pPr>
              <w:pStyle w:val="23"/>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41D0E8E1">
            <w:pPr>
              <w:pStyle w:val="23"/>
              <w:spacing w:line="560" w:lineRule="exact"/>
              <w:ind w:firstLine="200"/>
              <w:jc w:val="center"/>
              <w:rPr>
                <w:rFonts w:ascii="仿宋" w:hAnsi="仿宋" w:eastAsia="仿宋" w:cs="仿宋"/>
                <w:color w:val="auto"/>
                <w:sz w:val="24"/>
                <w:szCs w:val="24"/>
              </w:rPr>
            </w:pPr>
          </w:p>
        </w:tc>
      </w:tr>
    </w:tbl>
    <w:p w14:paraId="7FDC9493">
      <w:pPr>
        <w:pStyle w:val="24"/>
        <w:spacing w:before="0" w:beforeAutospacing="0" w:after="0" w:afterAutospacing="0" w:line="560" w:lineRule="exact"/>
        <w:ind w:firstLine="480"/>
        <w:rPr>
          <w:rFonts w:ascii="仿宋" w:hAnsi="仿宋" w:eastAsia="仿宋" w:cs="仿宋"/>
          <w:b/>
          <w:color w:val="auto"/>
        </w:rPr>
      </w:pPr>
      <w:bookmarkStart w:id="409" w:name="_Toc22618"/>
      <w:bookmarkStart w:id="410" w:name="_Toc1814"/>
      <w:bookmarkStart w:id="411" w:name="_Toc10340"/>
      <w:bookmarkStart w:id="412" w:name="_Toc11108"/>
      <w:bookmarkStart w:id="413" w:name="_Toc4760"/>
      <w:bookmarkStart w:id="414" w:name="_Toc3625"/>
      <w:bookmarkStart w:id="415" w:name="_Toc8772"/>
      <w:bookmarkStart w:id="416" w:name="_Toc31421"/>
      <w:r>
        <w:rPr>
          <w:rFonts w:hint="eastAsia" w:ascii="仿宋" w:hAnsi="仿宋" w:eastAsia="仿宋" w:cs="仿宋"/>
          <w:b/>
          <w:color w:val="auto"/>
        </w:rPr>
        <w:t>1.4履约保证金</w:t>
      </w:r>
    </w:p>
    <w:p w14:paraId="500D4BAB">
      <w:pPr>
        <w:pStyle w:val="24"/>
        <w:spacing w:before="0" w:beforeAutospacing="0" w:after="0" w:afterAutospacing="0" w:line="560" w:lineRule="exact"/>
        <w:ind w:firstLine="48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否 </w:t>
      </w:r>
      <w:r>
        <w:rPr>
          <w:rFonts w:hint="eastAsia" w:ascii="仿宋" w:hAnsi="仿宋" w:eastAsia="仿宋" w:cs="仿宋"/>
          <w:color w:val="auto"/>
        </w:rPr>
        <w:t>（是/否）需要支付履约保证金。若需要支付履约保证金的，则：</w:t>
      </w:r>
    </w:p>
    <w:p w14:paraId="7F55C129">
      <w:pPr>
        <w:spacing w:line="560" w:lineRule="exact"/>
        <w:ind w:firstLine="482" w:firstLineChars="200"/>
        <w:outlineLvl w:val="0"/>
        <w:rPr>
          <w:rFonts w:ascii="仿宋" w:hAnsi="仿宋" w:eastAsia="仿宋" w:cs="仿宋"/>
          <w:b/>
          <w:color w:val="auto"/>
          <w:sz w:val="24"/>
          <w:szCs w:val="24"/>
        </w:rPr>
      </w:pPr>
      <w:r>
        <w:rPr>
          <w:rFonts w:hint="eastAsia" w:ascii="仿宋" w:hAnsi="仿宋" w:eastAsia="仿宋" w:cs="仿宋"/>
          <w:b/>
          <w:color w:val="auto"/>
          <w:sz w:val="24"/>
          <w:szCs w:val="24"/>
        </w:rPr>
        <w:t>1.5</w:t>
      </w:r>
      <w:bookmarkEnd w:id="409"/>
      <w:bookmarkEnd w:id="410"/>
      <w:bookmarkEnd w:id="411"/>
      <w:r>
        <w:rPr>
          <w:rFonts w:hint="eastAsia" w:ascii="仿宋" w:hAnsi="仿宋" w:eastAsia="仿宋" w:cs="仿宋"/>
          <w:b/>
          <w:color w:val="auto"/>
          <w:sz w:val="24"/>
          <w:szCs w:val="24"/>
        </w:rPr>
        <w:t>预付款</w:t>
      </w:r>
    </w:p>
    <w:p w14:paraId="6CB4DA1C">
      <w:pPr>
        <w:pStyle w:val="24"/>
        <w:spacing w:before="0" w:beforeAutospacing="0" w:after="0" w:afterAutospacing="0" w:line="560" w:lineRule="exact"/>
        <w:ind w:firstLine="480"/>
        <w:rPr>
          <w:rFonts w:ascii="仿宋" w:hAnsi="仿宋" w:eastAsia="仿宋" w:cs="仿宋"/>
          <w:color w:val="auto"/>
        </w:rPr>
      </w:pPr>
      <w:r>
        <w:rPr>
          <w:rFonts w:hint="eastAsia" w:ascii="仿宋" w:hAnsi="仿宋" w:eastAsia="仿宋" w:cs="仿宋"/>
          <w:color w:val="auto"/>
        </w:rPr>
        <w:t>甲方（是/否）需要支付预付款。若需要支付预付款的，则：</w:t>
      </w:r>
    </w:p>
    <w:p w14:paraId="5B67E680">
      <w:pPr>
        <w:spacing w:line="560" w:lineRule="exact"/>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1.5.1预付款比例、支付方式、时间详见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kern w:val="0"/>
          <w:sz w:val="24"/>
          <w:szCs w:val="24"/>
        </w:rPr>
        <w:t>；</w:t>
      </w:r>
    </w:p>
    <w:p w14:paraId="668B3912">
      <w:pPr>
        <w:pStyle w:val="24"/>
        <w:spacing w:before="0" w:beforeAutospacing="0" w:after="0" w:afterAutospacing="0" w:line="560" w:lineRule="exact"/>
        <w:ind w:firstLine="480"/>
        <w:rPr>
          <w:rFonts w:ascii="仿宋" w:hAnsi="仿宋" w:eastAsia="仿宋" w:cs="仿宋"/>
          <w:color w:val="auto"/>
          <w:u w:val="single"/>
        </w:rPr>
      </w:pPr>
      <w:r>
        <w:rPr>
          <w:rFonts w:hint="eastAsia" w:ascii="仿宋" w:hAnsi="仿宋" w:eastAsia="仿宋" w:cs="仿宋"/>
          <w:color w:val="auto"/>
        </w:rPr>
        <w:t>1.5.2预付款的担保措施详见</w:t>
      </w:r>
      <w:r>
        <w:rPr>
          <w:rFonts w:hint="eastAsia" w:ascii="仿宋" w:hAnsi="仿宋" w:eastAsia="仿宋" w:cs="仿宋"/>
          <w:b/>
          <w:i/>
          <w:color w:val="auto"/>
          <w:u w:val="single"/>
        </w:rPr>
        <w:t>合同专用条款</w:t>
      </w:r>
      <w:r>
        <w:rPr>
          <w:rFonts w:hint="eastAsia" w:ascii="仿宋" w:hAnsi="仿宋" w:eastAsia="仿宋" w:cs="仿宋"/>
          <w:color w:val="auto"/>
        </w:rPr>
        <w:t>。</w:t>
      </w:r>
    </w:p>
    <w:p w14:paraId="6E155468">
      <w:pPr>
        <w:pStyle w:val="24"/>
        <w:spacing w:before="0" w:beforeAutospacing="0" w:after="0" w:afterAutospacing="0" w:line="560" w:lineRule="exact"/>
        <w:ind w:firstLine="480"/>
        <w:rPr>
          <w:rFonts w:ascii="仿宋" w:hAnsi="仿宋" w:eastAsia="仿宋" w:cs="仿宋"/>
          <w:b/>
          <w:bCs/>
          <w:color w:val="auto"/>
        </w:rPr>
      </w:pPr>
      <w:r>
        <w:rPr>
          <w:rFonts w:hint="eastAsia" w:ascii="仿宋" w:hAnsi="仿宋" w:eastAsia="仿宋" w:cs="仿宋"/>
          <w:b/>
          <w:bCs/>
          <w:color w:val="auto"/>
        </w:rPr>
        <w:t>1.6资金支付</w:t>
      </w:r>
    </w:p>
    <w:p w14:paraId="3ADE9BD7">
      <w:pPr>
        <w:pStyle w:val="24"/>
        <w:spacing w:before="0" w:beforeAutospacing="0" w:after="0" w:afterAutospacing="0" w:line="560" w:lineRule="exact"/>
        <w:ind w:firstLine="48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8084D1">
      <w:pPr>
        <w:spacing w:line="560" w:lineRule="exact"/>
        <w:ind w:firstLine="480" w:firstLineChars="200"/>
        <w:outlineLvl w:val="0"/>
        <w:rPr>
          <w:rFonts w:ascii="仿宋" w:hAnsi="仿宋" w:eastAsia="仿宋" w:cs="仿宋"/>
          <w:color w:val="auto"/>
          <w:sz w:val="24"/>
          <w:szCs w:val="24"/>
        </w:rPr>
      </w:pPr>
      <w:r>
        <w:rPr>
          <w:rFonts w:hint="eastAsia" w:ascii="仿宋" w:hAnsi="仿宋" w:eastAsia="仿宋" w:cs="仿宋"/>
          <w:color w:val="auto"/>
          <w:sz w:val="24"/>
          <w:szCs w:val="24"/>
        </w:rPr>
        <w:t>1.6.2资金支付的方式、时间和条件详见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5993F95C">
      <w:pPr>
        <w:spacing w:line="560" w:lineRule="exact"/>
        <w:ind w:firstLine="482" w:firstLineChars="200"/>
        <w:outlineLvl w:val="0"/>
        <w:rPr>
          <w:rFonts w:ascii="仿宋" w:hAnsi="仿宋" w:eastAsia="仿宋" w:cs="仿宋"/>
          <w:b/>
          <w:color w:val="auto"/>
          <w:sz w:val="24"/>
          <w:szCs w:val="24"/>
        </w:rPr>
      </w:pPr>
      <w:r>
        <w:rPr>
          <w:rFonts w:hint="eastAsia" w:ascii="仿宋" w:hAnsi="仿宋" w:eastAsia="仿宋" w:cs="仿宋"/>
          <w:b/>
          <w:color w:val="auto"/>
          <w:sz w:val="24"/>
          <w:szCs w:val="24"/>
        </w:rPr>
        <w:t>1.7 履行期限、地点和方式</w:t>
      </w:r>
      <w:bookmarkEnd w:id="412"/>
      <w:bookmarkEnd w:id="413"/>
      <w:bookmarkEnd w:id="414"/>
      <w:bookmarkEnd w:id="415"/>
      <w:bookmarkEnd w:id="416"/>
    </w:p>
    <w:p w14:paraId="3058102B">
      <w:pPr>
        <w:spacing w:line="56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1.7.1 货物交付（实施）的时间（期限）：</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64ED62A6">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1.7.2 货物交付（实施）的地点（地域范围）：</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44C7F78B">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1.7.3 货物交付（实施）的方式：</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41240E6A">
      <w:pPr>
        <w:spacing w:line="560" w:lineRule="exact"/>
        <w:ind w:firstLine="482" w:firstLineChars="200"/>
        <w:outlineLvl w:val="0"/>
        <w:rPr>
          <w:rFonts w:ascii="仿宋" w:hAnsi="仿宋" w:eastAsia="仿宋" w:cs="仿宋"/>
          <w:color w:val="auto"/>
          <w:sz w:val="24"/>
          <w:szCs w:val="24"/>
          <w:u w:val="single"/>
        </w:rPr>
      </w:pPr>
      <w:bookmarkStart w:id="417" w:name="_Toc3079"/>
      <w:bookmarkStart w:id="418" w:name="_Toc2375"/>
      <w:bookmarkStart w:id="419" w:name="_Toc24662"/>
      <w:bookmarkStart w:id="420" w:name="_Toc8586"/>
      <w:bookmarkStart w:id="421" w:name="_Toc5698"/>
      <w:r>
        <w:rPr>
          <w:rFonts w:hint="eastAsia" w:ascii="仿宋" w:hAnsi="仿宋" w:eastAsia="仿宋" w:cs="仿宋"/>
          <w:b/>
          <w:color w:val="auto"/>
          <w:sz w:val="24"/>
          <w:szCs w:val="24"/>
        </w:rPr>
        <w:t>1.8违约责任</w:t>
      </w:r>
      <w:bookmarkEnd w:id="417"/>
      <w:bookmarkEnd w:id="418"/>
      <w:bookmarkEnd w:id="419"/>
      <w:bookmarkEnd w:id="420"/>
      <w:bookmarkEnd w:id="421"/>
    </w:p>
    <w:p w14:paraId="665BFA6F">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1.8.1 除不可抗力外，如果乙方没有按照本合同约定的期限、地点和方式交付服务成果或者实施服务，那么甲方可要求乙方支付违约金，迟延履行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6345F047">
      <w:pPr>
        <w:pStyle w:val="2"/>
        <w:spacing w:line="560" w:lineRule="exact"/>
        <w:ind w:firstLine="480" w:firstLineChars="200"/>
        <w:rPr>
          <w:rFonts w:ascii="仿宋" w:hAnsi="仿宋" w:eastAsia="仿宋" w:cs="仿宋"/>
          <w:b w:val="0"/>
          <w:color w:val="auto"/>
          <w:sz w:val="24"/>
          <w:szCs w:val="24"/>
        </w:rPr>
      </w:pPr>
      <w:r>
        <w:rPr>
          <w:rFonts w:hint="eastAsia" w:ascii="仿宋" w:hAnsi="仿宋" w:eastAsia="仿宋" w:cs="仿宋"/>
          <w:b w:val="0"/>
          <w:color w:val="auto"/>
          <w:sz w:val="24"/>
          <w:szCs w:val="24"/>
        </w:rPr>
        <w:t>1.8.2服务中涉及的货物，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33C4CFAE">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1.8.3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536EA462">
      <w:pPr>
        <w:spacing w:line="560" w:lineRule="exact"/>
        <w:ind w:firstLine="480" w:firstLineChars="200"/>
        <w:rPr>
          <w:rFonts w:ascii="仿宋" w:hAnsi="仿宋" w:eastAsia="仿宋" w:cs="仿宋"/>
          <w:color w:val="auto"/>
          <w:sz w:val="24"/>
          <w:szCs w:val="24"/>
        </w:rPr>
      </w:pPr>
      <w:bookmarkStart w:id="422" w:name="_Toc9497"/>
      <w:bookmarkStart w:id="423" w:name="_Toc30329"/>
      <w:bookmarkStart w:id="424" w:name="_Toc26807"/>
      <w:bookmarkStart w:id="425" w:name="_Toc18683"/>
      <w:bookmarkStart w:id="426" w:name="_Toc32454"/>
      <w:r>
        <w:rPr>
          <w:rFonts w:hint="eastAsia" w:ascii="仿宋" w:hAnsi="仿宋" w:eastAsia="仿宋" w:cs="仿宋"/>
          <w:color w:val="auto"/>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E0EBF5">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5AE166">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F27D97A">
      <w:pPr>
        <w:spacing w:line="560" w:lineRule="exact"/>
        <w:ind w:right="-420" w:rightChars="-200"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1.8.7违约责任</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另有约定的，从其约定。</w:t>
      </w:r>
    </w:p>
    <w:bookmarkEnd w:id="422"/>
    <w:bookmarkEnd w:id="423"/>
    <w:bookmarkEnd w:id="424"/>
    <w:bookmarkEnd w:id="425"/>
    <w:bookmarkEnd w:id="426"/>
    <w:p w14:paraId="1A1978A8">
      <w:pPr>
        <w:spacing w:line="560" w:lineRule="exact"/>
        <w:ind w:firstLine="482" w:firstLineChars="200"/>
        <w:outlineLvl w:val="0"/>
        <w:rPr>
          <w:rFonts w:ascii="仿宋" w:hAnsi="仿宋" w:eastAsia="仿宋" w:cs="仿宋"/>
          <w:b/>
          <w:color w:val="auto"/>
          <w:sz w:val="24"/>
          <w:szCs w:val="24"/>
        </w:rPr>
      </w:pPr>
      <w:bookmarkStart w:id="427" w:name="_Toc16021"/>
      <w:bookmarkStart w:id="428" w:name="_Toc15583"/>
      <w:bookmarkStart w:id="429" w:name="_Toc28375"/>
      <w:r>
        <w:rPr>
          <w:rFonts w:hint="eastAsia" w:ascii="仿宋" w:hAnsi="仿宋" w:eastAsia="仿宋" w:cs="仿宋"/>
          <w:b/>
          <w:color w:val="auto"/>
          <w:sz w:val="24"/>
          <w:szCs w:val="24"/>
        </w:rPr>
        <w:t>1.9合同争议的解决</w:t>
      </w:r>
      <w:bookmarkEnd w:id="427"/>
      <w:bookmarkEnd w:id="428"/>
      <w:bookmarkEnd w:id="429"/>
    </w:p>
    <w:p w14:paraId="528C568C">
      <w:pPr>
        <w:spacing w:line="560" w:lineRule="exact"/>
        <w:ind w:left="-61" w:leftChars="-29" w:right="-420" w:rightChars="-200" w:firstLine="240" w:firstLineChars="100"/>
        <w:rPr>
          <w:rFonts w:ascii="仿宋" w:hAnsi="仿宋" w:eastAsia="仿宋" w:cs="仿宋"/>
          <w:color w:val="auto"/>
          <w:sz w:val="24"/>
          <w:szCs w:val="24"/>
        </w:rPr>
      </w:pPr>
      <w:r>
        <w:rPr>
          <w:rFonts w:hint="eastAsia" w:ascii="仿宋" w:hAnsi="仿宋" w:eastAsia="仿宋" w:cs="仿宋"/>
          <w:color w:val="auto"/>
          <w:sz w:val="24"/>
          <w:szCs w:val="24"/>
        </w:rPr>
        <w:t xml:space="preserve">  本合同履行过程中发生的任何争议，双方当事人均可通过和解或者调解解决；不愿和解、调解或者和解、调解不成的，可以选择以下第条款规定的方式解决：</w:t>
      </w:r>
    </w:p>
    <w:p w14:paraId="29692521">
      <w:pPr>
        <w:spacing w:line="560" w:lineRule="exact"/>
        <w:ind w:left="-420" w:leftChars="-200" w:right="-420" w:rightChars="-200" w:firstLine="600" w:firstLineChars="250"/>
        <w:rPr>
          <w:rFonts w:ascii="仿宋" w:hAnsi="仿宋" w:eastAsia="仿宋" w:cs="仿宋"/>
          <w:color w:val="auto"/>
          <w:sz w:val="24"/>
          <w:szCs w:val="24"/>
        </w:rPr>
      </w:pPr>
      <w:r>
        <w:rPr>
          <w:rFonts w:hint="eastAsia" w:ascii="仿宋" w:hAnsi="仿宋" w:eastAsia="仿宋" w:cs="仿宋"/>
          <w:color w:val="auto"/>
          <w:sz w:val="24"/>
          <w:szCs w:val="24"/>
        </w:rPr>
        <w:t>1.9.1 将争议提交舟山仲裁委员会依申请仲裁时其现行有效的仲裁规则裁决；</w:t>
      </w:r>
    </w:p>
    <w:p w14:paraId="2EDE2AB5">
      <w:pPr>
        <w:spacing w:line="560" w:lineRule="exact"/>
        <w:ind w:left="-420" w:leftChars="-200" w:right="-420" w:rightChars="-200" w:firstLine="600" w:firstLineChars="250"/>
        <w:rPr>
          <w:rFonts w:ascii="仿宋" w:hAnsi="仿宋" w:eastAsia="仿宋" w:cs="仿宋"/>
          <w:color w:val="auto"/>
          <w:sz w:val="24"/>
          <w:szCs w:val="24"/>
        </w:rPr>
      </w:pPr>
      <w:r>
        <w:rPr>
          <w:rFonts w:hint="eastAsia" w:ascii="仿宋" w:hAnsi="仿宋" w:eastAsia="仿宋" w:cs="仿宋"/>
          <w:color w:val="auto"/>
          <w:sz w:val="24"/>
          <w:szCs w:val="24"/>
        </w:rPr>
        <w:t>1.9.2 向</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人民法院起诉。</w:t>
      </w:r>
    </w:p>
    <w:p w14:paraId="13FD0F02">
      <w:pPr>
        <w:spacing w:line="560" w:lineRule="exact"/>
        <w:ind w:firstLine="482" w:firstLineChars="200"/>
        <w:outlineLvl w:val="0"/>
        <w:rPr>
          <w:rFonts w:ascii="仿宋" w:hAnsi="仿宋" w:eastAsia="仿宋" w:cs="仿宋"/>
          <w:b/>
          <w:color w:val="auto"/>
          <w:sz w:val="24"/>
          <w:szCs w:val="24"/>
        </w:rPr>
      </w:pPr>
      <w:bookmarkStart w:id="430" w:name="_Toc15322"/>
      <w:bookmarkStart w:id="431" w:name="_Toc7245"/>
      <w:bookmarkStart w:id="432" w:name="_Toc11173"/>
      <w:r>
        <w:rPr>
          <w:rFonts w:hint="eastAsia" w:ascii="仿宋" w:hAnsi="仿宋" w:eastAsia="仿宋" w:cs="仿宋"/>
          <w:b/>
          <w:color w:val="auto"/>
          <w:sz w:val="24"/>
          <w:szCs w:val="24"/>
        </w:rPr>
        <w:t>2.0 合同生效</w:t>
      </w:r>
      <w:bookmarkEnd w:id="430"/>
      <w:bookmarkEnd w:id="431"/>
      <w:bookmarkEnd w:id="432"/>
    </w:p>
    <w:p w14:paraId="11E98CED">
      <w:pPr>
        <w:spacing w:line="560" w:lineRule="exact"/>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本合同自双方当事人盖章签字时生效。</w:t>
      </w:r>
    </w:p>
    <w:p w14:paraId="2A8E44CF">
      <w:pPr>
        <w:autoSpaceDE w:val="0"/>
        <w:autoSpaceDN w:val="0"/>
        <w:spacing w:line="560" w:lineRule="exact"/>
        <w:rPr>
          <w:rFonts w:ascii="仿宋" w:hAnsi="仿宋" w:eastAsia="仿宋" w:cs="仿宋"/>
          <w:color w:val="auto"/>
          <w:sz w:val="24"/>
          <w:szCs w:val="24"/>
          <w:lang w:val="zh-CN"/>
        </w:rPr>
      </w:pPr>
    </w:p>
    <w:p w14:paraId="71242D4F">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b/>
          <w:color w:val="auto"/>
          <w:sz w:val="24"/>
          <w:szCs w:val="24"/>
          <w:lang w:val="zh-CN"/>
        </w:rPr>
        <w:t>甲方</w:t>
      </w:r>
      <w:r>
        <w:rPr>
          <w:rFonts w:hint="eastAsia" w:ascii="仿宋" w:hAnsi="仿宋" w:eastAsia="仿宋" w:cs="仿宋"/>
          <w:color w:val="auto"/>
          <w:sz w:val="24"/>
          <w:szCs w:val="24"/>
          <w:lang w:val="zh-CN"/>
        </w:rPr>
        <w:t xml:space="preserve">：                             </w:t>
      </w:r>
      <w:r>
        <w:rPr>
          <w:rFonts w:hint="eastAsia" w:ascii="仿宋" w:hAnsi="仿宋" w:eastAsia="仿宋" w:cs="仿宋"/>
          <w:b/>
          <w:color w:val="auto"/>
          <w:sz w:val="24"/>
          <w:szCs w:val="24"/>
          <w:lang w:val="zh-CN"/>
        </w:rPr>
        <w:t xml:space="preserve">      乙方</w:t>
      </w:r>
      <w:r>
        <w:rPr>
          <w:rFonts w:hint="eastAsia" w:ascii="仿宋" w:hAnsi="仿宋" w:eastAsia="仿宋" w:cs="仿宋"/>
          <w:color w:val="auto"/>
          <w:sz w:val="24"/>
          <w:szCs w:val="24"/>
          <w:lang w:val="zh-CN"/>
        </w:rPr>
        <w:t>：</w:t>
      </w:r>
    </w:p>
    <w:p w14:paraId="42906DC5">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统一社会信用代码：                        统一社会信用代码或身份证号码：</w:t>
      </w:r>
    </w:p>
    <w:p w14:paraId="4B718329">
      <w:pPr>
        <w:autoSpaceDE w:val="0"/>
        <w:autoSpaceDN w:val="0"/>
        <w:spacing w:line="560" w:lineRule="exact"/>
        <w:rPr>
          <w:rFonts w:ascii="仿宋" w:hAnsi="仿宋" w:eastAsia="仿宋" w:cs="仿宋"/>
          <w:color w:val="auto"/>
          <w:sz w:val="24"/>
          <w:szCs w:val="24"/>
          <w:lang w:val="zh-CN"/>
        </w:rPr>
      </w:pPr>
    </w:p>
    <w:p w14:paraId="15D8C1D7">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14:paraId="61F73F8F">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法定代表人或</w:t>
      </w:r>
    </w:p>
    <w:p w14:paraId="743B0228">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授权代表（签字）：                       授权代表（签字）: </w:t>
      </w:r>
    </w:p>
    <w:p w14:paraId="721459EF">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联系人：                                 联系人：</w:t>
      </w:r>
    </w:p>
    <w:p w14:paraId="5F084665">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约定送达地址：                           约定送达地址：</w:t>
      </w:r>
    </w:p>
    <w:p w14:paraId="3418D77C">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14:paraId="1EF0EFA4">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14:paraId="63AE2B8D">
      <w:pPr>
        <w:autoSpaceDE w:val="0"/>
        <w:autoSpaceDN w:val="0"/>
        <w:spacing w:line="56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14:paraId="707AF0F9">
      <w:pPr>
        <w:autoSpaceDE w:val="0"/>
        <w:autoSpaceDN w:val="0"/>
        <w:spacing w:line="560" w:lineRule="exact"/>
        <w:rPr>
          <w:rFonts w:ascii="仿宋" w:hAnsi="仿宋" w:eastAsia="仿宋" w:cs="仿宋"/>
          <w:color w:val="auto"/>
          <w:sz w:val="24"/>
          <w:szCs w:val="24"/>
        </w:rPr>
      </w:pPr>
      <w:r>
        <w:rPr>
          <w:rFonts w:hint="eastAsia" w:ascii="仿宋" w:hAnsi="仿宋" w:eastAsia="仿宋" w:cs="仿宋"/>
          <w:color w:val="auto"/>
          <w:sz w:val="24"/>
          <w:szCs w:val="24"/>
          <w:lang w:val="zh-CN"/>
        </w:rPr>
        <w:t>电子邮箱：                               电子邮箱：</w:t>
      </w:r>
    </w:p>
    <w:p w14:paraId="1A77EB83">
      <w:pPr>
        <w:autoSpaceDE w:val="0"/>
        <w:autoSpaceDN w:val="0"/>
        <w:spacing w:line="560" w:lineRule="exact"/>
        <w:rPr>
          <w:rFonts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14:paraId="576E21CD">
      <w:pPr>
        <w:autoSpaceDE w:val="0"/>
        <w:autoSpaceDN w:val="0"/>
        <w:spacing w:line="560" w:lineRule="exact"/>
        <w:rPr>
          <w:rFonts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14:paraId="0B7C5647">
      <w:pPr>
        <w:autoSpaceDE w:val="0"/>
        <w:autoSpaceDN w:val="0"/>
        <w:spacing w:line="560" w:lineRule="exact"/>
        <w:rPr>
          <w:rFonts w:ascii="仿宋" w:hAnsi="仿宋" w:eastAsia="仿宋" w:cs="仿宋"/>
          <w:color w:val="auto"/>
          <w:sz w:val="24"/>
          <w:szCs w:val="24"/>
        </w:rPr>
      </w:pPr>
      <w:r>
        <w:rPr>
          <w:rFonts w:hint="eastAsia" w:ascii="仿宋" w:hAnsi="仿宋" w:eastAsia="仿宋" w:cs="仿宋"/>
          <w:color w:val="auto"/>
          <w:sz w:val="24"/>
          <w:szCs w:val="24"/>
        </w:rPr>
        <w:t>开户账号：开户账号：</w:t>
      </w:r>
    </w:p>
    <w:p w14:paraId="6A85D60F">
      <w:pPr>
        <w:pStyle w:val="21"/>
        <w:spacing w:line="560" w:lineRule="exact"/>
        <w:ind w:firstLine="562"/>
        <w:jc w:val="center"/>
        <w:rPr>
          <w:rFonts w:ascii="仿宋" w:hAnsi="仿宋" w:eastAsia="仿宋" w:cs="仿宋"/>
          <w:b/>
          <w:color w:val="auto"/>
          <w:szCs w:val="24"/>
          <w:lang w:eastAsia="zh-CN"/>
        </w:rPr>
      </w:pPr>
      <w:r>
        <w:rPr>
          <w:rFonts w:hint="eastAsia" w:ascii="仿宋" w:hAnsi="仿宋" w:eastAsia="仿宋" w:cs="仿宋"/>
          <w:b/>
          <w:color w:val="auto"/>
          <w:szCs w:val="24"/>
          <w:lang w:eastAsia="zh-CN"/>
        </w:rPr>
        <w:t>第二部分 合同一般条款</w:t>
      </w:r>
    </w:p>
    <w:p w14:paraId="4D0B1504">
      <w:pPr>
        <w:spacing w:line="560" w:lineRule="exact"/>
        <w:ind w:firstLine="482" w:firstLineChars="200"/>
        <w:outlineLvl w:val="0"/>
        <w:rPr>
          <w:rFonts w:ascii="仿宋" w:hAnsi="仿宋" w:eastAsia="仿宋" w:cs="仿宋"/>
          <w:b/>
          <w:color w:val="auto"/>
          <w:sz w:val="24"/>
          <w:szCs w:val="24"/>
        </w:rPr>
      </w:pPr>
      <w:bookmarkStart w:id="433" w:name="_Toc31297"/>
      <w:bookmarkStart w:id="434" w:name="_Toc14021"/>
      <w:bookmarkStart w:id="435" w:name="_Toc25079"/>
      <w:bookmarkStart w:id="436" w:name="_Toc5228"/>
      <w:bookmarkStart w:id="437" w:name="_Toc19680"/>
      <w:r>
        <w:rPr>
          <w:rFonts w:hint="eastAsia" w:ascii="仿宋" w:hAnsi="仿宋" w:eastAsia="仿宋" w:cs="仿宋"/>
          <w:b/>
          <w:color w:val="auto"/>
          <w:sz w:val="24"/>
          <w:szCs w:val="24"/>
        </w:rPr>
        <w:t>2.1 定义</w:t>
      </w:r>
      <w:bookmarkEnd w:id="433"/>
      <w:bookmarkEnd w:id="434"/>
      <w:bookmarkEnd w:id="435"/>
      <w:bookmarkEnd w:id="436"/>
      <w:bookmarkEnd w:id="437"/>
    </w:p>
    <w:p w14:paraId="5C91BB28">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14:paraId="3C368C1E">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 “合同”系指采购人和中标或成交供应商签订的载明双方当事人所达成的协议，并包括所有的附件、附录和构成合同的其他文件。</w:t>
      </w:r>
    </w:p>
    <w:p w14:paraId="464F98A3">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2.1.2 “合同价”系指根据合同约定，中标或成交供应商在完全履行合同义务后，采购人应支付给中标或成交供应商的价格。</w:t>
      </w:r>
    </w:p>
    <w:p w14:paraId="7BC26E24">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2.1.3 “服务”系指中标或成交供应商根据合同约定应向采购人履行的除货物和工程以外的其他政府采购对象，包括采购人自身需要的服务和向社会公众提供的公共服务。</w:t>
      </w:r>
    </w:p>
    <w:p w14:paraId="1FA86675">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2.1.4 “甲方”系指与中标或成交供应商签署合同的采购人；采购人委托采购代理机构代表其与乙方签订合同的，采购人的授权委托书作为合同附件。</w:t>
      </w:r>
    </w:p>
    <w:p w14:paraId="090E44AC">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DD0ED6">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2.1.6 “现场”系指合同约定提供服务的地点。</w:t>
      </w:r>
    </w:p>
    <w:p w14:paraId="7E2EBD5A">
      <w:pPr>
        <w:spacing w:line="560" w:lineRule="exact"/>
        <w:ind w:firstLine="482" w:firstLineChars="200"/>
        <w:outlineLvl w:val="0"/>
        <w:rPr>
          <w:rFonts w:ascii="仿宋" w:hAnsi="仿宋" w:eastAsia="仿宋" w:cs="仿宋"/>
          <w:b/>
          <w:color w:val="auto"/>
          <w:sz w:val="24"/>
          <w:szCs w:val="24"/>
        </w:rPr>
      </w:pPr>
      <w:bookmarkStart w:id="438" w:name="_Toc31402"/>
      <w:bookmarkStart w:id="439" w:name="_Toc23289"/>
      <w:bookmarkStart w:id="440" w:name="_Toc3769"/>
      <w:bookmarkStart w:id="441" w:name="_Toc19539"/>
      <w:bookmarkStart w:id="442" w:name="_Toc16752"/>
      <w:r>
        <w:rPr>
          <w:rFonts w:hint="eastAsia" w:ascii="仿宋" w:hAnsi="仿宋" w:eastAsia="仿宋" w:cs="仿宋"/>
          <w:b/>
          <w:color w:val="auto"/>
          <w:sz w:val="24"/>
          <w:szCs w:val="24"/>
        </w:rPr>
        <w:t>2.2 技术规范</w:t>
      </w:r>
      <w:bookmarkEnd w:id="438"/>
      <w:bookmarkEnd w:id="439"/>
      <w:bookmarkEnd w:id="440"/>
      <w:bookmarkEnd w:id="441"/>
      <w:bookmarkEnd w:id="442"/>
    </w:p>
    <w:p w14:paraId="6D22143E">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F0FBA0">
      <w:pPr>
        <w:spacing w:line="560" w:lineRule="exact"/>
        <w:ind w:firstLine="482" w:firstLineChars="200"/>
        <w:outlineLvl w:val="0"/>
        <w:rPr>
          <w:rFonts w:ascii="仿宋" w:hAnsi="仿宋" w:eastAsia="仿宋" w:cs="仿宋"/>
          <w:b/>
          <w:color w:val="auto"/>
          <w:sz w:val="24"/>
          <w:szCs w:val="24"/>
        </w:rPr>
      </w:pPr>
      <w:bookmarkStart w:id="443" w:name="_Toc4133"/>
      <w:bookmarkStart w:id="444" w:name="_Toc12412"/>
      <w:bookmarkStart w:id="445" w:name="_Toc9161"/>
      <w:bookmarkStart w:id="446" w:name="_Toc13673"/>
      <w:bookmarkStart w:id="447" w:name="_Toc27945"/>
      <w:r>
        <w:rPr>
          <w:rFonts w:hint="eastAsia" w:ascii="仿宋" w:hAnsi="仿宋" w:eastAsia="仿宋" w:cs="仿宋"/>
          <w:b/>
          <w:color w:val="auto"/>
          <w:sz w:val="24"/>
          <w:szCs w:val="24"/>
        </w:rPr>
        <w:t>2.3 知识产权</w:t>
      </w:r>
      <w:bookmarkEnd w:id="443"/>
      <w:bookmarkEnd w:id="444"/>
      <w:bookmarkEnd w:id="445"/>
      <w:bookmarkEnd w:id="446"/>
      <w:bookmarkEnd w:id="447"/>
    </w:p>
    <w:p w14:paraId="6B16E648">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870EEB7">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2.3.2 合同涉及技术成果的归属和收益的分成办法的，详见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517BC106">
      <w:pPr>
        <w:spacing w:line="56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2.4 履约检查和问题反馈</w:t>
      </w:r>
    </w:p>
    <w:p w14:paraId="5BB6766C">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36230A">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2.4.2 合同履行期间，甲方有权将履行过程中出现的问题反馈给乙方，双方当事人应以书面形式约定需要完善和改进的内容。</w:t>
      </w:r>
    </w:p>
    <w:p w14:paraId="7880E438">
      <w:pPr>
        <w:spacing w:line="560" w:lineRule="exact"/>
        <w:ind w:firstLine="482" w:firstLineChars="200"/>
        <w:outlineLvl w:val="0"/>
        <w:rPr>
          <w:rFonts w:ascii="仿宋" w:hAnsi="仿宋" w:eastAsia="仿宋" w:cs="仿宋"/>
          <w:b/>
          <w:color w:val="auto"/>
          <w:sz w:val="24"/>
          <w:szCs w:val="24"/>
        </w:rPr>
      </w:pPr>
      <w:bookmarkStart w:id="448" w:name="_Toc31233"/>
      <w:bookmarkStart w:id="449" w:name="_Toc22011"/>
      <w:bookmarkStart w:id="450" w:name="_Toc15447"/>
      <w:bookmarkStart w:id="451" w:name="_Toc26555"/>
      <w:bookmarkStart w:id="452" w:name="_Toc32670"/>
      <w:r>
        <w:rPr>
          <w:rFonts w:hint="eastAsia" w:ascii="仿宋" w:hAnsi="仿宋" w:eastAsia="仿宋" w:cs="仿宋"/>
          <w:b/>
          <w:color w:val="auto"/>
          <w:sz w:val="24"/>
          <w:szCs w:val="24"/>
        </w:rPr>
        <w:t>2.5 结算方式和付款条件</w:t>
      </w:r>
      <w:bookmarkEnd w:id="448"/>
      <w:bookmarkEnd w:id="449"/>
      <w:bookmarkEnd w:id="450"/>
      <w:bookmarkEnd w:id="451"/>
      <w:bookmarkEnd w:id="452"/>
    </w:p>
    <w:p w14:paraId="27070D0C">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48959CDB">
      <w:pPr>
        <w:spacing w:line="560" w:lineRule="exact"/>
        <w:ind w:firstLine="482" w:firstLineChars="200"/>
        <w:outlineLvl w:val="0"/>
        <w:rPr>
          <w:rFonts w:ascii="仿宋" w:hAnsi="仿宋" w:eastAsia="仿宋" w:cs="仿宋"/>
          <w:b/>
          <w:color w:val="auto"/>
          <w:sz w:val="24"/>
          <w:szCs w:val="24"/>
        </w:rPr>
      </w:pPr>
      <w:bookmarkStart w:id="453" w:name="_Toc13154"/>
      <w:bookmarkStart w:id="454" w:name="_Toc13467"/>
      <w:bookmarkStart w:id="455" w:name="_Toc16163"/>
      <w:bookmarkStart w:id="456" w:name="_Toc30507"/>
      <w:bookmarkStart w:id="457" w:name="_Toc18990"/>
      <w:r>
        <w:rPr>
          <w:rFonts w:hint="eastAsia" w:ascii="仿宋" w:hAnsi="仿宋" w:eastAsia="仿宋" w:cs="仿宋"/>
          <w:b/>
          <w:color w:val="auto"/>
          <w:sz w:val="24"/>
          <w:szCs w:val="24"/>
        </w:rPr>
        <w:t>2.6 技术资料和保密义务</w:t>
      </w:r>
      <w:bookmarkEnd w:id="453"/>
      <w:bookmarkEnd w:id="454"/>
      <w:bookmarkEnd w:id="455"/>
      <w:bookmarkEnd w:id="456"/>
      <w:bookmarkEnd w:id="457"/>
    </w:p>
    <w:p w14:paraId="56030343">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2.6.1 乙方有权依据合同约定和项目需要，向甲方了解有关情况，调阅有关资料等，甲方应予积极配合；</w:t>
      </w:r>
    </w:p>
    <w:p w14:paraId="23D4C60C">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2.6.2 乙方有义务妥善保管和保护由甲方提供的前款信息和资料等；</w:t>
      </w:r>
    </w:p>
    <w:p w14:paraId="73374A3C">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502F66">
      <w:pPr>
        <w:spacing w:line="560" w:lineRule="exact"/>
        <w:ind w:firstLine="482" w:firstLineChars="200"/>
        <w:outlineLvl w:val="0"/>
        <w:rPr>
          <w:rFonts w:ascii="仿宋" w:hAnsi="仿宋" w:eastAsia="仿宋" w:cs="仿宋"/>
          <w:b/>
          <w:color w:val="auto"/>
          <w:sz w:val="24"/>
          <w:szCs w:val="24"/>
        </w:rPr>
      </w:pPr>
      <w:bookmarkStart w:id="458" w:name="_Toc19069"/>
      <w:r>
        <w:rPr>
          <w:rFonts w:hint="eastAsia" w:ascii="仿宋" w:hAnsi="仿宋" w:eastAsia="仿宋" w:cs="仿宋"/>
          <w:b/>
          <w:color w:val="auto"/>
          <w:sz w:val="24"/>
          <w:szCs w:val="24"/>
        </w:rPr>
        <w:t>2.7 质量保证</w:t>
      </w:r>
      <w:bookmarkEnd w:id="458"/>
    </w:p>
    <w:p w14:paraId="514718E0">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2.7.1 乙方应建立和完善履行合同的内部质量保证体系，并提供相关内部规章制度给甲方，以便甲方进行监督检查；</w:t>
      </w:r>
    </w:p>
    <w:p w14:paraId="5D7DCEAA">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2.7.2 乙方应保证履行合同的人员数量和素质、软件和硬件设备的配置、场地、环境和设施等满足全面履行合同的要求，并应接受甲方的监督检查。</w:t>
      </w:r>
    </w:p>
    <w:p w14:paraId="7C4BE005">
      <w:pPr>
        <w:spacing w:line="560" w:lineRule="exact"/>
        <w:ind w:firstLine="482" w:firstLineChars="200"/>
        <w:outlineLvl w:val="0"/>
        <w:rPr>
          <w:rFonts w:ascii="仿宋" w:hAnsi="仿宋" w:eastAsia="仿宋" w:cs="仿宋"/>
          <w:b/>
          <w:color w:val="auto"/>
          <w:sz w:val="24"/>
          <w:szCs w:val="24"/>
        </w:rPr>
      </w:pPr>
      <w:bookmarkStart w:id="459" w:name="_Toc22267"/>
      <w:r>
        <w:rPr>
          <w:rFonts w:hint="eastAsia" w:ascii="仿宋" w:hAnsi="仿宋" w:eastAsia="仿宋" w:cs="仿宋"/>
          <w:b/>
          <w:color w:val="auto"/>
          <w:sz w:val="24"/>
          <w:szCs w:val="24"/>
        </w:rPr>
        <w:t>2.8 延迟履行</w:t>
      </w:r>
      <w:bookmarkEnd w:id="459"/>
    </w:p>
    <w:p w14:paraId="28E85B9D">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1BD5735">
      <w:pPr>
        <w:spacing w:line="560" w:lineRule="exact"/>
        <w:ind w:firstLine="482" w:firstLineChars="200"/>
        <w:outlineLvl w:val="0"/>
        <w:rPr>
          <w:rFonts w:ascii="仿宋" w:hAnsi="仿宋" w:eastAsia="仿宋" w:cs="仿宋"/>
          <w:b/>
          <w:color w:val="auto"/>
          <w:sz w:val="24"/>
          <w:szCs w:val="24"/>
        </w:rPr>
      </w:pPr>
      <w:bookmarkStart w:id="460" w:name="_Toc10611"/>
      <w:r>
        <w:rPr>
          <w:rFonts w:hint="eastAsia" w:ascii="仿宋" w:hAnsi="仿宋" w:eastAsia="仿宋" w:cs="仿宋"/>
          <w:b/>
          <w:color w:val="auto"/>
          <w:sz w:val="24"/>
          <w:szCs w:val="24"/>
        </w:rPr>
        <w:t>2.9 合同变更</w:t>
      </w:r>
      <w:bookmarkEnd w:id="460"/>
    </w:p>
    <w:p w14:paraId="7289CE20">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41B379B9">
      <w:pPr>
        <w:spacing w:line="560" w:lineRule="exact"/>
        <w:ind w:firstLine="482" w:firstLineChars="200"/>
        <w:outlineLvl w:val="0"/>
        <w:rPr>
          <w:rFonts w:ascii="仿宋" w:hAnsi="仿宋" w:eastAsia="仿宋" w:cs="仿宋"/>
          <w:b/>
          <w:color w:val="auto"/>
          <w:sz w:val="24"/>
          <w:szCs w:val="24"/>
        </w:rPr>
      </w:pPr>
      <w:bookmarkStart w:id="461" w:name="_Toc10663"/>
      <w:bookmarkStart w:id="462" w:name="_Toc21830"/>
      <w:bookmarkStart w:id="463" w:name="_Toc26689"/>
      <w:bookmarkStart w:id="464" w:name="_Toc42"/>
      <w:bookmarkStart w:id="465" w:name="_Toc23368"/>
      <w:r>
        <w:rPr>
          <w:rFonts w:hint="eastAsia" w:ascii="仿宋" w:hAnsi="仿宋" w:eastAsia="仿宋" w:cs="仿宋"/>
          <w:b/>
          <w:color w:val="auto"/>
          <w:sz w:val="24"/>
          <w:szCs w:val="24"/>
        </w:rPr>
        <w:t>2.10 合同转让和分包</w:t>
      </w:r>
      <w:bookmarkEnd w:id="461"/>
      <w:bookmarkEnd w:id="462"/>
      <w:bookmarkEnd w:id="463"/>
      <w:bookmarkEnd w:id="464"/>
      <w:bookmarkEnd w:id="465"/>
    </w:p>
    <w:p w14:paraId="17C6F463">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合同的权利义务依法不得转让</w:t>
      </w:r>
      <w:r>
        <w:rPr>
          <w:rFonts w:hint="eastAsia" w:ascii="仿宋" w:hAnsi="仿宋" w:eastAsia="仿宋" w:cs="仿宋"/>
          <w:color w:val="auto"/>
          <w:sz w:val="24"/>
          <w:szCs w:val="24"/>
          <w:lang w:val="en-US" w:eastAsia="zh-CN"/>
        </w:rPr>
        <w:t>或分包业务</w:t>
      </w:r>
      <w:r>
        <w:rPr>
          <w:rFonts w:hint="eastAsia" w:ascii="仿宋" w:hAnsi="仿宋" w:eastAsia="仿宋" w:cs="仿宋"/>
          <w:color w:val="auto"/>
          <w:sz w:val="24"/>
          <w:szCs w:val="24"/>
          <w:lang w:eastAsia="zh-CN"/>
        </w:rPr>
        <w:t>。</w:t>
      </w:r>
    </w:p>
    <w:p w14:paraId="79F16F20">
      <w:pPr>
        <w:spacing w:line="560" w:lineRule="exact"/>
        <w:ind w:firstLine="482" w:firstLineChars="200"/>
        <w:outlineLvl w:val="0"/>
        <w:rPr>
          <w:rFonts w:ascii="仿宋" w:hAnsi="仿宋" w:eastAsia="仿宋" w:cs="仿宋"/>
          <w:b/>
          <w:color w:val="auto"/>
          <w:sz w:val="24"/>
          <w:szCs w:val="24"/>
        </w:rPr>
      </w:pPr>
      <w:bookmarkStart w:id="466" w:name="_Toc25571"/>
      <w:bookmarkStart w:id="467" w:name="_Toc14371"/>
      <w:bookmarkStart w:id="468" w:name="_Toc4720"/>
      <w:bookmarkStart w:id="469" w:name="_Toc32494"/>
      <w:bookmarkStart w:id="470" w:name="_Toc26633"/>
      <w:r>
        <w:rPr>
          <w:rFonts w:hint="eastAsia" w:ascii="仿宋" w:hAnsi="仿宋" w:eastAsia="仿宋" w:cs="仿宋"/>
          <w:b/>
          <w:color w:val="auto"/>
          <w:sz w:val="24"/>
          <w:szCs w:val="24"/>
        </w:rPr>
        <w:t>2.11 不可抗力</w:t>
      </w:r>
      <w:bookmarkEnd w:id="466"/>
      <w:bookmarkEnd w:id="467"/>
      <w:bookmarkEnd w:id="468"/>
      <w:bookmarkEnd w:id="469"/>
      <w:bookmarkEnd w:id="470"/>
    </w:p>
    <w:p w14:paraId="1495B95B">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2.11.1如果任何一方遭遇法律规定的不可抗力，致使合同履行受阻时，履行合同的期限应予延长，延长的期限应相当于不可抗力所影响的时间；</w:t>
      </w:r>
    </w:p>
    <w:p w14:paraId="0D12CE2B">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2.11.2 因不可抗力致使不能实现合同目的的，当事人可以解除合同；</w:t>
      </w:r>
    </w:p>
    <w:p w14:paraId="688C4DAA">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2.11.3 因不可抗力致使合同有变更必要的，双方当事人应在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约定时间内以书面形式变更合同；</w:t>
      </w:r>
    </w:p>
    <w:p w14:paraId="7E7BE812">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2.11.4受不可抗力影响的一方在不可抗力发生后，应在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约定时间内以书面形式通知对方当事人，并在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约定时间内，将有关部门出具的证明文件送达对方当事人。</w:t>
      </w:r>
    </w:p>
    <w:p w14:paraId="482C3D27">
      <w:pPr>
        <w:spacing w:line="560" w:lineRule="exact"/>
        <w:ind w:firstLine="482" w:firstLineChars="200"/>
        <w:outlineLvl w:val="0"/>
        <w:rPr>
          <w:rFonts w:ascii="仿宋" w:hAnsi="仿宋" w:eastAsia="仿宋" w:cs="仿宋"/>
          <w:b/>
          <w:color w:val="auto"/>
          <w:sz w:val="24"/>
          <w:szCs w:val="24"/>
        </w:rPr>
      </w:pPr>
      <w:bookmarkStart w:id="471" w:name="_Toc3638"/>
      <w:bookmarkStart w:id="472" w:name="_Toc24465"/>
      <w:bookmarkStart w:id="473" w:name="_Toc23854"/>
      <w:bookmarkStart w:id="474" w:name="_Toc14115"/>
      <w:bookmarkStart w:id="475" w:name="_Toc25783"/>
      <w:r>
        <w:rPr>
          <w:rFonts w:hint="eastAsia" w:ascii="仿宋" w:hAnsi="仿宋" w:eastAsia="仿宋" w:cs="仿宋"/>
          <w:b/>
          <w:color w:val="auto"/>
          <w:sz w:val="24"/>
          <w:szCs w:val="24"/>
        </w:rPr>
        <w:t>2.12 税费</w:t>
      </w:r>
      <w:bookmarkEnd w:id="471"/>
      <w:bookmarkEnd w:id="472"/>
      <w:bookmarkEnd w:id="473"/>
      <w:bookmarkEnd w:id="474"/>
      <w:bookmarkEnd w:id="475"/>
    </w:p>
    <w:p w14:paraId="09C99294">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与合同有关的一切税费，均按照中华人民共和国法律的相关规定缴纳。</w:t>
      </w:r>
    </w:p>
    <w:p w14:paraId="04A88192">
      <w:pPr>
        <w:spacing w:line="560" w:lineRule="exact"/>
        <w:ind w:firstLine="482" w:firstLineChars="200"/>
        <w:outlineLvl w:val="0"/>
        <w:rPr>
          <w:rFonts w:ascii="仿宋" w:hAnsi="仿宋" w:eastAsia="仿宋" w:cs="仿宋"/>
          <w:b/>
          <w:color w:val="auto"/>
          <w:sz w:val="24"/>
          <w:szCs w:val="24"/>
        </w:rPr>
      </w:pPr>
      <w:bookmarkStart w:id="476" w:name="_Toc14814"/>
      <w:bookmarkStart w:id="477" w:name="_Toc25525"/>
      <w:bookmarkStart w:id="478" w:name="_Toc26883"/>
      <w:bookmarkStart w:id="479" w:name="_Toc7315"/>
      <w:bookmarkStart w:id="480" w:name="_Toc30105"/>
      <w:r>
        <w:rPr>
          <w:rFonts w:hint="eastAsia" w:ascii="仿宋" w:hAnsi="仿宋" w:eastAsia="仿宋" w:cs="仿宋"/>
          <w:b/>
          <w:color w:val="auto"/>
          <w:sz w:val="24"/>
          <w:szCs w:val="24"/>
        </w:rPr>
        <w:t>2.13 乙方破产</w:t>
      </w:r>
      <w:bookmarkEnd w:id="476"/>
      <w:bookmarkEnd w:id="477"/>
      <w:bookmarkEnd w:id="478"/>
      <w:bookmarkEnd w:id="479"/>
      <w:bookmarkEnd w:id="480"/>
    </w:p>
    <w:p w14:paraId="59AC869E">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0A1520">
      <w:pPr>
        <w:spacing w:line="560" w:lineRule="exact"/>
        <w:ind w:firstLine="482" w:firstLineChars="200"/>
        <w:outlineLvl w:val="0"/>
        <w:rPr>
          <w:rFonts w:ascii="仿宋" w:hAnsi="仿宋" w:eastAsia="仿宋" w:cs="仿宋"/>
          <w:b/>
          <w:color w:val="auto"/>
          <w:sz w:val="24"/>
          <w:szCs w:val="24"/>
        </w:rPr>
      </w:pPr>
      <w:bookmarkStart w:id="481" w:name="_Toc23323"/>
      <w:bookmarkStart w:id="482" w:name="_Toc2016"/>
      <w:bookmarkStart w:id="483" w:name="_Toc1123"/>
      <w:r>
        <w:rPr>
          <w:rFonts w:hint="eastAsia" w:ascii="仿宋" w:hAnsi="仿宋" w:eastAsia="仿宋" w:cs="仿宋"/>
          <w:b/>
          <w:color w:val="auto"/>
          <w:sz w:val="24"/>
          <w:szCs w:val="24"/>
        </w:rPr>
        <w:t>2.14 合同中止、终止</w:t>
      </w:r>
      <w:bookmarkEnd w:id="481"/>
      <w:bookmarkEnd w:id="482"/>
      <w:bookmarkEnd w:id="483"/>
    </w:p>
    <w:p w14:paraId="04020918">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2.14.1 双方当事人不得擅自中止或者终止合同；</w:t>
      </w:r>
    </w:p>
    <w:p w14:paraId="4E6C0842">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3A362978">
      <w:pPr>
        <w:spacing w:line="560" w:lineRule="exact"/>
        <w:ind w:firstLine="482" w:firstLineChars="200"/>
        <w:outlineLvl w:val="0"/>
        <w:rPr>
          <w:rFonts w:ascii="仿宋" w:hAnsi="仿宋" w:eastAsia="仿宋" w:cs="仿宋"/>
          <w:b/>
          <w:color w:val="auto"/>
          <w:sz w:val="24"/>
          <w:szCs w:val="24"/>
        </w:rPr>
      </w:pPr>
      <w:bookmarkStart w:id="484" w:name="_Toc14525"/>
      <w:bookmarkStart w:id="485" w:name="_Toc17363"/>
      <w:bookmarkStart w:id="486" w:name="_Toc1969"/>
      <w:r>
        <w:rPr>
          <w:rFonts w:hint="eastAsia" w:ascii="仿宋" w:hAnsi="仿宋" w:eastAsia="仿宋" w:cs="仿宋"/>
          <w:b/>
          <w:color w:val="auto"/>
          <w:sz w:val="24"/>
          <w:szCs w:val="24"/>
        </w:rPr>
        <w:t>2.15 检验和验收</w:t>
      </w:r>
      <w:bookmarkEnd w:id="484"/>
      <w:bookmarkEnd w:id="485"/>
      <w:bookmarkEnd w:id="486"/>
    </w:p>
    <w:p w14:paraId="55FDED0F">
      <w:pPr>
        <w:tabs>
          <w:tab w:val="left" w:pos="360"/>
          <w:tab w:val="left" w:pos="540"/>
          <w:tab w:val="left" w:pos="1080"/>
        </w:tabs>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4BC34ED9">
      <w:pPr>
        <w:tabs>
          <w:tab w:val="left" w:pos="360"/>
          <w:tab w:val="left" w:pos="540"/>
          <w:tab w:val="left" w:pos="1080"/>
        </w:tabs>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93A28E">
      <w:pPr>
        <w:spacing w:line="560" w:lineRule="exact"/>
        <w:ind w:firstLine="482" w:firstLineChars="200"/>
        <w:outlineLvl w:val="0"/>
        <w:rPr>
          <w:rFonts w:ascii="仿宋" w:hAnsi="仿宋" w:eastAsia="仿宋" w:cs="仿宋"/>
          <w:b/>
          <w:color w:val="auto"/>
          <w:sz w:val="24"/>
          <w:szCs w:val="24"/>
        </w:rPr>
      </w:pPr>
      <w:bookmarkStart w:id="487" w:name="_Toc9808"/>
      <w:bookmarkStart w:id="488" w:name="_Toc12666"/>
      <w:bookmarkStart w:id="489" w:name="_Toc31892"/>
      <w:bookmarkStart w:id="490" w:name="_Toc25198"/>
      <w:bookmarkStart w:id="491" w:name="_Toc2308"/>
      <w:r>
        <w:rPr>
          <w:rFonts w:hint="eastAsia" w:ascii="仿宋" w:hAnsi="仿宋" w:eastAsia="仿宋" w:cs="仿宋"/>
          <w:b/>
          <w:color w:val="auto"/>
          <w:sz w:val="24"/>
          <w:szCs w:val="24"/>
        </w:rPr>
        <w:t>2.16 通知和送达</w:t>
      </w:r>
      <w:bookmarkEnd w:id="487"/>
      <w:bookmarkEnd w:id="488"/>
      <w:bookmarkEnd w:id="489"/>
      <w:bookmarkEnd w:id="490"/>
      <w:bookmarkEnd w:id="491"/>
    </w:p>
    <w:p w14:paraId="5BB869BA">
      <w:pPr>
        <w:spacing w:line="560" w:lineRule="exact"/>
        <w:ind w:firstLine="480" w:firstLineChars="200"/>
        <w:rPr>
          <w:rFonts w:ascii="仿宋" w:hAnsi="仿宋" w:eastAsia="仿宋" w:cs="仿宋"/>
          <w:color w:val="auto"/>
          <w:sz w:val="24"/>
          <w:szCs w:val="24"/>
        </w:rPr>
      </w:pPr>
      <w:bookmarkStart w:id="492" w:name="_Toc18401"/>
      <w:bookmarkStart w:id="493" w:name="_Toc27674"/>
      <w:r>
        <w:rPr>
          <w:rFonts w:hint="eastAsia" w:ascii="仿宋" w:hAnsi="仿宋" w:eastAsia="仿宋" w:cs="仿宋"/>
          <w:color w:val="auto"/>
          <w:sz w:val="24"/>
          <w:szCs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个工作日内书面通知对方当事人，在对方当事人收到有关变更通知之前，变更前的约定送达方式或者地址仍视为有效。</w:t>
      </w:r>
    </w:p>
    <w:p w14:paraId="2E751306">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75562794">
      <w:pPr>
        <w:spacing w:line="560" w:lineRule="exact"/>
        <w:ind w:firstLine="482" w:firstLineChars="200"/>
        <w:outlineLvl w:val="0"/>
        <w:rPr>
          <w:rFonts w:ascii="仿宋" w:hAnsi="仿宋" w:eastAsia="仿宋" w:cs="仿宋"/>
          <w:b/>
          <w:color w:val="auto"/>
          <w:sz w:val="24"/>
          <w:szCs w:val="24"/>
        </w:rPr>
      </w:pPr>
      <w:bookmarkStart w:id="494" w:name="_Toc12254"/>
      <w:bookmarkStart w:id="495" w:name="_Toc28906"/>
      <w:bookmarkStart w:id="496" w:name="_Toc5063"/>
      <w:bookmarkStart w:id="497" w:name="_Toc20808"/>
      <w:bookmarkStart w:id="498" w:name="_Toc27644"/>
      <w:r>
        <w:rPr>
          <w:rFonts w:hint="eastAsia" w:ascii="仿宋" w:hAnsi="仿宋" w:eastAsia="仿宋" w:cs="仿宋"/>
          <w:b/>
          <w:color w:val="auto"/>
          <w:sz w:val="24"/>
          <w:szCs w:val="24"/>
        </w:rPr>
        <w:t>2.17 合同使用的文字和适用的法律</w:t>
      </w:r>
      <w:bookmarkEnd w:id="494"/>
      <w:bookmarkEnd w:id="495"/>
      <w:bookmarkEnd w:id="496"/>
      <w:bookmarkEnd w:id="497"/>
      <w:bookmarkEnd w:id="498"/>
    </w:p>
    <w:p w14:paraId="22C80AEC">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2.17.1 合同使用汉语书就、变更和解释；</w:t>
      </w:r>
    </w:p>
    <w:p w14:paraId="0FCCEE44">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2.17.2 合同适用中华人民共和国法律。</w:t>
      </w:r>
    </w:p>
    <w:p w14:paraId="20811F7D">
      <w:pPr>
        <w:spacing w:line="560" w:lineRule="exact"/>
        <w:ind w:firstLine="482" w:firstLineChars="200"/>
        <w:outlineLvl w:val="0"/>
        <w:rPr>
          <w:rFonts w:ascii="仿宋" w:hAnsi="仿宋" w:eastAsia="仿宋" w:cs="仿宋"/>
          <w:b/>
          <w:color w:val="auto"/>
          <w:sz w:val="24"/>
          <w:szCs w:val="24"/>
        </w:rPr>
      </w:pPr>
      <w:bookmarkStart w:id="499" w:name="_Toc18540"/>
      <w:bookmarkStart w:id="500" w:name="_Toc30599"/>
      <w:bookmarkStart w:id="501" w:name="_Toc4355"/>
      <w:r>
        <w:rPr>
          <w:rFonts w:hint="eastAsia" w:ascii="仿宋" w:hAnsi="仿宋" w:eastAsia="仿宋" w:cs="仿宋"/>
          <w:b/>
          <w:color w:val="auto"/>
          <w:sz w:val="24"/>
          <w:szCs w:val="24"/>
        </w:rPr>
        <w:t>2.18 计量单位</w:t>
      </w:r>
      <w:bookmarkEnd w:id="499"/>
      <w:bookmarkEnd w:id="500"/>
      <w:bookmarkEnd w:id="501"/>
    </w:p>
    <w:p w14:paraId="2BF23887">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除技术规范中另有规定外,合同的计量单位均使用国家法定计量单位。</w:t>
      </w:r>
    </w:p>
    <w:p w14:paraId="30D176F5">
      <w:pPr>
        <w:spacing w:line="56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2.19合同份数</w:t>
      </w:r>
    </w:p>
    <w:p w14:paraId="6CCA89EA">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合同份数按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规定，每份均具有同等法律效力。</w:t>
      </w:r>
    </w:p>
    <w:p w14:paraId="7730D2C1">
      <w:pPr>
        <w:pStyle w:val="6"/>
        <w:rPr>
          <w:rFonts w:ascii="仿宋" w:hAnsi="仿宋" w:eastAsia="仿宋" w:cs="仿宋"/>
          <w:color w:val="auto"/>
          <w:sz w:val="24"/>
          <w:szCs w:val="24"/>
        </w:rPr>
      </w:pPr>
    </w:p>
    <w:p w14:paraId="6481C4A2">
      <w:pPr>
        <w:spacing w:line="560" w:lineRule="exact"/>
        <w:jc w:val="center"/>
        <w:outlineLvl w:val="0"/>
        <w:rPr>
          <w:rFonts w:ascii="仿宋" w:hAnsi="仿宋" w:eastAsia="仿宋" w:cs="仿宋"/>
          <w:b/>
          <w:color w:val="auto"/>
          <w:sz w:val="24"/>
          <w:szCs w:val="24"/>
        </w:rPr>
      </w:pPr>
      <w:r>
        <w:rPr>
          <w:rFonts w:hint="eastAsia" w:ascii="仿宋" w:hAnsi="仿宋" w:eastAsia="仿宋" w:cs="仿宋"/>
          <w:b/>
          <w:color w:val="auto"/>
          <w:sz w:val="24"/>
          <w:szCs w:val="24"/>
        </w:rPr>
        <w:t>第三部分  合同专用条款</w:t>
      </w:r>
    </w:p>
    <w:p w14:paraId="7409BE02">
      <w:pPr>
        <w:spacing w:line="560" w:lineRule="exact"/>
        <w:ind w:left="-420" w:leftChars="-200" w:right="-420" w:rightChars="-20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7917"/>
      </w:tblGrid>
      <w:tr w14:paraId="4C099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4" w:type="pct"/>
            <w:tcBorders>
              <w:left w:val="single" w:color="auto" w:sz="4" w:space="0"/>
            </w:tcBorders>
            <w:vAlign w:val="center"/>
          </w:tcPr>
          <w:p w14:paraId="121D18FA">
            <w:pPr>
              <w:wordWrap w:val="0"/>
              <w:spacing w:line="56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条款号</w:t>
            </w:r>
          </w:p>
        </w:tc>
        <w:tc>
          <w:tcPr>
            <w:tcW w:w="4355" w:type="pct"/>
            <w:vAlign w:val="center"/>
          </w:tcPr>
          <w:p w14:paraId="324CBF32">
            <w:pPr>
              <w:wordWrap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约定内容</w:t>
            </w:r>
          </w:p>
        </w:tc>
      </w:tr>
      <w:tr w14:paraId="4FC61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5D663D91">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1.5.1 </w:t>
            </w:r>
          </w:p>
        </w:tc>
        <w:tc>
          <w:tcPr>
            <w:tcW w:w="4355" w:type="pct"/>
            <w:vAlign w:val="center"/>
          </w:tcPr>
          <w:p w14:paraId="609D1A6C">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预付款：合同签订后，在合同生效后以及具备实施条件后的</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个工作日内，采购单位根据供应商提供的等额正规发票，按财政部门规定的支付方式向供应商支付合同总额的40%到合同约定的供应商账户。</w:t>
            </w:r>
          </w:p>
        </w:tc>
      </w:tr>
      <w:tr w14:paraId="6499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3621EC0E">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1.5.2</w:t>
            </w:r>
          </w:p>
        </w:tc>
        <w:tc>
          <w:tcPr>
            <w:tcW w:w="4355" w:type="pct"/>
            <w:vAlign w:val="center"/>
          </w:tcPr>
          <w:p w14:paraId="7378C788">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lang w:eastAsia="zh-CN"/>
              </w:rPr>
              <w:t>本项目需要</w:t>
            </w:r>
            <w:r>
              <w:rPr>
                <w:rFonts w:hint="eastAsia" w:ascii="仿宋" w:hAnsi="仿宋" w:eastAsia="仿宋" w:cs="仿宋"/>
                <w:color w:val="auto"/>
                <w:sz w:val="24"/>
                <w:szCs w:val="24"/>
              </w:rPr>
              <w:t>预付款担保，乙方应在甲方支付预付款7天前提供预付款担保。</w:t>
            </w:r>
          </w:p>
          <w:p w14:paraId="5B915648">
            <w:pPr>
              <w:wordWrap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预付款担保的形式应当以支票、汇票、本票或者金融机构、担保机构出具的保函等非现金形式提交，鼓励和支持供应商以银行、保险公司出具的保函形式提供预付款担保。采购人不得拒收预付款担保函。</w:t>
            </w:r>
          </w:p>
        </w:tc>
      </w:tr>
      <w:tr w14:paraId="321FB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33FE358A">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1.6.2</w:t>
            </w:r>
          </w:p>
        </w:tc>
        <w:tc>
          <w:tcPr>
            <w:tcW w:w="4355" w:type="pct"/>
            <w:vAlign w:val="center"/>
          </w:tcPr>
          <w:p w14:paraId="5AF3C848">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完成所有设备到货安装调试并初验通过，设备正常运行1个月并终验合格后5个工作日内，按财政部门规定的支付方式支付60%合同款。最终费用以审计为准。</w:t>
            </w:r>
          </w:p>
        </w:tc>
      </w:tr>
      <w:tr w14:paraId="70BB9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065486DD">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1.7.1</w:t>
            </w:r>
          </w:p>
        </w:tc>
        <w:tc>
          <w:tcPr>
            <w:tcW w:w="4355" w:type="pct"/>
            <w:vAlign w:val="center"/>
          </w:tcPr>
          <w:p w14:paraId="5F71B1CE">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货物或服务的交付（实施）时间（期限）：</w:t>
            </w:r>
            <w:r>
              <w:rPr>
                <w:rFonts w:hint="eastAsia" w:ascii="仿宋" w:hAnsi="仿宋" w:eastAsia="仿宋" w:cs="宋体"/>
                <w:color w:val="auto"/>
                <w:spacing w:val="-5"/>
                <w:kern w:val="0"/>
                <w:sz w:val="24"/>
                <w:szCs w:val="24"/>
              </w:rPr>
              <w:t>自合同签订后15天内完成安装调试并通过终验</w:t>
            </w:r>
            <w:r>
              <w:rPr>
                <w:rFonts w:hint="eastAsia" w:ascii="仿宋" w:hAnsi="仿宋" w:eastAsia="仿宋" w:cs="仿宋"/>
                <w:color w:val="auto"/>
                <w:sz w:val="24"/>
                <w:szCs w:val="24"/>
              </w:rPr>
              <w:t>。</w:t>
            </w:r>
          </w:p>
        </w:tc>
      </w:tr>
      <w:tr w14:paraId="3182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644" w:type="pct"/>
            <w:tcBorders>
              <w:left w:val="single" w:color="auto" w:sz="4" w:space="0"/>
              <w:bottom w:val="single" w:color="auto" w:sz="4" w:space="0"/>
            </w:tcBorders>
            <w:vAlign w:val="center"/>
          </w:tcPr>
          <w:p w14:paraId="3F75095B">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1.7.2</w:t>
            </w:r>
          </w:p>
        </w:tc>
        <w:tc>
          <w:tcPr>
            <w:tcW w:w="4355" w:type="pct"/>
            <w:tcBorders>
              <w:bottom w:val="single" w:color="auto" w:sz="4" w:space="0"/>
            </w:tcBorders>
            <w:vAlign w:val="center"/>
          </w:tcPr>
          <w:p w14:paraId="13513BFA">
            <w:pPr>
              <w:spacing w:line="360" w:lineRule="auto"/>
              <w:rPr>
                <w:rFonts w:ascii="仿宋" w:hAnsi="仿宋" w:eastAsia="仿宋" w:cs="宋体"/>
                <w:color w:val="auto"/>
                <w:spacing w:val="-5"/>
                <w:kern w:val="0"/>
                <w:sz w:val="24"/>
                <w:szCs w:val="24"/>
              </w:rPr>
            </w:pPr>
            <w:r>
              <w:rPr>
                <w:rFonts w:hint="eastAsia" w:ascii="仿宋" w:hAnsi="仿宋" w:eastAsia="仿宋" w:cs="仿宋"/>
                <w:color w:val="auto"/>
                <w:sz w:val="24"/>
                <w:szCs w:val="24"/>
              </w:rPr>
              <w:t>货物或服务的交付（实施）地点（地域范围）：</w:t>
            </w:r>
            <w:r>
              <w:rPr>
                <w:rFonts w:hint="eastAsia" w:ascii="仿宋" w:hAnsi="仿宋" w:eastAsia="仿宋" w:cs="宋体"/>
                <w:color w:val="auto"/>
                <w:spacing w:val="-5"/>
                <w:kern w:val="0"/>
                <w:sz w:val="24"/>
                <w:szCs w:val="24"/>
              </w:rPr>
              <w:t>采购单位指定地点，投标人须派专业人员将产品送到指定地点并安装调试完毕，其所有费用由投标人承担</w:t>
            </w:r>
            <w:r>
              <w:rPr>
                <w:rFonts w:hint="eastAsia" w:ascii="仿宋" w:hAnsi="仿宋" w:eastAsia="仿宋" w:cs="仿宋"/>
                <w:color w:val="auto"/>
                <w:sz w:val="24"/>
                <w:szCs w:val="24"/>
              </w:rPr>
              <w:t>。</w:t>
            </w:r>
          </w:p>
        </w:tc>
      </w:tr>
      <w:tr w14:paraId="3933F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644" w:type="pct"/>
            <w:tcBorders>
              <w:top w:val="single" w:color="auto" w:sz="4" w:space="0"/>
              <w:left w:val="single" w:color="auto" w:sz="4" w:space="0"/>
            </w:tcBorders>
            <w:vAlign w:val="center"/>
          </w:tcPr>
          <w:p w14:paraId="7AA775C6">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1.7.3</w:t>
            </w:r>
          </w:p>
        </w:tc>
        <w:tc>
          <w:tcPr>
            <w:tcW w:w="4355" w:type="pct"/>
            <w:tcBorders>
              <w:top w:val="single" w:color="auto" w:sz="4" w:space="0"/>
            </w:tcBorders>
            <w:vAlign w:val="center"/>
          </w:tcPr>
          <w:p w14:paraId="49B9A78B">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送货上门，乙方负责安装调试，经履约验收合格后交付甲方使用。</w:t>
            </w:r>
          </w:p>
        </w:tc>
      </w:tr>
      <w:tr w14:paraId="2182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644" w:type="pct"/>
            <w:tcBorders>
              <w:left w:val="single" w:color="auto" w:sz="4" w:space="0"/>
            </w:tcBorders>
            <w:vAlign w:val="center"/>
          </w:tcPr>
          <w:p w14:paraId="67ADA5D0">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1.8.7</w:t>
            </w:r>
          </w:p>
        </w:tc>
        <w:tc>
          <w:tcPr>
            <w:tcW w:w="4355" w:type="pct"/>
            <w:vAlign w:val="center"/>
          </w:tcPr>
          <w:p w14:paraId="7D3DB89A">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1．合同签订后，任何一方不履行或不完全履行本合同约定条款的，即构成违约。任何一方违约时，守约方有权要求违约方继续履行本合同，同时有权要求违约方支付违约金。</w:t>
            </w:r>
          </w:p>
          <w:p w14:paraId="1EF82997">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0059C085">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106C470">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4．乙方逾期履行合同的，自逾期之日起，向甲方每日偿付合同总价千分之零点五（0.5‰）的违约金。</w:t>
            </w:r>
          </w:p>
          <w:p w14:paraId="53177607">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63FED890">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6．上述第</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项应退回或更换的货物，由乙方在一周内运离安装地点，所需费用由乙方承担。如乙方在二周内不处理（搬走）的，视为乙方放弃，甲方有权自行处置（包括废物处理）。</w:t>
            </w:r>
          </w:p>
          <w:p w14:paraId="4D1DC9CB">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7．乙方未按采购文件及合同约定履行质保义务的，每次应向甲方偿付</w:t>
            </w:r>
            <w:r>
              <w:rPr>
                <w:rFonts w:hint="eastAsia" w:ascii="仿宋" w:hAnsi="仿宋" w:eastAsia="仿宋" w:cs="仿宋"/>
                <w:color w:val="auto"/>
                <w:sz w:val="24"/>
                <w:szCs w:val="24"/>
                <w:u w:val="single"/>
              </w:rPr>
              <w:t xml:space="preserve">2000 </w:t>
            </w:r>
            <w:r>
              <w:rPr>
                <w:rFonts w:hint="eastAsia" w:ascii="仿宋" w:hAnsi="仿宋" w:eastAsia="仿宋" w:cs="仿宋"/>
                <w:color w:val="auto"/>
                <w:sz w:val="24"/>
                <w:szCs w:val="24"/>
              </w:rPr>
              <w:t>元的违约金，并赔偿甲方的损失；同时，乙方应继续履行质保义务。</w:t>
            </w:r>
          </w:p>
          <w:p w14:paraId="69B6D0C4">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817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7E6CFE2C">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1.9.2</w:t>
            </w:r>
          </w:p>
        </w:tc>
        <w:tc>
          <w:tcPr>
            <w:tcW w:w="4355" w:type="pct"/>
            <w:vAlign w:val="center"/>
          </w:tcPr>
          <w:p w14:paraId="67803EAB">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甲方所在地</w:t>
            </w:r>
          </w:p>
        </w:tc>
      </w:tr>
      <w:tr w14:paraId="18557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0A36CC65">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2.3.2</w:t>
            </w:r>
          </w:p>
        </w:tc>
        <w:tc>
          <w:tcPr>
            <w:tcW w:w="4355" w:type="pct"/>
            <w:vAlign w:val="center"/>
          </w:tcPr>
          <w:p w14:paraId="2316F099">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70EB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10E3168C">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2.5</w:t>
            </w:r>
          </w:p>
        </w:tc>
        <w:tc>
          <w:tcPr>
            <w:tcW w:w="4355" w:type="pct"/>
            <w:vAlign w:val="center"/>
          </w:tcPr>
          <w:p w14:paraId="32106C86">
            <w:pPr>
              <w:wordWrap w:val="0"/>
              <w:spacing w:line="560" w:lineRule="exact"/>
              <w:ind w:right="59" w:rightChars="28"/>
              <w:jc w:val="left"/>
              <w:rPr>
                <w:rFonts w:ascii="仿宋" w:hAnsi="仿宋" w:eastAsia="仿宋" w:cs="仿宋"/>
                <w:color w:val="auto"/>
                <w:sz w:val="24"/>
                <w:szCs w:val="24"/>
              </w:rPr>
            </w:pPr>
            <w:r>
              <w:rPr>
                <w:rFonts w:hint="eastAsia" w:ascii="仿宋" w:hAnsi="仿宋" w:eastAsia="仿宋" w:cs="仿宋"/>
                <w:color w:val="auto"/>
                <w:sz w:val="24"/>
                <w:szCs w:val="24"/>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212A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3CD07E32">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2.11.3</w:t>
            </w:r>
          </w:p>
        </w:tc>
        <w:tc>
          <w:tcPr>
            <w:tcW w:w="4355" w:type="pct"/>
            <w:vAlign w:val="center"/>
          </w:tcPr>
          <w:p w14:paraId="511F3313">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因不可抗力致使合同有变更必要的，双方当事人应在不可抗力事件发生后30日内以书面形式变更合同。</w:t>
            </w:r>
          </w:p>
        </w:tc>
      </w:tr>
      <w:tr w14:paraId="1F777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tcPr>
          <w:p w14:paraId="079EB342">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 xml:space="preserve">2.11.4 </w:t>
            </w:r>
          </w:p>
        </w:tc>
        <w:tc>
          <w:tcPr>
            <w:tcW w:w="4355" w:type="pct"/>
          </w:tcPr>
          <w:p w14:paraId="5DB4A071">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受不可抗力影响的一方在不可抗力发生后，应在不可抗力事件发生后1天内以书面形式通知对方当事人，并在不可抗力事件发生后7天内，将有关部门出具的证明文件送达对方当事人。</w:t>
            </w:r>
          </w:p>
        </w:tc>
      </w:tr>
      <w:tr w14:paraId="01B1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44" w:type="pct"/>
            <w:tcBorders>
              <w:left w:val="single" w:color="auto" w:sz="4" w:space="0"/>
            </w:tcBorders>
          </w:tcPr>
          <w:p w14:paraId="53CACE86">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2.19</w:t>
            </w:r>
          </w:p>
        </w:tc>
        <w:tc>
          <w:tcPr>
            <w:tcW w:w="4355" w:type="pct"/>
          </w:tcPr>
          <w:p w14:paraId="36DE7E72">
            <w:pPr>
              <w:wordWrap w:val="0"/>
              <w:spacing w:line="560" w:lineRule="exact"/>
              <w:jc w:val="left"/>
              <w:rPr>
                <w:rFonts w:ascii="仿宋" w:hAnsi="仿宋" w:eastAsia="仿宋" w:cs="仿宋"/>
                <w:color w:val="auto"/>
                <w:sz w:val="24"/>
                <w:szCs w:val="24"/>
              </w:rPr>
            </w:pPr>
            <w:r>
              <w:rPr>
                <w:rFonts w:hint="eastAsia" w:ascii="仿宋" w:hAnsi="仿宋" w:eastAsia="仿宋" w:cs="仿宋"/>
                <w:color w:val="auto"/>
                <w:sz w:val="24"/>
                <w:szCs w:val="24"/>
              </w:rPr>
              <w:t>合同份数按甲方执陆份，乙方执贰份规定，每份均具有同等法律效力。</w:t>
            </w:r>
          </w:p>
        </w:tc>
      </w:tr>
    </w:tbl>
    <w:p w14:paraId="79A7EBB1">
      <w:pPr>
        <w:spacing w:line="540" w:lineRule="exact"/>
        <w:ind w:firstLine="562"/>
        <w:contextualSpacing/>
        <w:jc w:val="center"/>
        <w:rPr>
          <w:rFonts w:ascii="仿宋" w:hAnsi="仿宋" w:eastAsia="仿宋"/>
          <w:b/>
          <w:color w:val="auto"/>
          <w:sz w:val="24"/>
          <w:szCs w:val="24"/>
        </w:rPr>
      </w:pPr>
    </w:p>
    <w:p w14:paraId="3DDB2D99">
      <w:pPr>
        <w:widowControl/>
        <w:jc w:val="left"/>
        <w:rPr>
          <w:rFonts w:ascii="仿宋" w:hAnsi="仿宋" w:eastAsia="仿宋"/>
          <w:b/>
          <w:color w:val="auto"/>
          <w:sz w:val="24"/>
          <w:szCs w:val="24"/>
        </w:rPr>
      </w:pPr>
      <w:r>
        <w:rPr>
          <w:rFonts w:hint="eastAsia" w:ascii="仿宋" w:hAnsi="仿宋" w:eastAsia="仿宋"/>
          <w:b/>
          <w:color w:val="auto"/>
          <w:sz w:val="24"/>
          <w:szCs w:val="24"/>
        </w:rPr>
        <w:br w:type="page"/>
      </w:r>
    </w:p>
    <w:p w14:paraId="0BFC852B">
      <w:pPr>
        <w:spacing w:line="540" w:lineRule="exact"/>
        <w:contextualSpacing/>
        <w:jc w:val="center"/>
        <w:rPr>
          <w:rFonts w:hint="eastAsia" w:ascii="仿宋_GB2312" w:hAnsi="仿宋_GB2312" w:eastAsia="仿宋_GB2312" w:cs="仿宋_GB2312"/>
          <w:b/>
          <w:color w:val="auto"/>
          <w:sz w:val="28"/>
          <w:szCs w:val="28"/>
          <w:highlight w:val="none"/>
        </w:rPr>
      </w:pPr>
    </w:p>
    <w:p w14:paraId="4F3DD9D2">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第六部分</w:t>
      </w:r>
      <w:bookmarkEnd w:id="392"/>
      <w:bookmarkEnd w:id="393"/>
      <w:r>
        <w:rPr>
          <w:rFonts w:hint="eastAsia" w:ascii="仿宋_GB2312" w:hAnsi="仿宋_GB2312" w:eastAsia="仿宋_GB2312" w:cs="仿宋_GB2312"/>
          <w:b/>
          <w:color w:val="auto"/>
          <w:sz w:val="28"/>
          <w:szCs w:val="28"/>
          <w:highlight w:val="none"/>
          <w:lang w:val="en-US" w:eastAsia="zh-CN"/>
        </w:rPr>
        <w:t xml:space="preserve">  </w:t>
      </w:r>
      <w:r>
        <w:rPr>
          <w:rFonts w:hint="eastAsia" w:ascii="仿宋_GB2312" w:hAnsi="仿宋_GB2312" w:eastAsia="仿宋_GB2312" w:cs="仿宋_GB2312"/>
          <w:b/>
          <w:color w:val="auto"/>
          <w:sz w:val="28"/>
          <w:szCs w:val="28"/>
          <w:highlight w:val="none"/>
        </w:rPr>
        <w:t>应提交的有关格式范例</w:t>
      </w:r>
    </w:p>
    <w:p w14:paraId="1E2258A2">
      <w:pPr>
        <w:spacing w:line="540" w:lineRule="exact"/>
        <w:contextualSpacing/>
        <w:rPr>
          <w:rFonts w:hint="eastAsia" w:ascii="仿宋_GB2312" w:hAnsi="仿宋_GB2312" w:eastAsia="仿宋_GB2312" w:cs="仿宋_GB2312"/>
          <w:color w:val="auto"/>
          <w:sz w:val="28"/>
          <w:szCs w:val="28"/>
          <w:highlight w:val="none"/>
        </w:rPr>
      </w:pPr>
    </w:p>
    <w:p w14:paraId="133E51C2">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资格文件部分</w:t>
      </w:r>
    </w:p>
    <w:p w14:paraId="0BC456E7">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目录</w:t>
      </w:r>
    </w:p>
    <w:p w14:paraId="1AE0B606">
      <w:pPr>
        <w:spacing w:line="540" w:lineRule="exact"/>
        <w:contextualSpacing/>
        <w:rPr>
          <w:rFonts w:hint="eastAsia" w:ascii="仿宋_GB2312" w:hAnsi="仿宋_GB2312" w:eastAsia="仿宋_GB2312" w:cs="仿宋_GB2312"/>
          <w:color w:val="auto"/>
          <w:sz w:val="28"/>
          <w:szCs w:val="28"/>
          <w:highlight w:val="none"/>
        </w:rPr>
      </w:pPr>
    </w:p>
    <w:p w14:paraId="14D714BF">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一、符合参加政府采购活动应当具备的一般条件的承诺函…………（页码）</w:t>
      </w:r>
    </w:p>
    <w:p w14:paraId="14B1169D">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二、联合协议（如果有）………………………………………………（页码）</w:t>
      </w:r>
    </w:p>
    <w:p w14:paraId="2BA124B5">
      <w:pPr>
        <w:spacing w:line="540" w:lineRule="exact"/>
        <w:contextualSpacing/>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三、落实政府采购政策需满足的资格要求（如果有）………………（页码）</w:t>
      </w:r>
    </w:p>
    <w:p w14:paraId="222E25D8">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四、本项目的特定资格要求（如果有）………………………………（页码）</w:t>
      </w:r>
      <w:r>
        <w:rPr>
          <w:rFonts w:hint="eastAsia" w:ascii="仿宋_GB2312" w:hAnsi="仿宋_GB2312" w:eastAsia="仿宋_GB2312" w:cs="仿宋_GB2312"/>
          <w:color w:val="auto"/>
          <w:sz w:val="24"/>
          <w:szCs w:val="24"/>
          <w:highlight w:val="none"/>
        </w:rPr>
        <w:br w:type="page"/>
      </w:r>
      <w:r>
        <w:rPr>
          <w:rFonts w:hint="eastAsia" w:ascii="仿宋_GB2312" w:hAnsi="仿宋_GB2312" w:eastAsia="仿宋_GB2312" w:cs="仿宋_GB2312"/>
          <w:b/>
          <w:color w:val="auto"/>
          <w:sz w:val="28"/>
          <w:szCs w:val="28"/>
          <w:highlight w:val="none"/>
        </w:rPr>
        <w:t>一、符合参加政府采购活动应当具备的一般条件的承诺函</w:t>
      </w:r>
    </w:p>
    <w:p w14:paraId="437849F3">
      <w:pPr>
        <w:spacing w:line="540" w:lineRule="exact"/>
        <w:contextualSpacing/>
        <w:rPr>
          <w:rFonts w:hint="eastAsia" w:ascii="仿宋_GB2312" w:hAnsi="仿宋_GB2312" w:eastAsia="仿宋_GB2312" w:cs="仿宋_GB2312"/>
          <w:color w:val="auto"/>
          <w:sz w:val="24"/>
          <w:szCs w:val="24"/>
          <w:highlight w:val="none"/>
        </w:rPr>
      </w:pPr>
    </w:p>
    <w:p w14:paraId="238B716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5845000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我方参与（项目名称）【招标编号：（采购编号）】政府采购活动，郑重承诺：</w:t>
      </w:r>
    </w:p>
    <w:p w14:paraId="3C24D37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（一）具备《中华人民共和国政府采购法》第二十二条第一款规定的条件：</w:t>
      </w:r>
    </w:p>
    <w:p w14:paraId="23CBE6A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1.具有独立承担民事责任的能力；</w:t>
      </w:r>
    </w:p>
    <w:p w14:paraId="580C77C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2.具有良好的商业信誉和健全的财务会计制度；</w:t>
      </w:r>
    </w:p>
    <w:p w14:paraId="7E165F3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3.具有履行合同所必需的设备和专业技术能力；</w:t>
      </w:r>
    </w:p>
    <w:p w14:paraId="0956C2A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4.有依法缴纳税收和社会保障资金的良好记录；</w:t>
      </w:r>
    </w:p>
    <w:p w14:paraId="1E8A47F6">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5.参加政府采购活动前三年内，在经营活动中没有重大违法记录；</w:t>
      </w:r>
    </w:p>
    <w:p w14:paraId="004121D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6.具有法律、行政法规规定的其他条件。</w:t>
      </w:r>
    </w:p>
    <w:p w14:paraId="0421CA4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（二）未被信用中国（www.creditchina.gov.cn)、中国政府采购网（www.ccgp.gov.cn）列入失信被执行人、重大税收违法失信主体、政府采购严重违法失信行为记录名单。</w:t>
      </w:r>
    </w:p>
    <w:p w14:paraId="556F1906">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（三）不存在以下情况：</w:t>
      </w:r>
    </w:p>
    <w:p w14:paraId="74C8CA7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1.单位负责人为同一人或者存在直接控股、管理关系的不同供应商参加同一合同项下的政府采购活动的；</w:t>
      </w:r>
    </w:p>
    <w:p w14:paraId="79F2E5A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2.为采购项目提供整体设计、规范编制或者项目管理、监理、检测等服务后再参加该采购项目的其他采购活动的。</w:t>
      </w:r>
    </w:p>
    <w:p w14:paraId="73506AFF">
      <w:pPr>
        <w:spacing w:line="540" w:lineRule="exact"/>
        <w:contextualSpacing/>
        <w:rPr>
          <w:rFonts w:hint="eastAsia" w:ascii="仿宋_GB2312" w:hAnsi="仿宋_GB2312" w:eastAsia="仿宋_GB2312" w:cs="仿宋_GB2312"/>
          <w:color w:val="auto"/>
          <w:sz w:val="24"/>
          <w:szCs w:val="24"/>
          <w:highlight w:val="none"/>
        </w:rPr>
      </w:pPr>
    </w:p>
    <w:p w14:paraId="673C419A">
      <w:pPr>
        <w:spacing w:line="540" w:lineRule="exact"/>
        <w:contextualSpacing/>
        <w:rPr>
          <w:rFonts w:hint="eastAsia" w:ascii="仿宋_GB2312" w:hAnsi="仿宋_GB2312" w:eastAsia="仿宋_GB2312" w:cs="仿宋_GB2312"/>
          <w:color w:val="auto"/>
          <w:sz w:val="24"/>
          <w:szCs w:val="24"/>
          <w:highlight w:val="none"/>
        </w:rPr>
      </w:pPr>
    </w:p>
    <w:p w14:paraId="236954AA">
      <w:pPr>
        <w:spacing w:line="540" w:lineRule="exact"/>
        <w:contextualSpacing/>
        <w:rPr>
          <w:rFonts w:hint="eastAsia" w:ascii="仿宋_GB2312" w:hAnsi="仿宋_GB2312" w:eastAsia="仿宋_GB2312" w:cs="仿宋_GB2312"/>
          <w:color w:val="auto"/>
          <w:sz w:val="24"/>
          <w:szCs w:val="24"/>
          <w:highlight w:val="none"/>
        </w:rPr>
      </w:pPr>
    </w:p>
    <w:p w14:paraId="051FE2FC">
      <w:pPr>
        <w:spacing w:line="540" w:lineRule="exact"/>
        <w:ind w:firstLine="5400" w:firstLineChars="22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3F3F4E72">
      <w:pPr>
        <w:spacing w:line="540" w:lineRule="exact"/>
        <w:ind w:firstLine="5640" w:firstLineChars="23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4B35F369">
      <w:pPr>
        <w:spacing w:line="540" w:lineRule="exact"/>
        <w:contextualSpacing/>
        <w:jc w:val="center"/>
        <w:rPr>
          <w:rFonts w:hint="eastAsia" w:ascii="仿宋_GB2312" w:hAnsi="仿宋_GB2312" w:eastAsia="仿宋_GB2312" w:cs="仿宋_GB2312"/>
          <w:b/>
          <w:color w:val="auto"/>
          <w:sz w:val="24"/>
          <w:szCs w:val="24"/>
          <w:highlight w:val="none"/>
        </w:rPr>
      </w:pPr>
    </w:p>
    <w:p w14:paraId="1121D6D7">
      <w:pPr>
        <w:widowControl/>
        <w:spacing w:line="360" w:lineRule="auto"/>
        <w:ind w:firstLine="643" w:firstLineChars="200"/>
        <w:jc w:val="center"/>
        <w:rPr>
          <w:rFonts w:hint="eastAsia" w:ascii="仿宋_GB2312" w:hAnsi="仿宋_GB2312" w:eastAsia="仿宋_GB2312" w:cs="仿宋_GB2312"/>
          <w:b/>
          <w:color w:val="auto"/>
          <w:kern w:val="0"/>
          <w:sz w:val="32"/>
          <w:szCs w:val="32"/>
          <w:highlight w:val="none"/>
        </w:rPr>
      </w:pPr>
    </w:p>
    <w:p w14:paraId="0F6D1D3D">
      <w:pPr>
        <w:widowControl/>
        <w:spacing w:line="560" w:lineRule="exact"/>
        <w:ind w:firstLine="482" w:firstLineChars="20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二、联合协议（如果有）</w:t>
      </w:r>
    </w:p>
    <w:p w14:paraId="658D8AC3">
      <w:pPr>
        <w:widowControl/>
        <w:spacing w:line="560" w:lineRule="exact"/>
        <w:ind w:firstLine="482" w:firstLineChars="20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[以联合体形式投标的，提供联合协议（附件6）；本项目不接受联合体投标或者投标人不以联合体形式投标的，则不需要提供）]</w:t>
      </w:r>
    </w:p>
    <w:p w14:paraId="03DF3190">
      <w:pPr>
        <w:snapToGrid w:val="0"/>
        <w:spacing w:line="560" w:lineRule="exact"/>
        <w:ind w:right="480"/>
        <w:jc w:val="center"/>
        <w:rPr>
          <w:rFonts w:hint="eastAsia" w:ascii="仿宋_GB2312" w:hAnsi="仿宋_GB2312" w:eastAsia="仿宋_GB2312" w:cs="仿宋_GB2312"/>
          <w:b/>
          <w:color w:val="auto"/>
          <w:kern w:val="0"/>
          <w:sz w:val="24"/>
          <w:szCs w:val="24"/>
          <w:highlight w:val="none"/>
        </w:rPr>
      </w:pPr>
    </w:p>
    <w:p w14:paraId="4B8D5BA0">
      <w:pPr>
        <w:pStyle w:val="6"/>
        <w:rPr>
          <w:rFonts w:hint="eastAsia" w:ascii="仿宋_GB2312" w:hAnsi="仿宋_GB2312" w:eastAsia="仿宋_GB2312" w:cs="仿宋_GB2312"/>
          <w:color w:val="auto"/>
          <w:sz w:val="24"/>
          <w:szCs w:val="24"/>
          <w:highlight w:val="none"/>
        </w:rPr>
      </w:pPr>
    </w:p>
    <w:p w14:paraId="1043E842">
      <w:pPr>
        <w:snapToGrid w:val="0"/>
        <w:spacing w:line="560" w:lineRule="exact"/>
        <w:ind w:right="48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三、落实政府采购政策需满足的资格要求</w:t>
      </w:r>
    </w:p>
    <w:p w14:paraId="0C057964">
      <w:pPr>
        <w:snapToGrid w:val="0"/>
        <w:spacing w:before="50" w:after="50" w:line="560" w:lineRule="exact"/>
        <w:ind w:firstLine="470" w:firstLineChars="196"/>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本项目</w:t>
      </w:r>
      <w:r>
        <w:rPr>
          <w:rFonts w:hint="eastAsia" w:ascii="仿宋_GB2312" w:hAnsi="仿宋_GB2312" w:eastAsia="仿宋_GB2312" w:cs="仿宋_GB2312"/>
          <w:color w:val="auto"/>
          <w:sz w:val="24"/>
          <w:szCs w:val="24"/>
          <w:highlight w:val="none"/>
        </w:rPr>
        <w:t>专门面向中小企业，货物全部由符合政策要求的中小企业制造，提供相应的中小企业声明函（附件5）。</w:t>
      </w:r>
    </w:p>
    <w:p w14:paraId="1A04A4EF">
      <w:pPr>
        <w:widowControl/>
        <w:spacing w:line="560" w:lineRule="exact"/>
        <w:ind w:left="150"/>
        <w:jc w:val="center"/>
        <w:rPr>
          <w:rFonts w:hint="eastAsia" w:ascii="仿宋_GB2312" w:hAnsi="仿宋_GB2312" w:eastAsia="仿宋_GB2312" w:cs="仿宋_GB2312"/>
          <w:b/>
          <w:color w:val="auto"/>
          <w:kern w:val="0"/>
          <w:sz w:val="24"/>
          <w:szCs w:val="24"/>
          <w:highlight w:val="none"/>
        </w:rPr>
      </w:pPr>
    </w:p>
    <w:p w14:paraId="364694AC">
      <w:pPr>
        <w:widowControl/>
        <w:spacing w:line="560" w:lineRule="exact"/>
        <w:ind w:firstLine="482" w:firstLineChars="20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rPr>
        <w:t>四、本项目的特定资格要求</w:t>
      </w:r>
      <w:r>
        <w:rPr>
          <w:rFonts w:hint="eastAsia" w:ascii="仿宋_GB2312" w:hAnsi="仿宋_GB2312" w:eastAsia="仿宋_GB2312" w:cs="仿宋_GB2312"/>
          <w:b/>
          <w:color w:val="auto"/>
          <w:sz w:val="24"/>
          <w:szCs w:val="24"/>
          <w:highlight w:val="none"/>
        </w:rPr>
        <w:t>（如果有）</w:t>
      </w:r>
    </w:p>
    <w:p w14:paraId="47BBA871">
      <w:pPr>
        <w:spacing w:line="56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（根据招标公告本项目的特定资格要求提供相应的材料；未要求的，无需提供）</w:t>
      </w:r>
    </w:p>
    <w:p w14:paraId="56824A11">
      <w:pPr>
        <w:spacing w:line="560" w:lineRule="exact"/>
        <w:contextualSpacing/>
        <w:jc w:val="center"/>
        <w:rPr>
          <w:rFonts w:hint="eastAsia" w:ascii="仿宋_GB2312" w:hAnsi="仿宋_GB2312" w:eastAsia="仿宋_GB2312" w:cs="仿宋_GB2312"/>
          <w:b/>
          <w:color w:val="auto"/>
          <w:sz w:val="24"/>
          <w:szCs w:val="24"/>
          <w:highlight w:val="none"/>
        </w:rPr>
      </w:pPr>
    </w:p>
    <w:p w14:paraId="0DB2206C">
      <w:pPr>
        <w:pStyle w:val="7"/>
        <w:rPr>
          <w:rFonts w:hint="eastAsia" w:ascii="仿宋_GB2312" w:hAnsi="仿宋_GB2312" w:eastAsia="仿宋_GB2312" w:cs="仿宋_GB2312"/>
          <w:color w:val="auto"/>
          <w:highlight w:val="none"/>
        </w:rPr>
      </w:pPr>
    </w:p>
    <w:p w14:paraId="71800CF6">
      <w:pPr>
        <w:pStyle w:val="7"/>
        <w:rPr>
          <w:rFonts w:hint="eastAsia" w:ascii="仿宋_GB2312" w:hAnsi="仿宋_GB2312" w:eastAsia="仿宋_GB2312" w:cs="仿宋_GB2312"/>
          <w:color w:val="auto"/>
          <w:highlight w:val="none"/>
        </w:rPr>
      </w:pPr>
    </w:p>
    <w:p w14:paraId="14716A32">
      <w:pPr>
        <w:pStyle w:val="7"/>
        <w:rPr>
          <w:rFonts w:hint="eastAsia" w:ascii="仿宋_GB2312" w:hAnsi="仿宋_GB2312" w:eastAsia="仿宋_GB2312" w:cs="仿宋_GB2312"/>
          <w:color w:val="auto"/>
          <w:highlight w:val="none"/>
        </w:rPr>
      </w:pPr>
    </w:p>
    <w:p w14:paraId="01CC385A">
      <w:pPr>
        <w:pStyle w:val="7"/>
        <w:rPr>
          <w:rFonts w:hint="eastAsia" w:ascii="仿宋_GB2312" w:hAnsi="仿宋_GB2312" w:eastAsia="仿宋_GB2312" w:cs="仿宋_GB2312"/>
          <w:color w:val="auto"/>
          <w:highlight w:val="none"/>
        </w:rPr>
      </w:pPr>
    </w:p>
    <w:p w14:paraId="6D4602D8">
      <w:pPr>
        <w:pStyle w:val="7"/>
        <w:rPr>
          <w:rFonts w:hint="eastAsia" w:ascii="仿宋_GB2312" w:hAnsi="仿宋_GB2312" w:eastAsia="仿宋_GB2312" w:cs="仿宋_GB2312"/>
          <w:color w:val="auto"/>
          <w:highlight w:val="none"/>
        </w:rPr>
      </w:pPr>
    </w:p>
    <w:p w14:paraId="6E6D19B9">
      <w:pPr>
        <w:pStyle w:val="7"/>
        <w:rPr>
          <w:rFonts w:hint="eastAsia" w:ascii="仿宋_GB2312" w:hAnsi="仿宋_GB2312" w:eastAsia="仿宋_GB2312" w:cs="仿宋_GB2312"/>
          <w:color w:val="auto"/>
          <w:highlight w:val="none"/>
        </w:rPr>
      </w:pPr>
    </w:p>
    <w:p w14:paraId="035332D7">
      <w:pPr>
        <w:pStyle w:val="7"/>
        <w:rPr>
          <w:rFonts w:hint="eastAsia" w:ascii="仿宋_GB2312" w:hAnsi="仿宋_GB2312" w:eastAsia="仿宋_GB2312" w:cs="仿宋_GB2312"/>
          <w:color w:val="auto"/>
          <w:highlight w:val="none"/>
        </w:rPr>
      </w:pPr>
    </w:p>
    <w:p w14:paraId="093817A1">
      <w:pPr>
        <w:pStyle w:val="7"/>
        <w:rPr>
          <w:rFonts w:hint="eastAsia" w:ascii="仿宋_GB2312" w:hAnsi="仿宋_GB2312" w:eastAsia="仿宋_GB2312" w:cs="仿宋_GB2312"/>
          <w:color w:val="auto"/>
          <w:highlight w:val="none"/>
        </w:rPr>
      </w:pPr>
    </w:p>
    <w:p w14:paraId="5B9A8A55">
      <w:pPr>
        <w:pStyle w:val="7"/>
        <w:rPr>
          <w:rFonts w:hint="eastAsia" w:ascii="仿宋_GB2312" w:hAnsi="仿宋_GB2312" w:eastAsia="仿宋_GB2312" w:cs="仿宋_GB2312"/>
          <w:color w:val="auto"/>
          <w:highlight w:val="none"/>
        </w:rPr>
      </w:pPr>
    </w:p>
    <w:p w14:paraId="4AF2B0CC">
      <w:pPr>
        <w:pStyle w:val="7"/>
        <w:rPr>
          <w:rFonts w:hint="eastAsia" w:ascii="仿宋_GB2312" w:hAnsi="仿宋_GB2312" w:eastAsia="仿宋_GB2312" w:cs="仿宋_GB2312"/>
          <w:color w:val="auto"/>
          <w:highlight w:val="none"/>
        </w:rPr>
      </w:pPr>
    </w:p>
    <w:p w14:paraId="61CD5443">
      <w:pPr>
        <w:pStyle w:val="7"/>
        <w:rPr>
          <w:rFonts w:hint="eastAsia" w:ascii="仿宋_GB2312" w:hAnsi="仿宋_GB2312" w:eastAsia="仿宋_GB2312" w:cs="仿宋_GB2312"/>
          <w:color w:val="auto"/>
          <w:highlight w:val="none"/>
        </w:rPr>
      </w:pPr>
    </w:p>
    <w:p w14:paraId="62ECF87A">
      <w:pPr>
        <w:pStyle w:val="7"/>
        <w:rPr>
          <w:rFonts w:hint="eastAsia" w:ascii="仿宋_GB2312" w:hAnsi="仿宋_GB2312" w:eastAsia="仿宋_GB2312" w:cs="仿宋_GB2312"/>
          <w:color w:val="auto"/>
          <w:highlight w:val="none"/>
        </w:rPr>
      </w:pPr>
    </w:p>
    <w:p w14:paraId="58977ADB">
      <w:pPr>
        <w:pStyle w:val="7"/>
        <w:rPr>
          <w:rFonts w:hint="eastAsia" w:ascii="仿宋_GB2312" w:hAnsi="仿宋_GB2312" w:eastAsia="仿宋_GB2312" w:cs="仿宋_GB2312"/>
          <w:color w:val="auto"/>
          <w:highlight w:val="none"/>
        </w:rPr>
      </w:pPr>
    </w:p>
    <w:p w14:paraId="6318EA83">
      <w:pPr>
        <w:pStyle w:val="7"/>
        <w:rPr>
          <w:rFonts w:hint="eastAsia" w:ascii="仿宋_GB2312" w:hAnsi="仿宋_GB2312" w:eastAsia="仿宋_GB2312" w:cs="仿宋_GB2312"/>
          <w:color w:val="auto"/>
          <w:highlight w:val="none"/>
        </w:rPr>
      </w:pPr>
    </w:p>
    <w:p w14:paraId="642C8675">
      <w:pPr>
        <w:pStyle w:val="7"/>
        <w:rPr>
          <w:rFonts w:hint="eastAsia" w:ascii="仿宋_GB2312" w:hAnsi="仿宋_GB2312" w:eastAsia="仿宋_GB2312" w:cs="仿宋_GB2312"/>
          <w:color w:val="auto"/>
          <w:highlight w:val="none"/>
        </w:rPr>
      </w:pPr>
    </w:p>
    <w:p w14:paraId="43A80A46">
      <w:pPr>
        <w:spacing w:line="56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商务技术文件部分</w:t>
      </w:r>
    </w:p>
    <w:p w14:paraId="59D3BC3A">
      <w:pPr>
        <w:spacing w:line="560" w:lineRule="exact"/>
        <w:contextualSpacing/>
        <w:rPr>
          <w:rFonts w:hint="eastAsia" w:ascii="仿宋_GB2312" w:hAnsi="仿宋_GB2312" w:eastAsia="仿宋_GB2312" w:cs="仿宋_GB2312"/>
          <w:color w:val="auto"/>
          <w:sz w:val="28"/>
          <w:szCs w:val="28"/>
          <w:highlight w:val="none"/>
        </w:rPr>
      </w:pPr>
    </w:p>
    <w:p w14:paraId="5526DA4B">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目录</w:t>
      </w:r>
    </w:p>
    <w:p w14:paraId="32BFAAEF">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投标函…………………………………………………………………………（页码）</w:t>
      </w:r>
    </w:p>
    <w:p w14:paraId="1D9E4F76">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联合协议（如果有）…………………………………………………………（页码）</w:t>
      </w:r>
    </w:p>
    <w:p w14:paraId="623C7546">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分包意向协议（如果有）……………………………………………………（页码）</w:t>
      </w:r>
    </w:p>
    <w:p w14:paraId="357CB944">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符合性审查资料………………………………………………………………（页码）</w:t>
      </w:r>
    </w:p>
    <w:p w14:paraId="1867BCD0">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拟投入的项目班子格式（如果有）…………………………………………（页码）</w:t>
      </w:r>
    </w:p>
    <w:p w14:paraId="4AB34CDD">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评标标准相应的商务技术资料………………………………………………（页码）</w:t>
      </w:r>
    </w:p>
    <w:p w14:paraId="2EC8BD3A">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投标标的清单………………………………………………………………（页码）</w:t>
      </w:r>
    </w:p>
    <w:p w14:paraId="0148CE71">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商务技术偏离表……………………………………………………………（页码）</w:t>
      </w:r>
    </w:p>
    <w:p w14:paraId="34DB1583">
      <w:pPr>
        <w:pStyle w:val="25"/>
        <w:numPr>
          <w:ilvl w:val="0"/>
          <w:numId w:val="6"/>
        </w:numPr>
        <w:spacing w:line="540" w:lineRule="exact"/>
        <w:ind w:firstLineChars="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政府采购供应商廉洁自律承诺书……………………………………………（页码）</w:t>
      </w:r>
    </w:p>
    <w:p w14:paraId="2CFE7081">
      <w:pPr>
        <w:spacing w:line="540" w:lineRule="exact"/>
        <w:contextualSpacing/>
        <w:rPr>
          <w:rFonts w:hint="eastAsia" w:ascii="仿宋_GB2312" w:hAnsi="仿宋_GB2312" w:eastAsia="仿宋_GB2312" w:cs="仿宋_GB2312"/>
          <w:color w:val="auto"/>
          <w:sz w:val="24"/>
          <w:szCs w:val="24"/>
          <w:highlight w:val="none"/>
        </w:rPr>
      </w:pPr>
    </w:p>
    <w:p w14:paraId="52EE5469">
      <w:pPr>
        <w:spacing w:line="540" w:lineRule="exact"/>
        <w:contextualSpacing/>
        <w:rPr>
          <w:rFonts w:hint="eastAsia" w:ascii="仿宋_GB2312" w:hAnsi="仿宋_GB2312" w:eastAsia="仿宋_GB2312" w:cs="仿宋_GB2312"/>
          <w:color w:val="auto"/>
          <w:sz w:val="24"/>
          <w:szCs w:val="24"/>
          <w:highlight w:val="none"/>
        </w:rPr>
      </w:pPr>
    </w:p>
    <w:p w14:paraId="3F7D3E39">
      <w:pPr>
        <w:pStyle w:val="6"/>
        <w:rPr>
          <w:rFonts w:hint="eastAsia" w:ascii="仿宋_GB2312" w:hAnsi="仿宋_GB2312" w:eastAsia="仿宋_GB2312" w:cs="仿宋_GB2312"/>
          <w:color w:val="auto"/>
          <w:highlight w:val="none"/>
        </w:rPr>
      </w:pPr>
    </w:p>
    <w:p w14:paraId="18DC0ECD">
      <w:pPr>
        <w:spacing w:line="540" w:lineRule="exact"/>
        <w:contextualSpacing/>
        <w:rPr>
          <w:rFonts w:hint="eastAsia" w:ascii="仿宋_GB2312" w:hAnsi="仿宋_GB2312" w:eastAsia="仿宋_GB2312" w:cs="仿宋_GB2312"/>
          <w:color w:val="auto"/>
          <w:sz w:val="24"/>
          <w:szCs w:val="24"/>
          <w:highlight w:val="none"/>
        </w:rPr>
      </w:pPr>
    </w:p>
    <w:p w14:paraId="760B90CB">
      <w:pPr>
        <w:spacing w:line="540" w:lineRule="exact"/>
        <w:contextualSpacing/>
        <w:rPr>
          <w:rFonts w:hint="eastAsia" w:ascii="仿宋_GB2312" w:hAnsi="仿宋_GB2312" w:eastAsia="仿宋_GB2312" w:cs="仿宋_GB2312"/>
          <w:color w:val="auto"/>
          <w:sz w:val="24"/>
          <w:szCs w:val="24"/>
          <w:highlight w:val="none"/>
        </w:rPr>
      </w:pPr>
    </w:p>
    <w:p w14:paraId="6C615264">
      <w:pPr>
        <w:spacing w:line="540" w:lineRule="exact"/>
        <w:contextualSpacing/>
        <w:rPr>
          <w:rFonts w:hint="eastAsia" w:ascii="仿宋_GB2312" w:hAnsi="仿宋_GB2312" w:eastAsia="仿宋_GB2312" w:cs="仿宋_GB2312"/>
          <w:color w:val="auto"/>
          <w:sz w:val="24"/>
          <w:szCs w:val="24"/>
          <w:highlight w:val="none"/>
        </w:rPr>
      </w:pPr>
    </w:p>
    <w:p w14:paraId="31350A91">
      <w:pPr>
        <w:spacing w:line="540" w:lineRule="exact"/>
        <w:contextualSpacing/>
        <w:rPr>
          <w:rFonts w:hint="eastAsia" w:ascii="仿宋_GB2312" w:hAnsi="仿宋_GB2312" w:eastAsia="仿宋_GB2312" w:cs="仿宋_GB2312"/>
          <w:color w:val="auto"/>
          <w:sz w:val="24"/>
          <w:szCs w:val="24"/>
          <w:highlight w:val="none"/>
        </w:rPr>
      </w:pPr>
    </w:p>
    <w:p w14:paraId="434962AE">
      <w:pPr>
        <w:spacing w:line="540" w:lineRule="exact"/>
        <w:contextualSpacing/>
        <w:rPr>
          <w:rFonts w:hint="eastAsia" w:ascii="仿宋_GB2312" w:hAnsi="仿宋_GB2312" w:eastAsia="仿宋_GB2312" w:cs="仿宋_GB2312"/>
          <w:color w:val="auto"/>
          <w:sz w:val="24"/>
          <w:szCs w:val="24"/>
          <w:highlight w:val="none"/>
        </w:rPr>
      </w:pPr>
    </w:p>
    <w:p w14:paraId="7EA7F01C">
      <w:pPr>
        <w:spacing w:line="540" w:lineRule="exact"/>
        <w:contextualSpacing/>
        <w:rPr>
          <w:rFonts w:hint="eastAsia" w:ascii="仿宋_GB2312" w:hAnsi="仿宋_GB2312" w:eastAsia="仿宋_GB2312" w:cs="仿宋_GB2312"/>
          <w:color w:val="auto"/>
          <w:sz w:val="24"/>
          <w:szCs w:val="24"/>
          <w:highlight w:val="none"/>
        </w:rPr>
      </w:pPr>
    </w:p>
    <w:p w14:paraId="687F5C33">
      <w:pPr>
        <w:spacing w:line="540" w:lineRule="exact"/>
        <w:contextualSpacing/>
        <w:rPr>
          <w:rFonts w:hint="eastAsia" w:ascii="仿宋_GB2312" w:hAnsi="仿宋_GB2312" w:eastAsia="仿宋_GB2312" w:cs="仿宋_GB2312"/>
          <w:color w:val="auto"/>
          <w:sz w:val="24"/>
          <w:szCs w:val="24"/>
          <w:highlight w:val="none"/>
        </w:rPr>
      </w:pPr>
    </w:p>
    <w:p w14:paraId="6B49176F">
      <w:pPr>
        <w:spacing w:line="540" w:lineRule="exact"/>
        <w:contextualSpacing/>
        <w:rPr>
          <w:rFonts w:hint="eastAsia" w:ascii="仿宋_GB2312" w:hAnsi="仿宋_GB2312" w:eastAsia="仿宋_GB2312" w:cs="仿宋_GB2312"/>
          <w:color w:val="auto"/>
          <w:sz w:val="24"/>
          <w:szCs w:val="24"/>
          <w:highlight w:val="none"/>
        </w:rPr>
      </w:pPr>
    </w:p>
    <w:p w14:paraId="4DB1A16F">
      <w:pPr>
        <w:pStyle w:val="2"/>
        <w:rPr>
          <w:rFonts w:hint="eastAsia"/>
        </w:rPr>
      </w:pPr>
    </w:p>
    <w:p w14:paraId="3BFCD454">
      <w:pPr>
        <w:spacing w:line="540" w:lineRule="exact"/>
        <w:contextualSpacing/>
        <w:rPr>
          <w:rFonts w:hint="eastAsia" w:ascii="仿宋_GB2312" w:hAnsi="仿宋_GB2312" w:eastAsia="仿宋_GB2312" w:cs="仿宋_GB2312"/>
          <w:color w:val="auto"/>
          <w:sz w:val="24"/>
          <w:szCs w:val="24"/>
          <w:highlight w:val="none"/>
        </w:rPr>
      </w:pPr>
    </w:p>
    <w:p w14:paraId="1E51640E">
      <w:pPr>
        <w:spacing w:line="540" w:lineRule="exact"/>
        <w:contextualSpacing/>
        <w:rPr>
          <w:rFonts w:hint="eastAsia" w:ascii="仿宋_GB2312" w:hAnsi="仿宋_GB2312" w:eastAsia="仿宋_GB2312" w:cs="仿宋_GB2312"/>
          <w:color w:val="auto"/>
          <w:sz w:val="24"/>
          <w:szCs w:val="24"/>
          <w:highlight w:val="none"/>
        </w:rPr>
      </w:pPr>
    </w:p>
    <w:p w14:paraId="5E6611C7">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一、投标函</w:t>
      </w:r>
    </w:p>
    <w:p w14:paraId="35A5220A">
      <w:pPr>
        <w:spacing w:line="540" w:lineRule="exact"/>
        <w:contextualSpacing/>
        <w:rPr>
          <w:rFonts w:hint="eastAsia" w:ascii="仿宋_GB2312" w:hAnsi="仿宋_GB2312" w:eastAsia="仿宋_GB2312" w:cs="仿宋_GB2312"/>
          <w:color w:val="auto"/>
          <w:sz w:val="24"/>
          <w:szCs w:val="24"/>
          <w:highlight w:val="none"/>
        </w:rPr>
      </w:pPr>
    </w:p>
    <w:p w14:paraId="33695DD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40EDB59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我方参加你方组织的（项目名称）【招标编号：（采购编号）】招标的有关活动，并对此项目进行投标。为此：</w:t>
      </w:r>
    </w:p>
    <w:p w14:paraId="22F45367">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我方承诺投标有效期从提交投标文件的截止之日起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天（不少于90天），本投标文件在投标有效期满之前均具有约束力。</w:t>
      </w:r>
    </w:p>
    <w:p w14:paraId="321020B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1.我方的投标文件包括以下内容：</w:t>
      </w:r>
    </w:p>
    <w:p w14:paraId="336FFFD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2.1资格文件：</w:t>
      </w:r>
    </w:p>
    <w:p w14:paraId="245A2113">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2.1.1承诺函；</w:t>
      </w:r>
    </w:p>
    <w:p w14:paraId="09B23A7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2.1.2联合协议（如果有)；</w:t>
      </w:r>
    </w:p>
    <w:p w14:paraId="3BD9E5B6">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2.1.3落实政府采购政策需满足的资格要求（如果有)；</w:t>
      </w:r>
    </w:p>
    <w:p w14:paraId="2D8544FD">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2.2.4本项目的特定资格要求（如果有）。</w:t>
      </w:r>
    </w:p>
    <w:p w14:paraId="2321B8A9">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商务技术文件：</w:t>
      </w:r>
    </w:p>
    <w:p w14:paraId="79B28774">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2.2.1投标函；</w:t>
      </w:r>
    </w:p>
    <w:p w14:paraId="07FF0823">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联合协议（如果有）；</w:t>
      </w:r>
    </w:p>
    <w:p w14:paraId="026F180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分包意向协议（如果有）；</w:t>
      </w:r>
    </w:p>
    <w:p w14:paraId="5E1802B7">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符合性审查资料；</w:t>
      </w:r>
    </w:p>
    <w:p w14:paraId="776C78A9">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拟投入的项目班子格式（如果有）；</w:t>
      </w:r>
    </w:p>
    <w:p w14:paraId="6901AFB8">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评标标准相应的商务技术资料；</w:t>
      </w:r>
    </w:p>
    <w:p w14:paraId="59FBDFDF">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投标标的清单；</w:t>
      </w:r>
    </w:p>
    <w:p w14:paraId="5D6D260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商务技术偏离表；</w:t>
      </w:r>
    </w:p>
    <w:p w14:paraId="46EC17E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政府采购供应商廉洁自律承诺书。</w:t>
      </w:r>
    </w:p>
    <w:p w14:paraId="714EE969">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2.3报价文件</w:t>
      </w:r>
    </w:p>
    <w:p w14:paraId="53EC255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2.3.1开标一览表（报价表）；</w:t>
      </w:r>
    </w:p>
    <w:p w14:paraId="781502B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2.3.2中小企业声明函（如果有）。</w:t>
      </w:r>
    </w:p>
    <w:p w14:paraId="28FB854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3.我方承诺除商务技术偏离表（如果有）列出的偏离外，我方响应招标文件的全部要求。</w:t>
      </w:r>
    </w:p>
    <w:p w14:paraId="70352C3B">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4.如我方中标，我方承诺：</w:t>
      </w:r>
    </w:p>
    <w:p w14:paraId="1CDDD23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4.1在收到中标通知书后，在中标通知书规定的期限内与你方签订合同；</w:t>
      </w:r>
    </w:p>
    <w:p w14:paraId="734EDEB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4.2在签订合同时不向你方提出附加条件；</w:t>
      </w:r>
    </w:p>
    <w:p w14:paraId="4FB188DC">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4.3按照招标文件要求提交履约保证金；</w:t>
      </w:r>
    </w:p>
    <w:p w14:paraId="6FDE5A30">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4.4在合同约定的期限内完成合同规定的全部义务。</w:t>
      </w:r>
    </w:p>
    <w:p w14:paraId="39C90B0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5.其他补充说明:。</w:t>
      </w:r>
    </w:p>
    <w:p w14:paraId="6E885B3A">
      <w:pPr>
        <w:spacing w:line="540" w:lineRule="exact"/>
        <w:contextualSpacing/>
        <w:rPr>
          <w:rFonts w:hint="eastAsia" w:ascii="仿宋_GB2312" w:hAnsi="仿宋_GB2312" w:eastAsia="仿宋_GB2312" w:cs="仿宋_GB2312"/>
          <w:color w:val="auto"/>
          <w:sz w:val="24"/>
          <w:szCs w:val="24"/>
          <w:highlight w:val="none"/>
        </w:rPr>
      </w:pPr>
    </w:p>
    <w:p w14:paraId="006794B1">
      <w:pPr>
        <w:spacing w:line="540" w:lineRule="exact"/>
        <w:contextualSpacing/>
        <w:rPr>
          <w:rFonts w:hint="eastAsia" w:ascii="仿宋_GB2312" w:hAnsi="仿宋_GB2312" w:eastAsia="仿宋_GB2312" w:cs="仿宋_GB2312"/>
          <w:color w:val="auto"/>
          <w:sz w:val="24"/>
          <w:szCs w:val="24"/>
          <w:highlight w:val="none"/>
        </w:rPr>
      </w:pPr>
    </w:p>
    <w:p w14:paraId="213613FF">
      <w:pPr>
        <w:spacing w:line="540" w:lineRule="exact"/>
        <w:contextualSpacing/>
        <w:rPr>
          <w:rFonts w:hint="eastAsia" w:ascii="仿宋_GB2312" w:hAnsi="仿宋_GB2312" w:eastAsia="仿宋_GB2312" w:cs="仿宋_GB2312"/>
          <w:color w:val="auto"/>
          <w:sz w:val="24"/>
          <w:szCs w:val="24"/>
          <w:highlight w:val="none"/>
        </w:rPr>
      </w:pPr>
    </w:p>
    <w:p w14:paraId="586FBF85">
      <w:pPr>
        <w:spacing w:line="540" w:lineRule="exact"/>
        <w:contextualSpacing/>
        <w:rPr>
          <w:rFonts w:hint="eastAsia" w:ascii="仿宋_GB2312" w:hAnsi="仿宋_GB2312" w:eastAsia="仿宋_GB2312" w:cs="仿宋_GB2312"/>
          <w:color w:val="auto"/>
          <w:sz w:val="24"/>
          <w:szCs w:val="24"/>
          <w:highlight w:val="none"/>
        </w:rPr>
      </w:pPr>
    </w:p>
    <w:p w14:paraId="577674C1">
      <w:pPr>
        <w:spacing w:line="540" w:lineRule="exact"/>
        <w:contextualSpacing/>
        <w:rPr>
          <w:rFonts w:hint="eastAsia" w:ascii="仿宋_GB2312" w:hAnsi="仿宋_GB2312" w:eastAsia="仿宋_GB2312" w:cs="仿宋_GB2312"/>
          <w:color w:val="auto"/>
          <w:sz w:val="24"/>
          <w:szCs w:val="24"/>
          <w:highlight w:val="none"/>
        </w:rPr>
      </w:pPr>
    </w:p>
    <w:p w14:paraId="5E13E480">
      <w:pPr>
        <w:spacing w:line="540" w:lineRule="exact"/>
        <w:contextualSpacing/>
        <w:rPr>
          <w:rFonts w:hint="eastAsia" w:ascii="仿宋_GB2312" w:hAnsi="仿宋_GB2312" w:eastAsia="仿宋_GB2312" w:cs="仿宋_GB2312"/>
          <w:color w:val="auto"/>
          <w:sz w:val="24"/>
          <w:szCs w:val="24"/>
          <w:highlight w:val="none"/>
        </w:rPr>
      </w:pPr>
    </w:p>
    <w:p w14:paraId="1DCD4B38">
      <w:pPr>
        <w:spacing w:line="540" w:lineRule="exact"/>
        <w:ind w:firstLine="3840" w:firstLineChars="16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6409ECB9">
      <w:pPr>
        <w:spacing w:line="540" w:lineRule="exact"/>
        <w:ind w:firstLine="3840" w:firstLineChars="16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22A4364B">
      <w:pPr>
        <w:spacing w:line="540" w:lineRule="exact"/>
        <w:contextualSpacing/>
        <w:rPr>
          <w:rFonts w:hint="eastAsia" w:ascii="仿宋_GB2312" w:hAnsi="仿宋_GB2312" w:eastAsia="仿宋_GB2312" w:cs="仿宋_GB2312"/>
          <w:color w:val="auto"/>
          <w:sz w:val="24"/>
          <w:szCs w:val="24"/>
          <w:highlight w:val="none"/>
        </w:rPr>
      </w:pPr>
    </w:p>
    <w:p w14:paraId="0E796BA8">
      <w:pPr>
        <w:spacing w:line="540" w:lineRule="exact"/>
        <w:contextualSpacing/>
        <w:rPr>
          <w:rFonts w:hint="eastAsia" w:ascii="仿宋_GB2312" w:hAnsi="仿宋_GB2312" w:eastAsia="仿宋_GB2312" w:cs="仿宋_GB2312"/>
          <w:color w:val="auto"/>
          <w:sz w:val="24"/>
          <w:szCs w:val="24"/>
          <w:highlight w:val="none"/>
        </w:rPr>
      </w:pPr>
    </w:p>
    <w:p w14:paraId="4D9F9495">
      <w:pPr>
        <w:spacing w:line="540" w:lineRule="exact"/>
        <w:contextualSpacing/>
        <w:rPr>
          <w:rFonts w:hint="eastAsia" w:ascii="仿宋_GB2312" w:hAnsi="仿宋_GB2312" w:eastAsia="仿宋_GB2312" w:cs="仿宋_GB2312"/>
          <w:color w:val="auto"/>
          <w:sz w:val="24"/>
          <w:szCs w:val="24"/>
          <w:highlight w:val="none"/>
        </w:rPr>
      </w:pPr>
    </w:p>
    <w:p w14:paraId="2BBD8FD7">
      <w:pPr>
        <w:spacing w:line="540" w:lineRule="exact"/>
        <w:contextualSpacing/>
        <w:rPr>
          <w:rFonts w:hint="eastAsia" w:ascii="仿宋_GB2312" w:hAnsi="仿宋_GB2312" w:eastAsia="仿宋_GB2312" w:cs="仿宋_GB2312"/>
          <w:color w:val="auto"/>
          <w:sz w:val="24"/>
          <w:szCs w:val="24"/>
          <w:highlight w:val="none"/>
        </w:rPr>
      </w:pPr>
    </w:p>
    <w:p w14:paraId="63A9513C">
      <w:pPr>
        <w:spacing w:line="540" w:lineRule="exact"/>
        <w:contextualSpacing/>
        <w:rPr>
          <w:rFonts w:hint="eastAsia" w:ascii="仿宋_GB2312" w:hAnsi="仿宋_GB2312" w:eastAsia="仿宋_GB2312" w:cs="仿宋_GB2312"/>
          <w:color w:val="auto"/>
          <w:sz w:val="24"/>
          <w:szCs w:val="24"/>
          <w:highlight w:val="none"/>
        </w:rPr>
      </w:pPr>
    </w:p>
    <w:p w14:paraId="5C845307">
      <w:pPr>
        <w:spacing w:line="540" w:lineRule="exact"/>
        <w:contextualSpacing/>
        <w:rPr>
          <w:rFonts w:hint="eastAsia" w:ascii="仿宋_GB2312" w:hAnsi="仿宋_GB2312" w:eastAsia="仿宋_GB2312" w:cs="仿宋_GB2312"/>
          <w:color w:val="auto"/>
          <w:sz w:val="24"/>
          <w:szCs w:val="24"/>
          <w:highlight w:val="none"/>
        </w:rPr>
      </w:pPr>
    </w:p>
    <w:p w14:paraId="313B8DC6">
      <w:pPr>
        <w:spacing w:line="540" w:lineRule="exact"/>
        <w:contextualSpacing/>
        <w:jc w:val="center"/>
        <w:rPr>
          <w:rFonts w:hint="eastAsia" w:ascii="仿宋_GB2312" w:hAnsi="仿宋_GB2312" w:eastAsia="仿宋_GB2312" w:cs="仿宋_GB2312"/>
          <w:b/>
          <w:color w:val="auto"/>
          <w:sz w:val="28"/>
          <w:szCs w:val="28"/>
          <w:highlight w:val="none"/>
        </w:rPr>
      </w:pPr>
    </w:p>
    <w:p w14:paraId="4C476BF9">
      <w:pPr>
        <w:spacing w:line="540" w:lineRule="exact"/>
        <w:contextualSpacing/>
        <w:jc w:val="center"/>
        <w:rPr>
          <w:rFonts w:hint="eastAsia" w:ascii="仿宋_GB2312" w:hAnsi="仿宋_GB2312" w:eastAsia="仿宋_GB2312" w:cs="仿宋_GB2312"/>
          <w:b/>
          <w:color w:val="auto"/>
          <w:sz w:val="28"/>
          <w:szCs w:val="28"/>
          <w:highlight w:val="none"/>
        </w:rPr>
      </w:pPr>
    </w:p>
    <w:p w14:paraId="30CA86F3">
      <w:pPr>
        <w:widowControl/>
        <w:spacing w:line="560" w:lineRule="exact"/>
        <w:jc w:val="center"/>
        <w:rPr>
          <w:rFonts w:hint="eastAsia" w:ascii="仿宋_GB2312" w:hAnsi="仿宋_GB2312" w:eastAsia="仿宋_GB2312" w:cs="仿宋_GB2312"/>
          <w:b/>
          <w:color w:val="auto"/>
          <w:sz w:val="28"/>
          <w:szCs w:val="28"/>
          <w:highlight w:val="none"/>
          <w:lang w:eastAsia="zh-CN"/>
        </w:rPr>
      </w:pPr>
    </w:p>
    <w:p w14:paraId="13B35BA1">
      <w:pPr>
        <w:widowControl/>
        <w:spacing w:line="56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二</w:t>
      </w:r>
      <w:r>
        <w:rPr>
          <w:rFonts w:hint="eastAsia" w:ascii="仿宋_GB2312" w:hAnsi="仿宋_GB2312" w:eastAsia="仿宋_GB2312" w:cs="仿宋_GB2312"/>
          <w:b/>
          <w:color w:val="auto"/>
          <w:sz w:val="28"/>
          <w:szCs w:val="28"/>
          <w:highlight w:val="none"/>
        </w:rPr>
        <w:t>、联合协议（如果有）</w:t>
      </w:r>
    </w:p>
    <w:p w14:paraId="5642659A">
      <w:pPr>
        <w:widowControl/>
        <w:spacing w:line="560" w:lineRule="exact"/>
        <w:ind w:firstLine="562" w:firstLineChars="200"/>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[以联合体形式投标的，提供联合协议（附件6）；本项目不接受联合体投标或者投标人不以联合体形式投标的，则不需要提供）]</w:t>
      </w:r>
    </w:p>
    <w:p w14:paraId="7D3CA1B1">
      <w:pPr>
        <w:pStyle w:val="11"/>
        <w:rPr>
          <w:rFonts w:hint="eastAsia" w:ascii="仿宋_GB2312" w:hAnsi="仿宋_GB2312" w:eastAsia="仿宋_GB2312" w:cs="仿宋_GB2312"/>
          <w:color w:val="auto"/>
          <w:highlight w:val="none"/>
        </w:rPr>
      </w:pPr>
    </w:p>
    <w:p w14:paraId="6FF024BC">
      <w:pPr>
        <w:pStyle w:val="6"/>
        <w:rPr>
          <w:rFonts w:hint="eastAsia" w:ascii="仿宋_GB2312" w:hAnsi="仿宋_GB2312" w:eastAsia="仿宋_GB2312" w:cs="仿宋_GB2312"/>
          <w:color w:val="auto"/>
          <w:highlight w:val="none"/>
        </w:rPr>
      </w:pPr>
    </w:p>
    <w:p w14:paraId="4E3412EE">
      <w:pPr>
        <w:snapToGrid w:val="0"/>
        <w:spacing w:line="360" w:lineRule="auto"/>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eastAsia="zh-CN"/>
        </w:rPr>
        <w:t>三</w:t>
      </w:r>
      <w:r>
        <w:rPr>
          <w:rFonts w:hint="eastAsia" w:ascii="仿宋_GB2312" w:hAnsi="仿宋_GB2312" w:eastAsia="仿宋_GB2312" w:cs="仿宋_GB2312"/>
          <w:b/>
          <w:color w:val="auto"/>
          <w:kern w:val="0"/>
          <w:sz w:val="28"/>
          <w:szCs w:val="28"/>
          <w:highlight w:val="none"/>
        </w:rPr>
        <w:t>、分包意向协议（如果有）</w:t>
      </w:r>
    </w:p>
    <w:p w14:paraId="571766CB">
      <w:pPr>
        <w:widowControl/>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中标后以分包方式履行合同的，提供分包意向协议(附件7)；采购人不同意分包或者投标人中标后不以分包方式履行合同的，则不需要提供。</w:t>
      </w:r>
      <w:r>
        <w:rPr>
          <w:rFonts w:hint="eastAsia" w:ascii="仿宋_GB2312" w:hAnsi="仿宋_GB2312" w:eastAsia="仿宋_GB2312" w:cs="仿宋_GB2312"/>
          <w:color w:val="auto"/>
          <w:sz w:val="28"/>
          <w:szCs w:val="28"/>
          <w:highlight w:val="none"/>
        </w:rPr>
        <w:t>]</w:t>
      </w:r>
    </w:p>
    <w:p w14:paraId="199E8482">
      <w:pPr>
        <w:spacing w:line="540" w:lineRule="exact"/>
        <w:contextualSpacing/>
        <w:jc w:val="center"/>
        <w:rPr>
          <w:rFonts w:hint="eastAsia" w:ascii="仿宋_GB2312" w:hAnsi="仿宋_GB2312" w:eastAsia="仿宋_GB2312" w:cs="仿宋_GB2312"/>
          <w:b/>
          <w:color w:val="auto"/>
          <w:sz w:val="24"/>
          <w:szCs w:val="24"/>
          <w:highlight w:val="none"/>
        </w:rPr>
      </w:pPr>
    </w:p>
    <w:p w14:paraId="3F361C97">
      <w:pPr>
        <w:pStyle w:val="7"/>
        <w:rPr>
          <w:rFonts w:hint="eastAsia" w:ascii="仿宋_GB2312" w:hAnsi="仿宋_GB2312" w:eastAsia="仿宋_GB2312" w:cs="仿宋_GB2312"/>
          <w:color w:val="auto"/>
          <w:highlight w:val="none"/>
        </w:rPr>
      </w:pPr>
    </w:p>
    <w:p w14:paraId="02FB2DE4">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四</w:t>
      </w:r>
      <w:r>
        <w:rPr>
          <w:rFonts w:hint="eastAsia" w:ascii="仿宋_GB2312" w:hAnsi="仿宋_GB2312" w:eastAsia="仿宋_GB2312" w:cs="仿宋_GB2312"/>
          <w:b/>
          <w:color w:val="auto"/>
          <w:sz w:val="28"/>
          <w:szCs w:val="28"/>
          <w:highlight w:val="none"/>
        </w:rPr>
        <w:t>、符合性审查资料</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35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EC1CCEA">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4991" w:type="dxa"/>
            <w:noWrap w:val="0"/>
            <w:vAlign w:val="center"/>
          </w:tcPr>
          <w:p w14:paraId="52685C13">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实质性要求</w:t>
            </w:r>
          </w:p>
        </w:tc>
        <w:tc>
          <w:tcPr>
            <w:tcW w:w="2551" w:type="dxa"/>
            <w:noWrap w:val="0"/>
            <w:vAlign w:val="center"/>
          </w:tcPr>
          <w:p w14:paraId="015B77ED">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需要提供的符合性审查资料</w:t>
            </w:r>
          </w:p>
        </w:tc>
        <w:tc>
          <w:tcPr>
            <w:tcW w:w="1418" w:type="dxa"/>
            <w:noWrap w:val="0"/>
            <w:vAlign w:val="center"/>
          </w:tcPr>
          <w:p w14:paraId="6F681415">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投标文件中的页码位置</w:t>
            </w:r>
          </w:p>
        </w:tc>
      </w:tr>
      <w:tr w14:paraId="1D44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AA16595">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991" w:type="dxa"/>
            <w:noWrap w:val="0"/>
            <w:vAlign w:val="center"/>
          </w:tcPr>
          <w:p w14:paraId="45F6D5AA">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投标文件按照招标文件要求签署、盖章。</w:t>
            </w:r>
          </w:p>
        </w:tc>
        <w:tc>
          <w:tcPr>
            <w:tcW w:w="2551" w:type="dxa"/>
            <w:noWrap w:val="0"/>
            <w:vAlign w:val="center"/>
          </w:tcPr>
          <w:p w14:paraId="02D43F1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需要使用电子签名或者签字盖章的投标文件的组成部分</w:t>
            </w:r>
          </w:p>
        </w:tc>
        <w:tc>
          <w:tcPr>
            <w:tcW w:w="1418" w:type="dxa"/>
            <w:noWrap w:val="0"/>
            <w:vAlign w:val="center"/>
          </w:tcPr>
          <w:p w14:paraId="1E337DAA">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w:t>
            </w:r>
          </w:p>
          <w:p w14:paraId="089DC1B5">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第页</w:t>
            </w:r>
          </w:p>
        </w:tc>
      </w:tr>
      <w:tr w14:paraId="06F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18141C7">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4991" w:type="dxa"/>
            <w:noWrap w:val="0"/>
            <w:vAlign w:val="center"/>
          </w:tcPr>
          <w:p w14:paraId="0DBD1982">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14:paraId="36BEA72E">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节能产品认证证书（本项目拟采购的产品不属于政府强制采购的节能产品品目清单范围的，无需提供）</w:t>
            </w:r>
          </w:p>
        </w:tc>
        <w:tc>
          <w:tcPr>
            <w:tcW w:w="1418" w:type="dxa"/>
            <w:noWrap w:val="0"/>
            <w:vAlign w:val="center"/>
          </w:tcPr>
          <w:p w14:paraId="1AAD8992">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w:t>
            </w:r>
          </w:p>
          <w:p w14:paraId="4A10A2FF">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第页</w:t>
            </w:r>
          </w:p>
        </w:tc>
      </w:tr>
      <w:tr w14:paraId="7C2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0BC9C50">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4991" w:type="dxa"/>
            <w:noWrap w:val="0"/>
            <w:vAlign w:val="center"/>
          </w:tcPr>
          <w:p w14:paraId="34D5FC40">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投标文件中承诺的投标有效期不少于招标文件中载明的投标有效期。</w:t>
            </w:r>
          </w:p>
        </w:tc>
        <w:tc>
          <w:tcPr>
            <w:tcW w:w="2551" w:type="dxa"/>
            <w:noWrap w:val="0"/>
            <w:vAlign w:val="center"/>
          </w:tcPr>
          <w:p w14:paraId="264F0D4B">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投标函</w:t>
            </w:r>
          </w:p>
        </w:tc>
        <w:tc>
          <w:tcPr>
            <w:tcW w:w="1418" w:type="dxa"/>
            <w:noWrap w:val="0"/>
            <w:vAlign w:val="center"/>
          </w:tcPr>
          <w:p w14:paraId="65F76DBD">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见投标文件第页</w:t>
            </w:r>
          </w:p>
        </w:tc>
      </w:tr>
      <w:tr w14:paraId="12C4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686CC28">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4991" w:type="dxa"/>
            <w:noWrap w:val="0"/>
            <w:vAlign w:val="center"/>
          </w:tcPr>
          <w:p w14:paraId="72772F84">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投标文件满足招标文件的其它实质性要求。</w:t>
            </w:r>
          </w:p>
        </w:tc>
        <w:tc>
          <w:tcPr>
            <w:tcW w:w="2551" w:type="dxa"/>
            <w:noWrap w:val="0"/>
            <w:vAlign w:val="center"/>
          </w:tcPr>
          <w:p w14:paraId="6C634645">
            <w:p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招标文件其它实质性要求相应的材料（“▲”系指实质性要求条款，招标文件无其它实质性要求的，无需提供）</w:t>
            </w:r>
          </w:p>
        </w:tc>
        <w:tc>
          <w:tcPr>
            <w:tcW w:w="1418" w:type="dxa"/>
            <w:noWrap w:val="0"/>
            <w:vAlign w:val="center"/>
          </w:tcPr>
          <w:p w14:paraId="0011DB5A">
            <w:pPr>
              <w:spacing w:line="40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见投标文件第页</w:t>
            </w:r>
          </w:p>
        </w:tc>
      </w:tr>
    </w:tbl>
    <w:p w14:paraId="7705AC48">
      <w:pPr>
        <w:spacing w:line="540" w:lineRule="exact"/>
        <w:contextualSpacing/>
        <w:rPr>
          <w:rFonts w:hint="eastAsia" w:ascii="仿宋_GB2312" w:hAnsi="仿宋_GB2312" w:eastAsia="仿宋_GB2312" w:cs="仿宋_GB2312"/>
          <w:color w:val="auto"/>
          <w:sz w:val="24"/>
          <w:szCs w:val="24"/>
          <w:highlight w:val="none"/>
        </w:rPr>
      </w:pPr>
    </w:p>
    <w:p w14:paraId="2E63642F">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、拟投入的项目班子格式（如果有）</w:t>
      </w:r>
    </w:p>
    <w:p w14:paraId="522CA9A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（格式仅供参考）</w:t>
      </w:r>
    </w:p>
    <w:p w14:paraId="017CB1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项目负责人简历表</w:t>
      </w:r>
    </w:p>
    <w:tbl>
      <w:tblPr>
        <w:tblStyle w:val="1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7C1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15D3B7E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165" w:type="dxa"/>
            <w:gridSpan w:val="2"/>
            <w:noWrap w:val="0"/>
            <w:vAlign w:val="center"/>
          </w:tcPr>
          <w:p w14:paraId="76218B5B">
            <w:pPr>
              <w:spacing w:line="540" w:lineRule="exact"/>
              <w:contextualSpacing/>
              <w:rPr>
                <w:rFonts w:hint="eastAsia" w:ascii="仿宋_GB2312" w:hAnsi="仿宋_GB2312" w:eastAsia="仿宋_GB2312" w:cs="仿宋_GB2312"/>
                <w:color w:val="auto"/>
                <w:sz w:val="24"/>
                <w:szCs w:val="24"/>
                <w:highlight w:val="none"/>
              </w:rPr>
            </w:pPr>
          </w:p>
        </w:tc>
        <w:tc>
          <w:tcPr>
            <w:tcW w:w="1155" w:type="dxa"/>
            <w:noWrap w:val="0"/>
            <w:vAlign w:val="center"/>
          </w:tcPr>
          <w:p w14:paraId="17EB82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年龄</w:t>
            </w:r>
          </w:p>
        </w:tc>
        <w:tc>
          <w:tcPr>
            <w:tcW w:w="1155" w:type="dxa"/>
            <w:gridSpan w:val="2"/>
            <w:noWrap w:val="0"/>
            <w:vAlign w:val="center"/>
          </w:tcPr>
          <w:p w14:paraId="36493A64">
            <w:pPr>
              <w:spacing w:line="540" w:lineRule="exact"/>
              <w:contextualSpacing/>
              <w:rPr>
                <w:rFonts w:hint="eastAsia" w:ascii="仿宋_GB2312" w:hAnsi="仿宋_GB2312" w:eastAsia="仿宋_GB2312" w:cs="仿宋_GB2312"/>
                <w:color w:val="auto"/>
                <w:sz w:val="24"/>
                <w:szCs w:val="24"/>
                <w:highlight w:val="none"/>
              </w:rPr>
            </w:pPr>
          </w:p>
        </w:tc>
        <w:tc>
          <w:tcPr>
            <w:tcW w:w="2745" w:type="dxa"/>
            <w:gridSpan w:val="2"/>
            <w:noWrap w:val="0"/>
            <w:vAlign w:val="center"/>
          </w:tcPr>
          <w:p w14:paraId="3D108927">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学历</w:t>
            </w:r>
          </w:p>
        </w:tc>
        <w:tc>
          <w:tcPr>
            <w:tcW w:w="1800" w:type="dxa"/>
            <w:noWrap w:val="0"/>
            <w:vAlign w:val="center"/>
          </w:tcPr>
          <w:p w14:paraId="317F0A06">
            <w:pPr>
              <w:spacing w:line="540" w:lineRule="exact"/>
              <w:contextualSpacing/>
              <w:rPr>
                <w:rFonts w:hint="eastAsia" w:ascii="仿宋_GB2312" w:hAnsi="仿宋_GB2312" w:eastAsia="仿宋_GB2312" w:cs="仿宋_GB2312"/>
                <w:color w:val="auto"/>
                <w:sz w:val="24"/>
                <w:szCs w:val="24"/>
                <w:highlight w:val="none"/>
              </w:rPr>
            </w:pPr>
          </w:p>
        </w:tc>
      </w:tr>
      <w:tr w14:paraId="4469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AADCBD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1165" w:type="dxa"/>
            <w:gridSpan w:val="2"/>
            <w:noWrap w:val="0"/>
            <w:vAlign w:val="center"/>
          </w:tcPr>
          <w:p w14:paraId="43392B21">
            <w:pPr>
              <w:spacing w:line="540" w:lineRule="exact"/>
              <w:contextualSpacing/>
              <w:rPr>
                <w:rFonts w:hint="eastAsia" w:ascii="仿宋_GB2312" w:hAnsi="仿宋_GB2312" w:eastAsia="仿宋_GB2312" w:cs="仿宋_GB2312"/>
                <w:color w:val="auto"/>
                <w:sz w:val="24"/>
                <w:szCs w:val="24"/>
                <w:highlight w:val="none"/>
              </w:rPr>
            </w:pPr>
          </w:p>
        </w:tc>
        <w:tc>
          <w:tcPr>
            <w:tcW w:w="1155" w:type="dxa"/>
            <w:noWrap w:val="0"/>
            <w:vAlign w:val="center"/>
          </w:tcPr>
          <w:p w14:paraId="7610112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155" w:type="dxa"/>
            <w:gridSpan w:val="2"/>
            <w:noWrap w:val="0"/>
            <w:vAlign w:val="center"/>
          </w:tcPr>
          <w:p w14:paraId="739FAEC6">
            <w:pPr>
              <w:spacing w:line="540" w:lineRule="exact"/>
              <w:contextualSpacing/>
              <w:rPr>
                <w:rFonts w:hint="eastAsia" w:ascii="仿宋_GB2312" w:hAnsi="仿宋_GB2312" w:eastAsia="仿宋_GB2312" w:cs="仿宋_GB2312"/>
                <w:color w:val="auto"/>
                <w:sz w:val="24"/>
                <w:szCs w:val="24"/>
                <w:highlight w:val="none"/>
              </w:rPr>
            </w:pPr>
          </w:p>
        </w:tc>
        <w:tc>
          <w:tcPr>
            <w:tcW w:w="2745" w:type="dxa"/>
            <w:gridSpan w:val="2"/>
            <w:noWrap w:val="0"/>
            <w:vAlign w:val="center"/>
          </w:tcPr>
          <w:p w14:paraId="3C5D6658">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拟在本项目任职</w:t>
            </w:r>
          </w:p>
        </w:tc>
        <w:tc>
          <w:tcPr>
            <w:tcW w:w="1800" w:type="dxa"/>
            <w:noWrap w:val="0"/>
            <w:vAlign w:val="center"/>
          </w:tcPr>
          <w:p w14:paraId="64600137">
            <w:pPr>
              <w:spacing w:line="540" w:lineRule="exact"/>
              <w:contextualSpacing/>
              <w:rPr>
                <w:rFonts w:hint="eastAsia" w:ascii="仿宋_GB2312" w:hAnsi="仿宋_GB2312" w:eastAsia="仿宋_GB2312" w:cs="仿宋_GB2312"/>
                <w:color w:val="auto"/>
                <w:sz w:val="24"/>
                <w:szCs w:val="24"/>
                <w:highlight w:val="none"/>
              </w:rPr>
            </w:pPr>
          </w:p>
        </w:tc>
      </w:tr>
      <w:tr w14:paraId="33E8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B459A25">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毕业院校</w:t>
            </w:r>
          </w:p>
        </w:tc>
        <w:tc>
          <w:tcPr>
            <w:tcW w:w="8020" w:type="dxa"/>
            <w:gridSpan w:val="8"/>
            <w:noWrap w:val="0"/>
            <w:vAlign w:val="center"/>
          </w:tcPr>
          <w:p w14:paraId="172F8F12">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年毕业于学校专业</w:t>
            </w:r>
          </w:p>
        </w:tc>
      </w:tr>
      <w:tr w14:paraId="35C2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7C6514C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主要工作履历</w:t>
            </w:r>
          </w:p>
        </w:tc>
      </w:tr>
      <w:tr w14:paraId="2EEF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466B687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p>
        </w:tc>
        <w:tc>
          <w:tcPr>
            <w:tcW w:w="2297" w:type="dxa"/>
            <w:gridSpan w:val="3"/>
            <w:noWrap w:val="0"/>
            <w:vAlign w:val="center"/>
          </w:tcPr>
          <w:p w14:paraId="6D393E65">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参加过类似项目</w:t>
            </w:r>
          </w:p>
        </w:tc>
        <w:tc>
          <w:tcPr>
            <w:tcW w:w="1701" w:type="dxa"/>
            <w:gridSpan w:val="2"/>
            <w:noWrap w:val="0"/>
            <w:vAlign w:val="center"/>
          </w:tcPr>
          <w:p w14:paraId="6574C280">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担任职务</w:t>
            </w:r>
          </w:p>
        </w:tc>
        <w:tc>
          <w:tcPr>
            <w:tcW w:w="3313" w:type="dxa"/>
            <w:gridSpan w:val="2"/>
            <w:noWrap w:val="0"/>
            <w:vAlign w:val="center"/>
          </w:tcPr>
          <w:p w14:paraId="45EC3A1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业主及联系电话</w:t>
            </w:r>
          </w:p>
        </w:tc>
      </w:tr>
      <w:tr w14:paraId="76ED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05B515D4">
            <w:pPr>
              <w:spacing w:line="540" w:lineRule="exact"/>
              <w:contextualSpacing/>
              <w:rPr>
                <w:rFonts w:hint="eastAsia" w:ascii="仿宋_GB2312" w:hAnsi="仿宋_GB2312" w:eastAsia="仿宋_GB2312" w:cs="仿宋_GB2312"/>
                <w:color w:val="auto"/>
                <w:sz w:val="24"/>
                <w:szCs w:val="24"/>
                <w:highlight w:val="none"/>
              </w:rPr>
            </w:pPr>
          </w:p>
        </w:tc>
        <w:tc>
          <w:tcPr>
            <w:tcW w:w="2297" w:type="dxa"/>
            <w:gridSpan w:val="3"/>
            <w:noWrap w:val="0"/>
            <w:vAlign w:val="center"/>
          </w:tcPr>
          <w:p w14:paraId="63D035FF">
            <w:pPr>
              <w:spacing w:line="540" w:lineRule="exact"/>
              <w:contextualSpacing/>
              <w:rPr>
                <w:rFonts w:hint="eastAsia" w:ascii="仿宋_GB2312" w:hAnsi="仿宋_GB2312" w:eastAsia="仿宋_GB2312" w:cs="仿宋_GB2312"/>
                <w:color w:val="auto"/>
                <w:sz w:val="24"/>
                <w:szCs w:val="24"/>
                <w:highlight w:val="none"/>
              </w:rPr>
            </w:pPr>
          </w:p>
        </w:tc>
        <w:tc>
          <w:tcPr>
            <w:tcW w:w="1701" w:type="dxa"/>
            <w:gridSpan w:val="2"/>
            <w:noWrap w:val="0"/>
            <w:vAlign w:val="center"/>
          </w:tcPr>
          <w:p w14:paraId="0474A3D3">
            <w:pPr>
              <w:spacing w:line="540" w:lineRule="exact"/>
              <w:contextualSpacing/>
              <w:rPr>
                <w:rFonts w:hint="eastAsia" w:ascii="仿宋_GB2312" w:hAnsi="仿宋_GB2312" w:eastAsia="仿宋_GB2312" w:cs="仿宋_GB2312"/>
                <w:color w:val="auto"/>
                <w:sz w:val="24"/>
                <w:szCs w:val="24"/>
                <w:highlight w:val="none"/>
              </w:rPr>
            </w:pPr>
          </w:p>
        </w:tc>
        <w:tc>
          <w:tcPr>
            <w:tcW w:w="3313" w:type="dxa"/>
            <w:gridSpan w:val="2"/>
            <w:noWrap w:val="0"/>
            <w:vAlign w:val="center"/>
          </w:tcPr>
          <w:p w14:paraId="084DE355">
            <w:pPr>
              <w:spacing w:line="540" w:lineRule="exact"/>
              <w:contextualSpacing/>
              <w:rPr>
                <w:rFonts w:hint="eastAsia" w:ascii="仿宋_GB2312" w:hAnsi="仿宋_GB2312" w:eastAsia="仿宋_GB2312" w:cs="仿宋_GB2312"/>
                <w:color w:val="auto"/>
                <w:sz w:val="24"/>
                <w:szCs w:val="24"/>
                <w:highlight w:val="none"/>
              </w:rPr>
            </w:pPr>
          </w:p>
        </w:tc>
      </w:tr>
      <w:tr w14:paraId="0C77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D9E768A">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2297" w:type="dxa"/>
            <w:gridSpan w:val="3"/>
            <w:noWrap w:val="0"/>
            <w:vAlign w:val="center"/>
          </w:tcPr>
          <w:p w14:paraId="6129A67A">
            <w:pPr>
              <w:spacing w:line="540" w:lineRule="exact"/>
              <w:contextualSpacing/>
              <w:rPr>
                <w:rFonts w:hint="eastAsia" w:ascii="仿宋_GB2312" w:hAnsi="仿宋_GB2312" w:eastAsia="仿宋_GB2312" w:cs="仿宋_GB2312"/>
                <w:color w:val="auto"/>
                <w:sz w:val="24"/>
                <w:szCs w:val="24"/>
                <w:highlight w:val="none"/>
              </w:rPr>
            </w:pPr>
          </w:p>
        </w:tc>
        <w:tc>
          <w:tcPr>
            <w:tcW w:w="1701" w:type="dxa"/>
            <w:gridSpan w:val="2"/>
            <w:noWrap w:val="0"/>
            <w:vAlign w:val="center"/>
          </w:tcPr>
          <w:p w14:paraId="6DB409DF">
            <w:pPr>
              <w:spacing w:line="540" w:lineRule="exact"/>
              <w:contextualSpacing/>
              <w:rPr>
                <w:rFonts w:hint="eastAsia" w:ascii="仿宋_GB2312" w:hAnsi="仿宋_GB2312" w:eastAsia="仿宋_GB2312" w:cs="仿宋_GB2312"/>
                <w:color w:val="auto"/>
                <w:sz w:val="24"/>
                <w:szCs w:val="24"/>
                <w:highlight w:val="none"/>
              </w:rPr>
            </w:pPr>
          </w:p>
        </w:tc>
        <w:tc>
          <w:tcPr>
            <w:tcW w:w="3313" w:type="dxa"/>
            <w:gridSpan w:val="2"/>
            <w:noWrap w:val="0"/>
            <w:vAlign w:val="center"/>
          </w:tcPr>
          <w:p w14:paraId="6892D92B">
            <w:pPr>
              <w:spacing w:line="540" w:lineRule="exact"/>
              <w:contextualSpacing/>
              <w:rPr>
                <w:rFonts w:hint="eastAsia" w:ascii="仿宋_GB2312" w:hAnsi="仿宋_GB2312" w:eastAsia="仿宋_GB2312" w:cs="仿宋_GB2312"/>
                <w:color w:val="auto"/>
                <w:sz w:val="24"/>
                <w:szCs w:val="24"/>
                <w:highlight w:val="none"/>
              </w:rPr>
            </w:pPr>
          </w:p>
        </w:tc>
      </w:tr>
    </w:tbl>
    <w:p w14:paraId="2CF8143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附：执业资格证书、职称证书、学历证书等证明材料</w:t>
      </w:r>
    </w:p>
    <w:p w14:paraId="301EEDD9">
      <w:pPr>
        <w:spacing w:line="540" w:lineRule="exact"/>
        <w:contextualSpacing/>
        <w:rPr>
          <w:rFonts w:hint="eastAsia" w:ascii="仿宋_GB2312" w:hAnsi="仿宋_GB2312" w:eastAsia="仿宋_GB2312" w:cs="仿宋_GB2312"/>
          <w:color w:val="auto"/>
          <w:sz w:val="24"/>
          <w:szCs w:val="24"/>
          <w:highlight w:val="none"/>
        </w:rPr>
      </w:pPr>
    </w:p>
    <w:p w14:paraId="64C8500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项目班子一览表</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6CD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64F33790">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418" w:type="dxa"/>
            <w:noWrap w:val="0"/>
            <w:vAlign w:val="center"/>
          </w:tcPr>
          <w:p w14:paraId="55218D12">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984" w:type="dxa"/>
            <w:noWrap w:val="0"/>
            <w:vAlign w:val="center"/>
          </w:tcPr>
          <w:p w14:paraId="2745F736">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专业技术资格</w:t>
            </w:r>
          </w:p>
        </w:tc>
        <w:tc>
          <w:tcPr>
            <w:tcW w:w="1843" w:type="dxa"/>
            <w:noWrap w:val="0"/>
            <w:vAlign w:val="center"/>
          </w:tcPr>
          <w:p w14:paraId="21573F72">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证书编号</w:t>
            </w:r>
          </w:p>
        </w:tc>
        <w:tc>
          <w:tcPr>
            <w:tcW w:w="2755" w:type="dxa"/>
            <w:noWrap w:val="0"/>
            <w:vAlign w:val="center"/>
          </w:tcPr>
          <w:p w14:paraId="0FD8E83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实施经验说明</w:t>
            </w:r>
          </w:p>
        </w:tc>
      </w:tr>
      <w:tr w14:paraId="0A55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89D573F">
            <w:pPr>
              <w:spacing w:line="540" w:lineRule="exact"/>
              <w:contextualSpacing/>
              <w:rPr>
                <w:rFonts w:hint="eastAsia" w:ascii="仿宋_GB2312" w:hAnsi="仿宋_GB2312" w:eastAsia="仿宋_GB2312" w:cs="仿宋_GB2312"/>
                <w:color w:val="auto"/>
                <w:sz w:val="24"/>
                <w:szCs w:val="24"/>
                <w:highlight w:val="none"/>
              </w:rPr>
            </w:pPr>
          </w:p>
        </w:tc>
        <w:tc>
          <w:tcPr>
            <w:tcW w:w="1418" w:type="dxa"/>
            <w:noWrap w:val="0"/>
            <w:vAlign w:val="center"/>
          </w:tcPr>
          <w:p w14:paraId="0C47591A">
            <w:pPr>
              <w:spacing w:line="540" w:lineRule="exact"/>
              <w:contextualSpacing/>
              <w:rPr>
                <w:rFonts w:hint="eastAsia" w:ascii="仿宋_GB2312" w:hAnsi="仿宋_GB2312" w:eastAsia="仿宋_GB2312" w:cs="仿宋_GB2312"/>
                <w:color w:val="auto"/>
                <w:sz w:val="24"/>
                <w:szCs w:val="24"/>
                <w:highlight w:val="none"/>
              </w:rPr>
            </w:pPr>
          </w:p>
        </w:tc>
        <w:tc>
          <w:tcPr>
            <w:tcW w:w="1984" w:type="dxa"/>
            <w:noWrap w:val="0"/>
            <w:vAlign w:val="center"/>
          </w:tcPr>
          <w:p w14:paraId="497C1A76">
            <w:pPr>
              <w:spacing w:line="540" w:lineRule="exact"/>
              <w:contextualSpacing/>
              <w:rPr>
                <w:rFonts w:hint="eastAsia" w:ascii="仿宋_GB2312" w:hAnsi="仿宋_GB2312" w:eastAsia="仿宋_GB2312" w:cs="仿宋_GB2312"/>
                <w:color w:val="auto"/>
                <w:sz w:val="24"/>
                <w:szCs w:val="24"/>
                <w:highlight w:val="none"/>
              </w:rPr>
            </w:pPr>
          </w:p>
        </w:tc>
        <w:tc>
          <w:tcPr>
            <w:tcW w:w="1843" w:type="dxa"/>
            <w:noWrap w:val="0"/>
            <w:vAlign w:val="center"/>
          </w:tcPr>
          <w:p w14:paraId="128574E6">
            <w:pPr>
              <w:spacing w:line="540" w:lineRule="exact"/>
              <w:contextualSpacing/>
              <w:rPr>
                <w:rFonts w:hint="eastAsia" w:ascii="仿宋_GB2312" w:hAnsi="仿宋_GB2312" w:eastAsia="仿宋_GB2312" w:cs="仿宋_GB2312"/>
                <w:color w:val="auto"/>
                <w:sz w:val="24"/>
                <w:szCs w:val="24"/>
                <w:highlight w:val="none"/>
              </w:rPr>
            </w:pPr>
          </w:p>
        </w:tc>
        <w:tc>
          <w:tcPr>
            <w:tcW w:w="2755" w:type="dxa"/>
            <w:noWrap w:val="0"/>
            <w:vAlign w:val="center"/>
          </w:tcPr>
          <w:p w14:paraId="059B0A17">
            <w:pPr>
              <w:spacing w:line="540" w:lineRule="exact"/>
              <w:contextualSpacing/>
              <w:rPr>
                <w:rFonts w:hint="eastAsia" w:ascii="仿宋_GB2312" w:hAnsi="仿宋_GB2312" w:eastAsia="仿宋_GB2312" w:cs="仿宋_GB2312"/>
                <w:color w:val="auto"/>
                <w:sz w:val="24"/>
                <w:szCs w:val="24"/>
                <w:highlight w:val="none"/>
              </w:rPr>
            </w:pPr>
          </w:p>
        </w:tc>
      </w:tr>
      <w:tr w14:paraId="02B6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37AA65B3">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418" w:type="dxa"/>
            <w:noWrap w:val="0"/>
            <w:vAlign w:val="center"/>
          </w:tcPr>
          <w:p w14:paraId="69EFE65B">
            <w:pPr>
              <w:spacing w:line="540" w:lineRule="exact"/>
              <w:contextualSpacing/>
              <w:rPr>
                <w:rFonts w:hint="eastAsia" w:ascii="仿宋_GB2312" w:hAnsi="仿宋_GB2312" w:eastAsia="仿宋_GB2312" w:cs="仿宋_GB2312"/>
                <w:color w:val="auto"/>
                <w:sz w:val="24"/>
                <w:szCs w:val="24"/>
                <w:highlight w:val="none"/>
              </w:rPr>
            </w:pPr>
          </w:p>
        </w:tc>
        <w:tc>
          <w:tcPr>
            <w:tcW w:w="1984" w:type="dxa"/>
            <w:noWrap w:val="0"/>
            <w:vAlign w:val="center"/>
          </w:tcPr>
          <w:p w14:paraId="234D254C">
            <w:pPr>
              <w:spacing w:line="540" w:lineRule="exact"/>
              <w:contextualSpacing/>
              <w:rPr>
                <w:rFonts w:hint="eastAsia" w:ascii="仿宋_GB2312" w:hAnsi="仿宋_GB2312" w:eastAsia="仿宋_GB2312" w:cs="仿宋_GB2312"/>
                <w:color w:val="auto"/>
                <w:sz w:val="24"/>
                <w:szCs w:val="24"/>
                <w:highlight w:val="none"/>
              </w:rPr>
            </w:pPr>
          </w:p>
        </w:tc>
        <w:tc>
          <w:tcPr>
            <w:tcW w:w="1843" w:type="dxa"/>
            <w:noWrap w:val="0"/>
            <w:vAlign w:val="center"/>
          </w:tcPr>
          <w:p w14:paraId="678EC92D">
            <w:pPr>
              <w:spacing w:line="540" w:lineRule="exact"/>
              <w:contextualSpacing/>
              <w:rPr>
                <w:rFonts w:hint="eastAsia" w:ascii="仿宋_GB2312" w:hAnsi="仿宋_GB2312" w:eastAsia="仿宋_GB2312" w:cs="仿宋_GB2312"/>
                <w:color w:val="auto"/>
                <w:sz w:val="24"/>
                <w:szCs w:val="24"/>
                <w:highlight w:val="none"/>
              </w:rPr>
            </w:pPr>
          </w:p>
        </w:tc>
        <w:tc>
          <w:tcPr>
            <w:tcW w:w="2755" w:type="dxa"/>
            <w:noWrap w:val="0"/>
            <w:vAlign w:val="center"/>
          </w:tcPr>
          <w:p w14:paraId="2B1C7D1C">
            <w:pPr>
              <w:spacing w:line="540" w:lineRule="exact"/>
              <w:contextualSpacing/>
              <w:rPr>
                <w:rFonts w:hint="eastAsia" w:ascii="仿宋_GB2312" w:hAnsi="仿宋_GB2312" w:eastAsia="仿宋_GB2312" w:cs="仿宋_GB2312"/>
                <w:color w:val="auto"/>
                <w:sz w:val="24"/>
                <w:szCs w:val="24"/>
                <w:highlight w:val="none"/>
              </w:rPr>
            </w:pPr>
          </w:p>
        </w:tc>
      </w:tr>
    </w:tbl>
    <w:p w14:paraId="4F981749">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附：相关人员的专业技术资格证书证明材料</w:t>
      </w:r>
    </w:p>
    <w:p w14:paraId="35A26B1D">
      <w:pPr>
        <w:spacing w:line="540" w:lineRule="exact"/>
        <w:contextualSpacing/>
        <w:rPr>
          <w:rFonts w:hint="eastAsia" w:ascii="仿宋_GB2312" w:hAnsi="仿宋_GB2312" w:eastAsia="仿宋_GB2312" w:cs="仿宋_GB2312"/>
          <w:color w:val="auto"/>
          <w:sz w:val="24"/>
          <w:szCs w:val="24"/>
          <w:highlight w:val="none"/>
        </w:rPr>
      </w:pPr>
    </w:p>
    <w:p w14:paraId="2F2EA3F3">
      <w:pPr>
        <w:spacing w:line="540" w:lineRule="exact"/>
        <w:contextualSpacing/>
        <w:rPr>
          <w:rFonts w:hint="eastAsia" w:ascii="仿宋_GB2312" w:hAnsi="仿宋_GB2312" w:eastAsia="仿宋_GB2312" w:cs="仿宋_GB2312"/>
          <w:color w:val="auto"/>
          <w:sz w:val="24"/>
          <w:szCs w:val="24"/>
          <w:highlight w:val="none"/>
        </w:rPr>
      </w:pPr>
    </w:p>
    <w:p w14:paraId="70C65683">
      <w:pPr>
        <w:spacing w:line="540" w:lineRule="exact"/>
        <w:contextualSpacing/>
        <w:rPr>
          <w:rFonts w:hint="eastAsia" w:ascii="仿宋_GB2312" w:hAnsi="仿宋_GB2312" w:eastAsia="仿宋_GB2312" w:cs="仿宋_GB2312"/>
          <w:color w:val="auto"/>
          <w:sz w:val="24"/>
          <w:szCs w:val="24"/>
          <w:highlight w:val="none"/>
        </w:rPr>
      </w:pPr>
    </w:p>
    <w:p w14:paraId="40CB8E5B">
      <w:pPr>
        <w:spacing w:line="540" w:lineRule="exact"/>
        <w:contextualSpacing/>
        <w:rPr>
          <w:rFonts w:hint="eastAsia" w:ascii="仿宋_GB2312" w:hAnsi="仿宋_GB2312" w:eastAsia="仿宋_GB2312" w:cs="仿宋_GB2312"/>
          <w:color w:val="auto"/>
          <w:sz w:val="24"/>
          <w:szCs w:val="24"/>
          <w:highlight w:val="none"/>
        </w:rPr>
      </w:pPr>
    </w:p>
    <w:p w14:paraId="158AAE3F">
      <w:pPr>
        <w:spacing w:line="540" w:lineRule="exact"/>
        <w:ind w:firstLine="4440" w:firstLineChars="18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2D81972E">
      <w:pPr>
        <w:spacing w:line="540" w:lineRule="exact"/>
        <w:ind w:firstLine="4440" w:firstLineChars="18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02B65BB2">
      <w:pPr>
        <w:spacing w:line="540" w:lineRule="exact"/>
        <w:contextualSpacing/>
        <w:jc w:val="center"/>
        <w:rPr>
          <w:rFonts w:hint="eastAsia" w:ascii="仿宋_GB2312" w:hAnsi="仿宋_GB2312" w:eastAsia="仿宋_GB2312" w:cs="仿宋_GB2312"/>
          <w:b/>
          <w:color w:val="auto"/>
          <w:sz w:val="24"/>
          <w:szCs w:val="24"/>
          <w:highlight w:val="none"/>
        </w:rPr>
      </w:pPr>
    </w:p>
    <w:p w14:paraId="1A7CCCE5">
      <w:pPr>
        <w:spacing w:line="540" w:lineRule="exact"/>
        <w:contextualSpacing/>
        <w:jc w:val="center"/>
        <w:rPr>
          <w:rFonts w:hint="eastAsia" w:ascii="仿宋_GB2312" w:hAnsi="仿宋_GB2312" w:eastAsia="仿宋_GB2312" w:cs="仿宋_GB2312"/>
          <w:b/>
          <w:color w:val="auto"/>
          <w:sz w:val="28"/>
          <w:szCs w:val="28"/>
          <w:highlight w:val="none"/>
        </w:rPr>
      </w:pPr>
    </w:p>
    <w:p w14:paraId="0D8D6884">
      <w:pPr>
        <w:pStyle w:val="7"/>
        <w:rPr>
          <w:rFonts w:hint="eastAsia" w:ascii="仿宋_GB2312" w:hAnsi="仿宋_GB2312" w:eastAsia="仿宋_GB2312" w:cs="仿宋_GB2312"/>
          <w:color w:val="auto"/>
          <w:highlight w:val="none"/>
        </w:rPr>
      </w:pPr>
    </w:p>
    <w:p w14:paraId="315D5E6C">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、评标标准相应的商务技术资料</w:t>
      </w:r>
    </w:p>
    <w:p w14:paraId="0E5AEA92">
      <w:pPr>
        <w:spacing w:line="54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（按招标文件第四部分评标办法前附表中“投标文件中评标标准相应的商务技术资料目录”提供资料）</w:t>
      </w:r>
    </w:p>
    <w:p w14:paraId="56AD1285">
      <w:pPr>
        <w:ind w:firstLine="2891" w:firstLineChars="900"/>
        <w:rPr>
          <w:rFonts w:hint="eastAsia" w:ascii="仿宋_GB2312" w:hAnsi="仿宋_GB2312" w:eastAsia="仿宋_GB2312" w:cs="仿宋_GB2312"/>
          <w:b/>
          <w:color w:val="auto"/>
          <w:kern w:val="0"/>
          <w:sz w:val="32"/>
          <w:szCs w:val="32"/>
          <w:highlight w:val="none"/>
        </w:rPr>
      </w:pPr>
    </w:p>
    <w:p w14:paraId="2A76F6E5">
      <w:pPr>
        <w:rPr>
          <w:rFonts w:hint="eastAsia" w:ascii="仿宋_GB2312" w:hAnsi="仿宋_GB2312" w:eastAsia="仿宋_GB2312" w:cs="仿宋_GB2312"/>
          <w:b/>
          <w:color w:val="auto"/>
          <w:kern w:val="0"/>
          <w:sz w:val="32"/>
          <w:szCs w:val="32"/>
          <w:highlight w:val="none"/>
        </w:rPr>
      </w:pPr>
    </w:p>
    <w:p w14:paraId="071D95A6">
      <w:pPr>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eastAsia="zh-CN"/>
        </w:rPr>
        <w:t>七</w:t>
      </w:r>
      <w:r>
        <w:rPr>
          <w:rFonts w:hint="eastAsia" w:ascii="仿宋_GB2312" w:hAnsi="仿宋_GB2312" w:eastAsia="仿宋_GB2312" w:cs="仿宋_GB2312"/>
          <w:b/>
          <w:color w:val="auto"/>
          <w:kern w:val="0"/>
          <w:sz w:val="28"/>
          <w:szCs w:val="28"/>
          <w:highlight w:val="none"/>
        </w:rPr>
        <w:t>、投标标的清单</w:t>
      </w:r>
    </w:p>
    <w:tbl>
      <w:tblPr>
        <w:tblStyle w:val="14"/>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4659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64DEEE6">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99141AB">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AB66721">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52463B">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641B68">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91144B">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B638A90">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D3DB0B2">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6B927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91C2E33">
            <w:pPr>
              <w:snapToGrid w:val="0"/>
              <w:jc w:val="center"/>
              <w:rPr>
                <w:rFonts w:hint="eastAsia" w:ascii="仿宋_GB2312" w:hAnsi="仿宋_GB2312" w:eastAsia="仿宋_GB2312" w:cs="仿宋_GB2312"/>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A91070">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01ADA39">
            <w:pPr>
              <w:snapToGrid w:val="0"/>
              <w:jc w:val="center"/>
              <w:rPr>
                <w:rFonts w:hint="eastAsia" w:ascii="仿宋_GB2312" w:hAnsi="仿宋_GB2312" w:eastAsia="仿宋_GB2312" w:cs="仿宋_GB2312"/>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004962">
            <w:pPr>
              <w:snapToGrid w:val="0"/>
              <w:jc w:val="center"/>
              <w:rPr>
                <w:rFonts w:hint="eastAsia" w:ascii="仿宋_GB2312" w:hAnsi="仿宋_GB2312" w:eastAsia="仿宋_GB2312" w:cs="仿宋_GB2312"/>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44DF79">
            <w:pPr>
              <w:snapToGrid w:val="0"/>
              <w:jc w:val="center"/>
              <w:rPr>
                <w:rFonts w:hint="eastAsia" w:ascii="仿宋_GB2312" w:hAnsi="仿宋_GB2312" w:eastAsia="仿宋_GB2312" w:cs="仿宋_GB2312"/>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96EE7">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795471">
            <w:pPr>
              <w:snapToGrid w:val="0"/>
              <w:jc w:val="center"/>
              <w:rPr>
                <w:rFonts w:hint="eastAsia" w:ascii="仿宋_GB2312" w:hAnsi="仿宋_GB2312" w:eastAsia="仿宋_GB2312" w:cs="仿宋_GB2312"/>
                <w:color w:val="auto"/>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534350C1">
            <w:pPr>
              <w:snapToGrid w:val="0"/>
              <w:jc w:val="center"/>
              <w:rPr>
                <w:rFonts w:hint="eastAsia" w:ascii="仿宋_GB2312" w:hAnsi="仿宋_GB2312" w:eastAsia="仿宋_GB2312" w:cs="仿宋_GB2312"/>
                <w:color w:val="auto"/>
                <w:sz w:val="24"/>
                <w:szCs w:val="24"/>
                <w:highlight w:val="none"/>
              </w:rPr>
            </w:pPr>
          </w:p>
        </w:tc>
      </w:tr>
      <w:tr w14:paraId="45CE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827EE3C">
            <w:pPr>
              <w:snapToGrid w:val="0"/>
              <w:jc w:val="center"/>
              <w:rPr>
                <w:rFonts w:hint="eastAsia" w:ascii="仿宋_GB2312" w:hAnsi="仿宋_GB2312" w:eastAsia="仿宋_GB2312" w:cs="仿宋_GB2312"/>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49D578">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B37B1E0">
            <w:pPr>
              <w:snapToGrid w:val="0"/>
              <w:jc w:val="center"/>
              <w:rPr>
                <w:rFonts w:hint="eastAsia" w:ascii="仿宋_GB2312" w:hAnsi="仿宋_GB2312" w:eastAsia="仿宋_GB2312" w:cs="仿宋_GB2312"/>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D59D85F">
            <w:pPr>
              <w:snapToGrid w:val="0"/>
              <w:jc w:val="center"/>
              <w:rPr>
                <w:rFonts w:hint="eastAsia" w:ascii="仿宋_GB2312" w:hAnsi="仿宋_GB2312" w:eastAsia="仿宋_GB2312" w:cs="仿宋_GB2312"/>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D9F2984">
            <w:pPr>
              <w:snapToGrid w:val="0"/>
              <w:jc w:val="center"/>
              <w:rPr>
                <w:rFonts w:hint="eastAsia" w:ascii="仿宋_GB2312" w:hAnsi="仿宋_GB2312" w:eastAsia="仿宋_GB2312" w:cs="仿宋_GB2312"/>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6F2FEF">
            <w:pPr>
              <w:snapToGrid w:val="0"/>
              <w:jc w:val="center"/>
              <w:rPr>
                <w:rFonts w:hint="eastAsia" w:ascii="仿宋_GB2312" w:hAnsi="仿宋_GB2312" w:eastAsia="仿宋_GB2312" w:cs="仿宋_GB2312"/>
                <w:color w:val="auto"/>
                <w:sz w:val="24"/>
                <w:szCs w:val="24"/>
                <w:highlight w:val="none"/>
              </w:rPr>
            </w:pPr>
          </w:p>
        </w:tc>
        <w:tc>
          <w:tcPr>
            <w:tcW w:w="851" w:type="dxa"/>
            <w:tcBorders>
              <w:top w:val="single" w:color="auto" w:sz="4" w:space="0"/>
              <w:left w:val="single" w:color="auto" w:sz="4" w:space="0"/>
              <w:bottom w:val="nil"/>
              <w:right w:val="single" w:color="auto" w:sz="4" w:space="0"/>
            </w:tcBorders>
            <w:noWrap w:val="0"/>
            <w:vAlign w:val="center"/>
          </w:tcPr>
          <w:p w14:paraId="17D4B63E">
            <w:pPr>
              <w:snapToGrid w:val="0"/>
              <w:jc w:val="center"/>
              <w:rPr>
                <w:rFonts w:hint="eastAsia" w:ascii="仿宋_GB2312" w:hAnsi="仿宋_GB2312" w:eastAsia="仿宋_GB2312" w:cs="仿宋_GB2312"/>
                <w:color w:val="auto"/>
                <w:sz w:val="24"/>
                <w:szCs w:val="24"/>
                <w:highlight w:val="none"/>
              </w:rPr>
            </w:pPr>
          </w:p>
        </w:tc>
        <w:tc>
          <w:tcPr>
            <w:tcW w:w="699" w:type="dxa"/>
            <w:tcBorders>
              <w:top w:val="single" w:color="auto" w:sz="4" w:space="0"/>
              <w:left w:val="single" w:color="auto" w:sz="4" w:space="0"/>
              <w:bottom w:val="nil"/>
              <w:right w:val="single" w:color="auto" w:sz="4" w:space="0"/>
            </w:tcBorders>
            <w:noWrap w:val="0"/>
            <w:vAlign w:val="center"/>
          </w:tcPr>
          <w:p w14:paraId="33BDB366">
            <w:pPr>
              <w:snapToGrid w:val="0"/>
              <w:jc w:val="center"/>
              <w:rPr>
                <w:rFonts w:hint="eastAsia" w:ascii="仿宋_GB2312" w:hAnsi="仿宋_GB2312" w:eastAsia="仿宋_GB2312" w:cs="仿宋_GB2312"/>
                <w:color w:val="auto"/>
                <w:sz w:val="24"/>
                <w:szCs w:val="24"/>
                <w:highlight w:val="none"/>
              </w:rPr>
            </w:pPr>
          </w:p>
        </w:tc>
      </w:tr>
      <w:tr w14:paraId="3B62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0675EC8">
            <w:pPr>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D5ACE8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C368B41">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FD0B51">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CA7F8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CEB65F">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DAB2E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BE0C7A1">
            <w:pPr>
              <w:jc w:val="center"/>
              <w:rPr>
                <w:rFonts w:hint="eastAsia" w:ascii="仿宋_GB2312" w:hAnsi="仿宋_GB2312" w:eastAsia="仿宋_GB2312" w:cs="仿宋_GB2312"/>
                <w:color w:val="auto"/>
                <w:highlight w:val="none"/>
              </w:rPr>
            </w:pPr>
          </w:p>
        </w:tc>
      </w:tr>
    </w:tbl>
    <w:p w14:paraId="064D6D54">
      <w:pPr>
        <w:pStyle w:val="6"/>
        <w:rPr>
          <w:rFonts w:hint="eastAsia" w:ascii="仿宋_GB2312" w:hAnsi="仿宋_GB2312" w:eastAsia="仿宋_GB2312" w:cs="仿宋_GB2312"/>
          <w:color w:val="auto"/>
          <w:highlight w:val="none"/>
        </w:rPr>
      </w:pPr>
    </w:p>
    <w:p w14:paraId="45F57FD1">
      <w:pPr>
        <w:jc w:val="center"/>
        <w:rPr>
          <w:rFonts w:hint="eastAsia" w:ascii="仿宋_GB2312" w:hAnsi="仿宋_GB2312" w:eastAsia="仿宋_GB2312" w:cs="仿宋_GB2312"/>
          <w:b/>
          <w:color w:val="auto"/>
          <w:kern w:val="0"/>
          <w:sz w:val="28"/>
          <w:szCs w:val="28"/>
          <w:highlight w:val="none"/>
        </w:rPr>
      </w:pPr>
    </w:p>
    <w:p w14:paraId="27C0B10E">
      <w:pPr>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eastAsia="zh-CN"/>
        </w:rPr>
        <w:t>八</w:t>
      </w:r>
      <w:r>
        <w:rPr>
          <w:rFonts w:hint="eastAsia" w:ascii="仿宋_GB2312" w:hAnsi="仿宋_GB2312" w:eastAsia="仿宋_GB2312" w:cs="仿宋_GB2312"/>
          <w:b/>
          <w:color w:val="auto"/>
          <w:kern w:val="0"/>
          <w:sz w:val="28"/>
          <w:szCs w:val="28"/>
          <w:highlight w:val="none"/>
        </w:rPr>
        <w:t>、商务技术偏离表</w:t>
      </w:r>
    </w:p>
    <w:tbl>
      <w:tblPr>
        <w:tblStyle w:val="1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2B91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DE0F178">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序号</w:t>
            </w:r>
          </w:p>
        </w:tc>
        <w:tc>
          <w:tcPr>
            <w:tcW w:w="3683" w:type="dxa"/>
            <w:noWrap w:val="0"/>
            <w:vAlign w:val="top"/>
          </w:tcPr>
          <w:p w14:paraId="3076A96F">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招标文件章节及具体内容</w:t>
            </w:r>
          </w:p>
        </w:tc>
        <w:tc>
          <w:tcPr>
            <w:tcW w:w="3546" w:type="dxa"/>
            <w:noWrap w:val="0"/>
            <w:vAlign w:val="top"/>
          </w:tcPr>
          <w:p w14:paraId="44F043E5">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投标文件章节及具体内容</w:t>
            </w:r>
          </w:p>
        </w:tc>
        <w:tc>
          <w:tcPr>
            <w:tcW w:w="1512" w:type="dxa"/>
            <w:noWrap w:val="0"/>
            <w:vAlign w:val="top"/>
          </w:tcPr>
          <w:p w14:paraId="0533FDA0">
            <w:pPr>
              <w:jc w:val="center"/>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偏离说明</w:t>
            </w:r>
          </w:p>
        </w:tc>
      </w:tr>
      <w:tr w14:paraId="5D9F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EB9CCB">
            <w:pPr>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c>
          <w:tcPr>
            <w:tcW w:w="3683" w:type="dxa"/>
            <w:noWrap w:val="0"/>
            <w:vAlign w:val="top"/>
          </w:tcPr>
          <w:p w14:paraId="3D18BB2A">
            <w:pPr>
              <w:jc w:val="center"/>
              <w:rPr>
                <w:rFonts w:hint="eastAsia" w:ascii="仿宋_GB2312" w:hAnsi="仿宋_GB2312" w:eastAsia="仿宋_GB2312" w:cs="仿宋_GB2312"/>
                <w:b/>
                <w:color w:val="auto"/>
                <w:kern w:val="0"/>
                <w:sz w:val="28"/>
                <w:szCs w:val="28"/>
                <w:highlight w:val="none"/>
              </w:rPr>
            </w:pPr>
          </w:p>
        </w:tc>
        <w:tc>
          <w:tcPr>
            <w:tcW w:w="3546" w:type="dxa"/>
            <w:noWrap w:val="0"/>
            <w:vAlign w:val="top"/>
          </w:tcPr>
          <w:p w14:paraId="790D73C4">
            <w:pPr>
              <w:jc w:val="center"/>
              <w:rPr>
                <w:rFonts w:hint="eastAsia" w:ascii="仿宋_GB2312" w:hAnsi="仿宋_GB2312" w:eastAsia="仿宋_GB2312" w:cs="仿宋_GB2312"/>
                <w:b/>
                <w:color w:val="auto"/>
                <w:kern w:val="0"/>
                <w:sz w:val="28"/>
                <w:szCs w:val="28"/>
                <w:highlight w:val="none"/>
              </w:rPr>
            </w:pPr>
          </w:p>
        </w:tc>
        <w:tc>
          <w:tcPr>
            <w:tcW w:w="1512" w:type="dxa"/>
            <w:noWrap w:val="0"/>
            <w:vAlign w:val="top"/>
          </w:tcPr>
          <w:p w14:paraId="197C2679">
            <w:pPr>
              <w:jc w:val="center"/>
              <w:rPr>
                <w:rFonts w:hint="eastAsia" w:ascii="仿宋_GB2312" w:hAnsi="仿宋_GB2312" w:eastAsia="仿宋_GB2312" w:cs="仿宋_GB2312"/>
                <w:b/>
                <w:color w:val="auto"/>
                <w:kern w:val="0"/>
                <w:sz w:val="28"/>
                <w:szCs w:val="28"/>
                <w:highlight w:val="none"/>
              </w:rPr>
            </w:pPr>
          </w:p>
        </w:tc>
      </w:tr>
      <w:tr w14:paraId="3D4B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59E399A">
            <w:pPr>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c>
          <w:tcPr>
            <w:tcW w:w="3683" w:type="dxa"/>
            <w:noWrap w:val="0"/>
            <w:vAlign w:val="top"/>
          </w:tcPr>
          <w:p w14:paraId="200D9463">
            <w:pPr>
              <w:jc w:val="center"/>
              <w:rPr>
                <w:rFonts w:hint="eastAsia" w:ascii="仿宋_GB2312" w:hAnsi="仿宋_GB2312" w:eastAsia="仿宋_GB2312" w:cs="仿宋_GB2312"/>
                <w:b/>
                <w:color w:val="auto"/>
                <w:kern w:val="0"/>
                <w:sz w:val="28"/>
                <w:szCs w:val="28"/>
                <w:highlight w:val="none"/>
              </w:rPr>
            </w:pPr>
          </w:p>
        </w:tc>
        <w:tc>
          <w:tcPr>
            <w:tcW w:w="3546" w:type="dxa"/>
            <w:noWrap w:val="0"/>
            <w:vAlign w:val="top"/>
          </w:tcPr>
          <w:p w14:paraId="1ACA22CE">
            <w:pPr>
              <w:jc w:val="center"/>
              <w:rPr>
                <w:rFonts w:hint="eastAsia" w:ascii="仿宋_GB2312" w:hAnsi="仿宋_GB2312" w:eastAsia="仿宋_GB2312" w:cs="仿宋_GB2312"/>
                <w:b/>
                <w:color w:val="auto"/>
                <w:kern w:val="0"/>
                <w:sz w:val="28"/>
                <w:szCs w:val="28"/>
                <w:highlight w:val="none"/>
              </w:rPr>
            </w:pPr>
          </w:p>
        </w:tc>
        <w:tc>
          <w:tcPr>
            <w:tcW w:w="1512" w:type="dxa"/>
            <w:noWrap w:val="0"/>
            <w:vAlign w:val="top"/>
          </w:tcPr>
          <w:p w14:paraId="5C7B55FD">
            <w:pPr>
              <w:jc w:val="center"/>
              <w:rPr>
                <w:rFonts w:hint="eastAsia" w:ascii="仿宋_GB2312" w:hAnsi="仿宋_GB2312" w:eastAsia="仿宋_GB2312" w:cs="仿宋_GB2312"/>
                <w:b/>
                <w:color w:val="auto"/>
                <w:kern w:val="0"/>
                <w:sz w:val="28"/>
                <w:szCs w:val="28"/>
                <w:highlight w:val="none"/>
              </w:rPr>
            </w:pPr>
          </w:p>
        </w:tc>
      </w:tr>
      <w:tr w14:paraId="5BC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181182">
            <w:pPr>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p>
        </w:tc>
        <w:tc>
          <w:tcPr>
            <w:tcW w:w="3683" w:type="dxa"/>
            <w:noWrap w:val="0"/>
            <w:vAlign w:val="top"/>
          </w:tcPr>
          <w:p w14:paraId="41E50312">
            <w:pPr>
              <w:jc w:val="center"/>
              <w:rPr>
                <w:rFonts w:hint="eastAsia" w:ascii="仿宋_GB2312" w:hAnsi="仿宋_GB2312" w:eastAsia="仿宋_GB2312" w:cs="仿宋_GB2312"/>
                <w:b/>
                <w:color w:val="auto"/>
                <w:kern w:val="0"/>
                <w:sz w:val="28"/>
                <w:szCs w:val="28"/>
                <w:highlight w:val="none"/>
              </w:rPr>
            </w:pPr>
          </w:p>
        </w:tc>
        <w:tc>
          <w:tcPr>
            <w:tcW w:w="3546" w:type="dxa"/>
            <w:noWrap w:val="0"/>
            <w:vAlign w:val="top"/>
          </w:tcPr>
          <w:p w14:paraId="11400ADB">
            <w:pPr>
              <w:jc w:val="center"/>
              <w:rPr>
                <w:rFonts w:hint="eastAsia" w:ascii="仿宋_GB2312" w:hAnsi="仿宋_GB2312" w:eastAsia="仿宋_GB2312" w:cs="仿宋_GB2312"/>
                <w:b/>
                <w:color w:val="auto"/>
                <w:kern w:val="0"/>
                <w:sz w:val="28"/>
                <w:szCs w:val="28"/>
                <w:highlight w:val="none"/>
              </w:rPr>
            </w:pPr>
          </w:p>
        </w:tc>
        <w:tc>
          <w:tcPr>
            <w:tcW w:w="1512" w:type="dxa"/>
            <w:noWrap w:val="0"/>
            <w:vAlign w:val="top"/>
          </w:tcPr>
          <w:p w14:paraId="59AB8364">
            <w:pPr>
              <w:jc w:val="center"/>
              <w:rPr>
                <w:rFonts w:hint="eastAsia" w:ascii="仿宋_GB2312" w:hAnsi="仿宋_GB2312" w:eastAsia="仿宋_GB2312" w:cs="仿宋_GB2312"/>
                <w:b/>
                <w:color w:val="auto"/>
                <w:kern w:val="0"/>
                <w:sz w:val="28"/>
                <w:szCs w:val="28"/>
                <w:highlight w:val="none"/>
              </w:rPr>
            </w:pPr>
          </w:p>
        </w:tc>
      </w:tr>
    </w:tbl>
    <w:p w14:paraId="1B80C2B6">
      <w:pPr>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投标人保证：除商务技术偏离表列出的偏离外，投标人响应招标文件的全部要求</w:t>
      </w:r>
    </w:p>
    <w:p w14:paraId="060F8BC1">
      <w:pPr>
        <w:jc w:val="center"/>
        <w:rPr>
          <w:rFonts w:hint="eastAsia" w:ascii="仿宋_GB2312" w:hAnsi="仿宋_GB2312" w:eastAsia="仿宋_GB2312" w:cs="仿宋_GB2312"/>
          <w:b/>
          <w:color w:val="auto"/>
          <w:kern w:val="0"/>
          <w:sz w:val="28"/>
          <w:szCs w:val="28"/>
          <w:highlight w:val="none"/>
        </w:rPr>
      </w:pPr>
    </w:p>
    <w:p w14:paraId="0E80D6BC">
      <w:pPr>
        <w:spacing w:line="540" w:lineRule="exact"/>
        <w:contextualSpacing/>
        <w:rPr>
          <w:rFonts w:hint="eastAsia" w:ascii="仿宋_GB2312" w:hAnsi="仿宋_GB2312" w:eastAsia="仿宋_GB2312" w:cs="仿宋_GB2312"/>
          <w:color w:val="auto"/>
          <w:sz w:val="24"/>
          <w:szCs w:val="24"/>
          <w:highlight w:val="none"/>
        </w:rPr>
      </w:pPr>
    </w:p>
    <w:p w14:paraId="78DCA50E">
      <w:pPr>
        <w:spacing w:line="540" w:lineRule="exact"/>
        <w:contextualSpacing/>
        <w:rPr>
          <w:rFonts w:hint="eastAsia" w:ascii="仿宋_GB2312" w:hAnsi="仿宋_GB2312" w:eastAsia="仿宋_GB2312" w:cs="仿宋_GB2312"/>
          <w:color w:val="auto"/>
          <w:sz w:val="24"/>
          <w:szCs w:val="24"/>
          <w:highlight w:val="none"/>
        </w:rPr>
      </w:pPr>
    </w:p>
    <w:p w14:paraId="61503C33">
      <w:pPr>
        <w:spacing w:line="540" w:lineRule="exact"/>
        <w:contextualSpacing/>
        <w:jc w:val="center"/>
        <w:rPr>
          <w:rFonts w:hint="eastAsia" w:ascii="仿宋_GB2312" w:hAnsi="仿宋_GB2312" w:eastAsia="仿宋_GB2312" w:cs="仿宋_GB2312"/>
          <w:b/>
          <w:color w:val="auto"/>
          <w:sz w:val="24"/>
          <w:szCs w:val="24"/>
          <w:highlight w:val="none"/>
        </w:rPr>
      </w:pPr>
    </w:p>
    <w:p w14:paraId="5EFB3590">
      <w:pPr>
        <w:spacing w:line="540" w:lineRule="exact"/>
        <w:contextualSpacing/>
        <w:jc w:val="center"/>
        <w:rPr>
          <w:rFonts w:hint="eastAsia" w:ascii="仿宋_GB2312" w:hAnsi="仿宋_GB2312" w:eastAsia="仿宋_GB2312" w:cs="仿宋_GB2312"/>
          <w:b/>
          <w:color w:val="auto"/>
          <w:sz w:val="24"/>
          <w:szCs w:val="24"/>
          <w:highlight w:val="none"/>
        </w:rPr>
      </w:pPr>
    </w:p>
    <w:p w14:paraId="261039C8">
      <w:pPr>
        <w:spacing w:line="540" w:lineRule="exact"/>
        <w:contextualSpacing/>
        <w:jc w:val="center"/>
        <w:rPr>
          <w:rFonts w:hint="eastAsia" w:ascii="仿宋_GB2312" w:hAnsi="仿宋_GB2312" w:eastAsia="仿宋_GB2312" w:cs="仿宋_GB2312"/>
          <w:b/>
          <w:color w:val="auto"/>
          <w:sz w:val="24"/>
          <w:szCs w:val="24"/>
          <w:highlight w:val="none"/>
        </w:rPr>
      </w:pPr>
    </w:p>
    <w:p w14:paraId="7D780F9D">
      <w:pPr>
        <w:pStyle w:val="7"/>
        <w:rPr>
          <w:rFonts w:hint="eastAsia" w:ascii="仿宋_GB2312" w:hAnsi="仿宋_GB2312" w:eastAsia="仿宋_GB2312" w:cs="仿宋_GB2312"/>
          <w:color w:val="auto"/>
          <w:highlight w:val="none"/>
        </w:rPr>
      </w:pPr>
    </w:p>
    <w:p w14:paraId="2FB2C2CF">
      <w:pPr>
        <w:pStyle w:val="7"/>
        <w:rPr>
          <w:rFonts w:hint="eastAsia" w:ascii="仿宋_GB2312" w:hAnsi="仿宋_GB2312" w:eastAsia="仿宋_GB2312" w:cs="仿宋_GB2312"/>
          <w:color w:val="auto"/>
          <w:highlight w:val="none"/>
        </w:rPr>
      </w:pPr>
    </w:p>
    <w:p w14:paraId="0CEED6BA">
      <w:pPr>
        <w:pStyle w:val="7"/>
        <w:rPr>
          <w:rFonts w:hint="eastAsia" w:ascii="仿宋_GB2312" w:hAnsi="仿宋_GB2312" w:eastAsia="仿宋_GB2312" w:cs="仿宋_GB2312"/>
          <w:color w:val="auto"/>
          <w:highlight w:val="none"/>
        </w:rPr>
      </w:pPr>
    </w:p>
    <w:p w14:paraId="0BC313E4">
      <w:pPr>
        <w:pStyle w:val="7"/>
        <w:rPr>
          <w:rFonts w:hint="eastAsia" w:ascii="仿宋_GB2312" w:hAnsi="仿宋_GB2312" w:eastAsia="仿宋_GB2312" w:cs="仿宋_GB2312"/>
          <w:color w:val="auto"/>
          <w:highlight w:val="none"/>
        </w:rPr>
      </w:pPr>
    </w:p>
    <w:p w14:paraId="0DA394FE">
      <w:pPr>
        <w:pStyle w:val="7"/>
        <w:rPr>
          <w:rFonts w:hint="eastAsia" w:ascii="仿宋_GB2312" w:hAnsi="仿宋_GB2312" w:eastAsia="仿宋_GB2312" w:cs="仿宋_GB2312"/>
          <w:color w:val="auto"/>
          <w:highlight w:val="none"/>
        </w:rPr>
      </w:pPr>
    </w:p>
    <w:p w14:paraId="31D90C87">
      <w:pPr>
        <w:spacing w:line="540" w:lineRule="exact"/>
        <w:contextualSpacing/>
        <w:jc w:val="center"/>
        <w:rPr>
          <w:rFonts w:hint="eastAsia" w:ascii="仿宋_GB2312" w:hAnsi="仿宋_GB2312" w:eastAsia="仿宋_GB2312" w:cs="仿宋_GB2312"/>
          <w:b/>
          <w:color w:val="auto"/>
          <w:sz w:val="28"/>
          <w:szCs w:val="28"/>
          <w:highlight w:val="none"/>
        </w:rPr>
      </w:pPr>
    </w:p>
    <w:p w14:paraId="4D21EC17">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、政府采购供应商廉洁自律承诺书</w:t>
      </w:r>
    </w:p>
    <w:p w14:paraId="437F570C">
      <w:pPr>
        <w:spacing w:line="540" w:lineRule="exact"/>
        <w:contextualSpacing/>
        <w:rPr>
          <w:rFonts w:hint="eastAsia" w:ascii="仿宋_GB2312" w:hAnsi="仿宋_GB2312" w:eastAsia="仿宋_GB2312" w:cs="仿宋_GB2312"/>
          <w:color w:val="auto"/>
          <w:sz w:val="24"/>
          <w:szCs w:val="24"/>
          <w:highlight w:val="none"/>
        </w:rPr>
      </w:pPr>
    </w:p>
    <w:p w14:paraId="6CA96EBF">
      <w:pPr>
        <w:spacing w:line="5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0C045EFD">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我单位响应你单位项目招标要求参加投标。在这次投标过程中和中标后，我们将严格遵守国家法律法规要求，并郑重承诺：</w:t>
      </w:r>
    </w:p>
    <w:p w14:paraId="2187A1DB">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一、不向项目有关人员及部门赠送礼金礼物、有价证券、回扣以及中介费、介绍费、咨询费等好处费；</w:t>
      </w:r>
    </w:p>
    <w:p w14:paraId="17D71A92">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二、不为项目有关人员及部门报销应由你方单位或个人支付的费用；</w:t>
      </w:r>
    </w:p>
    <w:p w14:paraId="3BCAF3BF">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三、不向项目有关人员及部门提供有可能影响公正的宴请和健身娱乐等活动；</w:t>
      </w:r>
    </w:p>
    <w:p w14:paraId="3125EA97">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四、不为项目有关人员及部门出国（境）、旅游等提供方便；</w:t>
      </w:r>
    </w:p>
    <w:p w14:paraId="3748DF3D">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五、不为项目有关人员个人装修住房、婚丧嫁娶、配偶子女工作安排等提供好处；</w:t>
      </w:r>
    </w:p>
    <w:p w14:paraId="320CC26D">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六、严格遵守《中华人民共和国政府采购法》《中华人民共和国招标投标法》《中华人民共和国民法典》等法律法规，诚实守信，合法经营，坚决抵制各种违法违纪行为。</w:t>
      </w:r>
    </w:p>
    <w:p w14:paraId="104C6D7F">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A44CA6E">
      <w:pPr>
        <w:spacing w:line="500" w:lineRule="exact"/>
        <w:contextualSpacing/>
        <w:rPr>
          <w:rFonts w:hint="eastAsia" w:ascii="仿宋_GB2312" w:hAnsi="仿宋_GB2312" w:eastAsia="仿宋_GB2312" w:cs="仿宋_GB2312"/>
          <w:color w:val="auto"/>
          <w:sz w:val="24"/>
          <w:szCs w:val="24"/>
          <w:highlight w:val="none"/>
        </w:rPr>
      </w:pPr>
    </w:p>
    <w:p w14:paraId="3B4C69F0">
      <w:pPr>
        <w:pStyle w:val="6"/>
        <w:rPr>
          <w:rFonts w:hint="eastAsia" w:ascii="仿宋_GB2312" w:hAnsi="仿宋_GB2312" w:eastAsia="仿宋_GB2312" w:cs="仿宋_GB2312"/>
          <w:color w:val="auto"/>
          <w:highlight w:val="none"/>
        </w:rPr>
      </w:pPr>
    </w:p>
    <w:p w14:paraId="02935FE8">
      <w:pPr>
        <w:spacing w:line="500" w:lineRule="exact"/>
        <w:ind w:firstLine="4560" w:firstLineChars="19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75C8BDF5">
      <w:pPr>
        <w:spacing w:line="500" w:lineRule="exact"/>
        <w:ind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67E72DD6">
      <w:pPr>
        <w:spacing w:line="540" w:lineRule="exact"/>
        <w:contextualSpacing/>
        <w:rPr>
          <w:rFonts w:hint="eastAsia" w:ascii="仿宋_GB2312" w:hAnsi="仿宋_GB2312" w:eastAsia="仿宋_GB2312" w:cs="仿宋_GB2312"/>
          <w:color w:val="auto"/>
          <w:sz w:val="24"/>
          <w:szCs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605CC6F">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报价文件部分</w:t>
      </w:r>
    </w:p>
    <w:p w14:paraId="25157AFC">
      <w:pPr>
        <w:spacing w:line="540" w:lineRule="exact"/>
        <w:contextualSpacing/>
        <w:rPr>
          <w:rFonts w:hint="eastAsia" w:ascii="仿宋_GB2312" w:hAnsi="仿宋_GB2312" w:eastAsia="仿宋_GB2312" w:cs="仿宋_GB2312"/>
          <w:color w:val="auto"/>
          <w:sz w:val="24"/>
          <w:szCs w:val="24"/>
          <w:highlight w:val="none"/>
        </w:rPr>
      </w:pPr>
    </w:p>
    <w:p w14:paraId="03F16E09">
      <w:pPr>
        <w:numPr>
          <w:ilvl w:val="0"/>
          <w:numId w:val="7"/>
        </w:num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开标一览表（报价表）………………………………………………………（页码）</w:t>
      </w:r>
    </w:p>
    <w:p w14:paraId="57579843">
      <w:pPr>
        <w:pStyle w:val="6"/>
        <w:numPr>
          <w:ilvl w:val="0"/>
          <w:numId w:val="7"/>
        </w:num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中小企业声明函（如果有）…………………………………………………（页码）</w:t>
      </w:r>
    </w:p>
    <w:p w14:paraId="4E4AB856">
      <w:pPr>
        <w:spacing w:line="540" w:lineRule="exact"/>
        <w:contextualSpacing/>
        <w:rPr>
          <w:rFonts w:hint="eastAsia" w:ascii="仿宋_GB2312" w:hAnsi="仿宋_GB2312" w:eastAsia="仿宋_GB2312" w:cs="仿宋_GB2312"/>
          <w:color w:val="auto"/>
          <w:sz w:val="24"/>
          <w:szCs w:val="24"/>
          <w:highlight w:val="none"/>
        </w:rPr>
      </w:pPr>
    </w:p>
    <w:p w14:paraId="6B8AF638">
      <w:pPr>
        <w:spacing w:line="540" w:lineRule="exact"/>
        <w:contextualSpacing/>
        <w:rPr>
          <w:rFonts w:hint="eastAsia" w:ascii="仿宋_GB2312" w:hAnsi="仿宋_GB2312" w:eastAsia="仿宋_GB2312" w:cs="仿宋_GB2312"/>
          <w:color w:val="auto"/>
          <w:sz w:val="24"/>
          <w:szCs w:val="24"/>
          <w:highlight w:val="none"/>
        </w:rPr>
      </w:pPr>
    </w:p>
    <w:p w14:paraId="7630AF0D">
      <w:pPr>
        <w:spacing w:line="540" w:lineRule="exact"/>
        <w:contextualSpacing/>
        <w:rPr>
          <w:rFonts w:hint="eastAsia" w:ascii="仿宋_GB2312" w:hAnsi="仿宋_GB2312" w:eastAsia="仿宋_GB2312" w:cs="仿宋_GB2312"/>
          <w:color w:val="auto"/>
          <w:sz w:val="24"/>
          <w:szCs w:val="24"/>
          <w:highlight w:val="none"/>
        </w:rPr>
      </w:pPr>
    </w:p>
    <w:p w14:paraId="2D763392">
      <w:pPr>
        <w:spacing w:line="540" w:lineRule="exact"/>
        <w:contextualSpacing/>
        <w:rPr>
          <w:rFonts w:hint="eastAsia" w:ascii="仿宋_GB2312" w:hAnsi="仿宋_GB2312" w:eastAsia="仿宋_GB2312" w:cs="仿宋_GB2312"/>
          <w:color w:val="auto"/>
          <w:sz w:val="24"/>
          <w:szCs w:val="24"/>
          <w:highlight w:val="none"/>
        </w:rPr>
      </w:pPr>
    </w:p>
    <w:p w14:paraId="4E08F779">
      <w:pPr>
        <w:spacing w:line="540" w:lineRule="exact"/>
        <w:contextualSpacing/>
        <w:rPr>
          <w:rFonts w:hint="eastAsia" w:ascii="仿宋_GB2312" w:hAnsi="仿宋_GB2312" w:eastAsia="仿宋_GB2312" w:cs="仿宋_GB2312"/>
          <w:color w:val="auto"/>
          <w:sz w:val="24"/>
          <w:szCs w:val="24"/>
          <w:highlight w:val="none"/>
        </w:rPr>
      </w:pPr>
    </w:p>
    <w:p w14:paraId="278DC775">
      <w:pPr>
        <w:spacing w:line="540" w:lineRule="exact"/>
        <w:contextualSpacing/>
        <w:rPr>
          <w:rFonts w:hint="eastAsia" w:ascii="仿宋_GB2312" w:hAnsi="仿宋_GB2312" w:eastAsia="仿宋_GB2312" w:cs="仿宋_GB2312"/>
          <w:color w:val="auto"/>
          <w:sz w:val="24"/>
          <w:szCs w:val="24"/>
          <w:highlight w:val="none"/>
        </w:rPr>
      </w:pPr>
    </w:p>
    <w:p w14:paraId="53051757">
      <w:pPr>
        <w:spacing w:line="540" w:lineRule="exact"/>
        <w:contextualSpacing/>
        <w:rPr>
          <w:rFonts w:hint="eastAsia" w:ascii="仿宋_GB2312" w:hAnsi="仿宋_GB2312" w:eastAsia="仿宋_GB2312" w:cs="仿宋_GB2312"/>
          <w:color w:val="auto"/>
          <w:sz w:val="24"/>
          <w:szCs w:val="24"/>
          <w:highlight w:val="none"/>
        </w:rPr>
      </w:pPr>
    </w:p>
    <w:p w14:paraId="550765CB">
      <w:pPr>
        <w:spacing w:line="540" w:lineRule="exact"/>
        <w:contextualSpacing/>
        <w:rPr>
          <w:rFonts w:hint="eastAsia" w:ascii="仿宋_GB2312" w:hAnsi="仿宋_GB2312" w:eastAsia="仿宋_GB2312" w:cs="仿宋_GB2312"/>
          <w:color w:val="auto"/>
          <w:sz w:val="24"/>
          <w:szCs w:val="24"/>
          <w:highlight w:val="none"/>
        </w:rPr>
      </w:pPr>
    </w:p>
    <w:p w14:paraId="68AF050F">
      <w:pPr>
        <w:spacing w:line="540" w:lineRule="exact"/>
        <w:contextualSpacing/>
        <w:rPr>
          <w:rFonts w:hint="eastAsia" w:ascii="仿宋_GB2312" w:hAnsi="仿宋_GB2312" w:eastAsia="仿宋_GB2312" w:cs="仿宋_GB2312"/>
          <w:color w:val="auto"/>
          <w:sz w:val="24"/>
          <w:szCs w:val="24"/>
          <w:highlight w:val="none"/>
        </w:rPr>
      </w:pPr>
    </w:p>
    <w:p w14:paraId="4E4D12C7">
      <w:pPr>
        <w:spacing w:line="540" w:lineRule="exact"/>
        <w:contextualSpacing/>
        <w:rPr>
          <w:rFonts w:hint="eastAsia" w:ascii="仿宋_GB2312" w:hAnsi="仿宋_GB2312" w:eastAsia="仿宋_GB2312" w:cs="仿宋_GB2312"/>
          <w:color w:val="auto"/>
          <w:sz w:val="24"/>
          <w:szCs w:val="24"/>
          <w:highlight w:val="none"/>
        </w:rPr>
      </w:pPr>
    </w:p>
    <w:p w14:paraId="179A3716">
      <w:pPr>
        <w:spacing w:line="540" w:lineRule="exact"/>
        <w:contextualSpacing/>
        <w:rPr>
          <w:rFonts w:hint="eastAsia" w:ascii="仿宋_GB2312" w:hAnsi="仿宋_GB2312" w:eastAsia="仿宋_GB2312" w:cs="仿宋_GB2312"/>
          <w:color w:val="auto"/>
          <w:sz w:val="24"/>
          <w:szCs w:val="24"/>
          <w:highlight w:val="none"/>
        </w:rPr>
      </w:pPr>
    </w:p>
    <w:p w14:paraId="00150238">
      <w:pPr>
        <w:spacing w:line="540" w:lineRule="exact"/>
        <w:contextualSpacing/>
        <w:rPr>
          <w:rFonts w:hint="eastAsia" w:ascii="仿宋_GB2312" w:hAnsi="仿宋_GB2312" w:eastAsia="仿宋_GB2312" w:cs="仿宋_GB2312"/>
          <w:color w:val="auto"/>
          <w:sz w:val="24"/>
          <w:szCs w:val="24"/>
          <w:highlight w:val="none"/>
        </w:rPr>
      </w:pPr>
    </w:p>
    <w:p w14:paraId="60B20DDC">
      <w:pPr>
        <w:spacing w:line="540" w:lineRule="exact"/>
        <w:contextualSpacing/>
        <w:rPr>
          <w:rFonts w:hint="eastAsia" w:ascii="仿宋_GB2312" w:hAnsi="仿宋_GB2312" w:eastAsia="仿宋_GB2312" w:cs="仿宋_GB2312"/>
          <w:color w:val="auto"/>
          <w:sz w:val="24"/>
          <w:szCs w:val="24"/>
          <w:highlight w:val="none"/>
        </w:rPr>
      </w:pPr>
    </w:p>
    <w:p w14:paraId="730277C7">
      <w:pPr>
        <w:spacing w:line="540" w:lineRule="exact"/>
        <w:contextualSpacing/>
        <w:rPr>
          <w:rFonts w:hint="eastAsia" w:ascii="仿宋_GB2312" w:hAnsi="仿宋_GB2312" w:eastAsia="仿宋_GB2312" w:cs="仿宋_GB2312"/>
          <w:color w:val="auto"/>
          <w:sz w:val="24"/>
          <w:szCs w:val="24"/>
          <w:highlight w:val="none"/>
        </w:rPr>
      </w:pPr>
    </w:p>
    <w:p w14:paraId="0DD8A50D">
      <w:pPr>
        <w:spacing w:line="540" w:lineRule="exact"/>
        <w:contextualSpacing/>
        <w:rPr>
          <w:rFonts w:hint="eastAsia" w:ascii="仿宋_GB2312" w:hAnsi="仿宋_GB2312" w:eastAsia="仿宋_GB2312" w:cs="仿宋_GB2312"/>
          <w:color w:val="auto"/>
          <w:sz w:val="24"/>
          <w:szCs w:val="24"/>
          <w:highlight w:val="none"/>
        </w:rPr>
      </w:pPr>
    </w:p>
    <w:p w14:paraId="7F9E4484">
      <w:pPr>
        <w:spacing w:line="540" w:lineRule="exact"/>
        <w:contextualSpacing/>
        <w:rPr>
          <w:rFonts w:hint="eastAsia" w:ascii="仿宋_GB2312" w:hAnsi="仿宋_GB2312" w:eastAsia="仿宋_GB2312" w:cs="仿宋_GB2312"/>
          <w:color w:val="auto"/>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94F8B2A">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一、开标一览表（报价表）</w:t>
      </w:r>
    </w:p>
    <w:p w14:paraId="69B85D4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3D653F51">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按你方招标文件要求，我们，本投标文件签字方，谨此向你方发出要约如下：如你方接受本投标，我方承诺按照如下开标一览表（报价表）的价格完成（项目名称）【招标编号：（采购编号）】的实施。</w:t>
      </w:r>
    </w:p>
    <w:p w14:paraId="2B89ACA5">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开标一览表（报价表）(单位均为人民币元)</w:t>
      </w:r>
    </w:p>
    <w:tbl>
      <w:tblPr>
        <w:tblStyle w:val="14"/>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893"/>
        <w:gridCol w:w="929"/>
        <w:gridCol w:w="835"/>
        <w:gridCol w:w="823"/>
        <w:gridCol w:w="1134"/>
        <w:gridCol w:w="1417"/>
        <w:gridCol w:w="965"/>
      </w:tblGrid>
      <w:tr w14:paraId="600D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noWrap w:val="0"/>
            <w:vAlign w:val="center"/>
          </w:tcPr>
          <w:p w14:paraId="501D6526">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893" w:type="dxa"/>
            <w:noWrap w:val="0"/>
            <w:vAlign w:val="center"/>
          </w:tcPr>
          <w:p w14:paraId="17D31795">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929" w:type="dxa"/>
            <w:noWrap w:val="0"/>
            <w:vAlign w:val="center"/>
          </w:tcPr>
          <w:p w14:paraId="4180055F">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品牌</w:t>
            </w:r>
          </w:p>
        </w:tc>
        <w:tc>
          <w:tcPr>
            <w:tcW w:w="835" w:type="dxa"/>
            <w:noWrap w:val="0"/>
            <w:vAlign w:val="center"/>
          </w:tcPr>
          <w:p w14:paraId="20696C25">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规格型号</w:t>
            </w:r>
          </w:p>
        </w:tc>
        <w:tc>
          <w:tcPr>
            <w:tcW w:w="823" w:type="dxa"/>
            <w:noWrap w:val="0"/>
            <w:vAlign w:val="center"/>
          </w:tcPr>
          <w:p w14:paraId="47C4335C">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tc>
        <w:tc>
          <w:tcPr>
            <w:tcW w:w="1134" w:type="dxa"/>
            <w:noWrap w:val="0"/>
            <w:vAlign w:val="center"/>
          </w:tcPr>
          <w:p w14:paraId="68E96E68">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417" w:type="dxa"/>
            <w:noWrap w:val="0"/>
            <w:vAlign w:val="center"/>
          </w:tcPr>
          <w:p w14:paraId="6DB93F8E">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c>
          <w:tcPr>
            <w:tcW w:w="965" w:type="dxa"/>
            <w:noWrap w:val="0"/>
            <w:vAlign w:val="center"/>
          </w:tcPr>
          <w:p w14:paraId="5577987D">
            <w:pPr>
              <w:spacing w:line="36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2FC6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noWrap w:val="0"/>
            <w:vAlign w:val="center"/>
          </w:tcPr>
          <w:p w14:paraId="12C19062">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893" w:type="dxa"/>
            <w:noWrap w:val="0"/>
            <w:vAlign w:val="bottom"/>
          </w:tcPr>
          <w:p w14:paraId="682BA2C6">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4AA31BDF">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bottom"/>
          </w:tcPr>
          <w:p w14:paraId="27D259B9">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69711287">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5086F4FA">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6D7F666F">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3CFB7F8F">
            <w:pPr>
              <w:spacing w:line="540" w:lineRule="exact"/>
              <w:contextualSpacing/>
              <w:rPr>
                <w:rFonts w:hint="eastAsia" w:ascii="仿宋_GB2312" w:hAnsi="仿宋_GB2312" w:eastAsia="仿宋_GB2312" w:cs="仿宋_GB2312"/>
                <w:color w:val="auto"/>
                <w:sz w:val="24"/>
                <w:szCs w:val="24"/>
                <w:highlight w:val="none"/>
              </w:rPr>
            </w:pPr>
          </w:p>
        </w:tc>
      </w:tr>
      <w:tr w14:paraId="525E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noWrap w:val="0"/>
            <w:vAlign w:val="center"/>
          </w:tcPr>
          <w:p w14:paraId="7E87B079">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893" w:type="dxa"/>
            <w:noWrap w:val="0"/>
            <w:vAlign w:val="bottom"/>
          </w:tcPr>
          <w:p w14:paraId="55BC171C">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64541E37">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bottom"/>
          </w:tcPr>
          <w:p w14:paraId="3CBABE2E">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56E5EE13">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122EB9CC">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275DE5F8">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756089C3">
            <w:pPr>
              <w:spacing w:line="540" w:lineRule="exact"/>
              <w:contextualSpacing/>
              <w:rPr>
                <w:rFonts w:hint="eastAsia" w:ascii="仿宋_GB2312" w:hAnsi="仿宋_GB2312" w:eastAsia="仿宋_GB2312" w:cs="仿宋_GB2312"/>
                <w:color w:val="auto"/>
                <w:sz w:val="24"/>
                <w:szCs w:val="24"/>
                <w:highlight w:val="none"/>
              </w:rPr>
            </w:pPr>
          </w:p>
        </w:tc>
      </w:tr>
      <w:tr w14:paraId="0179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noWrap w:val="0"/>
            <w:vAlign w:val="center"/>
          </w:tcPr>
          <w:p w14:paraId="054D04C1">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893" w:type="dxa"/>
            <w:noWrap w:val="0"/>
            <w:vAlign w:val="bottom"/>
          </w:tcPr>
          <w:p w14:paraId="03F6521B">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5FABEAD7">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bottom"/>
          </w:tcPr>
          <w:p w14:paraId="312FBD2B">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75411131">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6C3CB8B6">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7E3FCC42">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47A28765">
            <w:pPr>
              <w:spacing w:line="540" w:lineRule="exact"/>
              <w:contextualSpacing/>
              <w:rPr>
                <w:rFonts w:hint="eastAsia" w:ascii="仿宋_GB2312" w:hAnsi="仿宋_GB2312" w:eastAsia="仿宋_GB2312" w:cs="仿宋_GB2312"/>
                <w:color w:val="auto"/>
                <w:sz w:val="24"/>
                <w:szCs w:val="24"/>
                <w:highlight w:val="none"/>
              </w:rPr>
            </w:pPr>
          </w:p>
        </w:tc>
      </w:tr>
      <w:tr w14:paraId="4EFF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noWrap w:val="0"/>
            <w:vAlign w:val="center"/>
          </w:tcPr>
          <w:p w14:paraId="280C6BE4">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893" w:type="dxa"/>
            <w:noWrap w:val="0"/>
            <w:vAlign w:val="bottom"/>
          </w:tcPr>
          <w:p w14:paraId="2ADE6BB8">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5AFE494B">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bottom"/>
          </w:tcPr>
          <w:p w14:paraId="671E0CE8">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2444973C">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48D4667F">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01015AAE">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1EFF6510">
            <w:pPr>
              <w:spacing w:line="540" w:lineRule="exact"/>
              <w:contextualSpacing/>
              <w:rPr>
                <w:rFonts w:hint="eastAsia" w:ascii="仿宋_GB2312" w:hAnsi="仿宋_GB2312" w:eastAsia="仿宋_GB2312" w:cs="仿宋_GB2312"/>
                <w:color w:val="auto"/>
                <w:sz w:val="24"/>
                <w:szCs w:val="24"/>
                <w:highlight w:val="none"/>
              </w:rPr>
            </w:pPr>
          </w:p>
        </w:tc>
      </w:tr>
      <w:tr w14:paraId="298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noWrap w:val="0"/>
            <w:vAlign w:val="center"/>
          </w:tcPr>
          <w:p w14:paraId="7AA8B50A">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893" w:type="dxa"/>
            <w:noWrap w:val="0"/>
            <w:vAlign w:val="bottom"/>
          </w:tcPr>
          <w:p w14:paraId="2ED409FD">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47FEE1FE">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bottom"/>
          </w:tcPr>
          <w:p w14:paraId="794E0950">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6BA25932">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62529012">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43203BEC">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4CC46DFC">
            <w:pPr>
              <w:spacing w:line="540" w:lineRule="exact"/>
              <w:contextualSpacing/>
              <w:rPr>
                <w:rFonts w:hint="eastAsia" w:ascii="仿宋_GB2312" w:hAnsi="仿宋_GB2312" w:eastAsia="仿宋_GB2312" w:cs="仿宋_GB2312"/>
                <w:color w:val="auto"/>
                <w:sz w:val="24"/>
                <w:szCs w:val="24"/>
                <w:highlight w:val="none"/>
              </w:rPr>
            </w:pPr>
          </w:p>
        </w:tc>
      </w:tr>
      <w:tr w14:paraId="68C3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noWrap w:val="0"/>
            <w:vAlign w:val="center"/>
          </w:tcPr>
          <w:p w14:paraId="1F93C867">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893" w:type="dxa"/>
            <w:noWrap w:val="0"/>
            <w:vAlign w:val="bottom"/>
          </w:tcPr>
          <w:p w14:paraId="26D7B549">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bottom"/>
          </w:tcPr>
          <w:p w14:paraId="26E7E869">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bottom"/>
          </w:tcPr>
          <w:p w14:paraId="0FFB08FC">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6924D459">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2394D1D6">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6A6860BE">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42D36DCB">
            <w:pPr>
              <w:spacing w:line="540" w:lineRule="exact"/>
              <w:contextualSpacing/>
              <w:rPr>
                <w:rFonts w:hint="eastAsia" w:ascii="仿宋_GB2312" w:hAnsi="仿宋_GB2312" w:eastAsia="仿宋_GB2312" w:cs="仿宋_GB2312"/>
                <w:color w:val="auto"/>
                <w:sz w:val="24"/>
                <w:szCs w:val="24"/>
                <w:highlight w:val="none"/>
              </w:rPr>
            </w:pPr>
          </w:p>
        </w:tc>
      </w:tr>
      <w:tr w14:paraId="20BB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noWrap w:val="0"/>
            <w:vAlign w:val="center"/>
          </w:tcPr>
          <w:p w14:paraId="26591CEA">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893" w:type="dxa"/>
            <w:noWrap w:val="0"/>
            <w:vAlign w:val="center"/>
          </w:tcPr>
          <w:p w14:paraId="5226454C">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center"/>
          </w:tcPr>
          <w:p w14:paraId="19E56CA3">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center"/>
          </w:tcPr>
          <w:p w14:paraId="124C1ED0">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4E7A0136">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7EF06817">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0BA75E31">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7FC1C5A4">
            <w:pPr>
              <w:spacing w:line="540" w:lineRule="exact"/>
              <w:contextualSpacing/>
              <w:rPr>
                <w:rFonts w:hint="eastAsia" w:ascii="仿宋_GB2312" w:hAnsi="仿宋_GB2312" w:eastAsia="仿宋_GB2312" w:cs="仿宋_GB2312"/>
                <w:color w:val="auto"/>
                <w:sz w:val="24"/>
                <w:szCs w:val="24"/>
                <w:highlight w:val="none"/>
              </w:rPr>
            </w:pPr>
          </w:p>
        </w:tc>
      </w:tr>
      <w:tr w14:paraId="34EB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noWrap w:val="0"/>
            <w:vAlign w:val="center"/>
          </w:tcPr>
          <w:p w14:paraId="04D744FD">
            <w:pPr>
              <w:spacing w:line="540" w:lineRule="exact"/>
              <w:contextualSpacing/>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w:t>
            </w:r>
          </w:p>
        </w:tc>
        <w:tc>
          <w:tcPr>
            <w:tcW w:w="1893" w:type="dxa"/>
            <w:noWrap w:val="0"/>
            <w:vAlign w:val="center"/>
          </w:tcPr>
          <w:p w14:paraId="20D2A47C">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center"/>
          </w:tcPr>
          <w:p w14:paraId="7E3331B7">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center"/>
          </w:tcPr>
          <w:p w14:paraId="1C051540">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4F3B45B0">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225AAE48">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0B154517">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5B17ED8E">
            <w:pPr>
              <w:spacing w:line="540" w:lineRule="exact"/>
              <w:contextualSpacing/>
              <w:rPr>
                <w:rFonts w:hint="eastAsia" w:ascii="仿宋_GB2312" w:hAnsi="仿宋_GB2312" w:eastAsia="仿宋_GB2312" w:cs="仿宋_GB2312"/>
                <w:color w:val="auto"/>
                <w:sz w:val="24"/>
                <w:szCs w:val="24"/>
                <w:highlight w:val="none"/>
              </w:rPr>
            </w:pPr>
          </w:p>
        </w:tc>
      </w:tr>
      <w:tr w14:paraId="6407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noWrap w:val="0"/>
            <w:vAlign w:val="center"/>
          </w:tcPr>
          <w:p w14:paraId="03DCFB7A">
            <w:pPr>
              <w:spacing w:line="540" w:lineRule="exact"/>
              <w:contextualSpacing/>
              <w:jc w:val="center"/>
              <w:rPr>
                <w:rFonts w:hint="eastAsia" w:ascii="仿宋_GB2312" w:hAnsi="仿宋_GB2312" w:eastAsia="仿宋_GB2312" w:cs="仿宋_GB2312"/>
                <w:color w:val="auto"/>
                <w:sz w:val="24"/>
                <w:szCs w:val="24"/>
                <w:highlight w:val="none"/>
              </w:rPr>
            </w:pPr>
          </w:p>
        </w:tc>
        <w:tc>
          <w:tcPr>
            <w:tcW w:w="1893" w:type="dxa"/>
            <w:noWrap w:val="0"/>
            <w:vAlign w:val="center"/>
          </w:tcPr>
          <w:p w14:paraId="11F32D1E">
            <w:pPr>
              <w:spacing w:line="540" w:lineRule="exact"/>
              <w:contextualSpacing/>
              <w:rPr>
                <w:rFonts w:hint="eastAsia" w:ascii="仿宋_GB2312" w:hAnsi="仿宋_GB2312" w:eastAsia="仿宋_GB2312" w:cs="仿宋_GB2312"/>
                <w:color w:val="auto"/>
                <w:sz w:val="24"/>
                <w:szCs w:val="24"/>
                <w:highlight w:val="none"/>
              </w:rPr>
            </w:pPr>
          </w:p>
        </w:tc>
        <w:tc>
          <w:tcPr>
            <w:tcW w:w="929" w:type="dxa"/>
            <w:noWrap w:val="0"/>
            <w:vAlign w:val="center"/>
          </w:tcPr>
          <w:p w14:paraId="73DFB9F8">
            <w:pPr>
              <w:spacing w:line="540" w:lineRule="exact"/>
              <w:contextualSpacing/>
              <w:rPr>
                <w:rFonts w:hint="eastAsia" w:ascii="仿宋_GB2312" w:hAnsi="仿宋_GB2312" w:eastAsia="仿宋_GB2312" w:cs="仿宋_GB2312"/>
                <w:color w:val="auto"/>
                <w:sz w:val="24"/>
                <w:szCs w:val="24"/>
                <w:highlight w:val="none"/>
              </w:rPr>
            </w:pPr>
          </w:p>
        </w:tc>
        <w:tc>
          <w:tcPr>
            <w:tcW w:w="835" w:type="dxa"/>
            <w:noWrap w:val="0"/>
            <w:vAlign w:val="center"/>
          </w:tcPr>
          <w:p w14:paraId="2ABE3B42">
            <w:pPr>
              <w:spacing w:line="540" w:lineRule="exact"/>
              <w:contextualSpacing/>
              <w:rPr>
                <w:rFonts w:hint="eastAsia" w:ascii="仿宋_GB2312" w:hAnsi="仿宋_GB2312" w:eastAsia="仿宋_GB2312" w:cs="仿宋_GB2312"/>
                <w:color w:val="auto"/>
                <w:sz w:val="24"/>
                <w:szCs w:val="24"/>
                <w:highlight w:val="none"/>
              </w:rPr>
            </w:pPr>
          </w:p>
        </w:tc>
        <w:tc>
          <w:tcPr>
            <w:tcW w:w="823" w:type="dxa"/>
            <w:noWrap w:val="0"/>
            <w:vAlign w:val="center"/>
          </w:tcPr>
          <w:p w14:paraId="03101CDB">
            <w:pPr>
              <w:spacing w:line="540" w:lineRule="exact"/>
              <w:contextualSpacing/>
              <w:rPr>
                <w:rFonts w:hint="eastAsia" w:ascii="仿宋_GB2312" w:hAnsi="仿宋_GB2312" w:eastAsia="仿宋_GB2312" w:cs="仿宋_GB2312"/>
                <w:color w:val="auto"/>
                <w:sz w:val="24"/>
                <w:szCs w:val="24"/>
                <w:highlight w:val="none"/>
              </w:rPr>
            </w:pPr>
          </w:p>
        </w:tc>
        <w:tc>
          <w:tcPr>
            <w:tcW w:w="1134" w:type="dxa"/>
            <w:noWrap w:val="0"/>
            <w:vAlign w:val="center"/>
          </w:tcPr>
          <w:p w14:paraId="5A514A9C">
            <w:pPr>
              <w:spacing w:line="540" w:lineRule="exact"/>
              <w:contextualSpacing/>
              <w:rPr>
                <w:rFonts w:hint="eastAsia" w:ascii="仿宋_GB2312" w:hAnsi="仿宋_GB2312" w:eastAsia="仿宋_GB2312" w:cs="仿宋_GB2312"/>
                <w:color w:val="auto"/>
                <w:sz w:val="24"/>
                <w:szCs w:val="24"/>
                <w:highlight w:val="none"/>
              </w:rPr>
            </w:pPr>
          </w:p>
        </w:tc>
        <w:tc>
          <w:tcPr>
            <w:tcW w:w="1417" w:type="dxa"/>
            <w:noWrap w:val="0"/>
            <w:vAlign w:val="center"/>
          </w:tcPr>
          <w:p w14:paraId="76FDDDF9">
            <w:pPr>
              <w:spacing w:line="540" w:lineRule="exact"/>
              <w:contextualSpacing/>
              <w:rPr>
                <w:rFonts w:hint="eastAsia" w:ascii="仿宋_GB2312" w:hAnsi="仿宋_GB2312" w:eastAsia="仿宋_GB2312" w:cs="仿宋_GB2312"/>
                <w:color w:val="auto"/>
                <w:sz w:val="24"/>
                <w:szCs w:val="24"/>
                <w:highlight w:val="none"/>
              </w:rPr>
            </w:pPr>
          </w:p>
        </w:tc>
        <w:tc>
          <w:tcPr>
            <w:tcW w:w="965" w:type="dxa"/>
            <w:noWrap w:val="0"/>
            <w:vAlign w:val="center"/>
          </w:tcPr>
          <w:p w14:paraId="1AB5C72C">
            <w:pPr>
              <w:spacing w:line="540" w:lineRule="exact"/>
              <w:contextualSpacing/>
              <w:rPr>
                <w:rFonts w:hint="eastAsia" w:ascii="仿宋_GB2312" w:hAnsi="仿宋_GB2312" w:eastAsia="仿宋_GB2312" w:cs="仿宋_GB2312"/>
                <w:color w:val="auto"/>
                <w:sz w:val="24"/>
                <w:szCs w:val="24"/>
                <w:highlight w:val="none"/>
              </w:rPr>
            </w:pPr>
          </w:p>
        </w:tc>
      </w:tr>
      <w:tr w14:paraId="2A53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204" w:type="dxa"/>
            <w:gridSpan w:val="6"/>
            <w:noWrap w:val="0"/>
            <w:vAlign w:val="center"/>
          </w:tcPr>
          <w:p w14:paraId="358BBEDA">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投标报价（小写）</w:t>
            </w:r>
          </w:p>
        </w:tc>
        <w:tc>
          <w:tcPr>
            <w:tcW w:w="2382" w:type="dxa"/>
            <w:gridSpan w:val="2"/>
            <w:noWrap w:val="0"/>
            <w:vAlign w:val="top"/>
          </w:tcPr>
          <w:p w14:paraId="097CD3F5">
            <w:pPr>
              <w:spacing w:line="540" w:lineRule="exact"/>
              <w:contextualSpacing/>
              <w:rPr>
                <w:rFonts w:hint="eastAsia" w:ascii="仿宋_GB2312" w:hAnsi="仿宋_GB2312" w:eastAsia="仿宋_GB2312" w:cs="仿宋_GB2312"/>
                <w:color w:val="auto"/>
                <w:sz w:val="24"/>
                <w:szCs w:val="24"/>
                <w:highlight w:val="none"/>
              </w:rPr>
            </w:pPr>
          </w:p>
        </w:tc>
      </w:tr>
      <w:tr w14:paraId="5E70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6"/>
            <w:noWrap w:val="0"/>
            <w:vAlign w:val="center"/>
          </w:tcPr>
          <w:p w14:paraId="6EBA05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投标报价（大写）</w:t>
            </w:r>
          </w:p>
        </w:tc>
        <w:tc>
          <w:tcPr>
            <w:tcW w:w="2382" w:type="dxa"/>
            <w:gridSpan w:val="2"/>
            <w:noWrap w:val="0"/>
            <w:vAlign w:val="top"/>
          </w:tcPr>
          <w:p w14:paraId="662DA4B6">
            <w:pPr>
              <w:spacing w:line="540" w:lineRule="exact"/>
              <w:contextualSpacing/>
              <w:rPr>
                <w:rFonts w:hint="eastAsia" w:ascii="仿宋_GB2312" w:hAnsi="仿宋_GB2312" w:eastAsia="仿宋_GB2312" w:cs="仿宋_GB2312"/>
                <w:color w:val="auto"/>
                <w:sz w:val="24"/>
                <w:szCs w:val="24"/>
                <w:highlight w:val="none"/>
              </w:rPr>
            </w:pPr>
          </w:p>
        </w:tc>
      </w:tr>
    </w:tbl>
    <w:p w14:paraId="101D75E6">
      <w:pPr>
        <w:spacing w:line="540" w:lineRule="exact"/>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注：</w:t>
      </w:r>
    </w:p>
    <w:p w14:paraId="3383ECF5">
      <w:pPr>
        <w:spacing w:line="540" w:lineRule="exact"/>
        <w:ind w:firstLine="472" w:firstLineChars="196"/>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A66B7D6">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2.特别提示：采购代理机构将对项目名称和项目编号，中标供应商名称、地址和中标金额，主要中标标的的名称、规格型号、数量、单价、服务要求等予以公示。</w:t>
      </w:r>
    </w:p>
    <w:p w14:paraId="0D046298">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CE1BAD">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4.投标报价一经涂改，应在涂改处加盖单位公章或投标人代表签字（或盖章），否则其投标作无效标处理。</w:t>
      </w:r>
    </w:p>
    <w:p w14:paraId="40C773C4">
      <w:pPr>
        <w:spacing w:line="540" w:lineRule="exact"/>
        <w:ind w:firstLine="470" w:firstLineChars="196"/>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报价应包括产品、产品标准配件、备品备件、专用工具、包装、工时、运输、装卸、保险、税金、设备保护、安装、调试与试运行、培训、保修、售后服务费、工程配套费、以及实施本项目所需的其他一切费用。</w:t>
      </w:r>
    </w:p>
    <w:p w14:paraId="35A1F3C3">
      <w:pPr>
        <w:spacing w:line="540" w:lineRule="exact"/>
        <w:ind w:firstLine="472" w:firstLineChars="196"/>
        <w:contextualSpacing/>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▲6.特别说明：供应商投标报价低于项目预算50%的，应当在报价文件中详细阐述不影响产品质量或者诚信履约的具体原因。</w:t>
      </w:r>
    </w:p>
    <w:p w14:paraId="221B4723">
      <w:pPr>
        <w:spacing w:line="540" w:lineRule="exact"/>
        <w:contextualSpacing/>
        <w:rPr>
          <w:rFonts w:hint="eastAsia" w:ascii="仿宋_GB2312" w:hAnsi="仿宋_GB2312" w:eastAsia="仿宋_GB2312" w:cs="仿宋_GB2312"/>
          <w:color w:val="auto"/>
          <w:sz w:val="24"/>
          <w:szCs w:val="24"/>
          <w:highlight w:val="none"/>
        </w:rPr>
      </w:pPr>
    </w:p>
    <w:p w14:paraId="16DF55B6">
      <w:pPr>
        <w:spacing w:line="540" w:lineRule="exact"/>
        <w:contextualSpacing/>
        <w:rPr>
          <w:rFonts w:hint="eastAsia" w:ascii="仿宋_GB2312" w:hAnsi="仿宋_GB2312" w:eastAsia="仿宋_GB2312" w:cs="仿宋_GB2312"/>
          <w:color w:val="auto"/>
          <w:sz w:val="24"/>
          <w:szCs w:val="24"/>
          <w:highlight w:val="none"/>
        </w:rPr>
      </w:pPr>
    </w:p>
    <w:p w14:paraId="596FE534">
      <w:pPr>
        <w:spacing w:line="540" w:lineRule="exact"/>
        <w:ind w:right="480"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40B3D250">
      <w:pPr>
        <w:spacing w:line="500" w:lineRule="exact"/>
        <w:ind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0DFA10E1">
      <w:pPr>
        <w:pStyle w:val="6"/>
        <w:rPr>
          <w:rFonts w:hint="eastAsia" w:ascii="仿宋_GB2312" w:hAnsi="仿宋_GB2312" w:eastAsia="仿宋_GB2312" w:cs="仿宋_GB2312"/>
          <w:color w:val="auto"/>
          <w:highlight w:val="none"/>
        </w:rPr>
      </w:pPr>
    </w:p>
    <w:p w14:paraId="323F6F42">
      <w:pPr>
        <w:pStyle w:val="11"/>
        <w:rPr>
          <w:rFonts w:hint="eastAsia" w:ascii="仿宋_GB2312" w:hAnsi="仿宋_GB2312" w:eastAsia="仿宋_GB2312" w:cs="仿宋_GB2312"/>
          <w:color w:val="auto"/>
          <w:highlight w:val="none"/>
        </w:rPr>
      </w:pPr>
    </w:p>
    <w:p w14:paraId="6E2CE942">
      <w:pPr>
        <w:rPr>
          <w:rFonts w:hint="eastAsia" w:ascii="仿宋_GB2312" w:hAnsi="仿宋_GB2312" w:eastAsia="仿宋_GB2312" w:cs="仿宋_GB2312"/>
          <w:color w:val="auto"/>
          <w:highlight w:val="none"/>
        </w:rPr>
      </w:pPr>
    </w:p>
    <w:p w14:paraId="10EF3FCE">
      <w:pPr>
        <w:pStyle w:val="7"/>
        <w:rPr>
          <w:rFonts w:hint="eastAsia" w:ascii="仿宋_GB2312" w:hAnsi="仿宋_GB2312" w:eastAsia="仿宋_GB2312" w:cs="仿宋_GB2312"/>
          <w:color w:val="auto"/>
          <w:highlight w:val="none"/>
        </w:rPr>
      </w:pPr>
    </w:p>
    <w:p w14:paraId="35286163">
      <w:pPr>
        <w:pStyle w:val="6"/>
        <w:rPr>
          <w:rFonts w:hint="eastAsia" w:ascii="仿宋_GB2312" w:hAnsi="仿宋_GB2312" w:eastAsia="仿宋_GB2312" w:cs="仿宋_GB2312"/>
          <w:color w:val="auto"/>
          <w:highlight w:val="none"/>
        </w:rPr>
      </w:pPr>
    </w:p>
    <w:p w14:paraId="0B5EE56A">
      <w:pPr>
        <w:spacing w:line="540" w:lineRule="exact"/>
        <w:contextualSpacing/>
        <w:jc w:val="center"/>
        <w:rPr>
          <w:rFonts w:hint="eastAsia" w:ascii="仿宋_GB2312" w:hAnsi="仿宋_GB2312" w:eastAsia="仿宋_GB2312" w:cs="仿宋_GB2312"/>
          <w:b/>
          <w:color w:val="auto"/>
          <w:sz w:val="28"/>
          <w:szCs w:val="28"/>
          <w:highlight w:val="none"/>
        </w:rPr>
      </w:pPr>
    </w:p>
    <w:p w14:paraId="40AC8C8A">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二、中小企业声明函（如果有）</w:t>
      </w:r>
    </w:p>
    <w:p w14:paraId="17F1FBF2">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BC06EFB">
      <w:pPr>
        <w:rPr>
          <w:rFonts w:hint="eastAsia" w:ascii="仿宋_GB2312" w:hAnsi="仿宋_GB2312" w:eastAsia="仿宋_GB2312" w:cs="仿宋_GB2312"/>
          <w:color w:val="auto"/>
          <w:highlight w:val="none"/>
        </w:rPr>
        <w:sectPr>
          <w:pgSz w:w="11906" w:h="16838"/>
          <w:pgMar w:top="1247" w:right="1418" w:bottom="1276" w:left="1418" w:header="851" w:footer="992" w:gutter="0"/>
          <w:cols w:space="720" w:num="1"/>
          <w:titlePg/>
          <w:docGrid w:linePitch="312" w:charSpace="0"/>
        </w:sectPr>
      </w:pPr>
    </w:p>
    <w:p w14:paraId="64B88DCC">
      <w:pPr>
        <w:spacing w:line="540" w:lineRule="exact"/>
        <w:contextualSpacing/>
        <w:jc w:val="center"/>
        <w:rPr>
          <w:rFonts w:hint="eastAsia" w:ascii="仿宋_GB2312" w:hAnsi="仿宋_GB2312" w:eastAsia="仿宋_GB2312" w:cs="仿宋_GB2312"/>
          <w:b/>
          <w:color w:val="auto"/>
          <w:sz w:val="28"/>
          <w:szCs w:val="28"/>
          <w:highlight w:val="none"/>
        </w:rPr>
      </w:pPr>
      <w:bookmarkStart w:id="502" w:name="_Toc465665161"/>
      <w:r>
        <w:rPr>
          <w:rFonts w:hint="eastAsia" w:ascii="仿宋_GB2312" w:hAnsi="仿宋_GB2312" w:eastAsia="仿宋_GB2312" w:cs="仿宋_GB2312"/>
          <w:b/>
          <w:color w:val="auto"/>
          <w:sz w:val="28"/>
          <w:szCs w:val="28"/>
          <w:highlight w:val="none"/>
        </w:rPr>
        <w:t>附件</w:t>
      </w:r>
      <w:bookmarkEnd w:id="502"/>
    </w:p>
    <w:p w14:paraId="30CC2464">
      <w:pPr>
        <w:spacing w:line="540" w:lineRule="exact"/>
        <w:contextualSpacing/>
        <w:rPr>
          <w:rFonts w:hint="eastAsia" w:ascii="仿宋_GB2312" w:hAnsi="仿宋_GB2312" w:eastAsia="仿宋_GB2312" w:cs="仿宋_GB2312"/>
          <w:color w:val="auto"/>
          <w:sz w:val="24"/>
          <w:szCs w:val="24"/>
          <w:highlight w:val="none"/>
        </w:rPr>
      </w:pPr>
    </w:p>
    <w:p w14:paraId="1455FF5D">
      <w:pPr>
        <w:spacing w:line="540" w:lineRule="exact"/>
        <w:contextualSpacing/>
        <w:rPr>
          <w:rFonts w:hint="eastAsia" w:ascii="仿宋_GB2312" w:hAnsi="仿宋_GB2312" w:eastAsia="仿宋_GB2312" w:cs="仿宋_GB2312"/>
          <w:color w:val="auto"/>
          <w:sz w:val="24"/>
          <w:szCs w:val="24"/>
          <w:highlight w:val="none"/>
        </w:rPr>
      </w:pPr>
    </w:p>
    <w:p w14:paraId="196B85CC">
      <w:pPr>
        <w:spacing w:line="540" w:lineRule="exact"/>
        <w:contextualSpacing/>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附件1：</w:t>
      </w:r>
    </w:p>
    <w:p w14:paraId="17000ED6">
      <w:pPr>
        <w:spacing w:line="540" w:lineRule="exact"/>
        <w:contextualSpacing/>
        <w:jc w:val="center"/>
        <w:rPr>
          <w:rFonts w:hint="eastAsia" w:ascii="仿宋_GB2312" w:hAnsi="仿宋_GB2312" w:eastAsia="仿宋_GB2312" w:cs="仿宋_GB2312"/>
          <w:color w:val="auto"/>
          <w:sz w:val="24"/>
          <w:szCs w:val="24"/>
          <w:highlight w:val="none"/>
        </w:rPr>
      </w:pPr>
      <w:bookmarkStart w:id="503" w:name="OLE_LINK13"/>
      <w:bookmarkStart w:id="504" w:name="OLE_LINK14"/>
      <w:r>
        <w:rPr>
          <w:rFonts w:hint="eastAsia" w:ascii="仿宋_GB2312" w:hAnsi="仿宋_GB2312" w:eastAsia="仿宋_GB2312" w:cs="仿宋_GB2312"/>
          <w:color w:val="auto"/>
          <w:sz w:val="24"/>
          <w:szCs w:val="24"/>
          <w:highlight w:val="none"/>
        </w:rPr>
        <w:t>残疾人福利性单位声明函</w:t>
      </w:r>
    </w:p>
    <w:bookmarkEnd w:id="503"/>
    <w:bookmarkEnd w:id="504"/>
    <w:p w14:paraId="4EC1B2C3">
      <w:pPr>
        <w:spacing w:line="540" w:lineRule="exact"/>
        <w:contextualSpacing/>
        <w:rPr>
          <w:rFonts w:hint="eastAsia" w:ascii="仿宋_GB2312" w:hAnsi="仿宋_GB2312" w:eastAsia="仿宋_GB2312" w:cs="仿宋_GB2312"/>
          <w:color w:val="auto"/>
          <w:sz w:val="24"/>
          <w:szCs w:val="24"/>
          <w:highlight w:val="none"/>
        </w:rPr>
      </w:pPr>
    </w:p>
    <w:p w14:paraId="773827E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auto"/>
          <w:sz w:val="24"/>
          <w:szCs w:val="24"/>
          <w:highlight w:val="none"/>
          <w:u w:val="single"/>
        </w:rPr>
        <w:t>(采购人)</w:t>
      </w:r>
      <w:r>
        <w:rPr>
          <w:rFonts w:hint="eastAsia" w:ascii="仿宋_GB2312" w:hAnsi="仿宋_GB2312" w:eastAsia="仿宋_GB2312" w:cs="仿宋_GB2312"/>
          <w:color w:val="auto"/>
          <w:sz w:val="24"/>
          <w:szCs w:val="24"/>
          <w:highlight w:val="none"/>
        </w:rPr>
        <w:t>单位的</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302D31C8">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本单位对上述声明的真实性负责。如有虚假，将依法承担相应责任。</w:t>
      </w:r>
    </w:p>
    <w:p w14:paraId="1ED68589">
      <w:pPr>
        <w:spacing w:line="540" w:lineRule="exact"/>
        <w:contextualSpacing/>
        <w:rPr>
          <w:rFonts w:hint="eastAsia" w:ascii="仿宋_GB2312" w:hAnsi="仿宋_GB2312" w:eastAsia="仿宋_GB2312" w:cs="仿宋_GB2312"/>
          <w:color w:val="auto"/>
          <w:sz w:val="24"/>
          <w:szCs w:val="24"/>
          <w:highlight w:val="none"/>
        </w:rPr>
      </w:pPr>
    </w:p>
    <w:p w14:paraId="5C7C3B4C">
      <w:pPr>
        <w:spacing w:line="540" w:lineRule="exact"/>
        <w:contextualSpacing/>
        <w:rPr>
          <w:rFonts w:hint="eastAsia" w:ascii="仿宋_GB2312" w:hAnsi="仿宋_GB2312" w:eastAsia="仿宋_GB2312" w:cs="仿宋_GB2312"/>
          <w:color w:val="auto"/>
          <w:sz w:val="24"/>
          <w:szCs w:val="24"/>
          <w:highlight w:val="none"/>
        </w:rPr>
      </w:pPr>
    </w:p>
    <w:p w14:paraId="5251D61D">
      <w:pPr>
        <w:spacing w:line="540" w:lineRule="exact"/>
        <w:contextualSpacing/>
        <w:rPr>
          <w:rFonts w:hint="eastAsia" w:ascii="仿宋_GB2312" w:hAnsi="仿宋_GB2312" w:eastAsia="仿宋_GB2312" w:cs="仿宋_GB2312"/>
          <w:color w:val="auto"/>
          <w:sz w:val="24"/>
          <w:szCs w:val="24"/>
          <w:highlight w:val="none"/>
        </w:rPr>
      </w:pPr>
    </w:p>
    <w:p w14:paraId="36FF5CBD">
      <w:pPr>
        <w:spacing w:line="540" w:lineRule="exact"/>
        <w:contextualSpacing/>
        <w:rPr>
          <w:rFonts w:hint="eastAsia" w:ascii="仿宋_GB2312" w:hAnsi="仿宋_GB2312" w:eastAsia="仿宋_GB2312" w:cs="仿宋_GB2312"/>
          <w:color w:val="auto"/>
          <w:sz w:val="24"/>
          <w:szCs w:val="24"/>
          <w:highlight w:val="none"/>
        </w:rPr>
      </w:pPr>
    </w:p>
    <w:p w14:paraId="65A49FEB">
      <w:pPr>
        <w:spacing w:line="540" w:lineRule="exact"/>
        <w:contextualSpacing/>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058D07A4">
      <w:pPr>
        <w:spacing w:line="540" w:lineRule="exact"/>
        <w:contextualSpacing/>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6DD90C9B">
      <w:pPr>
        <w:spacing w:line="540" w:lineRule="exact"/>
        <w:contextualSpacing/>
        <w:rPr>
          <w:rFonts w:hint="eastAsia" w:ascii="仿宋_GB2312" w:hAnsi="仿宋_GB2312" w:eastAsia="仿宋_GB2312" w:cs="仿宋_GB2312"/>
          <w:color w:val="auto"/>
          <w:sz w:val="24"/>
          <w:szCs w:val="24"/>
          <w:highlight w:val="none"/>
        </w:rPr>
      </w:pPr>
    </w:p>
    <w:p w14:paraId="22712390">
      <w:pPr>
        <w:spacing w:line="540" w:lineRule="exact"/>
        <w:contextualSpacing/>
        <w:rPr>
          <w:rFonts w:hint="eastAsia" w:ascii="仿宋_GB2312" w:hAnsi="仿宋_GB2312" w:eastAsia="仿宋_GB2312" w:cs="仿宋_GB2312"/>
          <w:color w:val="auto"/>
          <w:sz w:val="24"/>
          <w:szCs w:val="24"/>
          <w:highlight w:val="none"/>
        </w:rPr>
      </w:pPr>
    </w:p>
    <w:p w14:paraId="72F1A8A5">
      <w:pPr>
        <w:spacing w:line="540" w:lineRule="exact"/>
        <w:contextualSpacing/>
        <w:rPr>
          <w:rFonts w:hint="eastAsia" w:ascii="仿宋_GB2312" w:hAnsi="仿宋_GB2312" w:eastAsia="仿宋_GB2312" w:cs="仿宋_GB2312"/>
          <w:color w:val="auto"/>
          <w:sz w:val="24"/>
          <w:szCs w:val="24"/>
          <w:highlight w:val="none"/>
        </w:rPr>
      </w:pPr>
    </w:p>
    <w:p w14:paraId="02A1D631">
      <w:pPr>
        <w:spacing w:line="540" w:lineRule="exact"/>
        <w:contextualSpacing/>
        <w:rPr>
          <w:rFonts w:hint="eastAsia" w:ascii="仿宋_GB2312" w:hAnsi="仿宋_GB2312" w:eastAsia="仿宋_GB2312" w:cs="仿宋_GB2312"/>
          <w:color w:val="auto"/>
          <w:sz w:val="24"/>
          <w:szCs w:val="24"/>
          <w:highlight w:val="none"/>
        </w:rPr>
      </w:pPr>
    </w:p>
    <w:p w14:paraId="733C5E1C">
      <w:pPr>
        <w:spacing w:line="540" w:lineRule="exact"/>
        <w:contextualSpacing/>
        <w:rPr>
          <w:rFonts w:hint="eastAsia" w:ascii="仿宋_GB2312" w:hAnsi="仿宋_GB2312" w:eastAsia="仿宋_GB2312" w:cs="仿宋_GB2312"/>
          <w:color w:val="auto"/>
          <w:sz w:val="24"/>
          <w:szCs w:val="24"/>
          <w:highlight w:val="none"/>
        </w:rPr>
      </w:pPr>
    </w:p>
    <w:p w14:paraId="1CBD09E6">
      <w:pPr>
        <w:spacing w:line="540" w:lineRule="exact"/>
        <w:contextualSpacing/>
        <w:rPr>
          <w:rFonts w:hint="eastAsia" w:ascii="仿宋_GB2312" w:hAnsi="仿宋_GB2312" w:eastAsia="仿宋_GB2312" w:cs="仿宋_GB2312"/>
          <w:color w:val="auto"/>
          <w:sz w:val="24"/>
          <w:szCs w:val="24"/>
          <w:highlight w:val="none"/>
        </w:rPr>
      </w:pPr>
    </w:p>
    <w:p w14:paraId="20E131DD">
      <w:pPr>
        <w:spacing w:line="540" w:lineRule="exact"/>
        <w:contextualSpacing/>
        <w:rPr>
          <w:rFonts w:hint="eastAsia" w:ascii="仿宋_GB2312" w:hAnsi="仿宋_GB2312" w:eastAsia="仿宋_GB2312" w:cs="仿宋_GB2312"/>
          <w:color w:val="auto"/>
          <w:sz w:val="24"/>
          <w:szCs w:val="24"/>
          <w:highlight w:val="none"/>
        </w:rPr>
      </w:pPr>
    </w:p>
    <w:p w14:paraId="05D281CD">
      <w:pPr>
        <w:spacing w:line="540" w:lineRule="exact"/>
        <w:contextualSpacing/>
        <w:rPr>
          <w:rFonts w:hint="eastAsia" w:ascii="仿宋_GB2312" w:hAnsi="仿宋_GB2312" w:eastAsia="仿宋_GB2312" w:cs="仿宋_GB2312"/>
          <w:color w:val="auto"/>
          <w:sz w:val="24"/>
          <w:szCs w:val="24"/>
          <w:highlight w:val="none"/>
        </w:rPr>
      </w:pPr>
    </w:p>
    <w:p w14:paraId="5E2D8C40">
      <w:pPr>
        <w:spacing w:line="540" w:lineRule="exact"/>
        <w:contextualSpacing/>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附件2：</w:t>
      </w:r>
      <w:r>
        <w:rPr>
          <w:rFonts w:hint="eastAsia" w:ascii="仿宋_GB2312" w:hAnsi="仿宋_GB2312" w:eastAsia="仿宋_GB2312" w:cs="仿宋_GB2312"/>
          <w:b/>
          <w:color w:val="auto"/>
          <w:sz w:val="28"/>
          <w:szCs w:val="28"/>
          <w:highlight w:val="none"/>
        </w:rPr>
        <w:t>质疑函范本及制作说明</w:t>
      </w:r>
    </w:p>
    <w:p w14:paraId="5025C7CE">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质疑函范本</w:t>
      </w:r>
    </w:p>
    <w:p w14:paraId="1207F9EE">
      <w:pPr>
        <w:snapToGrid w:val="0"/>
        <w:spacing w:before="312" w:beforeLines="100"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14:paraId="06A972E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p>
    <w:p w14:paraId="12DB6A0C">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653C8BE5">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联系人：联系电话：</w:t>
      </w:r>
    </w:p>
    <w:p w14:paraId="309A5B2E">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p>
    <w:p w14:paraId="6D2D80B5">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14:paraId="0C9F2F93">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3001F4A3">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14:paraId="085EFBF2">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p>
    <w:p w14:paraId="07CCA0B3">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质疑项目的编号：包号：</w:t>
      </w:r>
    </w:p>
    <w:p w14:paraId="58F8E7BD">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p>
    <w:p w14:paraId="2ABFF0CE">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p>
    <w:p w14:paraId="3FBA88EC">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14:paraId="5F996EE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p>
    <w:p w14:paraId="0CB65544">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p>
    <w:p w14:paraId="23337B78">
      <w:pPr>
        <w:snapToGrid w:val="0"/>
        <w:spacing w:line="360" w:lineRule="auto"/>
        <w:rPr>
          <w:rFonts w:hint="eastAsia" w:ascii="仿宋_GB2312" w:hAnsi="仿宋_GB2312" w:eastAsia="仿宋_GB2312" w:cs="仿宋_GB2312"/>
          <w:color w:val="auto"/>
          <w:sz w:val="24"/>
          <w:highlight w:val="none"/>
        </w:rPr>
      </w:pPr>
    </w:p>
    <w:p w14:paraId="2EE538B5">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p>
    <w:p w14:paraId="624BB167">
      <w:pPr>
        <w:snapToGrid w:val="0"/>
        <w:spacing w:line="360" w:lineRule="auto"/>
        <w:rPr>
          <w:rFonts w:hint="eastAsia" w:ascii="仿宋_GB2312" w:hAnsi="仿宋_GB2312" w:eastAsia="仿宋_GB2312" w:cs="仿宋_GB2312"/>
          <w:color w:val="auto"/>
          <w:sz w:val="24"/>
          <w:highlight w:val="none"/>
          <w:u w:val="dotted"/>
        </w:rPr>
      </w:pPr>
    </w:p>
    <w:p w14:paraId="79A74BFA">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14:paraId="68A315D9">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08A38C57">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14:paraId="45722C43">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p>
    <w:p w14:paraId="316E17C7">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签字(签章)：公章：</w:t>
      </w:r>
    </w:p>
    <w:p w14:paraId="37008173">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47B59221">
      <w:pPr>
        <w:spacing w:line="360" w:lineRule="auto"/>
        <w:jc w:val="center"/>
        <w:rPr>
          <w:rFonts w:hint="eastAsia" w:ascii="仿宋_GB2312" w:hAnsi="仿宋_GB2312" w:eastAsia="仿宋_GB2312" w:cs="仿宋_GB2312"/>
          <w:b/>
          <w:bCs/>
          <w:color w:val="auto"/>
          <w:sz w:val="24"/>
          <w:highlight w:val="none"/>
        </w:rPr>
      </w:pPr>
    </w:p>
    <w:p w14:paraId="119B3943">
      <w:pPr>
        <w:spacing w:line="360" w:lineRule="auto"/>
        <w:rPr>
          <w:rFonts w:hint="eastAsia" w:ascii="仿宋_GB2312" w:hAnsi="仿宋_GB2312" w:eastAsia="仿宋_GB2312" w:cs="仿宋_GB2312"/>
          <w:b/>
          <w:color w:val="auto"/>
          <w:sz w:val="24"/>
          <w:highlight w:val="none"/>
        </w:rPr>
      </w:pPr>
    </w:p>
    <w:p w14:paraId="5FFA31A0">
      <w:pPr>
        <w:spacing w:line="360" w:lineRule="auto"/>
        <w:rPr>
          <w:rFonts w:hint="eastAsia" w:ascii="仿宋_GB2312" w:hAnsi="仿宋_GB2312" w:eastAsia="仿宋_GB2312" w:cs="仿宋_GB2312"/>
          <w:b/>
          <w:color w:val="auto"/>
          <w:sz w:val="24"/>
          <w:highlight w:val="none"/>
        </w:rPr>
      </w:pPr>
    </w:p>
    <w:p w14:paraId="7104EA70">
      <w:pPr>
        <w:spacing w:line="360" w:lineRule="auto"/>
        <w:rPr>
          <w:rFonts w:hint="eastAsia" w:ascii="仿宋_GB2312" w:hAnsi="仿宋_GB2312" w:eastAsia="仿宋_GB2312" w:cs="仿宋_GB2312"/>
          <w:b/>
          <w:color w:val="auto"/>
          <w:sz w:val="24"/>
          <w:highlight w:val="none"/>
        </w:rPr>
      </w:pPr>
    </w:p>
    <w:p w14:paraId="3452BA04">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14:paraId="39BDA21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1EA0EF78">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14:paraId="3FAA927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7C9C59FB">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60555A60">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371330CE">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302F3E">
      <w:pPr>
        <w:spacing w:line="540" w:lineRule="exact"/>
        <w:contextualSpacing/>
        <w:rPr>
          <w:rFonts w:hint="eastAsia" w:ascii="仿宋_GB2312" w:hAnsi="仿宋_GB2312" w:eastAsia="仿宋_GB2312" w:cs="仿宋_GB2312"/>
          <w:color w:val="auto"/>
          <w:sz w:val="24"/>
          <w:szCs w:val="24"/>
          <w:highlight w:val="none"/>
        </w:rPr>
      </w:pPr>
    </w:p>
    <w:p w14:paraId="507E7605">
      <w:pPr>
        <w:spacing w:line="540" w:lineRule="exact"/>
        <w:contextualSpacing/>
        <w:rPr>
          <w:rFonts w:hint="eastAsia" w:ascii="仿宋_GB2312" w:hAnsi="仿宋_GB2312" w:eastAsia="仿宋_GB2312" w:cs="仿宋_GB2312"/>
          <w:color w:val="auto"/>
          <w:sz w:val="24"/>
          <w:szCs w:val="24"/>
          <w:highlight w:val="none"/>
        </w:rPr>
      </w:pPr>
    </w:p>
    <w:p w14:paraId="12D21A72">
      <w:pPr>
        <w:spacing w:line="540" w:lineRule="exact"/>
        <w:contextualSpacing/>
        <w:rPr>
          <w:rFonts w:hint="eastAsia" w:ascii="仿宋_GB2312" w:hAnsi="仿宋_GB2312" w:eastAsia="仿宋_GB2312" w:cs="仿宋_GB2312"/>
          <w:color w:val="auto"/>
          <w:sz w:val="24"/>
          <w:szCs w:val="24"/>
          <w:highlight w:val="none"/>
        </w:rPr>
      </w:pPr>
    </w:p>
    <w:p w14:paraId="2D267F9E">
      <w:pPr>
        <w:spacing w:line="540" w:lineRule="exact"/>
        <w:contextualSpacing/>
        <w:rPr>
          <w:rFonts w:hint="eastAsia" w:ascii="仿宋_GB2312" w:hAnsi="仿宋_GB2312" w:eastAsia="仿宋_GB2312" w:cs="仿宋_GB2312"/>
          <w:color w:val="auto"/>
          <w:sz w:val="24"/>
          <w:szCs w:val="24"/>
          <w:highlight w:val="none"/>
        </w:rPr>
      </w:pPr>
    </w:p>
    <w:p w14:paraId="6AE13419">
      <w:pPr>
        <w:spacing w:line="540" w:lineRule="exact"/>
        <w:contextualSpacing/>
        <w:rPr>
          <w:rFonts w:hint="eastAsia" w:ascii="仿宋_GB2312" w:hAnsi="仿宋_GB2312" w:eastAsia="仿宋_GB2312" w:cs="仿宋_GB2312"/>
          <w:color w:val="auto"/>
          <w:sz w:val="24"/>
          <w:szCs w:val="24"/>
          <w:highlight w:val="none"/>
        </w:rPr>
      </w:pPr>
    </w:p>
    <w:p w14:paraId="2C5FE267">
      <w:pPr>
        <w:spacing w:line="540" w:lineRule="exact"/>
        <w:contextualSpacing/>
        <w:rPr>
          <w:rFonts w:hint="eastAsia" w:ascii="仿宋_GB2312" w:hAnsi="仿宋_GB2312" w:eastAsia="仿宋_GB2312" w:cs="仿宋_GB2312"/>
          <w:color w:val="auto"/>
          <w:sz w:val="24"/>
          <w:szCs w:val="24"/>
          <w:highlight w:val="none"/>
        </w:rPr>
      </w:pPr>
    </w:p>
    <w:p w14:paraId="22EACF1F">
      <w:pPr>
        <w:spacing w:line="540" w:lineRule="exact"/>
        <w:contextualSpacing/>
        <w:rPr>
          <w:rFonts w:hint="eastAsia" w:ascii="仿宋_GB2312" w:hAnsi="仿宋_GB2312" w:eastAsia="仿宋_GB2312" w:cs="仿宋_GB2312"/>
          <w:color w:val="auto"/>
          <w:sz w:val="24"/>
          <w:szCs w:val="24"/>
          <w:highlight w:val="none"/>
        </w:rPr>
      </w:pPr>
    </w:p>
    <w:p w14:paraId="253A6336">
      <w:pPr>
        <w:spacing w:line="540" w:lineRule="exact"/>
        <w:contextualSpacing/>
        <w:rPr>
          <w:rFonts w:hint="eastAsia" w:ascii="仿宋_GB2312" w:hAnsi="仿宋_GB2312" w:eastAsia="仿宋_GB2312" w:cs="仿宋_GB2312"/>
          <w:color w:val="auto"/>
          <w:sz w:val="24"/>
          <w:szCs w:val="24"/>
          <w:highlight w:val="none"/>
        </w:rPr>
      </w:pPr>
    </w:p>
    <w:p w14:paraId="2C168B66">
      <w:pPr>
        <w:spacing w:line="540" w:lineRule="exact"/>
        <w:contextualSpacing/>
        <w:rPr>
          <w:rFonts w:hint="eastAsia" w:ascii="仿宋_GB2312" w:hAnsi="仿宋_GB2312" w:eastAsia="仿宋_GB2312" w:cs="仿宋_GB2312"/>
          <w:color w:val="auto"/>
          <w:sz w:val="24"/>
          <w:szCs w:val="24"/>
          <w:highlight w:val="none"/>
        </w:rPr>
      </w:pPr>
    </w:p>
    <w:p w14:paraId="3B48F21D">
      <w:pPr>
        <w:spacing w:line="540" w:lineRule="exact"/>
        <w:contextualSpacing/>
        <w:rPr>
          <w:rFonts w:hint="eastAsia" w:ascii="仿宋_GB2312" w:hAnsi="仿宋_GB2312" w:eastAsia="仿宋_GB2312" w:cs="仿宋_GB2312"/>
          <w:color w:val="auto"/>
          <w:sz w:val="24"/>
          <w:szCs w:val="24"/>
          <w:highlight w:val="none"/>
        </w:rPr>
      </w:pPr>
    </w:p>
    <w:p w14:paraId="69036224">
      <w:pPr>
        <w:spacing w:line="540" w:lineRule="exact"/>
        <w:contextualSpacing/>
        <w:rPr>
          <w:rFonts w:hint="eastAsia" w:ascii="仿宋_GB2312" w:hAnsi="仿宋_GB2312" w:eastAsia="仿宋_GB2312" w:cs="仿宋_GB2312"/>
          <w:color w:val="auto"/>
          <w:sz w:val="24"/>
          <w:szCs w:val="24"/>
          <w:highlight w:val="none"/>
        </w:rPr>
      </w:pPr>
    </w:p>
    <w:p w14:paraId="35DB03F5">
      <w:pPr>
        <w:spacing w:line="540" w:lineRule="exact"/>
        <w:contextualSpacing/>
        <w:rPr>
          <w:rFonts w:hint="eastAsia" w:ascii="仿宋_GB2312" w:hAnsi="仿宋_GB2312" w:eastAsia="仿宋_GB2312" w:cs="仿宋_GB2312"/>
          <w:color w:val="auto"/>
          <w:sz w:val="24"/>
          <w:szCs w:val="24"/>
          <w:highlight w:val="none"/>
        </w:rPr>
      </w:pPr>
    </w:p>
    <w:p w14:paraId="35EE6937">
      <w:pPr>
        <w:spacing w:line="540" w:lineRule="exact"/>
        <w:contextualSpacing/>
        <w:rPr>
          <w:rFonts w:hint="eastAsia" w:ascii="仿宋_GB2312" w:hAnsi="仿宋_GB2312" w:eastAsia="仿宋_GB2312" w:cs="仿宋_GB2312"/>
          <w:color w:val="auto"/>
          <w:sz w:val="24"/>
          <w:szCs w:val="24"/>
          <w:highlight w:val="none"/>
        </w:rPr>
      </w:pPr>
    </w:p>
    <w:p w14:paraId="67896902">
      <w:pPr>
        <w:spacing w:line="540" w:lineRule="exact"/>
        <w:contextualSpacing/>
        <w:rPr>
          <w:rFonts w:hint="eastAsia" w:ascii="仿宋_GB2312" w:hAnsi="仿宋_GB2312" w:eastAsia="仿宋_GB2312" w:cs="仿宋_GB2312"/>
          <w:color w:val="auto"/>
          <w:sz w:val="24"/>
          <w:szCs w:val="24"/>
          <w:highlight w:val="none"/>
        </w:rPr>
      </w:pPr>
    </w:p>
    <w:p w14:paraId="61052D92">
      <w:pPr>
        <w:pStyle w:val="6"/>
        <w:rPr>
          <w:rFonts w:hint="eastAsia" w:ascii="仿宋_GB2312" w:hAnsi="仿宋_GB2312" w:eastAsia="仿宋_GB2312" w:cs="仿宋_GB2312"/>
          <w:color w:val="auto"/>
          <w:highlight w:val="none"/>
        </w:rPr>
      </w:pPr>
    </w:p>
    <w:p w14:paraId="27AFAAC7">
      <w:pPr>
        <w:pStyle w:val="11"/>
        <w:rPr>
          <w:rFonts w:hint="eastAsia" w:ascii="仿宋_GB2312" w:hAnsi="仿宋_GB2312" w:eastAsia="仿宋_GB2312" w:cs="仿宋_GB2312"/>
          <w:color w:val="auto"/>
          <w:highlight w:val="none"/>
        </w:rPr>
      </w:pPr>
    </w:p>
    <w:p w14:paraId="5DF181F5">
      <w:pPr>
        <w:spacing w:line="540" w:lineRule="exact"/>
        <w:contextualSpacing/>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附件3：</w:t>
      </w:r>
    </w:p>
    <w:p w14:paraId="339F8B01">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投诉书范本及制作说明</w:t>
      </w:r>
    </w:p>
    <w:p w14:paraId="7009510B">
      <w:pPr>
        <w:spacing w:line="540" w:lineRule="exact"/>
        <w:contextualSpacing/>
        <w:rPr>
          <w:rFonts w:hint="eastAsia" w:ascii="仿宋_GB2312" w:hAnsi="仿宋_GB2312" w:eastAsia="仿宋_GB2312" w:cs="仿宋_GB2312"/>
          <w:color w:val="auto"/>
          <w:sz w:val="24"/>
          <w:szCs w:val="24"/>
          <w:highlight w:val="none"/>
        </w:rPr>
      </w:pPr>
    </w:p>
    <w:p w14:paraId="674528F8">
      <w:pPr>
        <w:spacing w:line="360" w:lineRule="auto"/>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投诉书范本</w:t>
      </w:r>
    </w:p>
    <w:p w14:paraId="26928D34">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一、投诉相关主体基本情况</w:t>
      </w:r>
    </w:p>
    <w:p w14:paraId="6520A958">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投诉人：</w:t>
      </w:r>
    </w:p>
    <w:p w14:paraId="31BC4EF5">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地址：邮编：</w:t>
      </w:r>
    </w:p>
    <w:p w14:paraId="135FEFAA">
      <w:pPr>
        <w:tabs>
          <w:tab w:val="left" w:pos="6510"/>
        </w:tabs>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法定代表人/主要负责人：</w:t>
      </w:r>
    </w:p>
    <w:p w14:paraId="0343FCD6">
      <w:pPr>
        <w:tabs>
          <w:tab w:val="left" w:pos="6510"/>
        </w:tabs>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联系电话：</w:t>
      </w:r>
    </w:p>
    <w:p w14:paraId="726E414E">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授权代表：联系电话</w:t>
      </w:r>
      <w:r>
        <w:rPr>
          <w:rFonts w:hint="eastAsia" w:ascii="仿宋_GB2312" w:hAnsi="仿宋_GB2312" w:eastAsia="仿宋_GB2312" w:cs="仿宋_GB2312"/>
          <w:color w:val="auto"/>
          <w:sz w:val="24"/>
          <w:szCs w:val="24"/>
          <w:highlight w:val="none"/>
          <w:u w:val="dotted"/>
        </w:rPr>
        <w:t>：</w:t>
      </w:r>
    </w:p>
    <w:p w14:paraId="23162D6D">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地址：邮编：</w:t>
      </w:r>
    </w:p>
    <w:p w14:paraId="39B322A5">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被投诉人1：</w:t>
      </w:r>
    </w:p>
    <w:p w14:paraId="03D407C2">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地址：邮编：</w:t>
      </w:r>
    </w:p>
    <w:p w14:paraId="5C32B187">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联系人：联系电话：</w:t>
      </w:r>
    </w:p>
    <w:p w14:paraId="3E144B7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被投诉人2</w:t>
      </w:r>
    </w:p>
    <w:p w14:paraId="61768DFA">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w:t>
      </w:r>
    </w:p>
    <w:p w14:paraId="32A61EEA">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相关供应商：</w:t>
      </w:r>
    </w:p>
    <w:p w14:paraId="36862E5B">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地址：邮编：</w:t>
      </w:r>
    </w:p>
    <w:p w14:paraId="4ADFAAD6">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联系人：联系电话：</w:t>
      </w:r>
    </w:p>
    <w:p w14:paraId="392A0021">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二、投诉项目基本情况</w:t>
      </w:r>
    </w:p>
    <w:p w14:paraId="66D5D116">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采购项目名称：</w:t>
      </w:r>
    </w:p>
    <w:p w14:paraId="1655086A">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采购项目编号：包号：</w:t>
      </w:r>
    </w:p>
    <w:p w14:paraId="15599B0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采购人名称：</w:t>
      </w:r>
    </w:p>
    <w:p w14:paraId="7CF7BE77">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代理机构名称：</w:t>
      </w:r>
    </w:p>
    <w:p w14:paraId="39F15606">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采购文件公告:</w:t>
      </w:r>
      <w:r>
        <w:rPr>
          <w:rFonts w:hint="eastAsia" w:ascii="仿宋_GB2312" w:hAnsi="仿宋_GB2312" w:eastAsia="仿宋_GB2312" w:cs="仿宋_GB2312"/>
          <w:color w:val="auto"/>
          <w:sz w:val="24"/>
          <w:szCs w:val="24"/>
          <w:highlight w:val="none"/>
          <w:u w:val="dotted"/>
        </w:rPr>
        <w:t>是/否</w:t>
      </w:r>
      <w:r>
        <w:rPr>
          <w:rFonts w:hint="eastAsia" w:ascii="仿宋_GB2312" w:hAnsi="仿宋_GB2312" w:eastAsia="仿宋_GB2312" w:cs="仿宋_GB2312"/>
          <w:color w:val="auto"/>
          <w:sz w:val="24"/>
          <w:szCs w:val="24"/>
          <w:highlight w:val="none"/>
        </w:rPr>
        <w:t>公告期限：</w:t>
      </w:r>
    </w:p>
    <w:p w14:paraId="046EEE1B">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采购结果公告:</w:t>
      </w:r>
      <w:r>
        <w:rPr>
          <w:rFonts w:hint="eastAsia" w:ascii="仿宋_GB2312" w:hAnsi="仿宋_GB2312" w:eastAsia="仿宋_GB2312" w:cs="仿宋_GB2312"/>
          <w:color w:val="auto"/>
          <w:sz w:val="24"/>
          <w:szCs w:val="24"/>
          <w:highlight w:val="none"/>
          <w:u w:val="dotted"/>
        </w:rPr>
        <w:t>是/否</w:t>
      </w:r>
      <w:r>
        <w:rPr>
          <w:rFonts w:hint="eastAsia" w:ascii="仿宋_GB2312" w:hAnsi="仿宋_GB2312" w:eastAsia="仿宋_GB2312" w:cs="仿宋_GB2312"/>
          <w:color w:val="auto"/>
          <w:sz w:val="24"/>
          <w:szCs w:val="24"/>
          <w:highlight w:val="none"/>
        </w:rPr>
        <w:t>公告期限：</w:t>
      </w:r>
    </w:p>
    <w:p w14:paraId="6874231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三、质疑基本情况</w:t>
      </w:r>
    </w:p>
    <w:p w14:paraId="2C6038F0">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投诉人于年月日,向提出质疑，质疑事项为：</w:t>
      </w:r>
    </w:p>
    <w:p w14:paraId="7DADC9E7">
      <w:pPr>
        <w:spacing w:line="360" w:lineRule="auto"/>
        <w:rPr>
          <w:rFonts w:hint="eastAsia" w:ascii="仿宋_GB2312" w:hAnsi="仿宋_GB2312" w:eastAsia="仿宋_GB2312" w:cs="仿宋_GB2312"/>
          <w:color w:val="auto"/>
          <w:sz w:val="24"/>
          <w:szCs w:val="24"/>
          <w:highlight w:val="none"/>
          <w:u w:val="dotted"/>
        </w:rPr>
      </w:pPr>
    </w:p>
    <w:p w14:paraId="5BB475C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dotted"/>
        </w:rPr>
        <w:t>采购人/代理机构</w:t>
      </w:r>
      <w:r>
        <w:rPr>
          <w:rFonts w:hint="eastAsia" w:ascii="仿宋_GB2312" w:hAnsi="仿宋_GB2312" w:eastAsia="仿宋_GB2312" w:cs="仿宋_GB2312"/>
          <w:color w:val="auto"/>
          <w:sz w:val="24"/>
          <w:szCs w:val="24"/>
          <w:highlight w:val="none"/>
        </w:rPr>
        <w:t>于年月日,就质疑事项作出了答复/没有在法定期限内作出答复。</w:t>
      </w:r>
    </w:p>
    <w:p w14:paraId="725B2F08">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四、投诉事项具体内容</w:t>
      </w:r>
    </w:p>
    <w:p w14:paraId="52813F0B">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投诉事项 1：</w:t>
      </w:r>
    </w:p>
    <w:p w14:paraId="7462C6B3">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事实依据：</w:t>
      </w:r>
    </w:p>
    <w:p w14:paraId="4537265F">
      <w:pPr>
        <w:spacing w:line="360" w:lineRule="auto"/>
        <w:rPr>
          <w:rFonts w:hint="eastAsia" w:ascii="仿宋_GB2312" w:hAnsi="仿宋_GB2312" w:eastAsia="仿宋_GB2312" w:cs="仿宋_GB2312"/>
          <w:color w:val="auto"/>
          <w:sz w:val="24"/>
          <w:szCs w:val="24"/>
          <w:highlight w:val="none"/>
          <w:u w:val="dotted"/>
        </w:rPr>
      </w:pPr>
    </w:p>
    <w:p w14:paraId="00B5DD4D">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法律依据：</w:t>
      </w:r>
    </w:p>
    <w:p w14:paraId="082578A3">
      <w:pPr>
        <w:spacing w:line="360" w:lineRule="auto"/>
        <w:rPr>
          <w:rFonts w:hint="eastAsia" w:ascii="仿宋_GB2312" w:hAnsi="仿宋_GB2312" w:eastAsia="仿宋_GB2312" w:cs="仿宋_GB2312"/>
          <w:color w:val="auto"/>
          <w:sz w:val="24"/>
          <w:szCs w:val="24"/>
          <w:highlight w:val="none"/>
          <w:u w:val="dotted"/>
        </w:rPr>
      </w:pPr>
    </w:p>
    <w:p w14:paraId="7EF02550">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投诉事项2</w:t>
      </w:r>
    </w:p>
    <w:p w14:paraId="6EB69192">
      <w:pPr>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w:t>
      </w:r>
    </w:p>
    <w:p w14:paraId="670A82D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五、与投诉事项相关的投诉请求</w:t>
      </w:r>
    </w:p>
    <w:p w14:paraId="3ED175B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请求：</w:t>
      </w:r>
    </w:p>
    <w:p w14:paraId="7B7443C7">
      <w:pPr>
        <w:spacing w:line="360" w:lineRule="auto"/>
        <w:rPr>
          <w:rFonts w:hint="eastAsia" w:ascii="仿宋_GB2312" w:hAnsi="仿宋_GB2312" w:eastAsia="仿宋_GB2312" w:cs="仿宋_GB2312"/>
          <w:color w:val="auto"/>
          <w:sz w:val="24"/>
          <w:szCs w:val="24"/>
          <w:highlight w:val="none"/>
          <w:u w:val="single"/>
        </w:rPr>
      </w:pPr>
    </w:p>
    <w:p w14:paraId="6AF94CF6">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签字(签章)：公章：</w:t>
      </w:r>
    </w:p>
    <w:p w14:paraId="3C04FAD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30CDF5EB">
      <w:pPr>
        <w:spacing w:line="360" w:lineRule="auto"/>
        <w:rPr>
          <w:rFonts w:hint="eastAsia" w:ascii="仿宋_GB2312" w:hAnsi="仿宋_GB2312" w:eastAsia="仿宋_GB2312" w:cs="仿宋_GB2312"/>
          <w:b/>
          <w:color w:val="auto"/>
          <w:sz w:val="24"/>
          <w:szCs w:val="24"/>
          <w:highlight w:val="none"/>
        </w:rPr>
      </w:pPr>
    </w:p>
    <w:p w14:paraId="77FDC420">
      <w:pPr>
        <w:spacing w:line="360" w:lineRule="auto"/>
        <w:rPr>
          <w:rFonts w:hint="eastAsia" w:ascii="仿宋_GB2312" w:hAnsi="仿宋_GB2312" w:eastAsia="仿宋_GB2312" w:cs="仿宋_GB2312"/>
          <w:b/>
          <w:color w:val="auto"/>
          <w:sz w:val="24"/>
          <w:szCs w:val="24"/>
          <w:highlight w:val="none"/>
        </w:rPr>
      </w:pPr>
    </w:p>
    <w:p w14:paraId="65C2B7E5">
      <w:pPr>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投诉书制作说明：</w:t>
      </w:r>
    </w:p>
    <w:p w14:paraId="54B50DF8">
      <w:pPr>
        <w:widowControl/>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1.投诉人提起投诉时，应当提交投诉书和必要的证明材料，并按照被投诉人和与投诉事项有关的供应商数量提供投诉书副本。</w:t>
      </w:r>
    </w:p>
    <w:p w14:paraId="0EC03873">
      <w:pPr>
        <w:widowControl/>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szCs w:val="24"/>
          <w:highlight w:val="none"/>
        </w:rPr>
        <w:t>投诉人签署的授权委托书。授权委托书应当载明代理人的姓名或者名称、代理事项、具体权限、期限和相关事项。</w:t>
      </w:r>
    </w:p>
    <w:p w14:paraId="2E3B952E">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3.投诉人若对项目的某一分包进行投诉，投诉书应列明具体分包号。</w:t>
      </w:r>
    </w:p>
    <w:p w14:paraId="2D691CF7">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4.投诉书应简要列明质疑事项，质疑函、质疑答复等作为附件材料提供。</w:t>
      </w:r>
    </w:p>
    <w:p w14:paraId="2D535707">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5.投诉书的投诉事项应具体、明确，并有必要的事实依据和法律依据。</w:t>
      </w:r>
    </w:p>
    <w:p w14:paraId="4D6C556D">
      <w:pPr>
        <w:widowControl/>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6.投诉书的投诉请求应与投诉事项相关。</w:t>
      </w:r>
    </w:p>
    <w:p w14:paraId="0B0A1DA5">
      <w:pPr>
        <w:spacing w:line="360" w:lineRule="auto"/>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4771D86">
      <w:pPr>
        <w:spacing w:line="540" w:lineRule="exact"/>
        <w:contextualSpacing/>
        <w:rPr>
          <w:rFonts w:hint="eastAsia" w:ascii="仿宋_GB2312" w:hAnsi="仿宋_GB2312" w:eastAsia="仿宋_GB2312" w:cs="仿宋_GB2312"/>
          <w:color w:val="auto"/>
          <w:sz w:val="28"/>
          <w:szCs w:val="28"/>
          <w:highlight w:val="none"/>
        </w:rPr>
      </w:pPr>
    </w:p>
    <w:p w14:paraId="67008638">
      <w:pPr>
        <w:spacing w:line="540" w:lineRule="exact"/>
        <w:contextualSpacing/>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附件4：</w:t>
      </w:r>
    </w:p>
    <w:p w14:paraId="62E8C6D3">
      <w:pPr>
        <w:spacing w:line="540" w:lineRule="exact"/>
        <w:contextualSpacing/>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业务专用章使用说明函</w:t>
      </w:r>
    </w:p>
    <w:p w14:paraId="76DC78EB">
      <w:pPr>
        <w:spacing w:line="540" w:lineRule="exact"/>
        <w:contextualSpacing/>
        <w:rPr>
          <w:rFonts w:hint="eastAsia" w:ascii="仿宋_GB2312" w:hAnsi="仿宋_GB2312" w:eastAsia="仿宋_GB2312" w:cs="仿宋_GB2312"/>
          <w:color w:val="auto"/>
          <w:sz w:val="24"/>
          <w:szCs w:val="24"/>
          <w:highlight w:val="none"/>
        </w:rPr>
      </w:pPr>
    </w:p>
    <w:p w14:paraId="4302EA91">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（采购人）、（采购代理机构）：</w:t>
      </w:r>
    </w:p>
    <w:p w14:paraId="4B85D865">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我方(投标人全称)是中华人民共和国依法登记注册的合法企业，在参加你方组织的</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项目【招标编号：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】投标活动中作如下说明：我方所使用的“XX专用章”与法定名称章具有同等的法律效力，对使用“XX专用章”的行为予以完全承认，并愿意承担相应责任。</w:t>
      </w:r>
    </w:p>
    <w:p w14:paraId="18986A5A">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特此说明。</w:t>
      </w:r>
    </w:p>
    <w:p w14:paraId="205D00C4">
      <w:pPr>
        <w:spacing w:line="540" w:lineRule="exact"/>
        <w:contextualSpacing/>
        <w:rPr>
          <w:rFonts w:hint="eastAsia" w:ascii="仿宋_GB2312" w:hAnsi="仿宋_GB2312" w:eastAsia="仿宋_GB2312" w:cs="仿宋_GB2312"/>
          <w:color w:val="auto"/>
          <w:sz w:val="24"/>
          <w:szCs w:val="24"/>
          <w:highlight w:val="none"/>
        </w:rPr>
      </w:pPr>
    </w:p>
    <w:p w14:paraId="197C7A33">
      <w:pPr>
        <w:spacing w:line="540" w:lineRule="exact"/>
        <w:contextualSpacing/>
        <w:rPr>
          <w:rFonts w:hint="eastAsia" w:ascii="仿宋_GB2312" w:hAnsi="仿宋_GB2312" w:eastAsia="仿宋_GB2312" w:cs="仿宋_GB2312"/>
          <w:color w:val="auto"/>
          <w:sz w:val="24"/>
          <w:szCs w:val="24"/>
          <w:highlight w:val="none"/>
        </w:rPr>
      </w:pPr>
    </w:p>
    <w:p w14:paraId="7E1E0208">
      <w:pPr>
        <w:spacing w:line="540" w:lineRule="exact"/>
        <w:ind w:firstLine="3600" w:firstLineChars="15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投标单位（法定名称章）：</w:t>
      </w:r>
    </w:p>
    <w:p w14:paraId="7B41A93D">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日期：年月日</w:t>
      </w:r>
    </w:p>
    <w:p w14:paraId="6FCD745C">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p>
    <w:p w14:paraId="1E345FA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投标单位法定名称章（印模）投标单位“XX专用章”（印模）</w:t>
      </w:r>
    </w:p>
    <w:p w14:paraId="255E948E">
      <w:pPr>
        <w:spacing w:line="54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1213485" cy="715010"/>
                <wp:effectExtent l="5080" t="4445" r="19685" b="23495"/>
                <wp:wrapNone/>
                <wp:docPr id="1" name="1026"/>
                <wp:cNvGraphicFramePr/>
                <a:graphic xmlns:a="http://schemas.openxmlformats.org/drawingml/2006/main">
                  <a:graphicData uri="http://schemas.microsoft.com/office/word/2010/wordprocessingShape">
                    <wps:wsp>
                      <wps:cNvSpPr/>
                      <wps:spPr>
                        <a:xfrm>
                          <a:off x="0" y="0"/>
                          <a:ext cx="1213485" cy="71501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1026" o:spid="_x0000_s1026" o:spt="1" style="position:absolute;left:0pt;margin-left:238.9pt;margin-top:1.05pt;height:56.3pt;width:95.55pt;z-index:-251657216;mso-width-relative:page;mso-height-relative:page;" fillcolor="#FFFFFF" filled="t" stroked="t" coordsize="21600,21600" o:gfxdata="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JkmuLXAAAACQEAAA8AAAAAAAAAAQAgAAAAIgAAAGRycy9kb3ducmV2LnhtbFBLAQIU&#10;ABQAAAAIAIdO4kClobj29AEAACgEAAAOAAAAAAAAAAEAIAAAACYBAABkcnMvZTJvRG9jLnhtbFBL&#10;BQYAAAAABgAGAFkBAACMBQAAAAA=&#10;">
                <v:fill on="t" focussize="0,0"/>
                <v:stroke color="#000000" joinstyle="miter"/>
                <v:imagedata o:title=""/>
                <o:lock v:ext="edit" aspectratio="f"/>
              </v:rect>
            </w:pict>
          </mc:Fallback>
        </mc:AlternateContent>
      </w:r>
      <w:r>
        <w:rPr>
          <w:rFonts w:hint="eastAsia" w:ascii="仿宋_GB2312" w:hAnsi="仿宋_GB2312" w:eastAsia="仿宋_GB2312" w:cs="仿宋_GB2312"/>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1188085" cy="715010"/>
                <wp:effectExtent l="4445" t="4445" r="7620" b="23495"/>
                <wp:wrapNone/>
                <wp:docPr id="2" name="1027"/>
                <wp:cNvGraphicFramePr/>
                <a:graphic xmlns:a="http://schemas.openxmlformats.org/drawingml/2006/main">
                  <a:graphicData uri="http://schemas.microsoft.com/office/word/2010/wordprocessingShape">
                    <wps:wsp>
                      <wps:cNvSpPr/>
                      <wps:spPr>
                        <a:xfrm>
                          <a:off x="0" y="0"/>
                          <a:ext cx="1188085" cy="71501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1027" o:spid="_x0000_s1026" o:spt="1" style="position:absolute;left:0pt;margin-left:-3.6pt;margin-top:1.05pt;height:56.3pt;width:93.55pt;z-index:-251656192;mso-width-relative:page;mso-height-relative:page;" fillcolor="#FFFFFF" filled="t" stroked="t" coordsize="21600,21600" o:gfxdata="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mi3RNcAAAAIAQAADwAAAAAAAAABACAAAAAiAAAAZHJzL2Rvd25yZXYueG1sUEsBAhQA&#10;FAAAAAgAh07iQLcWT+jzAQAAKAQAAA4AAAAAAAAAAQAgAAAAJgEAAGRycy9lMm9Eb2MueG1sUEsF&#10;BgAAAAAGAAYAWQEAAIsFAAAAAA==&#10;">
                <v:fill on="t" focussize="0,0"/>
                <v:stroke color="#000000" joinstyle="miter"/>
                <v:imagedata o:title=""/>
                <o:lock v:ext="edit" aspectratio="f"/>
              </v:rect>
            </w:pict>
          </mc:Fallback>
        </mc:AlternateContent>
      </w:r>
    </w:p>
    <w:p w14:paraId="73FC015A">
      <w:pPr>
        <w:spacing w:line="540" w:lineRule="exact"/>
        <w:contextualSpacing/>
        <w:rPr>
          <w:rFonts w:hint="eastAsia" w:ascii="仿宋_GB2312" w:hAnsi="仿宋_GB2312" w:eastAsia="仿宋_GB2312" w:cs="仿宋_GB2312"/>
          <w:color w:val="auto"/>
          <w:sz w:val="24"/>
          <w:szCs w:val="24"/>
          <w:highlight w:val="none"/>
        </w:rPr>
      </w:pPr>
    </w:p>
    <w:p w14:paraId="19F362C1">
      <w:pPr>
        <w:spacing w:line="540" w:lineRule="exact"/>
        <w:contextualSpacing/>
        <w:rPr>
          <w:rFonts w:hint="eastAsia" w:ascii="仿宋_GB2312" w:hAnsi="仿宋_GB2312" w:eastAsia="仿宋_GB2312" w:cs="仿宋_GB2312"/>
          <w:color w:val="auto"/>
          <w:sz w:val="24"/>
          <w:szCs w:val="24"/>
          <w:highlight w:val="none"/>
        </w:rPr>
      </w:pPr>
    </w:p>
    <w:p w14:paraId="534373E3">
      <w:pPr>
        <w:spacing w:line="540" w:lineRule="exact"/>
        <w:contextualSpacing/>
        <w:rPr>
          <w:rFonts w:hint="eastAsia" w:ascii="仿宋_GB2312" w:hAnsi="仿宋_GB2312" w:eastAsia="仿宋_GB2312" w:cs="仿宋_GB2312"/>
          <w:color w:val="auto"/>
          <w:sz w:val="24"/>
          <w:szCs w:val="24"/>
          <w:highlight w:val="none"/>
        </w:rPr>
      </w:pPr>
    </w:p>
    <w:p w14:paraId="4DF96BA7">
      <w:pPr>
        <w:spacing w:line="540" w:lineRule="exact"/>
        <w:contextualSpacing/>
        <w:rPr>
          <w:rFonts w:hint="eastAsia" w:ascii="仿宋_GB2312" w:hAnsi="仿宋_GB2312" w:eastAsia="仿宋_GB2312" w:cs="仿宋_GB2312"/>
          <w:color w:val="auto"/>
          <w:sz w:val="24"/>
          <w:szCs w:val="24"/>
          <w:highlight w:val="none"/>
        </w:rPr>
      </w:pPr>
    </w:p>
    <w:p w14:paraId="770FF480">
      <w:pPr>
        <w:spacing w:line="540" w:lineRule="exact"/>
        <w:contextualSpacing/>
        <w:rPr>
          <w:rFonts w:hint="eastAsia" w:ascii="仿宋_GB2312" w:hAnsi="仿宋_GB2312" w:eastAsia="仿宋_GB2312" w:cs="仿宋_GB2312"/>
          <w:color w:val="auto"/>
          <w:sz w:val="24"/>
          <w:szCs w:val="24"/>
          <w:highlight w:val="none"/>
        </w:rPr>
      </w:pPr>
    </w:p>
    <w:p w14:paraId="4035275B">
      <w:pPr>
        <w:spacing w:line="540" w:lineRule="exact"/>
        <w:contextualSpacing/>
        <w:rPr>
          <w:rFonts w:hint="eastAsia" w:ascii="仿宋_GB2312" w:hAnsi="仿宋_GB2312" w:eastAsia="仿宋_GB2312" w:cs="仿宋_GB2312"/>
          <w:color w:val="auto"/>
          <w:sz w:val="24"/>
          <w:szCs w:val="24"/>
          <w:highlight w:val="none"/>
        </w:rPr>
      </w:pPr>
    </w:p>
    <w:p w14:paraId="4C37119F">
      <w:pPr>
        <w:spacing w:line="540" w:lineRule="exact"/>
        <w:contextualSpacing/>
        <w:rPr>
          <w:rFonts w:hint="eastAsia" w:ascii="仿宋_GB2312" w:hAnsi="仿宋_GB2312" w:eastAsia="仿宋_GB2312" w:cs="仿宋_GB2312"/>
          <w:color w:val="auto"/>
          <w:sz w:val="24"/>
          <w:szCs w:val="24"/>
          <w:highlight w:val="none"/>
        </w:rPr>
      </w:pPr>
    </w:p>
    <w:p w14:paraId="1EEFBC65">
      <w:pPr>
        <w:spacing w:line="540" w:lineRule="exact"/>
        <w:contextualSpacing/>
        <w:rPr>
          <w:rFonts w:hint="eastAsia" w:ascii="仿宋_GB2312" w:hAnsi="仿宋_GB2312" w:eastAsia="仿宋_GB2312" w:cs="仿宋_GB2312"/>
          <w:color w:val="auto"/>
          <w:sz w:val="24"/>
          <w:szCs w:val="24"/>
          <w:highlight w:val="none"/>
        </w:rPr>
      </w:pPr>
    </w:p>
    <w:p w14:paraId="5D6870A7">
      <w:pPr>
        <w:pStyle w:val="7"/>
        <w:rPr>
          <w:rFonts w:hint="eastAsia" w:ascii="仿宋_GB2312" w:hAnsi="仿宋_GB2312" w:eastAsia="仿宋_GB2312" w:cs="仿宋_GB2312"/>
          <w:color w:val="auto"/>
          <w:highlight w:val="none"/>
        </w:rPr>
      </w:pPr>
    </w:p>
    <w:p w14:paraId="67AA6D2D">
      <w:pPr>
        <w:spacing w:line="540" w:lineRule="exact"/>
        <w:contextualSpacing/>
        <w:rPr>
          <w:rFonts w:hint="eastAsia" w:ascii="仿宋_GB2312" w:hAnsi="仿宋_GB2312" w:eastAsia="仿宋_GB2312" w:cs="仿宋_GB2312"/>
          <w:color w:val="auto"/>
          <w:sz w:val="24"/>
          <w:szCs w:val="24"/>
          <w:highlight w:val="none"/>
        </w:rPr>
      </w:pPr>
    </w:p>
    <w:p w14:paraId="46A2521D">
      <w:pPr>
        <w:spacing w:line="540" w:lineRule="exact"/>
        <w:contextualSpacing/>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附件5：</w:t>
      </w:r>
    </w:p>
    <w:p w14:paraId="3606EAF4">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中小企业声明函（货物）</w:t>
      </w:r>
    </w:p>
    <w:p w14:paraId="6DFFA8C5">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color w:val="auto"/>
          <w:sz w:val="24"/>
          <w:szCs w:val="24"/>
          <w:highlight w:val="none"/>
          <w:u w:val="single"/>
        </w:rPr>
        <w:t>浙江国际海运职业技术学院</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u w:val="single"/>
          <w:lang w:val="en-US" w:eastAsia="zh-CN"/>
        </w:rPr>
        <w:t xml:space="preserve"> 浙江国际海运职业技术学院台式计算机采购项目  </w:t>
      </w:r>
      <w:r>
        <w:rPr>
          <w:rFonts w:hint="eastAsia" w:ascii="仿宋_GB2312" w:hAnsi="仿宋_GB2312" w:eastAsia="仿宋_GB2312" w:cs="仿宋_GB2312"/>
          <w:color w:val="auto"/>
          <w:sz w:val="24"/>
          <w:szCs w:val="24"/>
          <w:highlight w:val="none"/>
        </w:rPr>
        <w:t>采购活动，提供的货物全部由符合政策要求的中小企业制造。相关企业（含联合体中的中小企业、签订分包意向协议的中小企业）的具体情况如下：</w:t>
      </w:r>
    </w:p>
    <w:tbl>
      <w:tblPr>
        <w:tblStyle w:val="1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42"/>
        <w:gridCol w:w="1266"/>
        <w:gridCol w:w="936"/>
        <w:gridCol w:w="1239"/>
        <w:gridCol w:w="1134"/>
        <w:gridCol w:w="1824"/>
      </w:tblGrid>
      <w:tr w14:paraId="59AB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1B85FAC6">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标的名称</w:t>
            </w:r>
          </w:p>
          <w:p w14:paraId="2B79CAB9">
            <w:pPr>
              <w:pStyle w:val="26"/>
              <w:ind w:firstLine="0" w:firstLineChars="0"/>
              <w:jc w:val="center"/>
              <w:rPr>
                <w:rFonts w:hint="eastAsia" w:ascii="仿宋_GB2312" w:hAnsi="仿宋_GB2312" w:eastAsia="仿宋_GB2312" w:cs="仿宋_GB2312"/>
                <w:color w:val="auto"/>
                <w:kern w:val="0"/>
                <w:szCs w:val="24"/>
                <w:highlight w:val="none"/>
              </w:rPr>
            </w:pPr>
          </w:p>
        </w:tc>
        <w:tc>
          <w:tcPr>
            <w:tcW w:w="1242" w:type="dxa"/>
            <w:noWrap w:val="0"/>
            <w:vAlign w:val="center"/>
          </w:tcPr>
          <w:p w14:paraId="63E9BA1B">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采购文件中明确的所属行业</w:t>
            </w:r>
          </w:p>
        </w:tc>
        <w:tc>
          <w:tcPr>
            <w:tcW w:w="1266" w:type="dxa"/>
            <w:noWrap w:val="0"/>
            <w:vAlign w:val="center"/>
          </w:tcPr>
          <w:p w14:paraId="5B13BD6C">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制造商</w:t>
            </w:r>
          </w:p>
          <w:p w14:paraId="6B5071F3">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（企业名称）</w:t>
            </w:r>
          </w:p>
        </w:tc>
        <w:tc>
          <w:tcPr>
            <w:tcW w:w="936" w:type="dxa"/>
            <w:noWrap w:val="0"/>
            <w:vAlign w:val="center"/>
          </w:tcPr>
          <w:p w14:paraId="0E6ACD6D">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从业人员（人）</w:t>
            </w:r>
          </w:p>
        </w:tc>
        <w:tc>
          <w:tcPr>
            <w:tcW w:w="1239" w:type="dxa"/>
            <w:noWrap w:val="0"/>
            <w:vAlign w:val="center"/>
          </w:tcPr>
          <w:p w14:paraId="19289D48">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营业收入（万元）</w:t>
            </w:r>
          </w:p>
        </w:tc>
        <w:tc>
          <w:tcPr>
            <w:tcW w:w="1134" w:type="dxa"/>
            <w:noWrap w:val="0"/>
            <w:vAlign w:val="center"/>
          </w:tcPr>
          <w:p w14:paraId="35D699D4">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资产总额（万元）</w:t>
            </w:r>
          </w:p>
        </w:tc>
        <w:tc>
          <w:tcPr>
            <w:tcW w:w="1824" w:type="dxa"/>
            <w:noWrap w:val="0"/>
            <w:vAlign w:val="center"/>
          </w:tcPr>
          <w:p w14:paraId="50D597F4">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属于</w:t>
            </w:r>
          </w:p>
          <w:p w14:paraId="13E21479">
            <w:pPr>
              <w:pStyle w:val="26"/>
              <w:ind w:firstLine="0" w:firstLineChars="0"/>
              <w:jc w:val="center"/>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 w:val="21"/>
                <w:szCs w:val="21"/>
                <w:highlight w:val="none"/>
              </w:rPr>
              <w:t>（中型企业、小型企业、微型企业）</w:t>
            </w:r>
          </w:p>
        </w:tc>
      </w:tr>
      <w:tr w14:paraId="749C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BBB7D30">
            <w:pPr>
              <w:spacing w:line="440" w:lineRule="exact"/>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台式电脑</w:t>
            </w:r>
            <w:r>
              <w:rPr>
                <w:rFonts w:hint="eastAsia" w:ascii="仿宋_GB2312" w:hAnsi="仿宋_GB2312" w:eastAsia="仿宋_GB2312" w:cs="仿宋_GB2312"/>
                <w:color w:val="auto"/>
                <w:kern w:val="0"/>
                <w:sz w:val="24"/>
                <w:szCs w:val="24"/>
                <w:highlight w:val="none"/>
                <w:lang w:val="en-US" w:eastAsia="zh-CN"/>
              </w:rPr>
              <w:t>1</w:t>
            </w:r>
          </w:p>
        </w:tc>
        <w:tc>
          <w:tcPr>
            <w:tcW w:w="1242" w:type="dxa"/>
            <w:noWrap w:val="0"/>
            <w:vAlign w:val="center"/>
          </w:tcPr>
          <w:p w14:paraId="2288D616">
            <w:pPr>
              <w:jc w:val="center"/>
              <w:rPr>
                <w:rFonts w:hint="eastAsia" w:ascii="仿宋_GB2312" w:hAnsi="仿宋_GB2312" w:eastAsia="仿宋_GB2312" w:cs="仿宋_GB2312"/>
                <w:color w:val="auto"/>
                <w:kern w:val="0"/>
                <w:sz w:val="24"/>
                <w:szCs w:val="20"/>
                <w:highlight w:val="none"/>
                <w:lang w:val="en-US" w:eastAsia="zh-CN"/>
              </w:rPr>
            </w:pPr>
            <w:r>
              <w:rPr>
                <w:rFonts w:hint="eastAsia" w:ascii="仿宋_GB2312" w:hAnsi="仿宋_GB2312" w:eastAsia="仿宋_GB2312" w:cs="仿宋_GB2312"/>
                <w:color w:val="auto"/>
                <w:kern w:val="0"/>
                <w:sz w:val="24"/>
                <w:szCs w:val="20"/>
                <w:highlight w:val="none"/>
                <w:lang w:val="en-US" w:eastAsia="zh-CN"/>
              </w:rPr>
              <w:t>工业</w:t>
            </w:r>
          </w:p>
        </w:tc>
        <w:tc>
          <w:tcPr>
            <w:tcW w:w="1266" w:type="dxa"/>
            <w:noWrap w:val="0"/>
            <w:vAlign w:val="center"/>
          </w:tcPr>
          <w:p w14:paraId="43E69682">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5E33A577">
            <w:pPr>
              <w:pStyle w:val="26"/>
              <w:rPr>
                <w:rFonts w:hint="eastAsia" w:ascii="仿宋_GB2312" w:hAnsi="仿宋_GB2312" w:eastAsia="仿宋_GB2312" w:cs="仿宋_GB2312"/>
                <w:color w:val="auto"/>
                <w:kern w:val="0"/>
                <w:highlight w:val="none"/>
              </w:rPr>
            </w:pPr>
          </w:p>
        </w:tc>
        <w:tc>
          <w:tcPr>
            <w:tcW w:w="1239" w:type="dxa"/>
            <w:noWrap w:val="0"/>
            <w:vAlign w:val="top"/>
          </w:tcPr>
          <w:p w14:paraId="11544834">
            <w:pPr>
              <w:pStyle w:val="26"/>
              <w:rPr>
                <w:rFonts w:hint="eastAsia" w:ascii="仿宋_GB2312" w:hAnsi="仿宋_GB2312" w:eastAsia="仿宋_GB2312" w:cs="仿宋_GB2312"/>
                <w:color w:val="auto"/>
                <w:kern w:val="0"/>
                <w:highlight w:val="none"/>
              </w:rPr>
            </w:pPr>
          </w:p>
        </w:tc>
        <w:tc>
          <w:tcPr>
            <w:tcW w:w="1134" w:type="dxa"/>
            <w:noWrap w:val="0"/>
            <w:vAlign w:val="top"/>
          </w:tcPr>
          <w:p w14:paraId="199478D4">
            <w:pPr>
              <w:pStyle w:val="26"/>
              <w:rPr>
                <w:rFonts w:hint="eastAsia" w:ascii="仿宋_GB2312" w:hAnsi="仿宋_GB2312" w:eastAsia="仿宋_GB2312" w:cs="仿宋_GB2312"/>
                <w:color w:val="auto"/>
                <w:kern w:val="0"/>
                <w:highlight w:val="none"/>
              </w:rPr>
            </w:pPr>
          </w:p>
        </w:tc>
        <w:tc>
          <w:tcPr>
            <w:tcW w:w="1824" w:type="dxa"/>
            <w:noWrap w:val="0"/>
            <w:vAlign w:val="top"/>
          </w:tcPr>
          <w:p w14:paraId="48CDD6C8">
            <w:pPr>
              <w:pStyle w:val="26"/>
              <w:ind w:firstLine="0" w:firstLineChars="0"/>
              <w:jc w:val="center"/>
              <w:rPr>
                <w:rFonts w:hint="eastAsia" w:ascii="仿宋_GB2312" w:hAnsi="仿宋_GB2312" w:eastAsia="仿宋_GB2312" w:cs="仿宋_GB2312"/>
                <w:color w:val="auto"/>
                <w:kern w:val="0"/>
                <w:szCs w:val="24"/>
                <w:highlight w:val="none"/>
              </w:rPr>
            </w:pPr>
          </w:p>
        </w:tc>
      </w:tr>
      <w:tr w14:paraId="060C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B420BBA">
            <w:pPr>
              <w:spacing w:line="440" w:lineRule="exact"/>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台式电脑</w:t>
            </w:r>
            <w:r>
              <w:rPr>
                <w:rFonts w:hint="eastAsia" w:ascii="仿宋_GB2312" w:hAnsi="仿宋_GB2312" w:eastAsia="仿宋_GB2312" w:cs="仿宋_GB2312"/>
                <w:color w:val="auto"/>
                <w:kern w:val="0"/>
                <w:sz w:val="24"/>
                <w:szCs w:val="24"/>
                <w:highlight w:val="none"/>
                <w:lang w:val="en-US" w:eastAsia="zh-CN"/>
              </w:rPr>
              <w:t>2</w:t>
            </w:r>
          </w:p>
        </w:tc>
        <w:tc>
          <w:tcPr>
            <w:tcW w:w="1242" w:type="dxa"/>
            <w:noWrap w:val="0"/>
            <w:vAlign w:val="center"/>
          </w:tcPr>
          <w:p w14:paraId="34B5B783">
            <w:pPr>
              <w:jc w:val="center"/>
              <w:rPr>
                <w:rFonts w:hint="eastAsia" w:ascii="仿宋_GB2312" w:hAnsi="仿宋_GB2312" w:eastAsia="仿宋_GB2312" w:cs="仿宋_GB2312"/>
                <w:color w:val="auto"/>
                <w:kern w:val="0"/>
                <w:sz w:val="24"/>
                <w:szCs w:val="20"/>
                <w:highlight w:val="none"/>
                <w:lang w:eastAsia="zh-CN"/>
              </w:rPr>
            </w:pPr>
            <w:r>
              <w:rPr>
                <w:rFonts w:hint="eastAsia" w:ascii="仿宋_GB2312" w:hAnsi="仿宋_GB2312" w:eastAsia="仿宋_GB2312" w:cs="仿宋_GB2312"/>
                <w:color w:val="auto"/>
                <w:kern w:val="0"/>
                <w:sz w:val="24"/>
                <w:szCs w:val="20"/>
                <w:highlight w:val="none"/>
                <w:lang w:eastAsia="zh-CN"/>
              </w:rPr>
              <w:t>工业</w:t>
            </w:r>
          </w:p>
        </w:tc>
        <w:tc>
          <w:tcPr>
            <w:tcW w:w="1266" w:type="dxa"/>
            <w:noWrap w:val="0"/>
            <w:vAlign w:val="center"/>
          </w:tcPr>
          <w:p w14:paraId="167F6104">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3DFDE7BC">
            <w:pPr>
              <w:pStyle w:val="26"/>
              <w:rPr>
                <w:rFonts w:hint="eastAsia" w:ascii="仿宋_GB2312" w:hAnsi="仿宋_GB2312" w:eastAsia="仿宋_GB2312" w:cs="仿宋_GB2312"/>
                <w:color w:val="auto"/>
                <w:kern w:val="0"/>
                <w:highlight w:val="none"/>
              </w:rPr>
            </w:pPr>
          </w:p>
        </w:tc>
        <w:tc>
          <w:tcPr>
            <w:tcW w:w="1239" w:type="dxa"/>
            <w:noWrap w:val="0"/>
            <w:vAlign w:val="top"/>
          </w:tcPr>
          <w:p w14:paraId="7E0A0564">
            <w:pPr>
              <w:pStyle w:val="26"/>
              <w:rPr>
                <w:rFonts w:hint="eastAsia" w:ascii="仿宋_GB2312" w:hAnsi="仿宋_GB2312" w:eastAsia="仿宋_GB2312" w:cs="仿宋_GB2312"/>
                <w:color w:val="auto"/>
                <w:kern w:val="0"/>
                <w:highlight w:val="none"/>
              </w:rPr>
            </w:pPr>
          </w:p>
        </w:tc>
        <w:tc>
          <w:tcPr>
            <w:tcW w:w="1134" w:type="dxa"/>
            <w:noWrap w:val="0"/>
            <w:vAlign w:val="top"/>
          </w:tcPr>
          <w:p w14:paraId="1F208F99">
            <w:pPr>
              <w:pStyle w:val="26"/>
              <w:rPr>
                <w:rFonts w:hint="eastAsia" w:ascii="仿宋_GB2312" w:hAnsi="仿宋_GB2312" w:eastAsia="仿宋_GB2312" w:cs="仿宋_GB2312"/>
                <w:color w:val="auto"/>
                <w:kern w:val="0"/>
                <w:highlight w:val="none"/>
              </w:rPr>
            </w:pPr>
          </w:p>
        </w:tc>
        <w:tc>
          <w:tcPr>
            <w:tcW w:w="1824" w:type="dxa"/>
            <w:noWrap w:val="0"/>
            <w:vAlign w:val="top"/>
          </w:tcPr>
          <w:p w14:paraId="74246B9F">
            <w:pPr>
              <w:pStyle w:val="26"/>
              <w:ind w:firstLine="0" w:firstLineChars="0"/>
              <w:jc w:val="center"/>
              <w:rPr>
                <w:rFonts w:hint="eastAsia" w:ascii="仿宋_GB2312" w:hAnsi="仿宋_GB2312" w:eastAsia="仿宋_GB2312" w:cs="仿宋_GB2312"/>
                <w:color w:val="auto"/>
                <w:kern w:val="0"/>
                <w:szCs w:val="24"/>
                <w:highlight w:val="none"/>
              </w:rPr>
            </w:pPr>
          </w:p>
        </w:tc>
      </w:tr>
      <w:tr w14:paraId="4B67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2510B76A">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40FDE716">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34A1A701">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24B5AF6D">
            <w:pPr>
              <w:pStyle w:val="26"/>
              <w:rPr>
                <w:rFonts w:hint="eastAsia" w:ascii="仿宋_GB2312" w:hAnsi="仿宋_GB2312" w:eastAsia="仿宋_GB2312" w:cs="仿宋_GB2312"/>
                <w:color w:val="auto"/>
                <w:kern w:val="0"/>
                <w:highlight w:val="none"/>
              </w:rPr>
            </w:pPr>
          </w:p>
        </w:tc>
        <w:tc>
          <w:tcPr>
            <w:tcW w:w="1239" w:type="dxa"/>
            <w:noWrap w:val="0"/>
            <w:vAlign w:val="top"/>
          </w:tcPr>
          <w:p w14:paraId="17340A5B">
            <w:pPr>
              <w:pStyle w:val="26"/>
              <w:rPr>
                <w:rFonts w:hint="eastAsia" w:ascii="仿宋_GB2312" w:hAnsi="仿宋_GB2312" w:eastAsia="仿宋_GB2312" w:cs="仿宋_GB2312"/>
                <w:color w:val="auto"/>
                <w:kern w:val="0"/>
                <w:highlight w:val="none"/>
              </w:rPr>
            </w:pPr>
          </w:p>
        </w:tc>
        <w:tc>
          <w:tcPr>
            <w:tcW w:w="1134" w:type="dxa"/>
            <w:noWrap w:val="0"/>
            <w:vAlign w:val="top"/>
          </w:tcPr>
          <w:p w14:paraId="0333A4A6">
            <w:pPr>
              <w:pStyle w:val="26"/>
              <w:rPr>
                <w:rFonts w:hint="eastAsia" w:ascii="仿宋_GB2312" w:hAnsi="仿宋_GB2312" w:eastAsia="仿宋_GB2312" w:cs="仿宋_GB2312"/>
                <w:color w:val="auto"/>
                <w:kern w:val="0"/>
                <w:highlight w:val="none"/>
              </w:rPr>
            </w:pPr>
          </w:p>
        </w:tc>
        <w:tc>
          <w:tcPr>
            <w:tcW w:w="1824" w:type="dxa"/>
            <w:noWrap w:val="0"/>
            <w:vAlign w:val="top"/>
          </w:tcPr>
          <w:p w14:paraId="418E61E8">
            <w:pPr>
              <w:pStyle w:val="26"/>
              <w:ind w:firstLine="0" w:firstLineChars="0"/>
              <w:jc w:val="center"/>
              <w:rPr>
                <w:rFonts w:hint="eastAsia" w:ascii="仿宋_GB2312" w:hAnsi="仿宋_GB2312" w:eastAsia="仿宋_GB2312" w:cs="仿宋_GB2312"/>
                <w:color w:val="auto"/>
                <w:kern w:val="0"/>
                <w:szCs w:val="24"/>
                <w:highlight w:val="none"/>
              </w:rPr>
            </w:pPr>
          </w:p>
        </w:tc>
      </w:tr>
      <w:tr w14:paraId="1990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5E91BB6">
            <w:pPr>
              <w:spacing w:line="440" w:lineRule="exact"/>
              <w:rPr>
                <w:rFonts w:hint="eastAsia" w:ascii="仿宋_GB2312" w:hAnsi="仿宋_GB2312" w:eastAsia="仿宋_GB2312" w:cs="仿宋_GB2312"/>
                <w:color w:val="auto"/>
                <w:sz w:val="24"/>
                <w:szCs w:val="24"/>
                <w:highlight w:val="none"/>
              </w:rPr>
            </w:pPr>
          </w:p>
        </w:tc>
        <w:tc>
          <w:tcPr>
            <w:tcW w:w="1242" w:type="dxa"/>
            <w:noWrap w:val="0"/>
            <w:vAlign w:val="center"/>
          </w:tcPr>
          <w:p w14:paraId="21DFF9B6">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792F5FD6">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50ADBB39">
            <w:pPr>
              <w:pStyle w:val="26"/>
              <w:rPr>
                <w:rFonts w:hint="eastAsia" w:ascii="仿宋_GB2312" w:hAnsi="仿宋_GB2312" w:eastAsia="仿宋_GB2312" w:cs="仿宋_GB2312"/>
                <w:color w:val="auto"/>
                <w:kern w:val="0"/>
                <w:highlight w:val="none"/>
              </w:rPr>
            </w:pPr>
          </w:p>
        </w:tc>
        <w:tc>
          <w:tcPr>
            <w:tcW w:w="1239" w:type="dxa"/>
            <w:noWrap w:val="0"/>
            <w:vAlign w:val="top"/>
          </w:tcPr>
          <w:p w14:paraId="1537EA5F">
            <w:pPr>
              <w:pStyle w:val="26"/>
              <w:rPr>
                <w:rFonts w:hint="eastAsia" w:ascii="仿宋_GB2312" w:hAnsi="仿宋_GB2312" w:eastAsia="仿宋_GB2312" w:cs="仿宋_GB2312"/>
                <w:color w:val="auto"/>
                <w:kern w:val="0"/>
                <w:highlight w:val="none"/>
              </w:rPr>
            </w:pPr>
          </w:p>
        </w:tc>
        <w:tc>
          <w:tcPr>
            <w:tcW w:w="1134" w:type="dxa"/>
            <w:noWrap w:val="0"/>
            <w:vAlign w:val="top"/>
          </w:tcPr>
          <w:p w14:paraId="460A7DB3">
            <w:pPr>
              <w:pStyle w:val="26"/>
              <w:rPr>
                <w:rFonts w:hint="eastAsia" w:ascii="仿宋_GB2312" w:hAnsi="仿宋_GB2312" w:eastAsia="仿宋_GB2312" w:cs="仿宋_GB2312"/>
                <w:color w:val="auto"/>
                <w:kern w:val="0"/>
                <w:highlight w:val="none"/>
              </w:rPr>
            </w:pPr>
          </w:p>
        </w:tc>
        <w:tc>
          <w:tcPr>
            <w:tcW w:w="1824" w:type="dxa"/>
            <w:noWrap w:val="0"/>
            <w:vAlign w:val="top"/>
          </w:tcPr>
          <w:p w14:paraId="32908C58">
            <w:pPr>
              <w:pStyle w:val="26"/>
              <w:ind w:firstLine="0" w:firstLineChars="0"/>
              <w:jc w:val="center"/>
              <w:rPr>
                <w:rFonts w:hint="eastAsia" w:ascii="仿宋_GB2312" w:hAnsi="仿宋_GB2312" w:eastAsia="仿宋_GB2312" w:cs="仿宋_GB2312"/>
                <w:color w:val="auto"/>
                <w:kern w:val="0"/>
                <w:szCs w:val="24"/>
                <w:highlight w:val="none"/>
              </w:rPr>
            </w:pPr>
          </w:p>
        </w:tc>
      </w:tr>
      <w:tr w14:paraId="1BE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F598B54">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2350ECBA">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33883418">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5D11BE0F">
            <w:pPr>
              <w:pStyle w:val="26"/>
              <w:rPr>
                <w:rFonts w:hint="eastAsia" w:ascii="仿宋_GB2312" w:hAnsi="仿宋_GB2312" w:eastAsia="仿宋_GB2312" w:cs="仿宋_GB2312"/>
                <w:color w:val="auto"/>
                <w:kern w:val="0"/>
                <w:highlight w:val="none"/>
              </w:rPr>
            </w:pPr>
          </w:p>
        </w:tc>
        <w:tc>
          <w:tcPr>
            <w:tcW w:w="1239" w:type="dxa"/>
            <w:noWrap w:val="0"/>
            <w:vAlign w:val="top"/>
          </w:tcPr>
          <w:p w14:paraId="521BE342">
            <w:pPr>
              <w:pStyle w:val="26"/>
              <w:rPr>
                <w:rFonts w:hint="eastAsia" w:ascii="仿宋_GB2312" w:hAnsi="仿宋_GB2312" w:eastAsia="仿宋_GB2312" w:cs="仿宋_GB2312"/>
                <w:color w:val="auto"/>
                <w:kern w:val="0"/>
                <w:highlight w:val="none"/>
              </w:rPr>
            </w:pPr>
          </w:p>
        </w:tc>
        <w:tc>
          <w:tcPr>
            <w:tcW w:w="1134" w:type="dxa"/>
            <w:noWrap w:val="0"/>
            <w:vAlign w:val="top"/>
          </w:tcPr>
          <w:p w14:paraId="46EB4222">
            <w:pPr>
              <w:pStyle w:val="26"/>
              <w:rPr>
                <w:rFonts w:hint="eastAsia" w:ascii="仿宋_GB2312" w:hAnsi="仿宋_GB2312" w:eastAsia="仿宋_GB2312" w:cs="仿宋_GB2312"/>
                <w:color w:val="auto"/>
                <w:kern w:val="0"/>
                <w:highlight w:val="none"/>
              </w:rPr>
            </w:pPr>
          </w:p>
        </w:tc>
        <w:tc>
          <w:tcPr>
            <w:tcW w:w="1824" w:type="dxa"/>
            <w:noWrap w:val="0"/>
            <w:vAlign w:val="top"/>
          </w:tcPr>
          <w:p w14:paraId="3F7BE8D8">
            <w:pPr>
              <w:pStyle w:val="26"/>
              <w:rPr>
                <w:rFonts w:hint="eastAsia" w:ascii="仿宋_GB2312" w:hAnsi="仿宋_GB2312" w:eastAsia="仿宋_GB2312" w:cs="仿宋_GB2312"/>
                <w:color w:val="auto"/>
                <w:kern w:val="0"/>
                <w:highlight w:val="none"/>
              </w:rPr>
            </w:pPr>
          </w:p>
        </w:tc>
      </w:tr>
      <w:tr w14:paraId="502A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F6E25B4">
            <w:pPr>
              <w:spacing w:line="440" w:lineRule="exact"/>
              <w:rPr>
                <w:rFonts w:hint="eastAsia" w:ascii="仿宋_GB2312" w:hAnsi="仿宋_GB2312" w:eastAsia="仿宋_GB2312" w:cs="仿宋_GB2312"/>
                <w:color w:val="auto"/>
                <w:kern w:val="0"/>
                <w:sz w:val="24"/>
                <w:szCs w:val="24"/>
                <w:highlight w:val="none"/>
              </w:rPr>
            </w:pPr>
          </w:p>
        </w:tc>
        <w:tc>
          <w:tcPr>
            <w:tcW w:w="1242" w:type="dxa"/>
            <w:noWrap w:val="0"/>
            <w:vAlign w:val="center"/>
          </w:tcPr>
          <w:p w14:paraId="38D00B42">
            <w:pPr>
              <w:jc w:val="center"/>
              <w:rPr>
                <w:rFonts w:hint="eastAsia" w:ascii="仿宋_GB2312" w:hAnsi="仿宋_GB2312" w:eastAsia="仿宋_GB2312" w:cs="仿宋_GB2312"/>
                <w:color w:val="auto"/>
                <w:kern w:val="0"/>
                <w:sz w:val="24"/>
                <w:szCs w:val="20"/>
                <w:highlight w:val="none"/>
              </w:rPr>
            </w:pPr>
          </w:p>
        </w:tc>
        <w:tc>
          <w:tcPr>
            <w:tcW w:w="1266" w:type="dxa"/>
            <w:noWrap w:val="0"/>
            <w:vAlign w:val="center"/>
          </w:tcPr>
          <w:p w14:paraId="6E681B4B">
            <w:pPr>
              <w:widowControl/>
              <w:spacing w:line="276" w:lineRule="auto"/>
              <w:jc w:val="center"/>
              <w:rPr>
                <w:rFonts w:hint="eastAsia" w:ascii="仿宋_GB2312" w:hAnsi="仿宋_GB2312" w:eastAsia="仿宋_GB2312" w:cs="仿宋_GB2312"/>
                <w:color w:val="auto"/>
                <w:kern w:val="0"/>
                <w:sz w:val="24"/>
                <w:szCs w:val="24"/>
                <w:highlight w:val="none"/>
              </w:rPr>
            </w:pPr>
          </w:p>
        </w:tc>
        <w:tc>
          <w:tcPr>
            <w:tcW w:w="936" w:type="dxa"/>
            <w:noWrap w:val="0"/>
            <w:vAlign w:val="top"/>
          </w:tcPr>
          <w:p w14:paraId="25DB2EE4">
            <w:pPr>
              <w:pStyle w:val="26"/>
              <w:rPr>
                <w:rFonts w:hint="eastAsia" w:ascii="仿宋_GB2312" w:hAnsi="仿宋_GB2312" w:eastAsia="仿宋_GB2312" w:cs="仿宋_GB2312"/>
                <w:color w:val="auto"/>
                <w:kern w:val="0"/>
                <w:highlight w:val="none"/>
              </w:rPr>
            </w:pPr>
          </w:p>
        </w:tc>
        <w:tc>
          <w:tcPr>
            <w:tcW w:w="1239" w:type="dxa"/>
            <w:noWrap w:val="0"/>
            <w:vAlign w:val="top"/>
          </w:tcPr>
          <w:p w14:paraId="3B73DD87">
            <w:pPr>
              <w:pStyle w:val="26"/>
              <w:rPr>
                <w:rFonts w:hint="eastAsia" w:ascii="仿宋_GB2312" w:hAnsi="仿宋_GB2312" w:eastAsia="仿宋_GB2312" w:cs="仿宋_GB2312"/>
                <w:color w:val="auto"/>
                <w:kern w:val="0"/>
                <w:highlight w:val="none"/>
              </w:rPr>
            </w:pPr>
          </w:p>
        </w:tc>
        <w:tc>
          <w:tcPr>
            <w:tcW w:w="1134" w:type="dxa"/>
            <w:noWrap w:val="0"/>
            <w:vAlign w:val="top"/>
          </w:tcPr>
          <w:p w14:paraId="1FB6503F">
            <w:pPr>
              <w:pStyle w:val="26"/>
              <w:rPr>
                <w:rFonts w:hint="eastAsia" w:ascii="仿宋_GB2312" w:hAnsi="仿宋_GB2312" w:eastAsia="仿宋_GB2312" w:cs="仿宋_GB2312"/>
                <w:color w:val="auto"/>
                <w:kern w:val="0"/>
                <w:highlight w:val="none"/>
              </w:rPr>
            </w:pPr>
          </w:p>
        </w:tc>
        <w:tc>
          <w:tcPr>
            <w:tcW w:w="1824" w:type="dxa"/>
            <w:noWrap w:val="0"/>
            <w:vAlign w:val="top"/>
          </w:tcPr>
          <w:p w14:paraId="50C892C9">
            <w:pPr>
              <w:pStyle w:val="26"/>
              <w:rPr>
                <w:rFonts w:hint="eastAsia" w:ascii="仿宋_GB2312" w:hAnsi="仿宋_GB2312" w:eastAsia="仿宋_GB2312" w:cs="仿宋_GB2312"/>
                <w:color w:val="auto"/>
                <w:kern w:val="0"/>
                <w:highlight w:val="none"/>
              </w:rPr>
            </w:pPr>
          </w:p>
        </w:tc>
      </w:tr>
      <w:tr w14:paraId="3540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2" w:type="dxa"/>
            <w:noWrap w:val="0"/>
            <w:vAlign w:val="center"/>
          </w:tcPr>
          <w:p w14:paraId="03407E5F">
            <w:pPr>
              <w:spacing w:line="440" w:lineRule="exact"/>
              <w:rPr>
                <w:rFonts w:hint="eastAsia" w:ascii="仿宋_GB2312" w:hAnsi="仿宋_GB2312" w:eastAsia="仿宋_GB2312" w:cs="仿宋_GB2312"/>
                <w:color w:val="auto"/>
                <w:highlight w:val="none"/>
              </w:rPr>
            </w:pPr>
          </w:p>
        </w:tc>
        <w:tc>
          <w:tcPr>
            <w:tcW w:w="1242" w:type="dxa"/>
            <w:noWrap w:val="0"/>
            <w:vAlign w:val="center"/>
          </w:tcPr>
          <w:p w14:paraId="291FB4A3">
            <w:pPr>
              <w:jc w:val="center"/>
              <w:rPr>
                <w:rFonts w:hint="eastAsia" w:ascii="仿宋_GB2312" w:hAnsi="仿宋_GB2312" w:eastAsia="仿宋_GB2312" w:cs="仿宋_GB2312"/>
                <w:color w:val="auto"/>
                <w:kern w:val="0"/>
                <w:sz w:val="24"/>
                <w:szCs w:val="20"/>
                <w:highlight w:val="none"/>
              </w:rPr>
            </w:pPr>
          </w:p>
        </w:tc>
        <w:tc>
          <w:tcPr>
            <w:tcW w:w="1266" w:type="dxa"/>
            <w:noWrap w:val="0"/>
            <w:vAlign w:val="top"/>
          </w:tcPr>
          <w:p w14:paraId="23D47928">
            <w:pPr>
              <w:pStyle w:val="26"/>
              <w:rPr>
                <w:rFonts w:hint="eastAsia" w:ascii="仿宋_GB2312" w:hAnsi="仿宋_GB2312" w:eastAsia="仿宋_GB2312" w:cs="仿宋_GB2312"/>
                <w:color w:val="auto"/>
                <w:kern w:val="0"/>
                <w:highlight w:val="none"/>
              </w:rPr>
            </w:pPr>
          </w:p>
        </w:tc>
        <w:tc>
          <w:tcPr>
            <w:tcW w:w="936" w:type="dxa"/>
            <w:noWrap w:val="0"/>
            <w:vAlign w:val="top"/>
          </w:tcPr>
          <w:p w14:paraId="782F0E4A">
            <w:pPr>
              <w:pStyle w:val="26"/>
              <w:rPr>
                <w:rFonts w:hint="eastAsia" w:ascii="仿宋_GB2312" w:hAnsi="仿宋_GB2312" w:eastAsia="仿宋_GB2312" w:cs="仿宋_GB2312"/>
                <w:color w:val="auto"/>
                <w:kern w:val="0"/>
                <w:highlight w:val="none"/>
              </w:rPr>
            </w:pPr>
          </w:p>
        </w:tc>
        <w:tc>
          <w:tcPr>
            <w:tcW w:w="1239" w:type="dxa"/>
            <w:noWrap w:val="0"/>
            <w:vAlign w:val="top"/>
          </w:tcPr>
          <w:p w14:paraId="2BED7C28">
            <w:pPr>
              <w:pStyle w:val="26"/>
              <w:rPr>
                <w:rFonts w:hint="eastAsia" w:ascii="仿宋_GB2312" w:hAnsi="仿宋_GB2312" w:eastAsia="仿宋_GB2312" w:cs="仿宋_GB2312"/>
                <w:color w:val="auto"/>
                <w:kern w:val="0"/>
                <w:highlight w:val="none"/>
              </w:rPr>
            </w:pPr>
          </w:p>
        </w:tc>
        <w:tc>
          <w:tcPr>
            <w:tcW w:w="1134" w:type="dxa"/>
            <w:noWrap w:val="0"/>
            <w:vAlign w:val="top"/>
          </w:tcPr>
          <w:p w14:paraId="6D887FCC">
            <w:pPr>
              <w:pStyle w:val="26"/>
              <w:rPr>
                <w:rFonts w:hint="eastAsia" w:ascii="仿宋_GB2312" w:hAnsi="仿宋_GB2312" w:eastAsia="仿宋_GB2312" w:cs="仿宋_GB2312"/>
                <w:color w:val="auto"/>
                <w:kern w:val="0"/>
                <w:highlight w:val="none"/>
              </w:rPr>
            </w:pPr>
          </w:p>
        </w:tc>
        <w:tc>
          <w:tcPr>
            <w:tcW w:w="1824" w:type="dxa"/>
            <w:noWrap w:val="0"/>
            <w:vAlign w:val="top"/>
          </w:tcPr>
          <w:p w14:paraId="056F1058">
            <w:pPr>
              <w:pStyle w:val="26"/>
              <w:rPr>
                <w:rFonts w:hint="eastAsia" w:ascii="仿宋_GB2312" w:hAnsi="仿宋_GB2312" w:eastAsia="仿宋_GB2312" w:cs="仿宋_GB2312"/>
                <w:color w:val="auto"/>
                <w:kern w:val="0"/>
                <w:highlight w:val="none"/>
              </w:rPr>
            </w:pPr>
          </w:p>
        </w:tc>
      </w:tr>
      <w:tr w14:paraId="044C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22" w:type="dxa"/>
            <w:noWrap w:val="0"/>
            <w:vAlign w:val="center"/>
          </w:tcPr>
          <w:p w14:paraId="691EE7ED">
            <w:pPr>
              <w:pStyle w:val="19"/>
              <w:ind w:firstLine="0" w:firstLineChars="0"/>
              <w:rPr>
                <w:rFonts w:hint="eastAsia" w:ascii="仿宋_GB2312" w:hAnsi="仿宋_GB2312" w:eastAsia="仿宋_GB2312" w:cs="仿宋_GB2312"/>
                <w:color w:val="auto"/>
                <w:szCs w:val="24"/>
                <w:highlight w:val="none"/>
              </w:rPr>
            </w:pPr>
          </w:p>
        </w:tc>
        <w:tc>
          <w:tcPr>
            <w:tcW w:w="1242" w:type="dxa"/>
            <w:noWrap w:val="0"/>
            <w:vAlign w:val="center"/>
          </w:tcPr>
          <w:p w14:paraId="64948240">
            <w:pPr>
              <w:jc w:val="center"/>
              <w:rPr>
                <w:rFonts w:hint="eastAsia" w:ascii="仿宋_GB2312" w:hAnsi="仿宋_GB2312" w:eastAsia="仿宋_GB2312" w:cs="仿宋_GB2312"/>
                <w:color w:val="auto"/>
                <w:kern w:val="0"/>
                <w:sz w:val="24"/>
                <w:szCs w:val="20"/>
                <w:highlight w:val="none"/>
              </w:rPr>
            </w:pPr>
          </w:p>
        </w:tc>
        <w:tc>
          <w:tcPr>
            <w:tcW w:w="1266" w:type="dxa"/>
            <w:noWrap w:val="0"/>
            <w:vAlign w:val="top"/>
          </w:tcPr>
          <w:p w14:paraId="190B7AD1">
            <w:pPr>
              <w:pStyle w:val="26"/>
              <w:rPr>
                <w:rFonts w:hint="eastAsia" w:ascii="仿宋_GB2312" w:hAnsi="仿宋_GB2312" w:eastAsia="仿宋_GB2312" w:cs="仿宋_GB2312"/>
                <w:color w:val="auto"/>
                <w:kern w:val="0"/>
                <w:highlight w:val="none"/>
              </w:rPr>
            </w:pPr>
          </w:p>
        </w:tc>
        <w:tc>
          <w:tcPr>
            <w:tcW w:w="936" w:type="dxa"/>
            <w:noWrap w:val="0"/>
            <w:vAlign w:val="top"/>
          </w:tcPr>
          <w:p w14:paraId="2898CBA0">
            <w:pPr>
              <w:pStyle w:val="26"/>
              <w:rPr>
                <w:rFonts w:hint="eastAsia" w:ascii="仿宋_GB2312" w:hAnsi="仿宋_GB2312" w:eastAsia="仿宋_GB2312" w:cs="仿宋_GB2312"/>
                <w:color w:val="auto"/>
                <w:kern w:val="0"/>
                <w:highlight w:val="none"/>
              </w:rPr>
            </w:pPr>
          </w:p>
        </w:tc>
        <w:tc>
          <w:tcPr>
            <w:tcW w:w="1239" w:type="dxa"/>
            <w:noWrap w:val="0"/>
            <w:vAlign w:val="top"/>
          </w:tcPr>
          <w:p w14:paraId="2ADB45BB">
            <w:pPr>
              <w:pStyle w:val="26"/>
              <w:rPr>
                <w:rFonts w:hint="eastAsia" w:ascii="仿宋_GB2312" w:hAnsi="仿宋_GB2312" w:eastAsia="仿宋_GB2312" w:cs="仿宋_GB2312"/>
                <w:color w:val="auto"/>
                <w:kern w:val="0"/>
                <w:highlight w:val="none"/>
              </w:rPr>
            </w:pPr>
          </w:p>
        </w:tc>
        <w:tc>
          <w:tcPr>
            <w:tcW w:w="1134" w:type="dxa"/>
            <w:noWrap w:val="0"/>
            <w:vAlign w:val="top"/>
          </w:tcPr>
          <w:p w14:paraId="128AA6EF">
            <w:pPr>
              <w:pStyle w:val="26"/>
              <w:rPr>
                <w:rFonts w:hint="eastAsia" w:ascii="仿宋_GB2312" w:hAnsi="仿宋_GB2312" w:eastAsia="仿宋_GB2312" w:cs="仿宋_GB2312"/>
                <w:color w:val="auto"/>
                <w:kern w:val="0"/>
                <w:highlight w:val="none"/>
              </w:rPr>
            </w:pPr>
          </w:p>
        </w:tc>
        <w:tc>
          <w:tcPr>
            <w:tcW w:w="1824" w:type="dxa"/>
            <w:noWrap w:val="0"/>
            <w:vAlign w:val="top"/>
          </w:tcPr>
          <w:p w14:paraId="40FC3B88">
            <w:pPr>
              <w:pStyle w:val="26"/>
              <w:rPr>
                <w:rFonts w:hint="eastAsia" w:ascii="仿宋_GB2312" w:hAnsi="仿宋_GB2312" w:eastAsia="仿宋_GB2312" w:cs="仿宋_GB2312"/>
                <w:color w:val="auto"/>
                <w:kern w:val="0"/>
                <w:highlight w:val="none"/>
              </w:rPr>
            </w:pPr>
          </w:p>
        </w:tc>
      </w:tr>
    </w:tbl>
    <w:p w14:paraId="10903901">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70163D74">
      <w:pPr>
        <w:spacing w:line="50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本企业对上述声明内容的真实性负责。如有虚假，将依法承担相应责任。</w:t>
      </w:r>
    </w:p>
    <w:p w14:paraId="73C7FE92">
      <w:pPr>
        <w:spacing w:line="500" w:lineRule="exact"/>
        <w:ind w:firstLine="4680" w:firstLineChars="195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w:t>
      </w:r>
    </w:p>
    <w:p w14:paraId="12B755A3">
      <w:pPr>
        <w:spacing w:line="500" w:lineRule="exact"/>
        <w:ind w:firstLine="5520" w:firstLineChars="23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日期：</w:t>
      </w:r>
    </w:p>
    <w:p w14:paraId="777A5324">
      <w:pPr>
        <w:spacing w:line="46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CEC9E">
      <w:pPr>
        <w:spacing w:line="360" w:lineRule="auto"/>
        <w:ind w:right="42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A496BE3">
      <w:pPr>
        <w:spacing w:line="460" w:lineRule="exact"/>
        <w:contextualSpacing/>
        <w:rPr>
          <w:rFonts w:hint="eastAsia" w:ascii="仿宋_GB2312" w:hAnsi="仿宋_GB2312" w:eastAsia="仿宋_GB2312" w:cs="仿宋_GB2312"/>
          <w:color w:val="auto"/>
          <w:sz w:val="24"/>
          <w:szCs w:val="24"/>
          <w:highlight w:val="none"/>
        </w:rPr>
      </w:pPr>
    </w:p>
    <w:p w14:paraId="20848144">
      <w:pPr>
        <w:pStyle w:val="7"/>
        <w:rPr>
          <w:rFonts w:hint="eastAsia" w:ascii="仿宋_GB2312" w:hAnsi="仿宋_GB2312" w:eastAsia="仿宋_GB2312" w:cs="仿宋_GB2312"/>
          <w:color w:val="auto"/>
          <w:highlight w:val="none"/>
        </w:rPr>
      </w:pPr>
    </w:p>
    <w:p w14:paraId="4D35E9AD">
      <w:pPr>
        <w:pStyle w:val="7"/>
        <w:rPr>
          <w:rFonts w:hint="eastAsia" w:ascii="仿宋_GB2312" w:hAnsi="仿宋_GB2312" w:eastAsia="仿宋_GB2312" w:cs="仿宋_GB2312"/>
          <w:color w:val="auto"/>
          <w:highlight w:val="none"/>
        </w:rPr>
      </w:pPr>
    </w:p>
    <w:p w14:paraId="6218A35F">
      <w:pPr>
        <w:pStyle w:val="7"/>
        <w:rPr>
          <w:rFonts w:hint="eastAsia" w:ascii="仿宋_GB2312" w:hAnsi="仿宋_GB2312" w:eastAsia="仿宋_GB2312" w:cs="仿宋_GB2312"/>
          <w:color w:val="auto"/>
          <w:highlight w:val="none"/>
        </w:rPr>
      </w:pPr>
    </w:p>
    <w:p w14:paraId="65B8B2FA">
      <w:pPr>
        <w:pStyle w:val="7"/>
        <w:rPr>
          <w:rFonts w:hint="eastAsia" w:ascii="仿宋_GB2312" w:hAnsi="仿宋_GB2312" w:eastAsia="仿宋_GB2312" w:cs="仿宋_GB2312"/>
          <w:color w:val="auto"/>
          <w:highlight w:val="none"/>
        </w:rPr>
      </w:pPr>
    </w:p>
    <w:p w14:paraId="093E214D">
      <w:pPr>
        <w:pStyle w:val="7"/>
        <w:rPr>
          <w:rFonts w:hint="eastAsia" w:ascii="仿宋_GB2312" w:hAnsi="仿宋_GB2312" w:eastAsia="仿宋_GB2312" w:cs="仿宋_GB2312"/>
          <w:color w:val="auto"/>
          <w:highlight w:val="none"/>
        </w:rPr>
      </w:pPr>
    </w:p>
    <w:p w14:paraId="79AD47AC">
      <w:pPr>
        <w:pStyle w:val="7"/>
        <w:rPr>
          <w:rFonts w:hint="eastAsia" w:ascii="仿宋_GB2312" w:hAnsi="仿宋_GB2312" w:eastAsia="仿宋_GB2312" w:cs="仿宋_GB2312"/>
          <w:color w:val="auto"/>
          <w:highlight w:val="none"/>
        </w:rPr>
      </w:pPr>
    </w:p>
    <w:p w14:paraId="515E4B19">
      <w:pPr>
        <w:pStyle w:val="7"/>
        <w:rPr>
          <w:rFonts w:hint="eastAsia" w:ascii="仿宋_GB2312" w:hAnsi="仿宋_GB2312" w:eastAsia="仿宋_GB2312" w:cs="仿宋_GB2312"/>
          <w:color w:val="auto"/>
          <w:highlight w:val="none"/>
        </w:rPr>
      </w:pPr>
    </w:p>
    <w:p w14:paraId="4831A8B5">
      <w:pPr>
        <w:pStyle w:val="7"/>
        <w:rPr>
          <w:rFonts w:hint="eastAsia" w:ascii="仿宋_GB2312" w:hAnsi="仿宋_GB2312" w:eastAsia="仿宋_GB2312" w:cs="仿宋_GB2312"/>
          <w:color w:val="auto"/>
          <w:highlight w:val="none"/>
        </w:rPr>
      </w:pPr>
    </w:p>
    <w:p w14:paraId="7B069B4B">
      <w:pPr>
        <w:pStyle w:val="7"/>
        <w:rPr>
          <w:rFonts w:hint="eastAsia" w:ascii="仿宋_GB2312" w:hAnsi="仿宋_GB2312" w:eastAsia="仿宋_GB2312" w:cs="仿宋_GB2312"/>
          <w:color w:val="auto"/>
          <w:highlight w:val="none"/>
        </w:rPr>
      </w:pPr>
    </w:p>
    <w:p w14:paraId="7E44054E">
      <w:pPr>
        <w:pStyle w:val="7"/>
        <w:rPr>
          <w:rFonts w:hint="eastAsia" w:ascii="仿宋_GB2312" w:hAnsi="仿宋_GB2312" w:eastAsia="仿宋_GB2312" w:cs="仿宋_GB2312"/>
          <w:color w:val="auto"/>
          <w:highlight w:val="none"/>
        </w:rPr>
      </w:pPr>
    </w:p>
    <w:p w14:paraId="1FBE3057">
      <w:pPr>
        <w:pStyle w:val="7"/>
        <w:rPr>
          <w:rFonts w:hint="eastAsia" w:ascii="仿宋_GB2312" w:hAnsi="仿宋_GB2312" w:eastAsia="仿宋_GB2312" w:cs="仿宋_GB2312"/>
          <w:color w:val="auto"/>
          <w:highlight w:val="none"/>
        </w:rPr>
      </w:pPr>
    </w:p>
    <w:p w14:paraId="512B4BF8">
      <w:pPr>
        <w:pStyle w:val="7"/>
        <w:rPr>
          <w:rFonts w:hint="eastAsia" w:ascii="仿宋_GB2312" w:hAnsi="仿宋_GB2312" w:eastAsia="仿宋_GB2312" w:cs="仿宋_GB2312"/>
          <w:color w:val="auto"/>
          <w:highlight w:val="none"/>
        </w:rPr>
      </w:pPr>
    </w:p>
    <w:p w14:paraId="10272ADE">
      <w:pPr>
        <w:pStyle w:val="7"/>
        <w:rPr>
          <w:rFonts w:hint="eastAsia" w:ascii="仿宋_GB2312" w:hAnsi="仿宋_GB2312" w:eastAsia="仿宋_GB2312" w:cs="仿宋_GB2312"/>
          <w:color w:val="auto"/>
          <w:highlight w:val="none"/>
        </w:rPr>
      </w:pPr>
    </w:p>
    <w:p w14:paraId="593B178F">
      <w:pPr>
        <w:pStyle w:val="7"/>
        <w:rPr>
          <w:rFonts w:hint="eastAsia" w:ascii="仿宋_GB2312" w:hAnsi="仿宋_GB2312" w:eastAsia="仿宋_GB2312" w:cs="仿宋_GB2312"/>
          <w:color w:val="auto"/>
          <w:highlight w:val="none"/>
        </w:rPr>
      </w:pPr>
    </w:p>
    <w:p w14:paraId="54D95046">
      <w:pPr>
        <w:pStyle w:val="7"/>
        <w:rPr>
          <w:rFonts w:hint="eastAsia" w:ascii="仿宋_GB2312" w:hAnsi="仿宋_GB2312" w:eastAsia="仿宋_GB2312" w:cs="仿宋_GB2312"/>
          <w:color w:val="auto"/>
          <w:highlight w:val="none"/>
        </w:rPr>
      </w:pPr>
    </w:p>
    <w:p w14:paraId="0E0EE3A7">
      <w:pPr>
        <w:pStyle w:val="7"/>
        <w:rPr>
          <w:rFonts w:hint="eastAsia" w:ascii="仿宋_GB2312" w:hAnsi="仿宋_GB2312" w:eastAsia="仿宋_GB2312" w:cs="仿宋_GB2312"/>
          <w:color w:val="auto"/>
          <w:highlight w:val="none"/>
        </w:rPr>
      </w:pPr>
    </w:p>
    <w:p w14:paraId="556B5A6D">
      <w:pPr>
        <w:pStyle w:val="7"/>
        <w:rPr>
          <w:rFonts w:hint="eastAsia" w:ascii="仿宋_GB2312" w:hAnsi="仿宋_GB2312" w:eastAsia="仿宋_GB2312" w:cs="仿宋_GB2312"/>
          <w:color w:val="auto"/>
          <w:highlight w:val="none"/>
        </w:rPr>
      </w:pPr>
    </w:p>
    <w:p w14:paraId="4B92DE6A">
      <w:pPr>
        <w:pStyle w:val="7"/>
        <w:rPr>
          <w:rFonts w:hint="eastAsia" w:ascii="仿宋_GB2312" w:hAnsi="仿宋_GB2312" w:eastAsia="仿宋_GB2312" w:cs="仿宋_GB2312"/>
          <w:color w:val="auto"/>
          <w:highlight w:val="none"/>
        </w:rPr>
      </w:pPr>
    </w:p>
    <w:p w14:paraId="5E0601A4">
      <w:pPr>
        <w:pStyle w:val="7"/>
        <w:rPr>
          <w:rFonts w:hint="eastAsia" w:ascii="仿宋_GB2312" w:hAnsi="仿宋_GB2312" w:eastAsia="仿宋_GB2312" w:cs="仿宋_GB2312"/>
          <w:color w:val="auto"/>
          <w:highlight w:val="none"/>
        </w:rPr>
      </w:pPr>
    </w:p>
    <w:p w14:paraId="0C4C92BC">
      <w:pPr>
        <w:pStyle w:val="7"/>
        <w:rPr>
          <w:rFonts w:hint="eastAsia" w:ascii="仿宋_GB2312" w:hAnsi="仿宋_GB2312" w:eastAsia="仿宋_GB2312" w:cs="仿宋_GB2312"/>
          <w:color w:val="auto"/>
          <w:highlight w:val="none"/>
        </w:rPr>
      </w:pPr>
    </w:p>
    <w:p w14:paraId="229EFEFB">
      <w:pPr>
        <w:pStyle w:val="7"/>
        <w:rPr>
          <w:rFonts w:hint="eastAsia" w:ascii="仿宋_GB2312" w:hAnsi="仿宋_GB2312" w:eastAsia="仿宋_GB2312" w:cs="仿宋_GB2312"/>
          <w:color w:val="auto"/>
          <w:highlight w:val="none"/>
        </w:rPr>
      </w:pPr>
    </w:p>
    <w:p w14:paraId="19914AB6">
      <w:pPr>
        <w:autoSpaceDE w:val="0"/>
        <w:autoSpaceDN w:val="0"/>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rPr>
        <w:t>附件6：</w:t>
      </w:r>
    </w:p>
    <w:p w14:paraId="4510AE06">
      <w:pPr>
        <w:autoSpaceDE w:val="0"/>
        <w:autoSpaceDN w:val="0"/>
        <w:jc w:val="center"/>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联合协议</w:t>
      </w:r>
    </w:p>
    <w:p w14:paraId="591A4859">
      <w:pPr>
        <w:widowControl/>
        <w:spacing w:line="360" w:lineRule="auto"/>
        <w:ind w:firstLine="482" w:firstLineChars="20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（以联合体形式投标的，提供联合协议；本项目不接受联合体投标或者投标人不以联合体形式投标的，则不需要提供）</w:t>
      </w:r>
    </w:p>
    <w:p w14:paraId="0F3E352B">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（联合体所有成员名称）</w:t>
      </w:r>
      <w:r>
        <w:rPr>
          <w:rFonts w:hint="eastAsia" w:ascii="仿宋_GB2312" w:hAnsi="仿宋_GB2312" w:eastAsia="仿宋_GB2312" w:cs="仿宋_GB2312"/>
          <w:color w:val="auto"/>
          <w:kern w:val="0"/>
          <w:sz w:val="24"/>
          <w:szCs w:val="24"/>
          <w:highlight w:val="none"/>
        </w:rPr>
        <w:t>自愿</w:t>
      </w:r>
      <w:r>
        <w:rPr>
          <w:rFonts w:hint="eastAsia" w:ascii="仿宋_GB2312" w:hAnsi="仿宋_GB2312" w:eastAsia="仿宋_GB2312" w:cs="仿宋_GB2312"/>
          <w:color w:val="auto"/>
          <w:kern w:val="0"/>
          <w:sz w:val="24"/>
          <w:szCs w:val="24"/>
          <w:highlight w:val="none"/>
          <w:lang w:val="zh-CN"/>
        </w:rPr>
        <w:t>组成一个联合体，以一个投标人的身份</w:t>
      </w:r>
      <w:r>
        <w:rPr>
          <w:rFonts w:hint="eastAsia" w:ascii="仿宋_GB2312" w:hAnsi="仿宋_GB2312" w:eastAsia="仿宋_GB2312" w:cs="仿宋_GB2312"/>
          <w:color w:val="auto"/>
          <w:kern w:val="0"/>
          <w:sz w:val="24"/>
          <w:szCs w:val="24"/>
          <w:highlight w:val="none"/>
        </w:rPr>
        <w:t>参加</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lang w:val="zh-CN"/>
        </w:rPr>
        <w:t>投标。</w:t>
      </w:r>
    </w:p>
    <w:p w14:paraId="51779B85">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一、各方一致决定，</w:t>
      </w:r>
      <w:r>
        <w:rPr>
          <w:rFonts w:hint="eastAsia" w:ascii="仿宋_GB2312" w:hAnsi="仿宋_GB2312" w:eastAsia="仿宋_GB2312" w:cs="仿宋_GB2312"/>
          <w:color w:val="auto"/>
          <w:kern w:val="0"/>
          <w:sz w:val="24"/>
          <w:szCs w:val="24"/>
          <w:highlight w:val="none"/>
          <w:u w:val="single"/>
        </w:rPr>
        <w:t>（某联合体成员名称）</w:t>
      </w:r>
      <w:r>
        <w:rPr>
          <w:rFonts w:hint="eastAsia" w:ascii="仿宋_GB2312" w:hAnsi="仿宋_GB2312" w:eastAsia="仿宋_GB2312" w:cs="仿宋_GB2312"/>
          <w:color w:val="auto"/>
          <w:kern w:val="0"/>
          <w:sz w:val="24"/>
          <w:szCs w:val="24"/>
          <w:highlight w:val="none"/>
        </w:rPr>
        <w:t>为联合体</w:t>
      </w:r>
      <w:r>
        <w:rPr>
          <w:rFonts w:hint="eastAsia" w:ascii="仿宋_GB2312" w:hAnsi="仿宋_GB2312" w:eastAsia="仿宋_GB2312" w:cs="仿宋_GB2312"/>
          <w:color w:val="auto"/>
          <w:kern w:val="0"/>
          <w:sz w:val="24"/>
          <w:szCs w:val="24"/>
          <w:highlight w:val="none"/>
          <w:lang w:val="zh-CN"/>
        </w:rPr>
        <w:t>牵头人</w:t>
      </w:r>
      <w:r>
        <w:rPr>
          <w:rFonts w:hint="eastAsia" w:ascii="仿宋_GB2312" w:hAnsi="仿宋_GB2312" w:eastAsia="仿宋_GB2312" w:cs="仿宋_GB2312"/>
          <w:color w:val="auto"/>
          <w:sz w:val="24"/>
          <w:szCs w:val="24"/>
          <w:highlight w:val="none"/>
        </w:rPr>
        <w:t>，代表所有联合体成员负责投标和合同实施阶段的主办、协调工作</w:t>
      </w:r>
      <w:r>
        <w:rPr>
          <w:rFonts w:hint="eastAsia" w:ascii="仿宋_GB2312" w:hAnsi="仿宋_GB2312" w:eastAsia="仿宋_GB2312" w:cs="仿宋_GB2312"/>
          <w:color w:val="auto"/>
          <w:kern w:val="0"/>
          <w:sz w:val="24"/>
          <w:szCs w:val="24"/>
          <w:highlight w:val="none"/>
          <w:lang w:val="zh-CN"/>
        </w:rPr>
        <w:t>。</w:t>
      </w:r>
    </w:p>
    <w:p w14:paraId="1484FEE9">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二、</w:t>
      </w:r>
      <w:r>
        <w:rPr>
          <w:rFonts w:hint="eastAsia" w:ascii="仿宋_GB2312" w:hAnsi="仿宋_GB2312" w:eastAsia="仿宋_GB2312" w:cs="仿宋_GB2312"/>
          <w:color w:val="auto"/>
          <w:sz w:val="24"/>
          <w:szCs w:val="24"/>
          <w:highlight w:val="none"/>
        </w:rPr>
        <w:t>所有联合体成员各方签署授权书，授权书载明的</w:t>
      </w:r>
      <w:r>
        <w:rPr>
          <w:rFonts w:hint="eastAsia" w:ascii="仿宋_GB2312" w:hAnsi="仿宋_GB2312" w:eastAsia="仿宋_GB2312" w:cs="仿宋_GB2312"/>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08983240">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三、本次联合投标中，分工如下：</w:t>
      </w:r>
    </w:p>
    <w:p w14:paraId="7DACB832">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（联合体成员1）</w:t>
      </w:r>
      <w:r>
        <w:rPr>
          <w:rFonts w:hint="eastAsia" w:ascii="仿宋_GB2312" w:hAnsi="仿宋_GB2312" w:eastAsia="仿宋_GB2312" w:cs="仿宋_GB2312"/>
          <w:color w:val="auto"/>
          <w:kern w:val="0"/>
          <w:sz w:val="24"/>
          <w:szCs w:val="24"/>
          <w:highlight w:val="none"/>
          <w:lang w:val="zh-CN"/>
        </w:rPr>
        <w:t>承担的工作和义务为：；</w:t>
      </w:r>
    </w:p>
    <w:p w14:paraId="2A337D10">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（联合体成员2）</w:t>
      </w:r>
      <w:r>
        <w:rPr>
          <w:rFonts w:hint="eastAsia" w:ascii="仿宋_GB2312" w:hAnsi="仿宋_GB2312" w:eastAsia="仿宋_GB2312" w:cs="仿宋_GB2312"/>
          <w:color w:val="auto"/>
          <w:kern w:val="0"/>
          <w:sz w:val="24"/>
          <w:szCs w:val="24"/>
          <w:highlight w:val="none"/>
          <w:lang w:val="zh-CN"/>
        </w:rPr>
        <w:t>承担的工作和义务为：；</w:t>
      </w:r>
    </w:p>
    <w:p w14:paraId="3D961479">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w:t>
      </w:r>
    </w:p>
    <w:p w14:paraId="0CF85BDE">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四、联合体成员中小企业合同份额。</w:t>
      </w:r>
    </w:p>
    <w:p w14:paraId="370B88E2">
      <w:pPr>
        <w:snapToGrid w:val="0"/>
        <w:spacing w:line="360" w:lineRule="auto"/>
        <w:ind w:firstLine="576"/>
        <w:rPr>
          <w:rFonts w:hint="eastAsia" w:ascii="仿宋_GB2312" w:hAnsi="仿宋_GB2312" w:eastAsia="仿宋_GB2312" w:cs="仿宋_GB2312"/>
          <w:b/>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1、</w:t>
      </w:r>
      <w:r>
        <w:rPr>
          <w:rFonts w:hint="eastAsia" w:ascii="仿宋_GB2312" w:hAnsi="仿宋_GB2312" w:eastAsia="仿宋_GB2312" w:cs="仿宋_GB2312"/>
          <w:color w:val="auto"/>
          <w:kern w:val="0"/>
          <w:sz w:val="24"/>
          <w:szCs w:val="24"/>
          <w:highlight w:val="none"/>
          <w:u w:val="single"/>
        </w:rPr>
        <w:t>（</w:t>
      </w:r>
      <w:bookmarkStart w:id="505" w:name="_Hlk101131882"/>
      <w:r>
        <w:rPr>
          <w:rFonts w:hint="eastAsia" w:ascii="仿宋_GB2312" w:hAnsi="仿宋_GB2312" w:eastAsia="仿宋_GB2312" w:cs="仿宋_GB2312"/>
          <w:color w:val="auto"/>
          <w:kern w:val="0"/>
          <w:sz w:val="24"/>
          <w:szCs w:val="24"/>
          <w:highlight w:val="none"/>
          <w:u w:val="single"/>
        </w:rPr>
        <w:t>联合体成员X,……</w:t>
      </w:r>
      <w:bookmarkEnd w:id="505"/>
      <w:r>
        <w:rPr>
          <w:rFonts w:hint="eastAsia" w:ascii="仿宋_GB2312" w:hAnsi="仿宋_GB2312" w:eastAsia="仿宋_GB2312" w:cs="仿宋_GB2312"/>
          <w:color w:val="auto"/>
          <w:kern w:val="0"/>
          <w:sz w:val="24"/>
          <w:szCs w:val="24"/>
          <w:highlight w:val="none"/>
          <w:u w:val="single"/>
        </w:rPr>
        <w:t>）</w:t>
      </w:r>
      <w:r>
        <w:rPr>
          <w:rFonts w:hint="eastAsia" w:ascii="仿宋_GB2312" w:hAnsi="仿宋_GB2312" w:eastAsia="仿宋_GB2312" w:cs="仿宋_GB2312"/>
          <w:color w:val="auto"/>
          <w:kern w:val="0"/>
          <w:sz w:val="24"/>
          <w:szCs w:val="24"/>
          <w:highlight w:val="none"/>
        </w:rPr>
        <w:t>提供的服务由小微企业承接，其合同份额占到合同总金额%以上</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b/>
          <w:color w:val="auto"/>
          <w:kern w:val="0"/>
          <w:sz w:val="24"/>
          <w:szCs w:val="24"/>
          <w:highlight w:val="none"/>
          <w:lang w:val="zh-CN"/>
        </w:rPr>
        <w:t>（</w:t>
      </w:r>
      <w:bookmarkStart w:id="506" w:name="_Hlk101133598"/>
      <w:r>
        <w:rPr>
          <w:rFonts w:hint="eastAsia" w:ascii="仿宋_GB2312" w:hAnsi="仿宋_GB2312" w:eastAsia="仿宋_GB2312" w:cs="仿宋_GB2312"/>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szCs w:val="24"/>
          <w:highlight w:val="none"/>
        </w:rPr>
        <w:t>拟享受以上价格扣除政策的，填写有关内容。</w:t>
      </w:r>
      <w:bookmarkEnd w:id="506"/>
      <w:r>
        <w:rPr>
          <w:rFonts w:hint="eastAsia" w:ascii="仿宋_GB2312" w:hAnsi="仿宋_GB2312" w:eastAsia="仿宋_GB2312" w:cs="仿宋_GB2312"/>
          <w:b/>
          <w:color w:val="auto"/>
          <w:kern w:val="0"/>
          <w:sz w:val="24"/>
          <w:szCs w:val="24"/>
          <w:highlight w:val="none"/>
          <w:lang w:val="zh-CN"/>
        </w:rPr>
        <w:t>）</w:t>
      </w:r>
    </w:p>
    <w:p w14:paraId="062532B4">
      <w:pPr>
        <w:spacing w:line="360" w:lineRule="auto"/>
        <w:ind w:firstLine="480" w:firstLineChars="200"/>
        <w:rPr>
          <w:rFonts w:hint="eastAsia" w:ascii="仿宋_GB2312" w:hAnsi="仿宋_GB2312" w:eastAsia="仿宋_GB2312" w:cs="仿宋_GB2312"/>
          <w:b/>
          <w:bCs/>
          <w:color w:val="auto"/>
          <w:kern w:val="0"/>
          <w:sz w:val="24"/>
          <w:szCs w:val="24"/>
          <w:highlight w:val="none"/>
          <w:lang w:val="zh-CN"/>
        </w:rPr>
      </w:pPr>
      <w:r>
        <w:rPr>
          <w:rFonts w:hint="eastAsia" w:ascii="仿宋_GB2312" w:hAnsi="仿宋_GB2312" w:eastAsia="仿宋_GB2312" w:cs="仿宋_GB2312"/>
          <w:color w:val="auto"/>
          <w:sz w:val="24"/>
          <w:szCs w:val="24"/>
          <w:highlight w:val="none"/>
        </w:rPr>
        <w:t>2、</w:t>
      </w:r>
      <w:bookmarkStart w:id="507" w:name="_Hlk101133173"/>
      <w:r>
        <w:rPr>
          <w:rFonts w:hint="eastAsia" w:ascii="仿宋_GB2312" w:hAnsi="仿宋_GB2312" w:eastAsia="仿宋_GB2312" w:cs="仿宋_GB2312"/>
          <w:color w:val="auto"/>
          <w:sz w:val="24"/>
          <w:szCs w:val="24"/>
          <w:highlight w:val="none"/>
        </w:rPr>
        <w:t>中小企业合同金额达到%，小微企业合同金额达到%</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b/>
          <w:bCs/>
          <w:color w:val="auto"/>
          <w:kern w:val="0"/>
          <w:sz w:val="24"/>
          <w:szCs w:val="24"/>
          <w:highlight w:val="none"/>
          <w:lang w:val="zh-CN"/>
        </w:rPr>
        <w:t>（</w:t>
      </w:r>
      <w:r>
        <w:rPr>
          <w:rFonts w:hint="eastAsia" w:ascii="仿宋_GB2312" w:hAnsi="仿宋_GB2312" w:eastAsia="仿宋_GB2312" w:cs="仿宋_GB2312"/>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szCs w:val="24"/>
          <w:highlight w:val="none"/>
          <w:lang w:val="zh-CN"/>
        </w:rPr>
        <w:t>）</w:t>
      </w:r>
      <w:bookmarkEnd w:id="507"/>
    </w:p>
    <w:p w14:paraId="756B959C">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五、如果中标，</w:t>
      </w:r>
      <w:r>
        <w:rPr>
          <w:rFonts w:hint="eastAsia" w:ascii="仿宋_GB2312" w:hAnsi="仿宋_GB2312" w:eastAsia="仿宋_GB2312" w:cs="仿宋_GB2312"/>
          <w:color w:val="auto"/>
          <w:sz w:val="24"/>
          <w:szCs w:val="24"/>
          <w:highlight w:val="none"/>
        </w:rPr>
        <w:t>联合体各成员方共同与采购人签订合同，并就采购合同约定的事项对采购人承担连带责任。</w:t>
      </w:r>
    </w:p>
    <w:p w14:paraId="393DC80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六、有关本次联合投标的其他事宜：</w:t>
      </w:r>
    </w:p>
    <w:p w14:paraId="5BB27886">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1、联合体各方不再单独参加或者与其他供应商另外组成联合体参加同一合同项下的政府采购活动。</w:t>
      </w:r>
    </w:p>
    <w:p w14:paraId="1F3597B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2、联合体中有同类资质的各方按照联合体分工承担相同工作的，按照资质等级较低的供应商确定资质等级。</w:t>
      </w:r>
    </w:p>
    <w:p w14:paraId="6BABBC5D">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3、本协议提交采购人、采购代理机构后，联合体各方不得以任何形式对上述内容进行修改或撤销。</w:t>
      </w:r>
    </w:p>
    <w:p w14:paraId="2E1CCF77">
      <w:pPr>
        <w:snapToGrid w:val="0"/>
        <w:spacing w:line="360" w:lineRule="auto"/>
        <w:ind w:firstLine="5040" w:firstLineChars="21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联合体成员名称(电子签名/公章)：</w:t>
      </w:r>
    </w:p>
    <w:p w14:paraId="3A524072">
      <w:pPr>
        <w:snapToGrid w:val="0"/>
        <w:spacing w:line="360" w:lineRule="auto"/>
        <w:ind w:firstLine="5040" w:firstLineChars="21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联合体成员名称(电子签名/公章)：</w:t>
      </w:r>
    </w:p>
    <w:p w14:paraId="5682DF4C">
      <w:pPr>
        <w:snapToGrid w:val="0"/>
        <w:spacing w:line="360" w:lineRule="auto"/>
        <w:ind w:right="960"/>
        <w:jc w:val="center"/>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w:t>
      </w:r>
    </w:p>
    <w:p w14:paraId="7B99265B">
      <w:pPr>
        <w:snapToGrid w:val="0"/>
        <w:spacing w:line="360" w:lineRule="auto"/>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日期：年月日</w:t>
      </w:r>
    </w:p>
    <w:p w14:paraId="57BB6E73">
      <w:pPr>
        <w:spacing w:line="540" w:lineRule="exact"/>
        <w:contextualSpacing/>
        <w:jc w:val="center"/>
        <w:rPr>
          <w:rFonts w:hint="eastAsia" w:ascii="仿宋_GB2312" w:hAnsi="仿宋_GB2312" w:eastAsia="仿宋_GB2312" w:cs="仿宋_GB2312"/>
          <w:b/>
          <w:color w:val="auto"/>
          <w:sz w:val="24"/>
          <w:szCs w:val="24"/>
          <w:highlight w:val="none"/>
        </w:rPr>
      </w:pPr>
    </w:p>
    <w:p w14:paraId="6D6F92BF">
      <w:pPr>
        <w:pStyle w:val="7"/>
        <w:rPr>
          <w:rFonts w:hint="eastAsia" w:ascii="仿宋_GB2312" w:hAnsi="仿宋_GB2312" w:eastAsia="仿宋_GB2312" w:cs="仿宋_GB2312"/>
          <w:color w:val="auto"/>
          <w:highlight w:val="none"/>
        </w:rPr>
      </w:pPr>
    </w:p>
    <w:p w14:paraId="16220DDB">
      <w:pPr>
        <w:pStyle w:val="7"/>
        <w:rPr>
          <w:rFonts w:hint="eastAsia" w:ascii="仿宋_GB2312" w:hAnsi="仿宋_GB2312" w:eastAsia="仿宋_GB2312" w:cs="仿宋_GB2312"/>
          <w:color w:val="auto"/>
          <w:highlight w:val="none"/>
        </w:rPr>
      </w:pPr>
    </w:p>
    <w:p w14:paraId="0F6B61CE">
      <w:pPr>
        <w:pStyle w:val="7"/>
        <w:rPr>
          <w:rFonts w:hint="eastAsia" w:ascii="仿宋_GB2312" w:hAnsi="仿宋_GB2312" w:eastAsia="仿宋_GB2312" w:cs="仿宋_GB2312"/>
          <w:color w:val="auto"/>
          <w:highlight w:val="none"/>
        </w:rPr>
      </w:pPr>
    </w:p>
    <w:p w14:paraId="6A25479B">
      <w:pPr>
        <w:pStyle w:val="7"/>
        <w:rPr>
          <w:rFonts w:hint="eastAsia" w:ascii="仿宋_GB2312" w:hAnsi="仿宋_GB2312" w:eastAsia="仿宋_GB2312" w:cs="仿宋_GB2312"/>
          <w:color w:val="auto"/>
          <w:highlight w:val="none"/>
        </w:rPr>
      </w:pPr>
    </w:p>
    <w:p w14:paraId="6C602B54">
      <w:pPr>
        <w:pStyle w:val="7"/>
        <w:rPr>
          <w:rFonts w:hint="eastAsia" w:ascii="仿宋_GB2312" w:hAnsi="仿宋_GB2312" w:eastAsia="仿宋_GB2312" w:cs="仿宋_GB2312"/>
          <w:color w:val="auto"/>
          <w:highlight w:val="none"/>
        </w:rPr>
      </w:pPr>
    </w:p>
    <w:p w14:paraId="6DA039AB">
      <w:pPr>
        <w:pStyle w:val="7"/>
        <w:rPr>
          <w:rFonts w:hint="eastAsia" w:ascii="仿宋_GB2312" w:hAnsi="仿宋_GB2312" w:eastAsia="仿宋_GB2312" w:cs="仿宋_GB2312"/>
          <w:color w:val="auto"/>
          <w:highlight w:val="none"/>
        </w:rPr>
      </w:pPr>
    </w:p>
    <w:p w14:paraId="5AEEE9D8">
      <w:pPr>
        <w:pStyle w:val="7"/>
        <w:rPr>
          <w:rFonts w:hint="eastAsia" w:ascii="仿宋_GB2312" w:hAnsi="仿宋_GB2312" w:eastAsia="仿宋_GB2312" w:cs="仿宋_GB2312"/>
          <w:color w:val="auto"/>
          <w:highlight w:val="none"/>
        </w:rPr>
      </w:pPr>
    </w:p>
    <w:p w14:paraId="65F02847">
      <w:pPr>
        <w:pStyle w:val="7"/>
        <w:rPr>
          <w:rFonts w:hint="eastAsia" w:ascii="仿宋_GB2312" w:hAnsi="仿宋_GB2312" w:eastAsia="仿宋_GB2312" w:cs="仿宋_GB2312"/>
          <w:color w:val="auto"/>
          <w:highlight w:val="none"/>
        </w:rPr>
      </w:pPr>
    </w:p>
    <w:p w14:paraId="67C520DD">
      <w:pPr>
        <w:pStyle w:val="7"/>
        <w:rPr>
          <w:rFonts w:hint="eastAsia" w:ascii="仿宋_GB2312" w:hAnsi="仿宋_GB2312" w:eastAsia="仿宋_GB2312" w:cs="仿宋_GB2312"/>
          <w:color w:val="auto"/>
          <w:highlight w:val="none"/>
        </w:rPr>
      </w:pPr>
    </w:p>
    <w:p w14:paraId="67B3F0B5">
      <w:pPr>
        <w:pStyle w:val="7"/>
        <w:rPr>
          <w:rFonts w:hint="eastAsia" w:ascii="仿宋_GB2312" w:hAnsi="仿宋_GB2312" w:eastAsia="仿宋_GB2312" w:cs="仿宋_GB2312"/>
          <w:color w:val="auto"/>
          <w:highlight w:val="none"/>
        </w:rPr>
      </w:pPr>
    </w:p>
    <w:p w14:paraId="036AB44D">
      <w:pPr>
        <w:pStyle w:val="7"/>
        <w:rPr>
          <w:rFonts w:hint="eastAsia" w:ascii="仿宋_GB2312" w:hAnsi="仿宋_GB2312" w:eastAsia="仿宋_GB2312" w:cs="仿宋_GB2312"/>
          <w:color w:val="auto"/>
          <w:highlight w:val="none"/>
        </w:rPr>
      </w:pPr>
    </w:p>
    <w:p w14:paraId="7C3E2F2C">
      <w:pPr>
        <w:pStyle w:val="7"/>
        <w:rPr>
          <w:rFonts w:hint="eastAsia" w:ascii="仿宋_GB2312" w:hAnsi="仿宋_GB2312" w:eastAsia="仿宋_GB2312" w:cs="仿宋_GB2312"/>
          <w:color w:val="auto"/>
          <w:highlight w:val="none"/>
        </w:rPr>
      </w:pPr>
    </w:p>
    <w:p w14:paraId="3064CA5B">
      <w:pPr>
        <w:pStyle w:val="7"/>
        <w:rPr>
          <w:rFonts w:hint="eastAsia" w:ascii="仿宋_GB2312" w:hAnsi="仿宋_GB2312" w:eastAsia="仿宋_GB2312" w:cs="仿宋_GB2312"/>
          <w:color w:val="auto"/>
          <w:highlight w:val="none"/>
        </w:rPr>
      </w:pPr>
    </w:p>
    <w:p w14:paraId="4FA3442C">
      <w:pPr>
        <w:pStyle w:val="7"/>
        <w:rPr>
          <w:rFonts w:hint="eastAsia" w:ascii="仿宋_GB2312" w:hAnsi="仿宋_GB2312" w:eastAsia="仿宋_GB2312" w:cs="仿宋_GB2312"/>
          <w:color w:val="auto"/>
          <w:highlight w:val="none"/>
        </w:rPr>
      </w:pPr>
    </w:p>
    <w:p w14:paraId="56761FC7">
      <w:pPr>
        <w:pStyle w:val="7"/>
        <w:rPr>
          <w:rFonts w:hint="eastAsia" w:ascii="仿宋_GB2312" w:hAnsi="仿宋_GB2312" w:eastAsia="仿宋_GB2312" w:cs="仿宋_GB2312"/>
          <w:color w:val="auto"/>
          <w:highlight w:val="none"/>
        </w:rPr>
      </w:pPr>
    </w:p>
    <w:p w14:paraId="44475B71">
      <w:pPr>
        <w:pStyle w:val="7"/>
        <w:rPr>
          <w:rFonts w:hint="eastAsia" w:ascii="仿宋_GB2312" w:hAnsi="仿宋_GB2312" w:eastAsia="仿宋_GB2312" w:cs="仿宋_GB2312"/>
          <w:color w:val="auto"/>
          <w:highlight w:val="none"/>
        </w:rPr>
      </w:pPr>
    </w:p>
    <w:p w14:paraId="2FAA24BF">
      <w:pPr>
        <w:pStyle w:val="7"/>
        <w:rPr>
          <w:rFonts w:hint="eastAsia" w:ascii="仿宋_GB2312" w:hAnsi="仿宋_GB2312" w:eastAsia="仿宋_GB2312" w:cs="仿宋_GB2312"/>
          <w:color w:val="auto"/>
          <w:highlight w:val="none"/>
        </w:rPr>
      </w:pPr>
    </w:p>
    <w:p w14:paraId="36F66DB8">
      <w:pPr>
        <w:pStyle w:val="7"/>
        <w:rPr>
          <w:rFonts w:hint="eastAsia" w:ascii="仿宋_GB2312" w:hAnsi="仿宋_GB2312" w:eastAsia="仿宋_GB2312" w:cs="仿宋_GB2312"/>
          <w:color w:val="auto"/>
          <w:highlight w:val="none"/>
        </w:rPr>
      </w:pPr>
    </w:p>
    <w:p w14:paraId="3F2D1E7B">
      <w:pPr>
        <w:pStyle w:val="7"/>
        <w:rPr>
          <w:rFonts w:hint="eastAsia" w:ascii="仿宋_GB2312" w:hAnsi="仿宋_GB2312" w:eastAsia="仿宋_GB2312" w:cs="仿宋_GB2312"/>
          <w:color w:val="auto"/>
          <w:highlight w:val="none"/>
        </w:rPr>
      </w:pPr>
    </w:p>
    <w:p w14:paraId="10B4CA2F">
      <w:pPr>
        <w:pStyle w:val="7"/>
        <w:rPr>
          <w:rFonts w:hint="eastAsia" w:ascii="仿宋_GB2312" w:hAnsi="仿宋_GB2312" w:eastAsia="仿宋_GB2312" w:cs="仿宋_GB2312"/>
          <w:color w:val="auto"/>
          <w:highlight w:val="none"/>
        </w:rPr>
      </w:pPr>
    </w:p>
    <w:p w14:paraId="5F04D3DB">
      <w:pPr>
        <w:snapToGrid w:val="0"/>
        <w:spacing w:line="360" w:lineRule="auto"/>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pacing w:val="6"/>
          <w:sz w:val="28"/>
          <w:szCs w:val="28"/>
          <w:highlight w:val="none"/>
        </w:rPr>
        <w:t>附件7：</w:t>
      </w:r>
    </w:p>
    <w:p w14:paraId="422EA057">
      <w:pPr>
        <w:snapToGrid w:val="0"/>
        <w:spacing w:line="360" w:lineRule="auto"/>
        <w:jc w:val="center"/>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分包意向协议</w:t>
      </w:r>
    </w:p>
    <w:p w14:paraId="53CC7A1E">
      <w:pPr>
        <w:widowControl/>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szCs w:val="24"/>
          <w:highlight w:val="none"/>
        </w:rPr>
        <w:t>）</w:t>
      </w:r>
    </w:p>
    <w:p w14:paraId="7BBFEFF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（投标人名称）</w:t>
      </w:r>
      <w:r>
        <w:rPr>
          <w:rFonts w:hint="eastAsia" w:ascii="仿宋_GB2312" w:hAnsi="仿宋_GB2312" w:eastAsia="仿宋_GB2312" w:cs="仿宋_GB2312"/>
          <w:color w:val="auto"/>
          <w:kern w:val="0"/>
          <w:sz w:val="24"/>
          <w:szCs w:val="24"/>
          <w:highlight w:val="none"/>
          <w:lang w:val="zh-CN"/>
        </w:rPr>
        <w:t>若成为</w:t>
      </w:r>
      <w:r>
        <w:rPr>
          <w:rFonts w:hint="eastAsia" w:ascii="仿宋_GB2312" w:hAnsi="仿宋_GB2312" w:eastAsia="仿宋_GB2312" w:cs="仿宋_GB2312"/>
          <w:color w:val="auto"/>
          <w:sz w:val="24"/>
          <w:szCs w:val="24"/>
          <w:highlight w:val="none"/>
          <w:u w:val="single"/>
        </w:rPr>
        <w:t>（项目名称）</w:t>
      </w:r>
      <w:r>
        <w:rPr>
          <w:rFonts w:hint="eastAsia" w:ascii="仿宋_GB2312" w:hAnsi="仿宋_GB2312" w:eastAsia="仿宋_GB2312" w:cs="仿宋_GB2312"/>
          <w:color w:val="auto"/>
          <w:sz w:val="24"/>
          <w:szCs w:val="24"/>
          <w:highlight w:val="none"/>
        </w:rPr>
        <w:t>【招标编号：</w:t>
      </w:r>
      <w:r>
        <w:rPr>
          <w:rFonts w:hint="eastAsia" w:ascii="仿宋_GB2312" w:hAnsi="仿宋_GB2312" w:eastAsia="仿宋_GB2312" w:cs="仿宋_GB2312"/>
          <w:color w:val="auto"/>
          <w:sz w:val="24"/>
          <w:szCs w:val="24"/>
          <w:highlight w:val="none"/>
          <w:u w:val="single"/>
        </w:rPr>
        <w:t>（采购编号）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lang w:val="zh-CN"/>
        </w:rPr>
        <w:t>的中标供应商，将依法采取分包方式履行合同。</w:t>
      </w:r>
      <w:r>
        <w:rPr>
          <w:rFonts w:hint="eastAsia" w:ascii="仿宋_GB2312" w:hAnsi="仿宋_GB2312" w:eastAsia="仿宋_GB2312" w:cs="仿宋_GB2312"/>
          <w:color w:val="auto"/>
          <w:kern w:val="0"/>
          <w:sz w:val="24"/>
          <w:szCs w:val="24"/>
          <w:highlight w:val="none"/>
          <w:u w:val="single"/>
        </w:rPr>
        <w:t>（投标人名称）</w:t>
      </w:r>
      <w:r>
        <w:rPr>
          <w:rFonts w:hint="eastAsia" w:ascii="仿宋_GB2312" w:hAnsi="仿宋_GB2312" w:eastAsia="仿宋_GB2312" w:cs="仿宋_GB2312"/>
          <w:color w:val="auto"/>
          <w:kern w:val="0"/>
          <w:sz w:val="24"/>
          <w:szCs w:val="24"/>
          <w:highlight w:val="none"/>
        </w:rPr>
        <w:t>与</w:t>
      </w:r>
      <w:r>
        <w:rPr>
          <w:rFonts w:hint="eastAsia" w:ascii="仿宋_GB2312" w:hAnsi="仿宋_GB2312" w:eastAsia="仿宋_GB2312" w:cs="仿宋_GB2312"/>
          <w:color w:val="auto"/>
          <w:kern w:val="0"/>
          <w:sz w:val="24"/>
          <w:szCs w:val="24"/>
          <w:highlight w:val="none"/>
          <w:u w:val="single"/>
        </w:rPr>
        <w:t>（所有分包供应商名称）</w:t>
      </w:r>
      <w:r>
        <w:rPr>
          <w:rFonts w:hint="eastAsia" w:ascii="仿宋_GB2312" w:hAnsi="仿宋_GB2312" w:eastAsia="仿宋_GB2312" w:cs="仿宋_GB2312"/>
          <w:color w:val="auto"/>
          <w:kern w:val="0"/>
          <w:sz w:val="24"/>
          <w:szCs w:val="24"/>
          <w:highlight w:val="none"/>
        </w:rPr>
        <w:t>达成分包意向协议</w:t>
      </w:r>
      <w:r>
        <w:rPr>
          <w:rFonts w:hint="eastAsia" w:ascii="仿宋_GB2312" w:hAnsi="仿宋_GB2312" w:eastAsia="仿宋_GB2312" w:cs="仿宋_GB2312"/>
          <w:color w:val="auto"/>
          <w:kern w:val="0"/>
          <w:sz w:val="24"/>
          <w:szCs w:val="24"/>
          <w:highlight w:val="none"/>
          <w:lang w:val="zh-CN"/>
        </w:rPr>
        <w:t>。</w:t>
      </w:r>
    </w:p>
    <w:p w14:paraId="683924CA">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一、分包标的及数量</w:t>
      </w:r>
    </w:p>
    <w:p w14:paraId="003F87AF">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（投标人名称）</w:t>
      </w: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kern w:val="0"/>
          <w:sz w:val="24"/>
          <w:szCs w:val="24"/>
          <w:highlight w:val="none"/>
          <w:u w:val="single"/>
        </w:rPr>
        <w:t xml:space="preserve"> XX工作内容</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（分包供应商1名称）</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color w:val="auto"/>
          <w:kern w:val="0"/>
          <w:sz w:val="24"/>
          <w:szCs w:val="24"/>
          <w:highlight w:val="none"/>
          <w:u w:val="single"/>
        </w:rPr>
        <w:t>（分包供应商2名称），</w:t>
      </w:r>
      <w:r>
        <w:rPr>
          <w:rFonts w:hint="eastAsia" w:ascii="仿宋_GB2312" w:hAnsi="仿宋_GB2312" w:eastAsia="仿宋_GB2312" w:cs="仿宋_GB2312"/>
          <w:color w:val="auto"/>
          <w:kern w:val="0"/>
          <w:sz w:val="24"/>
          <w:szCs w:val="24"/>
          <w:highlight w:val="none"/>
          <w:lang w:val="zh-CN"/>
        </w:rPr>
        <w:t>具备承</w:t>
      </w:r>
      <w:r>
        <w:rPr>
          <w:rFonts w:hint="eastAsia" w:ascii="仿宋_GB2312" w:hAnsi="仿宋_GB2312" w:eastAsia="仿宋_GB2312" w:cs="仿宋_GB2312"/>
          <w:color w:val="auto"/>
          <w:kern w:val="0"/>
          <w:sz w:val="24"/>
          <w:szCs w:val="24"/>
          <w:highlight w:val="none"/>
        </w:rPr>
        <w:t>担</w:t>
      </w:r>
      <w:r>
        <w:rPr>
          <w:rFonts w:hint="eastAsia" w:ascii="仿宋_GB2312" w:hAnsi="仿宋_GB2312" w:eastAsia="仿宋_GB2312" w:cs="仿宋_GB2312"/>
          <w:color w:val="auto"/>
          <w:kern w:val="0"/>
          <w:sz w:val="24"/>
          <w:szCs w:val="24"/>
          <w:highlight w:val="none"/>
          <w:u w:val="single"/>
          <w:lang w:val="zh-CN"/>
        </w:rPr>
        <w:t>XX工作内容</w:t>
      </w:r>
      <w:r>
        <w:rPr>
          <w:rFonts w:hint="eastAsia" w:ascii="仿宋_GB2312" w:hAnsi="仿宋_GB2312" w:eastAsia="仿宋_GB2312" w:cs="仿宋_GB2312"/>
          <w:color w:val="auto"/>
          <w:kern w:val="0"/>
          <w:sz w:val="24"/>
          <w:szCs w:val="24"/>
          <w:highlight w:val="none"/>
          <w:lang w:val="zh-CN"/>
        </w:rPr>
        <w:t>相应资质条件且不得再次分包；</w:t>
      </w:r>
    </w:p>
    <w:p w14:paraId="7F7F9E6C">
      <w:pPr>
        <w:pStyle w:val="2"/>
        <w:ind w:left="664" w:leftChars="316" w:firstLine="229" w:firstLineChars="95"/>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p>
    <w:p w14:paraId="408E3829">
      <w:pPr>
        <w:rPr>
          <w:rFonts w:hint="eastAsia" w:ascii="仿宋_GB2312" w:hAnsi="仿宋_GB2312" w:eastAsia="仿宋_GB2312" w:cs="仿宋_GB2312"/>
          <w:color w:val="auto"/>
          <w:sz w:val="24"/>
          <w:szCs w:val="24"/>
          <w:highlight w:val="none"/>
        </w:rPr>
      </w:pPr>
    </w:p>
    <w:p w14:paraId="7C814015">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二、分包供应商中小企业合同份额</w:t>
      </w:r>
    </w:p>
    <w:p w14:paraId="54CF1F8C">
      <w:pPr>
        <w:snapToGrid w:val="0"/>
        <w:spacing w:line="360" w:lineRule="auto"/>
        <w:ind w:firstLine="576"/>
        <w:rPr>
          <w:rFonts w:hint="eastAsia" w:ascii="仿宋_GB2312" w:hAnsi="仿宋_GB2312" w:eastAsia="仿宋_GB2312" w:cs="仿宋_GB2312"/>
          <w:b/>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rPr>
        <w:t>（一）</w:t>
      </w:r>
      <w:r>
        <w:rPr>
          <w:rFonts w:hint="eastAsia" w:ascii="仿宋_GB2312" w:hAnsi="仿宋_GB2312" w:eastAsia="仿宋_GB2312" w:cs="仿宋_GB2312"/>
          <w:color w:val="auto"/>
          <w:kern w:val="0"/>
          <w:sz w:val="24"/>
          <w:szCs w:val="24"/>
          <w:highlight w:val="none"/>
          <w:u w:val="single"/>
        </w:rPr>
        <w:t>（分包供应商X,……）提供的服务全部由小微企业承接，</w:t>
      </w:r>
      <w:r>
        <w:rPr>
          <w:rFonts w:hint="eastAsia" w:ascii="仿宋_GB2312" w:hAnsi="仿宋_GB2312" w:eastAsia="仿宋_GB2312" w:cs="仿宋_GB2312"/>
          <w:color w:val="auto"/>
          <w:kern w:val="0"/>
          <w:sz w:val="24"/>
          <w:szCs w:val="24"/>
          <w:highlight w:val="none"/>
        </w:rPr>
        <w:t>其合同份额占到合同总金额%以上</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szCs w:val="24"/>
          <w:highlight w:val="none"/>
        </w:rPr>
        <w:t>拟享受以上价格扣除政策的，填写有关内容。</w:t>
      </w:r>
      <w:r>
        <w:rPr>
          <w:rFonts w:hint="eastAsia" w:ascii="仿宋_GB2312" w:hAnsi="仿宋_GB2312" w:eastAsia="仿宋_GB2312" w:cs="仿宋_GB2312"/>
          <w:b/>
          <w:color w:val="auto"/>
          <w:kern w:val="0"/>
          <w:sz w:val="24"/>
          <w:szCs w:val="24"/>
          <w:highlight w:val="none"/>
          <w:lang w:val="zh-CN"/>
        </w:rPr>
        <w:t>）</w:t>
      </w:r>
    </w:p>
    <w:p w14:paraId="7D394FEF">
      <w:pPr>
        <w:spacing w:line="360" w:lineRule="auto"/>
        <w:ind w:firstLine="480" w:firstLineChars="200"/>
        <w:rPr>
          <w:rFonts w:hint="eastAsia" w:ascii="仿宋_GB2312" w:hAnsi="仿宋_GB2312" w:eastAsia="仿宋_GB2312" w:cs="仿宋_GB2312"/>
          <w:b/>
          <w:bCs/>
          <w:color w:val="auto"/>
          <w:kern w:val="0"/>
          <w:sz w:val="24"/>
          <w:szCs w:val="24"/>
          <w:highlight w:val="none"/>
          <w:lang w:val="zh-CN"/>
        </w:rPr>
      </w:pPr>
      <w:r>
        <w:rPr>
          <w:rFonts w:hint="eastAsia" w:ascii="仿宋_GB2312" w:hAnsi="仿宋_GB2312" w:eastAsia="仿宋_GB2312" w:cs="仿宋_GB2312"/>
          <w:color w:val="auto"/>
          <w:sz w:val="24"/>
          <w:szCs w:val="24"/>
          <w:highlight w:val="none"/>
        </w:rPr>
        <w:t>（二）中小企业合同金额达到%，小微企业合同金额达到%</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b/>
          <w:bCs/>
          <w:color w:val="auto"/>
          <w:kern w:val="0"/>
          <w:sz w:val="24"/>
          <w:szCs w:val="24"/>
          <w:highlight w:val="none"/>
          <w:lang w:val="zh-CN"/>
        </w:rPr>
        <w:t>（</w:t>
      </w:r>
      <w:r>
        <w:rPr>
          <w:rFonts w:hint="eastAsia" w:ascii="仿宋_GB2312" w:hAnsi="仿宋_GB2312" w:eastAsia="仿宋_GB2312" w:cs="仿宋_GB2312"/>
          <w:b/>
          <w:bCs/>
          <w:color w:val="auto"/>
          <w:sz w:val="24"/>
          <w:szCs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sz w:val="24"/>
          <w:szCs w:val="24"/>
          <w:highlight w:val="none"/>
          <w:lang w:val="zh-CN"/>
        </w:rPr>
        <w:t>分包意向协议</w:t>
      </w:r>
      <w:r>
        <w:rPr>
          <w:rFonts w:hint="eastAsia" w:ascii="仿宋_GB2312" w:hAnsi="仿宋_GB2312" w:eastAsia="仿宋_GB2312" w:cs="仿宋_GB2312"/>
          <w:b/>
          <w:bCs/>
          <w:color w:val="auto"/>
          <w:sz w:val="24"/>
          <w:szCs w:val="24"/>
          <w:highlight w:val="none"/>
        </w:rPr>
        <w:t>中中小企业、小微企业合同金额应当达到的比例要求填写。</w:t>
      </w:r>
      <w:r>
        <w:rPr>
          <w:rFonts w:hint="eastAsia" w:ascii="仿宋_GB2312" w:hAnsi="仿宋_GB2312" w:eastAsia="仿宋_GB2312" w:cs="仿宋_GB2312"/>
          <w:b/>
          <w:bCs/>
          <w:color w:val="auto"/>
          <w:kern w:val="0"/>
          <w:sz w:val="24"/>
          <w:szCs w:val="24"/>
          <w:highlight w:val="none"/>
          <w:lang w:val="zh-CN"/>
        </w:rPr>
        <w:t>）</w:t>
      </w:r>
    </w:p>
    <w:p w14:paraId="72FF2DD5">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三、分包工作履行期限、地点、方式</w:t>
      </w:r>
    </w:p>
    <w:p w14:paraId="1DFF5C66">
      <w:pPr>
        <w:snapToGrid w:val="0"/>
        <w:spacing w:line="360" w:lineRule="auto"/>
        <w:ind w:firstLine="576"/>
        <w:rPr>
          <w:rFonts w:hint="eastAsia" w:ascii="仿宋_GB2312" w:hAnsi="仿宋_GB2312" w:eastAsia="仿宋_GB2312" w:cs="仿宋_GB2312"/>
          <w:color w:val="auto"/>
          <w:sz w:val="24"/>
          <w:szCs w:val="24"/>
          <w:highlight w:val="none"/>
          <w:u w:val="single"/>
        </w:rPr>
      </w:pPr>
    </w:p>
    <w:p w14:paraId="00B4C22F">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四、质量</w:t>
      </w:r>
    </w:p>
    <w:p w14:paraId="2247452B">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19CD0D2C">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五、价款或者报酬</w:t>
      </w:r>
    </w:p>
    <w:p w14:paraId="7BAB0A53">
      <w:pPr>
        <w:snapToGrid w:val="0"/>
        <w:spacing w:line="360" w:lineRule="auto"/>
        <w:ind w:left="573" w:leftChars="273"/>
        <w:rPr>
          <w:rFonts w:hint="eastAsia" w:ascii="仿宋_GB2312" w:hAnsi="仿宋_GB2312" w:eastAsia="仿宋_GB2312" w:cs="仿宋_GB2312"/>
          <w:color w:val="auto"/>
          <w:kern w:val="0"/>
          <w:sz w:val="24"/>
          <w:szCs w:val="24"/>
          <w:highlight w:val="none"/>
          <w:lang w:val="zh-CN"/>
        </w:rPr>
      </w:pPr>
    </w:p>
    <w:p w14:paraId="1E06FEF8">
      <w:pPr>
        <w:snapToGrid w:val="0"/>
        <w:spacing w:line="360" w:lineRule="auto"/>
        <w:ind w:left="573" w:leftChars="273"/>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六、违约责任</w:t>
      </w:r>
    </w:p>
    <w:p w14:paraId="0805A9F7">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4771E504">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七、争议解决的办法</w:t>
      </w:r>
    </w:p>
    <w:p w14:paraId="6F7819C2">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7C205833">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八、其他</w:t>
      </w:r>
    </w:p>
    <w:p w14:paraId="22D645A8">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p>
    <w:p w14:paraId="3BDF531E">
      <w:pPr>
        <w:snapToGrid w:val="0"/>
        <w:spacing w:line="360" w:lineRule="auto"/>
        <w:ind w:left="5746" w:leftChars="2622" w:hanging="240" w:hangingChars="100"/>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投标人名称(电子签名)：</w:t>
      </w:r>
    </w:p>
    <w:p w14:paraId="6EB07C74">
      <w:pPr>
        <w:snapToGrid w:val="0"/>
        <w:spacing w:line="360" w:lineRule="auto"/>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分包供应商名称(电子签名/公章)：</w:t>
      </w:r>
    </w:p>
    <w:p w14:paraId="6DC50A66">
      <w:pPr>
        <w:snapToGrid w:val="0"/>
        <w:spacing w:line="360" w:lineRule="auto"/>
        <w:ind w:firstLine="5760" w:firstLineChars="2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zh-CN"/>
        </w:rPr>
        <w:t>……</w:t>
      </w:r>
    </w:p>
    <w:p w14:paraId="46382899">
      <w:pPr>
        <w:snapToGrid w:val="0"/>
        <w:spacing w:line="360" w:lineRule="auto"/>
        <w:ind w:left="5758" w:leftChars="342" w:hanging="5040" w:hangingChars="2100"/>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日期：年月日</w:t>
      </w:r>
    </w:p>
    <w:p w14:paraId="202E9AAC">
      <w:pPr>
        <w:spacing w:line="540" w:lineRule="exact"/>
        <w:contextualSpacing/>
        <w:jc w:val="center"/>
        <w:rPr>
          <w:rFonts w:hint="eastAsia" w:ascii="仿宋_GB2312" w:hAnsi="仿宋_GB2312" w:eastAsia="仿宋_GB2312" w:cs="仿宋_GB2312"/>
          <w:b/>
          <w:color w:val="auto"/>
          <w:sz w:val="24"/>
          <w:szCs w:val="24"/>
          <w:highlight w:val="none"/>
        </w:rPr>
      </w:pPr>
    </w:p>
    <w:p w14:paraId="14D2DD94">
      <w:pPr>
        <w:pStyle w:val="7"/>
        <w:rPr>
          <w:rFonts w:hint="eastAsia" w:ascii="仿宋_GB2312" w:hAnsi="仿宋_GB2312" w:eastAsia="仿宋_GB2312" w:cs="仿宋_GB2312"/>
          <w:color w:val="auto"/>
          <w:highlight w:val="none"/>
        </w:rPr>
      </w:pPr>
    </w:p>
    <w:p w14:paraId="5B37836F">
      <w:pPr>
        <w:pStyle w:val="7"/>
        <w:rPr>
          <w:rFonts w:hint="eastAsia" w:ascii="仿宋_GB2312" w:hAnsi="仿宋_GB2312" w:eastAsia="仿宋_GB2312" w:cs="仿宋_GB2312"/>
          <w:color w:val="auto"/>
          <w:highlight w:val="none"/>
        </w:rPr>
      </w:pPr>
    </w:p>
    <w:p w14:paraId="7C42FAE9">
      <w:pPr>
        <w:pStyle w:val="7"/>
        <w:rPr>
          <w:rFonts w:hint="eastAsia" w:ascii="仿宋_GB2312" w:hAnsi="仿宋_GB2312" w:eastAsia="仿宋_GB2312" w:cs="仿宋_GB2312"/>
          <w:color w:val="auto"/>
          <w:highlight w:val="none"/>
        </w:rPr>
      </w:pPr>
    </w:p>
    <w:p w14:paraId="0DD8BC49">
      <w:pPr>
        <w:pStyle w:val="7"/>
        <w:rPr>
          <w:rFonts w:hint="eastAsia" w:ascii="仿宋_GB2312" w:hAnsi="仿宋_GB2312" w:eastAsia="仿宋_GB2312" w:cs="仿宋_GB2312"/>
          <w:color w:val="auto"/>
          <w:highlight w:val="none"/>
        </w:rPr>
      </w:pPr>
    </w:p>
    <w:p w14:paraId="43A99DC2">
      <w:pPr>
        <w:pStyle w:val="7"/>
        <w:rPr>
          <w:rFonts w:hint="eastAsia" w:ascii="仿宋_GB2312" w:hAnsi="仿宋_GB2312" w:eastAsia="仿宋_GB2312" w:cs="仿宋_GB2312"/>
          <w:color w:val="auto"/>
          <w:highlight w:val="none"/>
        </w:rPr>
      </w:pPr>
    </w:p>
    <w:p w14:paraId="144066F7">
      <w:pPr>
        <w:pStyle w:val="7"/>
        <w:rPr>
          <w:rFonts w:hint="eastAsia" w:ascii="仿宋_GB2312" w:hAnsi="仿宋_GB2312" w:eastAsia="仿宋_GB2312" w:cs="仿宋_GB2312"/>
          <w:color w:val="auto"/>
          <w:highlight w:val="none"/>
        </w:rPr>
      </w:pPr>
    </w:p>
    <w:p w14:paraId="1263E1A8">
      <w:pPr>
        <w:pStyle w:val="7"/>
        <w:rPr>
          <w:rFonts w:hint="eastAsia" w:ascii="仿宋_GB2312" w:hAnsi="仿宋_GB2312" w:eastAsia="仿宋_GB2312" w:cs="仿宋_GB2312"/>
          <w:color w:val="auto"/>
          <w:highlight w:val="none"/>
        </w:rPr>
      </w:pPr>
    </w:p>
    <w:p w14:paraId="3BD13B83">
      <w:pPr>
        <w:pStyle w:val="7"/>
        <w:rPr>
          <w:rFonts w:hint="eastAsia" w:ascii="仿宋_GB2312" w:hAnsi="仿宋_GB2312" w:eastAsia="仿宋_GB2312" w:cs="仿宋_GB2312"/>
          <w:color w:val="auto"/>
          <w:highlight w:val="none"/>
        </w:rPr>
      </w:pPr>
    </w:p>
    <w:p w14:paraId="39FCF43F">
      <w:pPr>
        <w:pStyle w:val="7"/>
        <w:rPr>
          <w:rFonts w:hint="eastAsia" w:ascii="仿宋_GB2312" w:hAnsi="仿宋_GB2312" w:eastAsia="仿宋_GB2312" w:cs="仿宋_GB2312"/>
          <w:color w:val="auto"/>
          <w:highlight w:val="none"/>
        </w:rPr>
      </w:pPr>
    </w:p>
    <w:p w14:paraId="313ECDF6">
      <w:pPr>
        <w:pStyle w:val="7"/>
        <w:rPr>
          <w:rFonts w:hint="eastAsia" w:ascii="仿宋_GB2312" w:hAnsi="仿宋_GB2312" w:eastAsia="仿宋_GB2312" w:cs="仿宋_GB2312"/>
          <w:color w:val="auto"/>
          <w:highlight w:val="none"/>
        </w:rPr>
      </w:pPr>
    </w:p>
    <w:p w14:paraId="75263F42">
      <w:pPr>
        <w:pStyle w:val="7"/>
        <w:rPr>
          <w:rFonts w:hint="eastAsia" w:ascii="仿宋_GB2312" w:hAnsi="仿宋_GB2312" w:eastAsia="仿宋_GB2312" w:cs="仿宋_GB2312"/>
          <w:color w:val="auto"/>
          <w:highlight w:val="none"/>
        </w:rPr>
      </w:pPr>
    </w:p>
    <w:p w14:paraId="08D820F9">
      <w:pPr>
        <w:pStyle w:val="7"/>
        <w:rPr>
          <w:rFonts w:hint="eastAsia" w:ascii="仿宋_GB2312" w:hAnsi="仿宋_GB2312" w:eastAsia="仿宋_GB2312" w:cs="仿宋_GB2312"/>
          <w:color w:val="auto"/>
          <w:highlight w:val="none"/>
        </w:rPr>
      </w:pPr>
    </w:p>
    <w:p w14:paraId="3CF99B9D">
      <w:pPr>
        <w:pStyle w:val="7"/>
        <w:rPr>
          <w:rFonts w:hint="eastAsia" w:ascii="仿宋_GB2312" w:hAnsi="仿宋_GB2312" w:eastAsia="仿宋_GB2312" w:cs="仿宋_GB2312"/>
          <w:color w:val="auto"/>
          <w:highlight w:val="none"/>
        </w:rPr>
      </w:pPr>
    </w:p>
    <w:p w14:paraId="1E082674">
      <w:pPr>
        <w:pStyle w:val="7"/>
        <w:rPr>
          <w:rFonts w:hint="eastAsia" w:ascii="仿宋_GB2312" w:hAnsi="仿宋_GB2312" w:eastAsia="仿宋_GB2312" w:cs="仿宋_GB2312"/>
          <w:color w:val="auto"/>
          <w:highlight w:val="none"/>
        </w:rPr>
      </w:pPr>
    </w:p>
    <w:p w14:paraId="3B604DA3">
      <w:pPr>
        <w:pStyle w:val="7"/>
        <w:rPr>
          <w:rFonts w:hint="eastAsia" w:ascii="仿宋_GB2312" w:hAnsi="仿宋_GB2312" w:eastAsia="仿宋_GB2312" w:cs="仿宋_GB2312"/>
          <w:color w:val="auto"/>
          <w:highlight w:val="none"/>
        </w:rPr>
      </w:pPr>
    </w:p>
    <w:p w14:paraId="7A72C87B">
      <w:pPr>
        <w:pStyle w:val="7"/>
        <w:rPr>
          <w:rFonts w:hint="eastAsia" w:ascii="仿宋_GB2312" w:hAnsi="仿宋_GB2312" w:eastAsia="仿宋_GB2312" w:cs="仿宋_GB2312"/>
          <w:color w:val="auto"/>
          <w:highlight w:val="none"/>
        </w:rPr>
      </w:pPr>
    </w:p>
    <w:p w14:paraId="3AEC4A15">
      <w:pPr>
        <w:pStyle w:val="7"/>
        <w:rPr>
          <w:rFonts w:hint="eastAsia" w:ascii="仿宋_GB2312" w:hAnsi="仿宋_GB2312" w:eastAsia="仿宋_GB2312" w:cs="仿宋_GB2312"/>
          <w:color w:val="auto"/>
          <w:highlight w:val="none"/>
        </w:rPr>
      </w:pPr>
    </w:p>
    <w:p w14:paraId="0BED7A2A">
      <w:pPr>
        <w:pStyle w:val="7"/>
        <w:rPr>
          <w:rFonts w:hint="eastAsia" w:ascii="仿宋_GB2312" w:hAnsi="仿宋_GB2312" w:eastAsia="仿宋_GB2312" w:cs="仿宋_GB2312"/>
          <w:color w:val="auto"/>
          <w:highlight w:val="none"/>
        </w:rPr>
      </w:pPr>
    </w:p>
    <w:p w14:paraId="485E22C9">
      <w:pPr>
        <w:pStyle w:val="7"/>
        <w:rPr>
          <w:rFonts w:hint="eastAsia" w:ascii="仿宋_GB2312" w:hAnsi="仿宋_GB2312" w:eastAsia="仿宋_GB2312" w:cs="仿宋_GB2312"/>
          <w:color w:val="auto"/>
          <w:highlight w:val="none"/>
        </w:rPr>
      </w:pPr>
    </w:p>
    <w:p w14:paraId="76EAC59F">
      <w:pPr>
        <w:pStyle w:val="7"/>
        <w:rPr>
          <w:rFonts w:hint="eastAsia" w:ascii="仿宋_GB2312" w:hAnsi="仿宋_GB2312" w:eastAsia="仿宋_GB2312" w:cs="仿宋_GB2312"/>
          <w:color w:val="auto"/>
          <w:highlight w:val="none"/>
        </w:rPr>
      </w:pPr>
    </w:p>
    <w:p w14:paraId="6A51F0BF">
      <w:pPr>
        <w:spacing w:line="540" w:lineRule="exact"/>
        <w:contextualSpacing/>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政采贷</w:t>
      </w:r>
    </w:p>
    <w:p w14:paraId="6C6C3E6D">
      <w:pPr>
        <w:spacing w:line="54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062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4CB7173B">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舟山市政府采购信用融资合作银行</w:t>
            </w:r>
          </w:p>
        </w:tc>
      </w:tr>
      <w:tr w14:paraId="2290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494C5A14">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银行名称</w:t>
            </w:r>
          </w:p>
        </w:tc>
        <w:tc>
          <w:tcPr>
            <w:tcW w:w="3975" w:type="dxa"/>
            <w:noWrap w:val="0"/>
            <w:vAlign w:val="center"/>
          </w:tcPr>
          <w:p w14:paraId="3C5B0C8E">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各银行介绍的产品特点</w:t>
            </w:r>
          </w:p>
        </w:tc>
        <w:tc>
          <w:tcPr>
            <w:tcW w:w="2220" w:type="dxa"/>
            <w:noWrap w:val="0"/>
            <w:vAlign w:val="center"/>
          </w:tcPr>
          <w:p w14:paraId="2376EC35">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经办人</w:t>
            </w:r>
          </w:p>
        </w:tc>
        <w:tc>
          <w:tcPr>
            <w:tcW w:w="1908" w:type="dxa"/>
            <w:noWrap w:val="0"/>
            <w:vAlign w:val="center"/>
          </w:tcPr>
          <w:p w14:paraId="70AFF339">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w:t>
            </w:r>
          </w:p>
        </w:tc>
      </w:tr>
      <w:tr w14:paraId="40D9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7D8843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中国工商银行股份有限公司舟山分行</w:t>
            </w:r>
          </w:p>
        </w:tc>
        <w:tc>
          <w:tcPr>
            <w:tcW w:w="3975" w:type="dxa"/>
            <w:noWrap w:val="0"/>
            <w:vAlign w:val="top"/>
          </w:tcPr>
          <w:p w14:paraId="290FDC52">
            <w:pPr>
              <w:numPr>
                <w:ilvl w:val="0"/>
                <w:numId w:val="8"/>
              </w:numPr>
              <w:spacing w:line="400" w:lineRule="exact"/>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融资额度高，融资金额最高可至订单金额70%，线上申请，随借随还。2.融资利率低，最低可至当期LPR利率。</w:t>
            </w:r>
          </w:p>
          <w:p w14:paraId="0C46EA47">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3.担保方式灵活，以政府采购合同进行融资，无需另外抵押。</w:t>
            </w:r>
          </w:p>
        </w:tc>
        <w:tc>
          <w:tcPr>
            <w:tcW w:w="2220" w:type="dxa"/>
            <w:noWrap w:val="0"/>
            <w:vAlign w:val="center"/>
          </w:tcPr>
          <w:p w14:paraId="10F22E04">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柳超颖</w:t>
            </w:r>
          </w:p>
        </w:tc>
        <w:tc>
          <w:tcPr>
            <w:tcW w:w="1908" w:type="dxa"/>
            <w:noWrap w:val="0"/>
            <w:vAlign w:val="center"/>
          </w:tcPr>
          <w:p w14:paraId="3AA66346">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0580-2166242, 15858076468</w:t>
            </w:r>
          </w:p>
        </w:tc>
      </w:tr>
      <w:tr w14:paraId="1664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D7C1F4E">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中国建设银行股份有限公司舟山分行</w:t>
            </w:r>
          </w:p>
        </w:tc>
        <w:tc>
          <w:tcPr>
            <w:tcW w:w="3975" w:type="dxa"/>
            <w:noWrap w:val="0"/>
            <w:vAlign w:val="top"/>
          </w:tcPr>
          <w:p w14:paraId="483DD6B2">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快速便捷：全流程线上操作，通过浙江省政府采购网数据审核信用额度，建行供应链平台快速放款。</w:t>
            </w:r>
          </w:p>
          <w:p w14:paraId="004E31EA">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申请额度高：单笔融资额度最高可达政府采购合同金额的90%，单户额度最高可达3000万。</w:t>
            </w:r>
          </w:p>
          <w:p w14:paraId="6DFF510D">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无需额外抵押：以浙江省政府采购网备案公示的政府采购合同进行融资，无需额外抵押担保。</w:t>
            </w:r>
          </w:p>
          <w:p w14:paraId="50CD69CB">
            <w:pPr>
              <w:numPr>
                <w:ilvl w:val="0"/>
                <w:numId w:val="9"/>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利率优惠：给予流动资金贷款最优惠利率。</w:t>
            </w:r>
          </w:p>
        </w:tc>
        <w:tc>
          <w:tcPr>
            <w:tcW w:w="2220" w:type="dxa"/>
            <w:noWrap w:val="0"/>
            <w:vAlign w:val="center"/>
          </w:tcPr>
          <w:p w14:paraId="0B5470E2">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普陀片区：蔡妮妮</w:t>
            </w:r>
          </w:p>
          <w:p w14:paraId="52FAB456">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定海片区：杨莹</w:t>
            </w:r>
          </w:p>
          <w:p w14:paraId="31AF2345">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自贸区片区：方晓</w:t>
            </w:r>
          </w:p>
        </w:tc>
        <w:tc>
          <w:tcPr>
            <w:tcW w:w="1908" w:type="dxa"/>
            <w:noWrap w:val="0"/>
            <w:vAlign w:val="center"/>
          </w:tcPr>
          <w:p w14:paraId="38AF45CF">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普陀片区：13957201791</w:t>
            </w:r>
          </w:p>
          <w:p w14:paraId="46E6DF10">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定海片区：13655803997</w:t>
            </w:r>
          </w:p>
          <w:p w14:paraId="508C05E6">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自贸区片区：13587086324</w:t>
            </w:r>
          </w:p>
        </w:tc>
      </w:tr>
      <w:tr w14:paraId="76A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E614033">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杭州银行股份有限公司舟山市分行</w:t>
            </w:r>
          </w:p>
        </w:tc>
        <w:tc>
          <w:tcPr>
            <w:tcW w:w="3975" w:type="dxa"/>
            <w:noWrap w:val="0"/>
            <w:vAlign w:val="top"/>
          </w:tcPr>
          <w:p w14:paraId="7B9AE305">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5D19F0E7">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方经理</w:t>
            </w:r>
          </w:p>
        </w:tc>
        <w:tc>
          <w:tcPr>
            <w:tcW w:w="1908" w:type="dxa"/>
            <w:noWrap w:val="0"/>
            <w:vAlign w:val="center"/>
          </w:tcPr>
          <w:p w14:paraId="3574DEE3">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0580-2185201，18205800451</w:t>
            </w:r>
          </w:p>
        </w:tc>
      </w:tr>
      <w:tr w14:paraId="521F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C3BB287">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招商银行股份有限公司浙江自贸试验区舟山分行</w:t>
            </w:r>
          </w:p>
        </w:tc>
        <w:tc>
          <w:tcPr>
            <w:tcW w:w="3975" w:type="dxa"/>
            <w:noWrap w:val="0"/>
            <w:vAlign w:val="top"/>
          </w:tcPr>
          <w:p w14:paraId="52F33901">
            <w:pPr>
              <w:spacing w:line="40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C85A347">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李玲</w:t>
            </w:r>
          </w:p>
        </w:tc>
        <w:tc>
          <w:tcPr>
            <w:tcW w:w="1908" w:type="dxa"/>
            <w:noWrap w:val="0"/>
            <w:vAlign w:val="center"/>
          </w:tcPr>
          <w:p w14:paraId="5C77E57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0580-2061710，13957227971</w:t>
            </w:r>
          </w:p>
        </w:tc>
      </w:tr>
      <w:tr w14:paraId="73A2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1ABBF386">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温州银行股份有限公司舟山市分行</w:t>
            </w:r>
          </w:p>
        </w:tc>
        <w:tc>
          <w:tcPr>
            <w:tcW w:w="3975" w:type="dxa"/>
            <w:noWrap w:val="0"/>
            <w:vAlign w:val="top"/>
          </w:tcPr>
          <w:p w14:paraId="13CFC67D">
            <w:pPr>
              <w:numPr>
                <w:ilvl w:val="0"/>
                <w:numId w:val="10"/>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单户授信敞口最高不超过1000万元，且最高额度核定一般不超过借款人（含实际控制人控制的其他经营实体）最近13个月合计有效中标合同金额的70%。</w:t>
            </w:r>
          </w:p>
          <w:p w14:paraId="62797073">
            <w:pPr>
              <w:numPr>
                <w:ilvl w:val="0"/>
                <w:numId w:val="10"/>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31FF05AD">
            <w:pPr>
              <w:numPr>
                <w:ilvl w:val="0"/>
                <w:numId w:val="10"/>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借款人中标采购人自行采购项目并向我行发起授信申请的，单笔业务授信敞口不超500万元，且不超过借款人中标通知书承载的中标金额或本次申请授信提供的采购合同的80%。</w:t>
            </w:r>
          </w:p>
          <w:p w14:paraId="0685431D">
            <w:pPr>
              <w:numPr>
                <w:ilvl w:val="0"/>
                <w:numId w:val="10"/>
              </w:num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符合我行采购人资质的，且负债率不超75%，配合应收账款质押登记确认的，并可出具确认函，单笔借款额度可按不超过采购合同的90%办理。</w:t>
            </w:r>
          </w:p>
        </w:tc>
        <w:tc>
          <w:tcPr>
            <w:tcW w:w="2220" w:type="dxa"/>
            <w:noWrap w:val="0"/>
            <w:vAlign w:val="center"/>
          </w:tcPr>
          <w:p w14:paraId="3218AE4F">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郑贤栋</w:t>
            </w:r>
          </w:p>
        </w:tc>
        <w:tc>
          <w:tcPr>
            <w:tcW w:w="1908" w:type="dxa"/>
            <w:noWrap w:val="0"/>
            <w:vAlign w:val="center"/>
          </w:tcPr>
          <w:p w14:paraId="25EB58A1">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0580—8866086</w:t>
            </w:r>
          </w:p>
        </w:tc>
      </w:tr>
      <w:tr w14:paraId="0A75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F5C3387">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交通银行股份有限公司舟山分行</w:t>
            </w:r>
          </w:p>
        </w:tc>
        <w:tc>
          <w:tcPr>
            <w:tcW w:w="3975" w:type="dxa"/>
            <w:noWrap w:val="0"/>
            <w:vAlign w:val="top"/>
          </w:tcPr>
          <w:p w14:paraId="14118749">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hAnsi="仿宋_GB2312" w:eastAsia="仿宋_GB2312" w:cs="仿宋_GB2312"/>
                <w:color w:val="auto"/>
                <w:highlight w:val="none"/>
              </w:rPr>
              <w:t>PR。</w:t>
            </w:r>
          </w:p>
        </w:tc>
        <w:tc>
          <w:tcPr>
            <w:tcW w:w="2220" w:type="dxa"/>
            <w:noWrap w:val="0"/>
            <w:vAlign w:val="center"/>
          </w:tcPr>
          <w:p w14:paraId="3E295037">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赵争艳</w:t>
            </w:r>
          </w:p>
        </w:tc>
        <w:tc>
          <w:tcPr>
            <w:tcW w:w="1908" w:type="dxa"/>
            <w:noWrap w:val="0"/>
            <w:vAlign w:val="center"/>
          </w:tcPr>
          <w:p w14:paraId="22FEE5EB">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0580-2260728</w:t>
            </w:r>
          </w:p>
          <w:p w14:paraId="16C8EB42">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13758007280</w:t>
            </w:r>
          </w:p>
        </w:tc>
      </w:tr>
      <w:tr w14:paraId="1132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21CE2C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中信银行股份有限公司舟山分行</w:t>
            </w:r>
          </w:p>
        </w:tc>
        <w:tc>
          <w:tcPr>
            <w:tcW w:w="3975" w:type="dxa"/>
            <w:noWrap w:val="0"/>
            <w:vAlign w:val="top"/>
          </w:tcPr>
          <w:p w14:paraId="2B23FACD">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7D0342EE">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黄丽</w:t>
            </w:r>
          </w:p>
        </w:tc>
        <w:tc>
          <w:tcPr>
            <w:tcW w:w="1908" w:type="dxa"/>
            <w:noWrap w:val="0"/>
            <w:vAlign w:val="center"/>
          </w:tcPr>
          <w:p w14:paraId="65B5E9BF">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13905808032</w:t>
            </w:r>
          </w:p>
        </w:tc>
      </w:tr>
      <w:tr w14:paraId="3B7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9A835A5">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泰隆银行舟山市分行</w:t>
            </w:r>
          </w:p>
        </w:tc>
        <w:tc>
          <w:tcPr>
            <w:tcW w:w="3975" w:type="dxa"/>
            <w:noWrap w:val="0"/>
            <w:vAlign w:val="top"/>
          </w:tcPr>
          <w:p w14:paraId="00B601E3">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51E6873C">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胡亢宇</w:t>
            </w:r>
          </w:p>
        </w:tc>
        <w:tc>
          <w:tcPr>
            <w:tcW w:w="1908" w:type="dxa"/>
            <w:noWrap w:val="0"/>
            <w:vAlign w:val="center"/>
          </w:tcPr>
          <w:p w14:paraId="608A1C44">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17605868703</w:t>
            </w:r>
          </w:p>
        </w:tc>
      </w:tr>
      <w:tr w14:paraId="15FF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A46E099">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中国农业银行股份有限公司舟山分行</w:t>
            </w:r>
          </w:p>
        </w:tc>
        <w:tc>
          <w:tcPr>
            <w:tcW w:w="3975" w:type="dxa"/>
            <w:noWrap w:val="0"/>
            <w:vAlign w:val="top"/>
          </w:tcPr>
          <w:p w14:paraId="5B547275">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2D1A9FD8">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苏华瞻</w:t>
            </w:r>
          </w:p>
        </w:tc>
        <w:tc>
          <w:tcPr>
            <w:tcW w:w="1908" w:type="dxa"/>
            <w:noWrap w:val="0"/>
            <w:vAlign w:val="center"/>
          </w:tcPr>
          <w:p w14:paraId="060F2F4B">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13967228926</w:t>
            </w:r>
          </w:p>
        </w:tc>
      </w:tr>
      <w:tr w14:paraId="0107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7058F64">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中国邮政储蓄银行股份有限公司舟山市分行</w:t>
            </w:r>
          </w:p>
        </w:tc>
        <w:tc>
          <w:tcPr>
            <w:tcW w:w="3975" w:type="dxa"/>
            <w:noWrap w:val="0"/>
            <w:vAlign w:val="top"/>
          </w:tcPr>
          <w:p w14:paraId="52B85921">
            <w:pPr>
              <w:tabs>
                <w:tab w:val="left" w:pos="0"/>
              </w:tabs>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4A6A288">
            <w:pPr>
              <w:spacing w:line="400" w:lineRule="exact"/>
              <w:contextualSpacing/>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蒋志燕</w:t>
            </w:r>
          </w:p>
        </w:tc>
        <w:tc>
          <w:tcPr>
            <w:tcW w:w="1908" w:type="dxa"/>
            <w:noWrap w:val="0"/>
            <w:vAlign w:val="center"/>
          </w:tcPr>
          <w:p w14:paraId="3718C772">
            <w:pPr>
              <w:spacing w:line="400" w:lineRule="exact"/>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13732527321</w:t>
            </w:r>
          </w:p>
        </w:tc>
      </w:tr>
    </w:tbl>
    <w:p w14:paraId="09621F82">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一般步骤</w:t>
      </w:r>
    </w:p>
    <w:p w14:paraId="1ED2F485">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（1）供应商先与银行对接，办理融资前期手续；</w:t>
      </w:r>
    </w:p>
    <w:p w14:paraId="0FEB888E">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（2）供应商成交后，凭成交通知书等材料，向相关合作银行发出融资申请；</w:t>
      </w:r>
    </w:p>
    <w:p w14:paraId="12BC2E09">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（3）银行、供应商线上办理审批、放贷事宜。</w:t>
      </w:r>
    </w:p>
    <w:p w14:paraId="470992DF">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注意事项</w:t>
      </w:r>
    </w:p>
    <w:p w14:paraId="47154635">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（1）成交供应商需确保政府采购合同的收款账户与融资银行开户账户一致。</w:t>
      </w:r>
    </w:p>
    <w:p w14:paraId="178AC93D">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（2）用于政府采购信用融资的政府采购合同，应当包含如下条款：“第条：</w:t>
      </w:r>
    </w:p>
    <w:p w14:paraId="28EBBECA">
      <w:pPr>
        <w:spacing w:line="360" w:lineRule="auto"/>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府采购合同贷款本合同同时用于乙方向银行（金融机构）申请政府采购信用贷款。本合同一经签订，原则上不得更改乙方收款账户信息。确须更改的，乙方应取得原合同收款账户开户银行书面同意，否则修改后的合同不予备案，采购资金不予支付。”</w:t>
      </w:r>
    </w:p>
    <w:p w14:paraId="5C378733">
      <w:pPr>
        <w:spacing w:line="540" w:lineRule="exact"/>
        <w:contextualSpacing/>
        <w:rPr>
          <w:rFonts w:hint="eastAsia" w:ascii="仿宋_GB2312" w:hAnsi="仿宋_GB2312" w:eastAsia="仿宋_GB2312" w:cs="仿宋_GB2312"/>
          <w:color w:val="auto"/>
          <w:sz w:val="24"/>
          <w:szCs w:val="24"/>
          <w:highlight w:val="none"/>
        </w:rPr>
      </w:pPr>
    </w:p>
    <w:p w14:paraId="4E6CBB29">
      <w:pPr>
        <w:rPr>
          <w:rFonts w:hint="eastAsia" w:ascii="仿宋_GB2312" w:hAnsi="仿宋_GB2312" w:eastAsia="仿宋_GB2312" w:cs="仿宋_GB2312"/>
          <w:color w:val="auto"/>
          <w:sz w:val="24"/>
          <w:szCs w:val="24"/>
          <w:highlight w:val="none"/>
        </w:rPr>
      </w:pPr>
    </w:p>
    <w:p w14:paraId="3512F8C7">
      <w:pPr>
        <w:rPr>
          <w:rFonts w:hint="eastAsia" w:ascii="仿宋_GB2312" w:hAnsi="仿宋_GB2312" w:eastAsia="仿宋_GB2312" w:cs="仿宋_GB2312"/>
          <w:color w:val="auto"/>
          <w:highlight w:val="none"/>
        </w:rPr>
      </w:pPr>
    </w:p>
    <w:p w14:paraId="3659989E">
      <w:pPr>
        <w:rPr>
          <w:rFonts w:hint="eastAsia" w:ascii="仿宋_GB2312" w:hAnsi="仿宋_GB2312" w:eastAsia="仿宋_GB2312" w:cs="仿宋_GB2312"/>
          <w:color w:val="auto"/>
          <w:highlight w:val="none"/>
        </w:rPr>
      </w:pPr>
    </w:p>
    <w:p w14:paraId="1A237B66">
      <w:pPr>
        <w:rPr>
          <w:rFonts w:hint="eastAsia" w:ascii="仿宋_GB2312" w:hAnsi="仿宋_GB2312" w:eastAsia="仿宋_GB2312" w:cs="仿宋_GB2312"/>
          <w:color w:val="auto"/>
          <w:highlight w:val="none"/>
        </w:rPr>
      </w:pPr>
    </w:p>
    <w:p w14:paraId="08D95212">
      <w:pPr>
        <w:rPr>
          <w:rFonts w:hint="eastAsia" w:ascii="仿宋_GB2312" w:hAnsi="仿宋_GB2312" w:eastAsia="仿宋_GB2312" w:cs="仿宋_GB2312"/>
          <w:color w:val="auto"/>
          <w:highlight w:val="none"/>
        </w:rPr>
      </w:pPr>
    </w:p>
    <w:p w14:paraId="1A427C09">
      <w:pPr>
        <w:rPr>
          <w:rFonts w:hint="eastAsia" w:ascii="仿宋_GB2312" w:hAnsi="仿宋_GB2312" w:eastAsia="仿宋_GB2312" w:cs="仿宋_GB2312"/>
          <w:color w:val="auto"/>
          <w:highlight w:val="none"/>
        </w:rPr>
      </w:pPr>
    </w:p>
    <w:p w14:paraId="46522A11">
      <w:pPr>
        <w:rPr>
          <w:rFonts w:hint="eastAsia" w:ascii="仿宋_GB2312" w:hAnsi="仿宋_GB2312" w:eastAsia="仿宋_GB2312" w:cs="仿宋_GB2312"/>
          <w:color w:val="auto"/>
          <w:highlight w:val="none"/>
        </w:rPr>
      </w:pPr>
    </w:p>
    <w:p w14:paraId="3F5274DE">
      <w:pPr>
        <w:rPr>
          <w:color w:val="auto"/>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3D75">
    <w:pPr>
      <w:pStyle w:val="9"/>
      <w:jc w:val="center"/>
    </w:pPr>
    <w:r>
      <w:fldChar w:fldCharType="begin"/>
    </w:r>
    <w:r>
      <w:instrText xml:space="preserve"> PAGE   \* MERGEFORMAT </w:instrText>
    </w:r>
    <w:r>
      <w:fldChar w:fldCharType="separate"/>
    </w:r>
    <w:r>
      <w:rPr>
        <w:lang w:val="zh-CN"/>
      </w:rPr>
      <w:t>22</w:t>
    </w:r>
    <w:r>
      <w:rPr>
        <w:lang w:val="zh-CN"/>
      </w:rPr>
      <w:fldChar w:fldCharType="end"/>
    </w:r>
  </w:p>
  <w:p w14:paraId="78F75DED">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E3B0">
    <w:pPr>
      <w:pStyle w:val="9"/>
      <w:jc w:val="center"/>
    </w:pPr>
    <w:r>
      <w:fldChar w:fldCharType="begin"/>
    </w:r>
    <w:r>
      <w:instrText xml:space="preserve"> PAGE   \* MERGEFORMAT </w:instrText>
    </w:r>
    <w:r>
      <w:fldChar w:fldCharType="separate"/>
    </w:r>
    <w:r>
      <w:rPr>
        <w:lang w:val="zh-CN"/>
      </w:rPr>
      <w:t>82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17FD">
    <w:r>
      <w:fldChar w:fldCharType="begin"/>
    </w:r>
    <w:r>
      <w:instrText xml:space="preserve">PAGE  </w:instrText>
    </w:r>
    <w:r>
      <w:fldChar w:fldCharType="end"/>
    </w:r>
  </w:p>
  <w:p w14:paraId="02DF6B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24CC">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43EF">
    <w:pPr>
      <w:pStyle w:val="9"/>
      <w:jc w:val="center"/>
    </w:pPr>
    <w:r>
      <w:fldChar w:fldCharType="begin"/>
    </w:r>
    <w:r>
      <w:instrText xml:space="preserve"> PAGE   \* MERGEFORMAT </w:instrText>
    </w:r>
    <w:r>
      <w:fldChar w:fldCharType="separate"/>
    </w:r>
    <w:r>
      <w:rPr>
        <w:lang w:val="zh-CN"/>
      </w:rPr>
      <w:t>33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AB63">
    <w:pPr>
      <w:pStyle w:val="9"/>
      <w:jc w:val="center"/>
    </w:pPr>
    <w:r>
      <w:fldChar w:fldCharType="begin"/>
    </w:r>
    <w:r>
      <w:instrText xml:space="preserve"> PAGE   \* MERGEFORMAT </w:instrText>
    </w:r>
    <w:r>
      <w:fldChar w:fldCharType="separate"/>
    </w:r>
    <w:r>
      <w:rPr>
        <w:lang w:val="zh-CN"/>
      </w:rPr>
      <w:t>23</w:t>
    </w:r>
    <w:r>
      <w:rPr>
        <w:lang w:val="zh-CN"/>
      </w:rPr>
      <w:fldChar w:fldCharType="end"/>
    </w:r>
  </w:p>
  <w:p w14:paraId="3B2BF01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AE09">
    <w:pPr>
      <w:pStyle w:val="9"/>
      <w:jc w:val="center"/>
    </w:pPr>
    <w:r>
      <w:fldChar w:fldCharType="begin"/>
    </w:r>
    <w:r>
      <w:instrText xml:space="preserve"> PAGE   \* MERGEFORMAT </w:instrText>
    </w:r>
    <w:r>
      <w:fldChar w:fldCharType="separate"/>
    </w:r>
    <w:r>
      <w:rPr>
        <w:lang w:val="zh-CN"/>
      </w:rPr>
      <w:t>81</w:t>
    </w:r>
    <w:r>
      <w:rPr>
        <w:lang w:val="zh-CN"/>
      </w:rPr>
      <w:fldChar w:fldCharType="end"/>
    </w:r>
  </w:p>
  <w:p w14:paraId="1014AB4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47BC">
    <w:pPr>
      <w:pStyle w:val="9"/>
      <w:jc w:val="center"/>
    </w:pPr>
    <w:r>
      <w:fldChar w:fldCharType="begin"/>
    </w:r>
    <w:r>
      <w:instrText xml:space="preserve"> PAGE   \* MERGEFORMAT </w:instrText>
    </w:r>
    <w:r>
      <w:fldChar w:fldCharType="separate"/>
    </w:r>
    <w:r>
      <w:rPr>
        <w:lang w:val="zh-CN"/>
      </w:rPr>
      <w:t>79</w:t>
    </w:r>
    <w:r>
      <w:rPr>
        <w:lang w:val="zh-CN"/>
      </w:rPr>
      <w:fldChar w:fldCharType="end"/>
    </w:r>
  </w:p>
  <w:p w14:paraId="0778FD1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A807">
    <w:pPr>
      <w:pStyle w:val="9"/>
      <w:jc w:val="center"/>
    </w:pPr>
    <w:r>
      <w:fldChar w:fldCharType="begin"/>
    </w:r>
    <w:r>
      <w:instrText xml:space="preserve"> PAGE   \* MERGEFORMAT </w:instrText>
    </w:r>
    <w:r>
      <w:fldChar w:fldCharType="separate"/>
    </w:r>
    <w:r>
      <w:rPr>
        <w:lang w:val="zh-CN"/>
      </w:rPr>
      <w:t>97</w:t>
    </w:r>
    <w:r>
      <w:rPr>
        <w:lang w:val="zh-CN"/>
      </w:rPr>
      <w:fldChar w:fldCharType="end"/>
    </w:r>
  </w:p>
  <w:p w14:paraId="70607F6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7549">
    <w:r>
      <w:fldChar w:fldCharType="begin"/>
    </w:r>
    <w:r>
      <w:instrText xml:space="preserve">PAGE  </w:instrText>
    </w:r>
    <w:r>
      <w:fldChar w:fldCharType="end"/>
    </w:r>
  </w:p>
  <w:p w14:paraId="1964865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C4F1">
    <w:r>
      <w:t></w:t>
    </w:r>
  </w:p>
  <w:p w14:paraId="38E59A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C97E">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7172">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EFD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9A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725E">
    <w:pPr>
      <w:pStyle w:val="1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E57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0EC83"/>
    <w:multiLevelType w:val="singleLevel"/>
    <w:tmpl w:val="B350EC83"/>
    <w:lvl w:ilvl="0" w:tentative="0">
      <w:start w:val="2"/>
      <w:numFmt w:val="decimal"/>
      <w:lvlText w:val="%1."/>
      <w:lvlJc w:val="left"/>
      <w:pPr>
        <w:tabs>
          <w:tab w:val="left" w:pos="312"/>
        </w:tabs>
      </w:pPr>
    </w:lvl>
  </w:abstractNum>
  <w:abstractNum w:abstractNumId="1">
    <w:nsid w:val="DA61ABCC"/>
    <w:multiLevelType w:val="singleLevel"/>
    <w:tmpl w:val="DA61ABCC"/>
    <w:lvl w:ilvl="0" w:tentative="0">
      <w:start w:val="3"/>
      <w:numFmt w:val="chineseCounting"/>
      <w:suff w:val="space"/>
      <w:lvlText w:val="第%1部分"/>
      <w:lvlJc w:val="left"/>
      <w:rPr>
        <w:rFonts w:hint="eastAsia"/>
      </w:rPr>
    </w:lvl>
  </w:abstractNum>
  <w:abstractNum w:abstractNumId="2">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3"/>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5F732B5D"/>
    <w:multiLevelType w:val="singleLevel"/>
    <w:tmpl w:val="5F732B5D"/>
    <w:lvl w:ilvl="0" w:tentative="0">
      <w:start w:val="16"/>
      <w:numFmt w:val="decimal"/>
      <w:lvlText w:val="%1."/>
      <w:lvlJc w:val="left"/>
      <w:pPr>
        <w:tabs>
          <w:tab w:val="left" w:pos="312"/>
        </w:tabs>
      </w:pPr>
    </w:lvl>
  </w:abstractNum>
  <w:abstractNum w:abstractNumId="8">
    <w:nsid w:val="5F8F7BA8"/>
    <w:multiLevelType w:val="singleLevel"/>
    <w:tmpl w:val="5F8F7BA8"/>
    <w:lvl w:ilvl="0" w:tentative="0">
      <w:start w:val="8"/>
      <w:numFmt w:val="decimal"/>
      <w:suff w:val="nothing"/>
      <w:lvlText w:val="%1、"/>
      <w:lvlJc w:val="left"/>
    </w:lvl>
  </w:abstractNum>
  <w:abstractNum w:abstractNumId="9">
    <w:nsid w:val="7A9B6140"/>
    <w:multiLevelType w:val="singleLevel"/>
    <w:tmpl w:val="7A9B6140"/>
    <w:lvl w:ilvl="0" w:tentative="0">
      <w:start w:val="1"/>
      <w:numFmt w:val="decimal"/>
      <w:lvlText w:val="%1."/>
      <w:lvlJc w:val="left"/>
      <w:pPr>
        <w:tabs>
          <w:tab w:val="left" w:pos="312"/>
        </w:tabs>
      </w:pPr>
    </w:lvl>
  </w:abstractNum>
  <w:num w:numId="1">
    <w:abstractNumId w:val="4"/>
  </w:num>
  <w:num w:numId="2">
    <w:abstractNumId w:val="1"/>
  </w:num>
  <w:num w:numId="3">
    <w:abstractNumId w:val="8"/>
  </w:num>
  <w:num w:numId="4">
    <w:abstractNumId w:val="7"/>
  </w:num>
  <w:num w:numId="5">
    <w:abstractNumId w:val="0"/>
  </w:num>
  <w:num w:numId="6">
    <w:abstractNumId w:val="2"/>
  </w:num>
  <w:num w:numId="7">
    <w:abstractNumId w:val="6"/>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12BD7"/>
    <w:rsid w:val="0FA32DB6"/>
    <w:rsid w:val="1157658E"/>
    <w:rsid w:val="1368381B"/>
    <w:rsid w:val="13B4130A"/>
    <w:rsid w:val="167D234C"/>
    <w:rsid w:val="1B7E1ECB"/>
    <w:rsid w:val="24831836"/>
    <w:rsid w:val="269404CF"/>
    <w:rsid w:val="27F21951"/>
    <w:rsid w:val="33466FF4"/>
    <w:rsid w:val="38A071A7"/>
    <w:rsid w:val="3C664263"/>
    <w:rsid w:val="42AB07C5"/>
    <w:rsid w:val="43CB65FC"/>
    <w:rsid w:val="482F602B"/>
    <w:rsid w:val="4EA74993"/>
    <w:rsid w:val="51612BD7"/>
    <w:rsid w:val="52CA760D"/>
    <w:rsid w:val="58FE5143"/>
    <w:rsid w:val="5DE363F2"/>
    <w:rsid w:val="5F943FC9"/>
    <w:rsid w:val="60D475E8"/>
    <w:rsid w:val="64562CC0"/>
    <w:rsid w:val="66D85BBF"/>
    <w:rsid w:val="7F61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3"/>
    <w:qFormat/>
    <w:uiPriority w:val="99"/>
    <w:pPr>
      <w:keepNext/>
      <w:keepLines/>
      <w:spacing w:before="260" w:after="260" w:line="412" w:lineRule="auto"/>
      <w:outlineLvl w:val="1"/>
    </w:pPr>
    <w:rPr>
      <w:rFonts w:ascii="Arial" w:hAnsi="Arial" w:cs="Times New Roman"/>
      <w:b/>
      <w:sz w:val="32"/>
      <w:szCs w:val="28"/>
    </w:rPr>
  </w:style>
  <w:style w:type="paragraph" w:styleId="4">
    <w:name w:val="heading 4"/>
    <w:basedOn w:val="1"/>
    <w:next w:val="1"/>
    <w:unhideWhenUsed/>
    <w:qFormat/>
    <w:uiPriority w:val="9"/>
    <w:pPr>
      <w:keepNext/>
      <w:keepLines/>
      <w:spacing w:before="80" w:after="40" w:line="278" w:lineRule="auto"/>
      <w:jc w:val="left"/>
      <w:outlineLvl w:val="3"/>
    </w:pPr>
    <w:rPr>
      <w:rFonts w:asciiTheme="minorHAnsi" w:hAnsiTheme="minorHAnsi" w:eastAsiaTheme="minorEastAsia" w:cstheme="majorBidi"/>
      <w:color w:val="2E54A1" w:themeColor="accent1" w:themeShade="BF"/>
      <w:sz w:val="28"/>
      <w:szCs w:val="28"/>
      <w14:ligatures w14:val="standardContextual"/>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next w:val="1"/>
    <w:qFormat/>
    <w:uiPriority w:val="0"/>
    <w:pPr>
      <w:snapToGrid w:val="0"/>
      <w:spacing w:line="440" w:lineRule="exact"/>
      <w:jc w:val="left"/>
    </w:pPr>
    <w:rPr>
      <w:rFonts w:ascii="仿宋_GB2312" w:hAnsi="Courier New" w:eastAsia="仿宋_GB2312"/>
      <w:sz w:val="2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adjustRightInd w:val="0"/>
      <w:snapToGrid w:val="0"/>
      <w:spacing w:before="240" w:after="480"/>
      <w:jc w:val="center"/>
    </w:pPr>
    <w:rPr>
      <w:rFonts w:ascii="Arial" w:hAnsi="Arial" w:eastAsia="隶书"/>
      <w:b/>
      <w:bCs/>
      <w:kern w:val="28"/>
      <w:sz w:val="44"/>
      <w:szCs w:val="32"/>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Body Text First Indent"/>
    <w:basedOn w:val="6"/>
    <w:qFormat/>
    <w:uiPriority w:val="0"/>
    <w:pPr>
      <w:widowControl/>
      <w:ind w:firstLine="420" w:firstLineChars="100"/>
      <w:jc w:val="left"/>
    </w:pPr>
    <w:rPr>
      <w:rFonts w:ascii="Times New Roman" w:cs="Times New Roman"/>
      <w:kern w:val="0"/>
      <w:sz w:val="24"/>
      <w:szCs w:val="24"/>
      <w:lang w:eastAsia="en-US" w:bidi="en-U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iCs/>
    </w:rPr>
  </w:style>
  <w:style w:type="character" w:styleId="18">
    <w:name w:val="Hyperlink"/>
    <w:basedOn w:val="16"/>
    <w:qFormat/>
    <w:uiPriority w:val="99"/>
    <w:rPr>
      <w:color w:val="0000FF"/>
      <w:u w:val="single"/>
    </w:rPr>
  </w:style>
  <w:style w:type="paragraph" w:customStyle="1" w:styleId="19">
    <w:name w:val="表格文字"/>
    <w:basedOn w:val="1"/>
    <w:next w:val="6"/>
    <w:qFormat/>
    <w:uiPriority w:val="0"/>
    <w:pPr>
      <w:ind w:firstLine="200" w:firstLineChars="200"/>
    </w:pPr>
    <w:rPr>
      <w:rFonts w:ascii="Arial" w:hAnsi="Arial" w:cs="Times New Roman"/>
      <w:spacing w:val="-5"/>
      <w:kern w:val="0"/>
      <w:sz w:val="24"/>
      <w:szCs w:val="20"/>
    </w:rPr>
  </w:style>
  <w:style w:type="paragraph" w:styleId="20">
    <w:name w:val="List Paragraph"/>
    <w:basedOn w:val="1"/>
    <w:unhideWhenUsed/>
    <w:qFormat/>
    <w:uiPriority w:val="34"/>
    <w:pPr>
      <w:ind w:firstLine="420" w:firstLineChars="200"/>
    </w:pPr>
    <w:rPr>
      <w:rFonts w:ascii="Calibri" w:hAnsi="Calibri" w:eastAsia="宋体" w:cs="Times New Roman"/>
      <w:szCs w:val="24"/>
    </w:rPr>
  </w:style>
  <w:style w:type="paragraph" w:customStyle="1" w:styleId="21">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22">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paragraph" w:customStyle="1" w:styleId="23">
    <w:name w:val="纯文本1"/>
    <w:basedOn w:val="1"/>
    <w:qFormat/>
    <w:uiPriority w:val="0"/>
    <w:rPr>
      <w:rFonts w:ascii="宋体" w:hAnsi="Courier New"/>
    </w:rPr>
  </w:style>
  <w:style w:type="paragraph" w:customStyle="1" w:styleId="24">
    <w:name w:val="text-tag"/>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5">
    <w:name w:val="列出段落1"/>
    <w:basedOn w:val="1"/>
    <w:qFormat/>
    <w:uiPriority w:val="34"/>
    <w:pPr>
      <w:ind w:firstLine="420" w:firstLineChars="200"/>
    </w:pPr>
  </w:style>
  <w:style w:type="paragraph" w:customStyle="1" w:styleId="26">
    <w:name w:val="首行缩进"/>
    <w:basedOn w:val="1"/>
    <w:next w:val="1"/>
    <w:qFormat/>
    <w:uiPriority w:val="0"/>
    <w:pPr>
      <w:spacing w:line="360" w:lineRule="auto"/>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15164</Words>
  <Characters>16302</Characters>
  <Lines>0</Lines>
  <Paragraphs>0</Paragraphs>
  <TotalTime>98</TotalTime>
  <ScaleCrop>false</ScaleCrop>
  <LinksUpToDate>false</LinksUpToDate>
  <CharactersWithSpaces>16435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2025-05-22T07:43:00Z</dcterms:created>
  <dc:creator>ztb-wcy</dc:creator>
  <cp:lastModifiedBy>伊</cp:lastModifiedBy>
  <dcterms:modified xsi:type="dcterms:W3CDTF">2025-07-09T07:46:43Z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0833EF4BDE2F4432B38E28696389FEFA_11</vt:lpwstr>
  </property>
  <property fmtid="{D5CDD505-2E9C-101B-9397-08002B2CF9AE}" pid="4" name="KSOTemplateDocerSaveRecord">
    <vt:lpwstr>eyJoZGlkIjoiODIwY2ZmYzVlZjU0MmRjNTM2NjM4ZjRhZGVjMGY5M2EiLCJ1c2VySWQiOiI5MzA4MzY1OTQifQ==</vt:lpwstr>
  </property>
</Properties>
</file>