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2B850">
      <w:pPr>
        <w:rPr>
          <w:rFonts w:ascii="仿宋_GB2312" w:eastAsia="仿宋_GB2312"/>
          <w:sz w:val="24"/>
          <w:szCs w:val="24"/>
        </w:rPr>
      </w:pPr>
    </w:p>
    <w:p w14:paraId="4C28664C">
      <w:pPr>
        <w:rPr>
          <w:rFonts w:ascii="仿宋_GB2312" w:eastAsia="仿宋_GB2312"/>
          <w:sz w:val="24"/>
          <w:szCs w:val="24"/>
        </w:rPr>
      </w:pPr>
    </w:p>
    <w:p w14:paraId="07BFEB31">
      <w:pPr>
        <w:jc w:val="center"/>
        <w:rPr>
          <w:rFonts w:ascii="仿宋_GB2312" w:eastAsia="仿宋_GB2312"/>
          <w:sz w:val="44"/>
          <w:szCs w:val="44"/>
        </w:rPr>
      </w:pPr>
    </w:p>
    <w:p w14:paraId="477D3B30">
      <w:pPr>
        <w:jc w:val="center"/>
        <w:rPr>
          <w:rFonts w:ascii="仿宋_GB2312" w:eastAsia="仿宋_GB2312"/>
          <w:sz w:val="24"/>
          <w:szCs w:val="24"/>
        </w:rPr>
      </w:pPr>
    </w:p>
    <w:p w14:paraId="6378BA17">
      <w:pPr>
        <w:jc w:val="center"/>
        <w:rPr>
          <w:rFonts w:ascii="仿宋_GB2312" w:eastAsia="仿宋_GB2312"/>
          <w:sz w:val="32"/>
          <w:szCs w:val="32"/>
        </w:rPr>
      </w:pPr>
    </w:p>
    <w:p w14:paraId="30C737CC">
      <w:pPr>
        <w:jc w:val="center"/>
        <w:rPr>
          <w:rFonts w:hint="eastAsia" w:ascii="仿宋_GB2312" w:eastAsia="仿宋_GB2312"/>
          <w:color w:val="auto"/>
          <w:sz w:val="24"/>
          <w:szCs w:val="24"/>
          <w:lang w:val="en-US" w:eastAsia="zh-CN"/>
        </w:rPr>
      </w:pPr>
      <w:bookmarkStart w:id="404" w:name="_GoBack"/>
      <w:bookmarkEnd w:id="404"/>
      <w:r>
        <w:rPr>
          <w:rFonts w:hint="eastAsia" w:ascii="仿宋_GB2312" w:hAnsi="宋体" w:eastAsia="仿宋_GB2312"/>
          <w:b/>
          <w:sz w:val="36"/>
          <w:szCs w:val="36"/>
        </w:rPr>
        <w:t>舟山市</w:t>
      </w:r>
      <w:r>
        <w:rPr>
          <w:rFonts w:hint="eastAsia" w:ascii="仿宋_GB2312" w:hAnsi="宋体" w:eastAsia="仿宋_GB2312"/>
          <w:b/>
          <w:color w:val="auto"/>
          <w:sz w:val="36"/>
          <w:szCs w:val="36"/>
        </w:rPr>
        <w:t>体育场、体育馆物业管理服务</w:t>
      </w:r>
      <w:r>
        <w:rPr>
          <w:rFonts w:hint="eastAsia" w:ascii="仿宋_GB2312" w:hAnsi="宋体" w:eastAsia="仿宋_GB2312"/>
          <w:b/>
          <w:color w:val="auto"/>
          <w:sz w:val="36"/>
          <w:szCs w:val="36"/>
          <w:lang w:val="en-US" w:eastAsia="zh-CN"/>
        </w:rPr>
        <w:t>(重新招标）</w:t>
      </w:r>
    </w:p>
    <w:p w14:paraId="57C46F14">
      <w:pPr>
        <w:jc w:val="center"/>
        <w:rPr>
          <w:rFonts w:ascii="仿宋_GB2312" w:eastAsia="仿宋_GB2312"/>
          <w:sz w:val="24"/>
          <w:szCs w:val="24"/>
        </w:rPr>
      </w:pPr>
    </w:p>
    <w:p w14:paraId="6FA03272">
      <w:pPr>
        <w:jc w:val="center"/>
        <w:rPr>
          <w:rFonts w:ascii="仿宋_GB2312" w:eastAsia="仿宋_GB2312"/>
          <w:sz w:val="24"/>
          <w:szCs w:val="24"/>
        </w:rPr>
      </w:pPr>
    </w:p>
    <w:p w14:paraId="5EDB7615">
      <w:pPr>
        <w:jc w:val="center"/>
        <w:rPr>
          <w:rFonts w:ascii="仿宋_GB2312" w:eastAsia="仿宋_GB2312"/>
          <w:sz w:val="24"/>
          <w:szCs w:val="24"/>
        </w:rPr>
      </w:pPr>
    </w:p>
    <w:p w14:paraId="061134F6">
      <w:pPr>
        <w:jc w:val="center"/>
        <w:rPr>
          <w:rFonts w:ascii="仿宋_GB2312" w:eastAsia="仿宋_GB2312"/>
          <w:sz w:val="24"/>
          <w:szCs w:val="24"/>
        </w:rPr>
      </w:pPr>
    </w:p>
    <w:p w14:paraId="66313BF6">
      <w:pPr>
        <w:jc w:val="center"/>
        <w:rPr>
          <w:rFonts w:ascii="仿宋_GB2312" w:eastAsia="仿宋_GB2312"/>
          <w:sz w:val="24"/>
          <w:szCs w:val="24"/>
        </w:rPr>
      </w:pPr>
    </w:p>
    <w:p w14:paraId="351D6B0D">
      <w:pPr>
        <w:jc w:val="center"/>
        <w:rPr>
          <w:rFonts w:ascii="仿宋_GB2312" w:eastAsia="仿宋_GB2312"/>
          <w:sz w:val="24"/>
          <w:szCs w:val="24"/>
        </w:rPr>
      </w:pPr>
    </w:p>
    <w:p w14:paraId="47F82A1B">
      <w:pPr>
        <w:spacing w:line="600" w:lineRule="exact"/>
        <w:jc w:val="center"/>
        <w:rPr>
          <w:rFonts w:ascii="仿宋_GB2312" w:eastAsia="仿宋_GB2312"/>
          <w:sz w:val="30"/>
          <w:szCs w:val="30"/>
        </w:rPr>
      </w:pPr>
      <w:r>
        <w:rPr>
          <w:rFonts w:hint="eastAsia" w:ascii="仿宋_GB2312" w:eastAsia="仿宋_GB2312"/>
          <w:sz w:val="30"/>
          <w:szCs w:val="30"/>
          <w:lang w:eastAsia="zh-CN"/>
        </w:rPr>
        <w:t>公开招标</w:t>
      </w:r>
      <w:r>
        <w:rPr>
          <w:rFonts w:hint="eastAsia" w:ascii="仿宋_GB2312" w:eastAsia="仿宋_GB2312"/>
          <w:sz w:val="30"/>
          <w:szCs w:val="30"/>
        </w:rPr>
        <w:t>文件</w:t>
      </w:r>
    </w:p>
    <w:p w14:paraId="79FA22CC">
      <w:pPr>
        <w:spacing w:line="600" w:lineRule="exact"/>
        <w:jc w:val="center"/>
        <w:rPr>
          <w:rFonts w:ascii="仿宋_GB2312" w:eastAsia="仿宋_GB2312"/>
          <w:sz w:val="30"/>
          <w:szCs w:val="30"/>
        </w:rPr>
      </w:pPr>
      <w:r>
        <w:rPr>
          <w:rFonts w:hint="eastAsia" w:ascii="仿宋_GB2312" w:eastAsia="仿宋_GB2312"/>
          <w:sz w:val="30"/>
          <w:szCs w:val="30"/>
        </w:rPr>
        <w:t>（电子招投标）</w:t>
      </w:r>
    </w:p>
    <w:p w14:paraId="5BEEFCA1">
      <w:pPr>
        <w:spacing w:line="600" w:lineRule="exact"/>
        <w:jc w:val="center"/>
        <w:rPr>
          <w:rFonts w:hint="default" w:ascii="仿宋_GB2312" w:eastAsia="仿宋_GB2312"/>
          <w:sz w:val="30"/>
          <w:szCs w:val="30"/>
          <w:lang w:val="en-US" w:eastAsia="zh-CN"/>
        </w:rPr>
      </w:pPr>
      <w:r>
        <w:rPr>
          <w:rFonts w:hint="eastAsia" w:ascii="仿宋_GB2312" w:eastAsia="仿宋_GB2312"/>
          <w:sz w:val="30"/>
          <w:szCs w:val="30"/>
        </w:rPr>
        <w:t>编号:ZSZFCG2025-ZB-0</w:t>
      </w:r>
      <w:r>
        <w:rPr>
          <w:rFonts w:hint="eastAsia" w:ascii="仿宋_GB2312" w:eastAsia="仿宋_GB2312"/>
          <w:sz w:val="30"/>
          <w:szCs w:val="30"/>
          <w:lang w:val="en-US" w:eastAsia="zh-CN"/>
        </w:rPr>
        <w:t>40</w:t>
      </w:r>
    </w:p>
    <w:p w14:paraId="53CDA1F4">
      <w:pPr>
        <w:spacing w:line="600" w:lineRule="exact"/>
        <w:jc w:val="center"/>
        <w:rPr>
          <w:rFonts w:ascii="仿宋_GB2312" w:eastAsia="仿宋_GB2312"/>
          <w:sz w:val="30"/>
          <w:szCs w:val="30"/>
        </w:rPr>
      </w:pPr>
    </w:p>
    <w:p w14:paraId="4AA3C0AC">
      <w:pPr>
        <w:spacing w:line="600" w:lineRule="exact"/>
        <w:jc w:val="center"/>
        <w:rPr>
          <w:rFonts w:ascii="仿宋_GB2312" w:eastAsia="仿宋_GB2312"/>
          <w:sz w:val="30"/>
          <w:szCs w:val="30"/>
        </w:rPr>
      </w:pPr>
    </w:p>
    <w:p w14:paraId="22073035">
      <w:pPr>
        <w:spacing w:line="600" w:lineRule="exact"/>
        <w:jc w:val="center"/>
        <w:rPr>
          <w:rFonts w:ascii="仿宋_GB2312" w:eastAsia="仿宋_GB2312"/>
          <w:sz w:val="30"/>
          <w:szCs w:val="30"/>
        </w:rPr>
      </w:pPr>
    </w:p>
    <w:p w14:paraId="5444CFEC">
      <w:pPr>
        <w:spacing w:line="600" w:lineRule="exact"/>
        <w:jc w:val="center"/>
        <w:rPr>
          <w:rFonts w:ascii="仿宋_GB2312" w:eastAsia="仿宋_GB2312"/>
          <w:sz w:val="30"/>
          <w:szCs w:val="30"/>
        </w:rPr>
      </w:pPr>
    </w:p>
    <w:p w14:paraId="51346C79">
      <w:pPr>
        <w:spacing w:line="600" w:lineRule="exact"/>
        <w:jc w:val="center"/>
        <w:rPr>
          <w:rFonts w:ascii="仿宋_GB2312" w:eastAsia="仿宋_GB2312"/>
          <w:sz w:val="30"/>
          <w:szCs w:val="30"/>
        </w:rPr>
      </w:pPr>
    </w:p>
    <w:p w14:paraId="7B6DA673">
      <w:pPr>
        <w:adjustRightInd w:val="0"/>
        <w:snapToGrid w:val="0"/>
        <w:spacing w:line="600" w:lineRule="exact"/>
        <w:jc w:val="center"/>
        <w:rPr>
          <w:rFonts w:ascii="仿宋_GB2312" w:hAnsi="宋体" w:eastAsia="仿宋_GB2312"/>
          <w:sz w:val="30"/>
          <w:szCs w:val="30"/>
        </w:rPr>
      </w:pPr>
      <w:r>
        <w:rPr>
          <w:rFonts w:hint="eastAsia" w:ascii="仿宋_GB2312" w:hAnsi="宋体" w:eastAsia="仿宋_GB2312"/>
          <w:sz w:val="30"/>
          <w:szCs w:val="30"/>
        </w:rPr>
        <w:t>舟山市体育中心（舟山市全民健身中心）</w:t>
      </w:r>
    </w:p>
    <w:p w14:paraId="0ADE3DF6">
      <w:pPr>
        <w:adjustRightInd w:val="0"/>
        <w:snapToGrid w:val="0"/>
        <w:spacing w:line="600" w:lineRule="exact"/>
        <w:jc w:val="center"/>
        <w:rPr>
          <w:rFonts w:ascii="仿宋_GB2312" w:eastAsia="仿宋_GB2312"/>
          <w:sz w:val="30"/>
          <w:szCs w:val="30"/>
        </w:rPr>
      </w:pPr>
      <w:r>
        <w:rPr>
          <w:rFonts w:hint="eastAsia" w:ascii="仿宋_GB2312" w:eastAsia="仿宋_GB2312"/>
          <w:sz w:val="30"/>
          <w:szCs w:val="30"/>
        </w:rPr>
        <w:t>舟山市公共资源交易中心</w:t>
      </w:r>
    </w:p>
    <w:p w14:paraId="46438594">
      <w:pPr>
        <w:adjustRightInd w:val="0"/>
        <w:snapToGrid w:val="0"/>
        <w:spacing w:line="600" w:lineRule="exact"/>
        <w:jc w:val="center"/>
        <w:rPr>
          <w:rFonts w:ascii="仿宋_GB2312" w:eastAsia="仿宋_GB2312"/>
          <w:sz w:val="30"/>
          <w:szCs w:val="30"/>
        </w:rPr>
      </w:pPr>
      <w:r>
        <w:rPr>
          <w:rFonts w:hint="eastAsia" w:ascii="仿宋_GB2312" w:eastAsia="仿宋_GB2312"/>
          <w:sz w:val="30"/>
          <w:szCs w:val="30"/>
        </w:rPr>
        <w:t>2025年</w:t>
      </w:r>
      <w:r>
        <w:rPr>
          <w:rFonts w:hint="eastAsia" w:ascii="仿宋_GB2312" w:eastAsia="仿宋_GB2312"/>
          <w:sz w:val="30"/>
          <w:szCs w:val="30"/>
          <w:lang w:val="en-US" w:eastAsia="zh-CN"/>
        </w:rPr>
        <w:t>6</w:t>
      </w:r>
      <w:r>
        <w:rPr>
          <w:rFonts w:hint="eastAsia" w:ascii="仿宋_GB2312" w:eastAsia="仿宋_GB2312"/>
          <w:sz w:val="30"/>
          <w:szCs w:val="30"/>
        </w:rPr>
        <w:t>月</w:t>
      </w:r>
    </w:p>
    <w:p w14:paraId="57E4420D">
      <w:pPr>
        <w:adjustRightInd w:val="0"/>
        <w:snapToGrid w:val="0"/>
        <w:jc w:val="center"/>
        <w:rPr>
          <w:rFonts w:ascii="仿宋_GB2312" w:eastAsia="仿宋_GB2312"/>
          <w:sz w:val="24"/>
          <w:szCs w:val="24"/>
        </w:rPr>
      </w:pPr>
      <w:r>
        <w:rPr>
          <w:rFonts w:hint="eastAsia" w:ascii="仿宋_GB2312" w:eastAsia="仿宋_GB2312"/>
          <w:sz w:val="24"/>
          <w:szCs w:val="24"/>
        </w:rPr>
        <w:br w:type="page"/>
      </w:r>
      <w:bookmarkStart w:id="0" w:name="_Hlt67893495"/>
      <w:bookmarkEnd w:id="0"/>
    </w:p>
    <w:p w14:paraId="2EAF2F2C">
      <w:pPr>
        <w:rPr>
          <w:rFonts w:ascii="仿宋_GB2312" w:eastAsia="仿宋_GB2312"/>
          <w:sz w:val="24"/>
          <w:szCs w:val="24"/>
        </w:rPr>
      </w:pPr>
    </w:p>
    <w:p w14:paraId="6C2A3FF7">
      <w:pPr>
        <w:jc w:val="center"/>
        <w:rPr>
          <w:rFonts w:ascii="仿宋_GB2312" w:hAnsi="宋体" w:eastAsia="仿宋_GB2312"/>
          <w:b/>
          <w:sz w:val="28"/>
          <w:szCs w:val="28"/>
        </w:rPr>
      </w:pPr>
      <w:r>
        <w:rPr>
          <w:rFonts w:hint="eastAsia" w:ascii="仿宋_GB2312" w:hAnsi="宋体" w:eastAsia="仿宋_GB2312"/>
          <w:b/>
          <w:sz w:val="28"/>
          <w:szCs w:val="28"/>
        </w:rPr>
        <w:t>目  录</w:t>
      </w:r>
    </w:p>
    <w:p w14:paraId="158A7989">
      <w:pPr>
        <w:rPr>
          <w:rFonts w:ascii="仿宋_GB2312" w:eastAsia="仿宋_GB2312"/>
          <w:sz w:val="28"/>
          <w:szCs w:val="28"/>
        </w:rPr>
      </w:pPr>
    </w:p>
    <w:p w14:paraId="5099ED73">
      <w:pPr>
        <w:spacing w:line="360" w:lineRule="auto"/>
        <w:rPr>
          <w:rFonts w:ascii="仿宋_GB2312" w:eastAsia="仿宋_GB2312"/>
          <w:sz w:val="28"/>
          <w:szCs w:val="28"/>
        </w:rPr>
      </w:pPr>
    </w:p>
    <w:p w14:paraId="5F678AEC">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第一部分      招标公告</w:t>
      </w:r>
    </w:p>
    <w:p w14:paraId="084CEF22">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第二部分      投标人须知</w:t>
      </w:r>
    </w:p>
    <w:p w14:paraId="1B48906A">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第三部分      采购需求</w:t>
      </w:r>
    </w:p>
    <w:p w14:paraId="51E8DCEE">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第四部分      评标办法</w:t>
      </w:r>
    </w:p>
    <w:p w14:paraId="429484D9">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第五部分      拟签订的合同文本</w:t>
      </w:r>
    </w:p>
    <w:p w14:paraId="557D83D0">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第六部分      应提交的有关格式范例</w:t>
      </w:r>
    </w:p>
    <w:p w14:paraId="634C6A33">
      <w:pPr>
        <w:rPr>
          <w:rFonts w:ascii="仿宋_GB2312" w:hAnsi="黑体" w:eastAsia="仿宋_GB2312"/>
          <w:sz w:val="24"/>
          <w:szCs w:val="24"/>
        </w:rPr>
      </w:pPr>
      <w:bookmarkStart w:id="1" w:name="_Hlt91233176"/>
      <w:bookmarkEnd w:id="1"/>
      <w:bookmarkStart w:id="2" w:name="_Toc91899869"/>
    </w:p>
    <w:p w14:paraId="44B17D2A">
      <w:pPr>
        <w:rPr>
          <w:rFonts w:ascii="仿宋_GB2312" w:hAnsi="黑体" w:eastAsia="仿宋_GB2312"/>
          <w:sz w:val="24"/>
          <w:szCs w:val="24"/>
        </w:rPr>
      </w:pPr>
    </w:p>
    <w:p w14:paraId="02E2EE9B">
      <w:pPr>
        <w:rPr>
          <w:rFonts w:ascii="仿宋_GB2312" w:eastAsia="仿宋_GB2312"/>
          <w:sz w:val="24"/>
          <w:szCs w:val="24"/>
        </w:rPr>
      </w:pPr>
    </w:p>
    <w:p w14:paraId="4F5C7D23">
      <w:pPr>
        <w:rPr>
          <w:rFonts w:ascii="仿宋_GB2312" w:eastAsia="仿宋_GB2312"/>
          <w:sz w:val="24"/>
          <w:szCs w:val="24"/>
        </w:rPr>
      </w:pPr>
    </w:p>
    <w:p w14:paraId="3B53B198">
      <w:pPr>
        <w:rPr>
          <w:rFonts w:ascii="仿宋_GB2312" w:eastAsia="仿宋_GB2312"/>
          <w:sz w:val="24"/>
          <w:szCs w:val="24"/>
        </w:rPr>
      </w:pPr>
    </w:p>
    <w:p w14:paraId="58D40297">
      <w:pPr>
        <w:rPr>
          <w:rFonts w:ascii="仿宋_GB2312" w:eastAsia="仿宋_GB2312"/>
          <w:sz w:val="24"/>
          <w:szCs w:val="24"/>
        </w:rPr>
      </w:pPr>
    </w:p>
    <w:p w14:paraId="5F86DD31">
      <w:pPr>
        <w:rPr>
          <w:rFonts w:ascii="仿宋_GB2312" w:eastAsia="仿宋_GB2312"/>
          <w:sz w:val="24"/>
          <w:szCs w:val="24"/>
        </w:rPr>
      </w:pPr>
    </w:p>
    <w:p w14:paraId="6667E344">
      <w:pPr>
        <w:rPr>
          <w:rFonts w:ascii="仿宋_GB2312" w:eastAsia="仿宋_GB2312"/>
          <w:sz w:val="24"/>
          <w:szCs w:val="24"/>
        </w:rPr>
      </w:pPr>
    </w:p>
    <w:p w14:paraId="75ED7FC0">
      <w:pPr>
        <w:rPr>
          <w:rFonts w:ascii="仿宋_GB2312" w:eastAsia="仿宋_GB2312"/>
          <w:sz w:val="24"/>
          <w:szCs w:val="24"/>
        </w:rPr>
      </w:pPr>
    </w:p>
    <w:p w14:paraId="3057F2BF">
      <w:pPr>
        <w:rPr>
          <w:rFonts w:ascii="仿宋_GB2312" w:eastAsia="仿宋_GB2312"/>
          <w:sz w:val="24"/>
          <w:szCs w:val="24"/>
        </w:rPr>
      </w:pPr>
    </w:p>
    <w:p w14:paraId="61F1930D">
      <w:pPr>
        <w:rPr>
          <w:rFonts w:ascii="仿宋_GB2312" w:eastAsia="仿宋_GB2312"/>
          <w:sz w:val="24"/>
          <w:szCs w:val="24"/>
        </w:rPr>
      </w:pPr>
    </w:p>
    <w:p w14:paraId="76FA6D12">
      <w:pPr>
        <w:rPr>
          <w:rFonts w:ascii="仿宋_GB2312" w:eastAsia="仿宋_GB2312"/>
          <w:sz w:val="24"/>
          <w:szCs w:val="24"/>
        </w:rPr>
      </w:pPr>
    </w:p>
    <w:p w14:paraId="329B80A4">
      <w:pPr>
        <w:rPr>
          <w:rFonts w:ascii="仿宋_GB2312" w:eastAsia="仿宋_GB2312"/>
          <w:sz w:val="24"/>
          <w:szCs w:val="24"/>
        </w:rPr>
      </w:pPr>
    </w:p>
    <w:p w14:paraId="419DC031">
      <w:pPr>
        <w:rPr>
          <w:rFonts w:ascii="仿宋_GB2312" w:eastAsia="仿宋_GB2312"/>
          <w:sz w:val="24"/>
          <w:szCs w:val="24"/>
        </w:rPr>
      </w:pPr>
    </w:p>
    <w:p w14:paraId="4C5BB3AE">
      <w:pPr>
        <w:spacing w:line="540" w:lineRule="exact"/>
        <w:contextualSpacing/>
        <w:jc w:val="center"/>
        <w:rPr>
          <w:rFonts w:ascii="仿宋_GB2312" w:hAnsi="黑体" w:eastAsia="仿宋_GB2312"/>
          <w:b/>
          <w:sz w:val="28"/>
          <w:szCs w:val="28"/>
        </w:rPr>
      </w:pPr>
      <w:bookmarkStart w:id="3" w:name="第一部分"/>
      <w:r>
        <w:rPr>
          <w:rFonts w:hint="eastAsia" w:ascii="仿宋_GB2312" w:eastAsia="仿宋_GB2312"/>
          <w:sz w:val="24"/>
          <w:szCs w:val="24"/>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_GB2312" w:hAnsi="黑体" w:eastAsia="仿宋_GB2312"/>
          <w:b/>
          <w:sz w:val="28"/>
          <w:szCs w:val="28"/>
        </w:rPr>
        <w:t>第一部分 招标公告</w:t>
      </w:r>
    </w:p>
    <w:p w14:paraId="790EC69C">
      <w:pPr>
        <w:spacing w:line="420" w:lineRule="exact"/>
        <w:ind w:firstLine="482" w:firstLineChars="200"/>
        <w:contextualSpacing/>
        <w:rPr>
          <w:rFonts w:ascii="仿宋_GB2312" w:eastAsia="仿宋_GB2312"/>
          <w:b/>
          <w:sz w:val="24"/>
          <w:szCs w:val="24"/>
        </w:rPr>
      </w:pPr>
    </w:p>
    <w:p w14:paraId="70D784DC">
      <w:pPr>
        <w:spacing w:line="420" w:lineRule="exact"/>
        <w:ind w:firstLine="480" w:firstLineChars="200"/>
        <w:contextualSpacing/>
        <w:rPr>
          <w:rFonts w:ascii="仿宋_GB2312" w:eastAsia="仿宋_GB2312"/>
          <w:sz w:val="24"/>
          <w:szCs w:val="24"/>
        </w:rPr>
      </w:pPr>
      <w:r>
        <w:rPr>
          <w:rFonts w:hint="eastAsia" w:ascii="仿宋_GB2312" w:eastAsia="仿宋_GB2312"/>
          <w:b w:val="0"/>
          <w:bCs w:val="0"/>
          <w:color w:val="auto"/>
          <w:sz w:val="24"/>
          <w:szCs w:val="24"/>
        </w:rPr>
        <w:t>舟山市</w:t>
      </w:r>
      <w:r>
        <w:rPr>
          <w:rFonts w:hint="eastAsia" w:ascii="仿宋_GB2312" w:hAnsi="宋体" w:eastAsia="仿宋_GB2312"/>
          <w:b w:val="0"/>
          <w:bCs w:val="0"/>
          <w:color w:val="auto"/>
          <w:sz w:val="24"/>
          <w:szCs w:val="24"/>
        </w:rPr>
        <w:t>体育场、体育馆物业管理服务</w:t>
      </w:r>
      <w:r>
        <w:rPr>
          <w:rFonts w:hint="eastAsia" w:ascii="仿宋_GB2312" w:hAnsi="宋体" w:eastAsia="仿宋_GB2312"/>
          <w:b w:val="0"/>
          <w:bCs w:val="0"/>
          <w:color w:val="auto"/>
          <w:sz w:val="24"/>
          <w:szCs w:val="24"/>
          <w:lang w:val="en-US" w:eastAsia="zh-CN"/>
        </w:rPr>
        <w:t>(重新招标）</w:t>
      </w:r>
      <w:r>
        <w:rPr>
          <w:rFonts w:hint="eastAsia" w:ascii="仿宋_GB2312" w:eastAsia="仿宋_GB2312"/>
          <w:sz w:val="24"/>
          <w:szCs w:val="24"/>
        </w:rPr>
        <w:t>的潜在投标人应在政采云平台（</w:t>
      </w:r>
      <w:r>
        <w:fldChar w:fldCharType="begin"/>
      </w:r>
      <w:r>
        <w:instrText xml:space="preserve"> HYPERLINK "https://www.zcygov.cn/）获取（下载）招标文件，并于2024年7月1日9点15分00秒" </w:instrText>
      </w:r>
      <w:r>
        <w:fldChar w:fldCharType="separate"/>
      </w:r>
      <w:r>
        <w:rPr>
          <w:rStyle w:val="13"/>
          <w:rFonts w:hint="eastAsia" w:ascii="仿宋_GB2312" w:eastAsia="仿宋_GB2312"/>
          <w:sz w:val="24"/>
          <w:szCs w:val="24"/>
        </w:rPr>
        <w:t>https://www.zcygov.cn/）获取（下载）招标文件，并于2025年</w:t>
      </w:r>
      <w:r>
        <w:rPr>
          <w:rStyle w:val="13"/>
          <w:rFonts w:hint="eastAsia" w:ascii="仿宋_GB2312" w:eastAsia="仿宋_GB2312"/>
          <w:sz w:val="24"/>
          <w:szCs w:val="24"/>
          <w:lang w:val="en-US" w:eastAsia="zh-CN"/>
        </w:rPr>
        <w:t>7</w:t>
      </w:r>
      <w:r>
        <w:rPr>
          <w:rStyle w:val="13"/>
          <w:rFonts w:hint="eastAsia" w:ascii="仿宋_GB2312" w:eastAsia="仿宋_GB2312"/>
          <w:sz w:val="24"/>
          <w:szCs w:val="24"/>
        </w:rPr>
        <w:t>月</w:t>
      </w:r>
      <w:r>
        <w:rPr>
          <w:rStyle w:val="13"/>
          <w:rFonts w:hint="eastAsia" w:ascii="仿宋_GB2312" w:eastAsia="仿宋_GB2312"/>
          <w:sz w:val="24"/>
          <w:szCs w:val="24"/>
          <w:lang w:val="en-US" w:eastAsia="zh-CN"/>
        </w:rPr>
        <w:t>17</w:t>
      </w:r>
      <w:r>
        <w:rPr>
          <w:rStyle w:val="13"/>
          <w:rFonts w:hint="eastAsia" w:ascii="仿宋_GB2312" w:eastAsia="仿宋_GB2312"/>
          <w:sz w:val="24"/>
          <w:szCs w:val="24"/>
        </w:rPr>
        <w:t>日9点15分00秒</w:t>
      </w:r>
      <w:r>
        <w:rPr>
          <w:rStyle w:val="13"/>
          <w:rFonts w:hint="eastAsia" w:ascii="仿宋_GB2312" w:eastAsia="仿宋_GB2312"/>
          <w:sz w:val="24"/>
          <w:szCs w:val="24"/>
        </w:rPr>
        <w:fldChar w:fldCharType="end"/>
      </w:r>
      <w:r>
        <w:rPr>
          <w:rFonts w:hint="eastAsia" w:ascii="仿宋_GB2312" w:eastAsia="仿宋_GB2312"/>
          <w:sz w:val="24"/>
          <w:szCs w:val="24"/>
        </w:rPr>
        <w:t>（北京时间）前递交（上传）投标文件。</w:t>
      </w:r>
    </w:p>
    <w:p w14:paraId="12A10F19">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一、项目基本情况                                            </w:t>
      </w:r>
    </w:p>
    <w:p w14:paraId="0CD20FEC">
      <w:pPr>
        <w:spacing w:line="42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rPr>
        <w:t>项目编号：ZSZFCG2025-ZB-0</w:t>
      </w:r>
      <w:r>
        <w:rPr>
          <w:rFonts w:hint="eastAsia" w:ascii="仿宋_GB2312" w:eastAsia="仿宋_GB2312"/>
          <w:sz w:val="24"/>
          <w:szCs w:val="24"/>
          <w:lang w:val="en-US" w:eastAsia="zh-CN"/>
        </w:rPr>
        <w:t>40</w:t>
      </w:r>
    </w:p>
    <w:p w14:paraId="2E5AB07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项目名称：</w:t>
      </w:r>
      <w:r>
        <w:rPr>
          <w:rFonts w:hint="eastAsia" w:ascii="仿宋_GB2312" w:eastAsia="仿宋_GB2312"/>
          <w:b w:val="0"/>
          <w:bCs w:val="0"/>
          <w:color w:val="auto"/>
          <w:sz w:val="24"/>
          <w:szCs w:val="24"/>
        </w:rPr>
        <w:t>舟山市</w:t>
      </w:r>
      <w:r>
        <w:rPr>
          <w:rFonts w:hint="eastAsia" w:ascii="仿宋_GB2312" w:hAnsi="宋体" w:eastAsia="仿宋_GB2312"/>
          <w:b w:val="0"/>
          <w:bCs w:val="0"/>
          <w:color w:val="auto"/>
          <w:sz w:val="24"/>
          <w:szCs w:val="24"/>
        </w:rPr>
        <w:t>体育场、体育馆物业管理服务</w:t>
      </w:r>
      <w:r>
        <w:rPr>
          <w:rFonts w:hint="eastAsia" w:ascii="仿宋_GB2312" w:hAnsi="宋体" w:eastAsia="仿宋_GB2312"/>
          <w:b w:val="0"/>
          <w:bCs w:val="0"/>
          <w:color w:val="auto"/>
          <w:sz w:val="24"/>
          <w:szCs w:val="24"/>
          <w:lang w:val="en-US" w:eastAsia="zh-CN"/>
        </w:rPr>
        <w:t>(重新招标）</w:t>
      </w:r>
    </w:p>
    <w:p w14:paraId="499C49AE">
      <w:pPr>
        <w:spacing w:line="420" w:lineRule="exact"/>
        <w:ind w:firstLine="480" w:firstLineChars="200"/>
        <w:contextualSpacing/>
        <w:rPr>
          <w:rFonts w:ascii="仿宋_GB2312" w:eastAsia="仿宋_GB2312"/>
          <w:color w:val="auto"/>
          <w:sz w:val="24"/>
          <w:szCs w:val="24"/>
        </w:rPr>
      </w:pPr>
      <w:r>
        <w:rPr>
          <w:rFonts w:hint="eastAsia" w:ascii="仿宋_GB2312" w:eastAsia="仿宋_GB2312"/>
          <w:sz w:val="24"/>
          <w:szCs w:val="24"/>
        </w:rPr>
        <w:t>预算金额（元）</w:t>
      </w:r>
      <w:r>
        <w:rPr>
          <w:rFonts w:hint="eastAsia" w:ascii="仿宋_GB2312" w:eastAsia="仿宋_GB2312"/>
          <w:color w:val="auto"/>
          <w:sz w:val="24"/>
          <w:szCs w:val="24"/>
        </w:rPr>
        <w:t>：265</w:t>
      </w:r>
      <w:r>
        <w:rPr>
          <w:rFonts w:hint="default" w:ascii="仿宋_GB2312" w:eastAsia="仿宋_GB2312"/>
          <w:color w:val="auto"/>
          <w:sz w:val="24"/>
          <w:szCs w:val="24"/>
          <w:woUserID w:val="1"/>
        </w:rPr>
        <w:t>0000</w:t>
      </w:r>
      <w:r>
        <w:rPr>
          <w:rFonts w:hint="eastAsia" w:ascii="仿宋_GB2312" w:eastAsia="仿宋_GB2312"/>
          <w:color w:val="auto"/>
          <w:sz w:val="24"/>
          <w:szCs w:val="24"/>
        </w:rPr>
        <w:t>元</w:t>
      </w:r>
    </w:p>
    <w:p w14:paraId="6C2CA2B3">
      <w:pPr>
        <w:spacing w:line="420" w:lineRule="exact"/>
        <w:ind w:firstLine="480" w:firstLineChars="200"/>
        <w:contextualSpacing/>
        <w:rPr>
          <w:rFonts w:ascii="仿宋_GB2312" w:eastAsia="仿宋_GB2312"/>
          <w:color w:val="auto"/>
          <w:sz w:val="24"/>
          <w:szCs w:val="24"/>
        </w:rPr>
      </w:pPr>
      <w:r>
        <w:rPr>
          <w:rFonts w:hint="eastAsia" w:ascii="仿宋_GB2312" w:eastAsia="仿宋_GB2312"/>
          <w:color w:val="auto"/>
          <w:sz w:val="24"/>
          <w:szCs w:val="24"/>
        </w:rPr>
        <w:t>最高限价（元）：265</w:t>
      </w:r>
      <w:r>
        <w:rPr>
          <w:rFonts w:hint="default" w:ascii="仿宋_GB2312" w:eastAsia="仿宋_GB2312"/>
          <w:color w:val="auto"/>
          <w:sz w:val="24"/>
          <w:szCs w:val="24"/>
          <w:woUserID w:val="1"/>
        </w:rPr>
        <w:t>0000</w:t>
      </w:r>
      <w:r>
        <w:rPr>
          <w:rFonts w:hint="eastAsia" w:ascii="仿宋_GB2312" w:eastAsia="仿宋_GB2312"/>
          <w:color w:val="auto"/>
          <w:sz w:val="24"/>
          <w:szCs w:val="24"/>
        </w:rPr>
        <w:t>元</w:t>
      </w:r>
    </w:p>
    <w:p w14:paraId="33325E6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采购需求：详见招标文件第三部分采购需求。</w:t>
      </w:r>
    </w:p>
    <w:p w14:paraId="4A0DE61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合同履约期限:一年（</w:t>
      </w:r>
      <w:r>
        <w:rPr>
          <w:rFonts w:hint="eastAsia" w:ascii="仿宋_GB2312" w:hAnsi="仿宋_GB2312" w:eastAsia="仿宋_GB2312" w:cs="仿宋_GB2312"/>
          <w:sz w:val="24"/>
          <w:szCs w:val="24"/>
        </w:rPr>
        <w:t>2025年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月1日至2026年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月3</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日</w:t>
      </w:r>
      <w:r>
        <w:rPr>
          <w:rFonts w:hint="eastAsia" w:ascii="仿宋_GB2312" w:eastAsia="仿宋_GB2312"/>
          <w:sz w:val="24"/>
          <w:szCs w:val="24"/>
        </w:rPr>
        <w:t>）</w:t>
      </w:r>
    </w:p>
    <w:p w14:paraId="5A9BDCC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本项目接受联合体投标：</w:t>
      </w:r>
      <w:r>
        <w:rPr>
          <w:rFonts w:hint="default" w:ascii="Arial" w:hAnsi="Arial" w:eastAsia="仿宋_GB2312" w:cs="Arial"/>
          <w:b/>
          <w:sz w:val="24"/>
          <w:szCs w:val="24"/>
        </w:rPr>
        <w:t>√</w:t>
      </w:r>
      <w:r>
        <w:rPr>
          <w:rFonts w:hint="eastAsia" w:ascii="仿宋_GB2312" w:eastAsia="仿宋_GB2312"/>
          <w:sz w:val="24"/>
          <w:szCs w:val="24"/>
        </w:rPr>
        <w:t>是</w:t>
      </w:r>
      <w:r>
        <w:rPr>
          <w:rFonts w:hint="eastAsia" w:ascii="仿宋_GB2312" w:eastAsia="仿宋_GB2312"/>
          <w:b/>
          <w:sz w:val="24"/>
          <w:szCs w:val="24"/>
        </w:rPr>
        <w:sym w:font="Wingdings" w:char="00A8"/>
      </w:r>
      <w:r>
        <w:rPr>
          <w:rFonts w:hint="eastAsia" w:ascii="仿宋_GB2312" w:eastAsia="仿宋_GB2312"/>
          <w:sz w:val="24"/>
          <w:szCs w:val="24"/>
        </w:rPr>
        <w:t>否</w:t>
      </w:r>
    </w:p>
    <w:p w14:paraId="21933F1B">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二、申请人的资格要求：</w:t>
      </w:r>
    </w:p>
    <w:p w14:paraId="23906F1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372EF96C">
      <w:pPr>
        <w:spacing w:line="420" w:lineRule="exact"/>
        <w:ind w:firstLine="552"/>
        <w:contextualSpacing/>
        <w:rPr>
          <w:rFonts w:ascii="仿宋_GB2312" w:eastAsia="仿宋_GB2312"/>
          <w:sz w:val="24"/>
          <w:szCs w:val="24"/>
        </w:rPr>
      </w:pPr>
      <w:r>
        <w:rPr>
          <w:rFonts w:hint="eastAsia" w:ascii="仿宋_GB2312" w:eastAsia="仿宋_GB2312"/>
          <w:sz w:val="24"/>
          <w:szCs w:val="24"/>
        </w:rPr>
        <w:t>2.落实政府采购政策需满足的资格要求：</w:t>
      </w:r>
    </w:p>
    <w:p w14:paraId="1C387009">
      <w:pPr>
        <w:spacing w:line="420" w:lineRule="exact"/>
        <w:ind w:firstLine="480" w:firstLineChars="200"/>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无</w:t>
      </w:r>
    </w:p>
    <w:p w14:paraId="71EFEC00">
      <w:pPr>
        <w:spacing w:line="420" w:lineRule="exact"/>
        <w:ind w:firstLine="480" w:firstLineChars="200"/>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bCs/>
          <w:sz w:val="24"/>
          <w:szCs w:val="24"/>
        </w:rPr>
        <w:t>专门</w:t>
      </w:r>
      <w:r>
        <w:rPr>
          <w:rFonts w:hint="eastAsia" w:ascii="仿宋_GB2312" w:eastAsia="仿宋_GB2312"/>
          <w:sz w:val="24"/>
          <w:szCs w:val="24"/>
        </w:rPr>
        <w:t>面向中小企业</w:t>
      </w:r>
    </w:p>
    <w:p w14:paraId="498927AF">
      <w:pPr>
        <w:spacing w:line="420" w:lineRule="exact"/>
        <w:ind w:firstLine="960" w:firstLineChars="400"/>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货物全部由符合政策要求的中小企业制造，提供中小企业声明函；</w:t>
      </w:r>
    </w:p>
    <w:p w14:paraId="008B05BB">
      <w:pPr>
        <w:spacing w:line="420" w:lineRule="exact"/>
        <w:ind w:firstLine="960" w:firstLineChars="400"/>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货物全部由符合政策要求的小微企业制造，提供中小企业声明函；</w:t>
      </w:r>
    </w:p>
    <w:p w14:paraId="3E04B2AD">
      <w:pPr>
        <w:spacing w:line="420" w:lineRule="exact"/>
        <w:ind w:firstLine="960" w:firstLineChars="400"/>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服务全部由符合政策要求的中小企业承接，提供中小企业声明函；</w:t>
      </w:r>
    </w:p>
    <w:p w14:paraId="3ECFBF34">
      <w:pPr>
        <w:spacing w:line="420" w:lineRule="exact"/>
        <w:ind w:firstLine="960" w:firstLineChars="400"/>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服务全部由符合政策要求的小微企业承接，提供中小企业声明函；</w:t>
      </w:r>
    </w:p>
    <w:p w14:paraId="2937E293">
      <w:pPr>
        <w:spacing w:line="420" w:lineRule="exact"/>
        <w:ind w:firstLine="480" w:firstLineChars="200"/>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要求以联合体形式参加，提供联合协议和中小企业声明函，联合协议中中小微企业合同金额应当达到4</w:t>
      </w:r>
      <w:r>
        <w:rPr>
          <w:rFonts w:ascii="仿宋_GB2312" w:eastAsia="仿宋_GB2312"/>
          <w:sz w:val="24"/>
          <w:szCs w:val="24"/>
        </w:rPr>
        <w:t>0</w:t>
      </w:r>
      <w:r>
        <w:rPr>
          <w:rFonts w:hint="eastAsia" w:ascii="仿宋_GB2312" w:eastAsia="仿宋_GB2312"/>
          <w:sz w:val="24"/>
          <w:szCs w:val="24"/>
        </w:rPr>
        <w:t>%;如果供应商本身提供所有标的均由中小企业制造、承建或承接，视同符合了资格条件，无需再与其他中小企业组成联合体参加政府采购活动，无需提供联合协议；</w:t>
      </w:r>
    </w:p>
    <w:p w14:paraId="7C1A52C8">
      <w:pPr>
        <w:spacing w:line="420" w:lineRule="exact"/>
        <w:ind w:firstLine="482" w:firstLineChars="200"/>
        <w:contextualSpacing/>
        <w:rPr>
          <w:rFonts w:ascii="仿宋_GB2312" w:eastAsia="仿宋_GB2312"/>
          <w:sz w:val="24"/>
          <w:szCs w:val="24"/>
        </w:rPr>
      </w:pPr>
      <w:r>
        <w:rPr>
          <w:rFonts w:hint="default" w:ascii="Arial" w:hAnsi="Arial" w:eastAsia="仿宋_GB2312" w:cs="Arial"/>
          <w:b/>
          <w:sz w:val="24"/>
          <w:szCs w:val="24"/>
        </w:rPr>
        <w:t>√</w:t>
      </w:r>
      <w:r>
        <w:rPr>
          <w:rFonts w:hint="eastAsia" w:ascii="仿宋_GB2312" w:eastAsia="仿宋_GB2312"/>
          <w:sz w:val="24"/>
          <w:szCs w:val="24"/>
        </w:rPr>
        <w:t>要求合同分包，提供分包意向协议和中小企业声明函，分包意向协议中，中小微企业合</w:t>
      </w:r>
      <w:r>
        <w:rPr>
          <w:rFonts w:hint="eastAsia" w:ascii="仿宋_GB2312" w:eastAsia="仿宋_GB2312"/>
          <w:sz w:val="24"/>
          <w:szCs w:val="24"/>
          <w:lang w:eastAsia="zh-CN"/>
        </w:rPr>
        <w:t>同金额应当达到</w:t>
      </w:r>
      <w:r>
        <w:rPr>
          <w:rFonts w:hint="eastAsia" w:ascii="仿宋_GB2312" w:eastAsia="仿宋_GB2312"/>
          <w:color w:val="auto"/>
          <w:sz w:val="24"/>
          <w:szCs w:val="24"/>
        </w:rPr>
        <w:t>40</w:t>
      </w:r>
      <w:r>
        <w:rPr>
          <w:rFonts w:hint="eastAsia" w:ascii="仿宋_GB2312" w:eastAsia="仿宋_GB2312"/>
          <w:sz w:val="24"/>
          <w:szCs w:val="24"/>
        </w:rPr>
        <w:t xml:space="preserve">%，如果供应商本身提供所有标的均由中小微企业制造、承建或承接，视同符合了资格条件，无需再向中小微企业分包，无需提供分包意向协议； </w:t>
      </w:r>
    </w:p>
    <w:p w14:paraId="288F771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3.本项目的特定资格要求：无</w:t>
      </w:r>
      <w:r>
        <w:rPr>
          <w:rFonts w:hint="eastAsia" w:ascii="仿宋_GB2312" w:hAnsi="宋体" w:eastAsia="仿宋_GB2312"/>
          <w:b/>
          <w:sz w:val="24"/>
          <w:szCs w:val="24"/>
        </w:rPr>
        <w:t>；</w:t>
      </w:r>
    </w:p>
    <w:p w14:paraId="263FB84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73DA6D6">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三、获取招标文件 </w:t>
      </w:r>
    </w:p>
    <w:p w14:paraId="7C614F7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时间：/至2025年</w:t>
      </w:r>
      <w:r>
        <w:rPr>
          <w:rFonts w:hint="eastAsia" w:ascii="仿宋_GB2312" w:eastAsia="仿宋_GB2312"/>
          <w:color w:val="auto"/>
          <w:sz w:val="24"/>
          <w:szCs w:val="24"/>
          <w:lang w:val="en-US" w:eastAsia="zh-CN"/>
        </w:rPr>
        <w:t>7</w:t>
      </w:r>
      <w:r>
        <w:rPr>
          <w:rFonts w:hint="eastAsia" w:ascii="仿宋_GB2312" w:eastAsia="仿宋_GB2312"/>
          <w:color w:val="auto"/>
          <w:sz w:val="24"/>
          <w:szCs w:val="24"/>
        </w:rPr>
        <w:t>月</w:t>
      </w:r>
      <w:r>
        <w:rPr>
          <w:rFonts w:hint="eastAsia" w:ascii="仿宋_GB2312" w:eastAsia="仿宋_GB2312"/>
          <w:color w:val="auto"/>
          <w:sz w:val="24"/>
          <w:szCs w:val="24"/>
          <w:lang w:val="en-US" w:eastAsia="zh-CN"/>
        </w:rPr>
        <w:t>17</w:t>
      </w:r>
      <w:r>
        <w:rPr>
          <w:rFonts w:hint="eastAsia" w:ascii="仿宋_GB2312" w:eastAsia="仿宋_GB2312"/>
          <w:color w:val="auto"/>
          <w:sz w:val="24"/>
          <w:szCs w:val="24"/>
        </w:rPr>
        <w:t>日，</w:t>
      </w:r>
      <w:r>
        <w:rPr>
          <w:rFonts w:hint="eastAsia" w:ascii="仿宋_GB2312" w:eastAsia="仿宋_GB2312"/>
          <w:sz w:val="24"/>
          <w:szCs w:val="24"/>
        </w:rPr>
        <w:t>每天上午00:00至12:00 ，下午12:00至23:59（北京时间，线上获取法定节假日均可，线下获取文件法定节假日除外的工作时间）</w:t>
      </w:r>
    </w:p>
    <w:p w14:paraId="4C3B2E8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地点（网址）：政采云平台（https://www.zcygov.cn/） </w:t>
      </w:r>
    </w:p>
    <w:p w14:paraId="45650D9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方式：供应商登录政采云平台https://www.zcygov.cn/在线申请获取采购文件（进入“项目采购”应用，在获取采购文件菜单中选择项目，申请获取采购文件）。 </w:t>
      </w:r>
    </w:p>
    <w:p w14:paraId="3000636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售价（元）：0 </w:t>
      </w:r>
      <w:r>
        <w:rPr>
          <w:rFonts w:hint="eastAsia" w:ascii="仿宋_GB2312" w:eastAsia="仿宋_GB2312"/>
          <w:sz w:val="24"/>
          <w:szCs w:val="24"/>
        </w:rPr>
        <w:tab/>
      </w:r>
    </w:p>
    <w:p w14:paraId="7FF22EF1">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四、提交投标文件截止时间、开标时间和地点</w:t>
      </w:r>
    </w:p>
    <w:p w14:paraId="6073134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提交投标文件截止时间：2025年</w:t>
      </w:r>
      <w:r>
        <w:rPr>
          <w:rFonts w:hint="eastAsia" w:ascii="仿宋_GB2312" w:eastAsia="仿宋_GB2312"/>
          <w:color w:val="auto"/>
          <w:sz w:val="24"/>
          <w:szCs w:val="24"/>
          <w:lang w:val="en-US" w:eastAsia="zh-CN"/>
        </w:rPr>
        <w:t>7</w:t>
      </w:r>
      <w:r>
        <w:rPr>
          <w:rFonts w:hint="eastAsia" w:ascii="仿宋_GB2312" w:eastAsia="仿宋_GB2312"/>
          <w:color w:val="auto"/>
          <w:sz w:val="24"/>
          <w:szCs w:val="24"/>
        </w:rPr>
        <w:t>月</w:t>
      </w:r>
      <w:r>
        <w:rPr>
          <w:rFonts w:hint="eastAsia" w:ascii="仿宋_GB2312" w:eastAsia="仿宋_GB2312"/>
          <w:color w:val="auto"/>
          <w:sz w:val="24"/>
          <w:szCs w:val="24"/>
          <w:lang w:val="en-US" w:eastAsia="zh-CN"/>
        </w:rPr>
        <w:t>17</w:t>
      </w:r>
      <w:r>
        <w:rPr>
          <w:rFonts w:hint="eastAsia" w:ascii="仿宋_GB2312" w:eastAsia="仿宋_GB2312"/>
          <w:color w:val="auto"/>
          <w:sz w:val="24"/>
          <w:szCs w:val="24"/>
        </w:rPr>
        <w:t>日</w:t>
      </w:r>
      <w:r>
        <w:rPr>
          <w:rFonts w:hint="eastAsia" w:ascii="仿宋_GB2312" w:eastAsia="仿宋_GB2312"/>
          <w:sz w:val="24"/>
          <w:szCs w:val="24"/>
        </w:rPr>
        <w:t>9点15分 （北京时间）</w:t>
      </w:r>
    </w:p>
    <w:p w14:paraId="01EDCF5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投标地点（网址）：政采云平台（https://www.zcygov.cn/） </w:t>
      </w:r>
    </w:p>
    <w:p w14:paraId="30B2024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开标时间：2025年</w:t>
      </w:r>
      <w:r>
        <w:rPr>
          <w:rFonts w:hint="eastAsia" w:ascii="仿宋_GB2312" w:eastAsia="仿宋_GB2312"/>
          <w:color w:val="auto"/>
          <w:sz w:val="24"/>
          <w:szCs w:val="24"/>
          <w:lang w:val="en-US" w:eastAsia="zh-CN"/>
        </w:rPr>
        <w:t>7</w:t>
      </w:r>
      <w:r>
        <w:rPr>
          <w:rFonts w:hint="eastAsia" w:ascii="仿宋_GB2312" w:eastAsia="仿宋_GB2312"/>
          <w:color w:val="auto"/>
          <w:sz w:val="24"/>
          <w:szCs w:val="24"/>
        </w:rPr>
        <w:t>月</w:t>
      </w:r>
      <w:r>
        <w:rPr>
          <w:rFonts w:hint="eastAsia" w:ascii="仿宋_GB2312" w:eastAsia="仿宋_GB2312"/>
          <w:color w:val="auto"/>
          <w:sz w:val="24"/>
          <w:szCs w:val="24"/>
          <w:lang w:val="en-US" w:eastAsia="zh-CN"/>
        </w:rPr>
        <w:t>17</w:t>
      </w:r>
      <w:r>
        <w:rPr>
          <w:rFonts w:hint="eastAsia" w:ascii="仿宋_GB2312" w:eastAsia="仿宋_GB2312"/>
          <w:color w:val="auto"/>
          <w:sz w:val="24"/>
          <w:szCs w:val="24"/>
        </w:rPr>
        <w:t>日</w:t>
      </w:r>
      <w:r>
        <w:rPr>
          <w:rFonts w:hint="eastAsia" w:ascii="仿宋_GB2312" w:eastAsia="仿宋_GB2312"/>
          <w:sz w:val="24"/>
          <w:szCs w:val="24"/>
        </w:rPr>
        <w:t xml:space="preserve">9点15分  </w:t>
      </w:r>
    </w:p>
    <w:p w14:paraId="7FC203E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开标地点（网址）：政采云平台（https://www.zcygov.cn/）</w:t>
      </w:r>
    </w:p>
    <w:p w14:paraId="662B7674">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五、公告期限 </w:t>
      </w:r>
    </w:p>
    <w:p w14:paraId="4A1B91D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自本公告发布之日起5个工作日。</w:t>
      </w:r>
    </w:p>
    <w:p w14:paraId="220E6BE9">
      <w:pPr>
        <w:spacing w:line="420" w:lineRule="exact"/>
        <w:ind w:firstLine="482" w:firstLineChars="200"/>
        <w:contextualSpacing/>
        <w:rPr>
          <w:rFonts w:ascii="仿宋_GB2312" w:eastAsia="仿宋_GB2312"/>
          <w:sz w:val="24"/>
          <w:szCs w:val="24"/>
        </w:rPr>
      </w:pPr>
      <w:r>
        <w:rPr>
          <w:rFonts w:hint="eastAsia" w:ascii="仿宋_GB2312" w:eastAsia="仿宋_GB2312"/>
          <w:b/>
          <w:sz w:val="24"/>
          <w:szCs w:val="24"/>
        </w:rPr>
        <w:t>六、其他补充事宜</w:t>
      </w:r>
    </w:p>
    <w:p w14:paraId="5E7B357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3F0D43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269997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25F9E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7C5AF590">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七、对本次采购提出询问、质疑、投诉，请按以下方式联系</w:t>
      </w:r>
    </w:p>
    <w:p w14:paraId="51FC771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1.采购人信息</w:t>
      </w:r>
    </w:p>
    <w:p w14:paraId="2C56B3F0">
      <w:pPr>
        <w:spacing w:line="420" w:lineRule="exact"/>
        <w:ind w:firstLine="480" w:firstLineChars="200"/>
        <w:contextualSpacing/>
        <w:rPr>
          <w:rFonts w:ascii="仿宋_GB2312" w:eastAsia="仿宋_GB2312"/>
          <w:color w:val="auto"/>
          <w:sz w:val="24"/>
          <w:szCs w:val="24"/>
        </w:rPr>
      </w:pPr>
      <w:r>
        <w:rPr>
          <w:rFonts w:hint="eastAsia" w:ascii="仿宋_GB2312" w:eastAsia="仿宋_GB2312"/>
          <w:color w:val="auto"/>
          <w:sz w:val="24"/>
          <w:szCs w:val="24"/>
        </w:rPr>
        <w:t>名 称：舟山市体育中心（舟山市全民健身中心）</w:t>
      </w:r>
    </w:p>
    <w:p w14:paraId="43044B71">
      <w:pPr>
        <w:spacing w:line="420" w:lineRule="exact"/>
        <w:ind w:firstLine="480" w:firstLineChars="200"/>
        <w:contextualSpacing/>
        <w:rPr>
          <w:rFonts w:ascii="仿宋_GB2312" w:eastAsia="仿宋_GB2312"/>
          <w:color w:val="auto"/>
          <w:sz w:val="24"/>
          <w:szCs w:val="24"/>
        </w:rPr>
      </w:pPr>
      <w:r>
        <w:rPr>
          <w:rFonts w:hint="eastAsia" w:ascii="仿宋_GB2312" w:eastAsia="仿宋_GB2312"/>
          <w:color w:val="auto"/>
          <w:sz w:val="24"/>
          <w:szCs w:val="24"/>
        </w:rPr>
        <w:t>地 址：舟山市定海区千岛街道体育路69号</w:t>
      </w:r>
    </w:p>
    <w:p w14:paraId="4C0E00D2">
      <w:pPr>
        <w:spacing w:line="420" w:lineRule="exact"/>
        <w:ind w:firstLine="480" w:firstLineChars="200"/>
        <w:contextualSpacing/>
        <w:rPr>
          <w:rFonts w:ascii="仿宋_GB2312" w:eastAsia="仿宋_GB2312"/>
          <w:color w:val="auto"/>
          <w:sz w:val="24"/>
          <w:szCs w:val="24"/>
        </w:rPr>
      </w:pPr>
      <w:r>
        <w:rPr>
          <w:rFonts w:hint="eastAsia" w:ascii="仿宋_GB2312" w:eastAsia="仿宋_GB2312"/>
          <w:color w:val="auto"/>
          <w:sz w:val="24"/>
          <w:szCs w:val="24"/>
        </w:rPr>
        <w:t>传 真：/</w:t>
      </w:r>
    </w:p>
    <w:p w14:paraId="08C80FAF">
      <w:pPr>
        <w:spacing w:line="420" w:lineRule="exact"/>
        <w:ind w:firstLine="480" w:firstLineChars="200"/>
        <w:contextualSpacing/>
        <w:rPr>
          <w:rFonts w:ascii="仿宋_GB2312" w:eastAsia="仿宋_GB2312"/>
          <w:color w:val="auto"/>
          <w:sz w:val="24"/>
          <w:szCs w:val="24"/>
        </w:rPr>
      </w:pPr>
      <w:r>
        <w:rPr>
          <w:rFonts w:hint="eastAsia" w:ascii="仿宋_GB2312" w:eastAsia="仿宋_GB2312"/>
          <w:color w:val="auto"/>
          <w:sz w:val="24"/>
          <w:szCs w:val="24"/>
        </w:rPr>
        <w:t>项目联系人（询问）:刘夤钧</w:t>
      </w:r>
    </w:p>
    <w:p w14:paraId="0B904C67">
      <w:pPr>
        <w:spacing w:line="420" w:lineRule="exact"/>
        <w:ind w:firstLine="480" w:firstLineChars="200"/>
        <w:contextualSpacing/>
        <w:rPr>
          <w:rFonts w:hint="eastAsia" w:ascii="仿宋_GB2312" w:hAnsi="仿宋_GB2312" w:eastAsia="仿宋_GB2312" w:cs="仿宋_GB2312"/>
          <w:i w:val="0"/>
          <w:iCs w:val="0"/>
          <w:caps w:val="0"/>
          <w:color w:val="171A1D"/>
          <w:spacing w:val="0"/>
          <w:sz w:val="24"/>
          <w:szCs w:val="24"/>
          <w:shd w:val="clear" w:fill="FFFFFF"/>
        </w:rPr>
      </w:pPr>
      <w:r>
        <w:rPr>
          <w:rFonts w:hint="eastAsia" w:ascii="仿宋_GB2312" w:eastAsia="仿宋_GB2312"/>
          <w:color w:val="auto"/>
          <w:sz w:val="24"/>
          <w:szCs w:val="24"/>
        </w:rPr>
        <w:t>项目联系方式（询问）：</w:t>
      </w:r>
      <w:r>
        <w:rPr>
          <w:rFonts w:hint="eastAsia" w:ascii="仿宋_GB2312" w:hAnsi="仿宋_GB2312" w:eastAsia="仿宋_GB2312" w:cs="仿宋_GB2312"/>
          <w:i w:val="0"/>
          <w:iCs w:val="0"/>
          <w:caps w:val="0"/>
          <w:color w:val="171A1D"/>
          <w:spacing w:val="0"/>
          <w:sz w:val="24"/>
          <w:szCs w:val="24"/>
          <w:shd w:val="clear" w:fill="FFFFFF"/>
        </w:rPr>
        <w:t>0580-2182007</w:t>
      </w:r>
    </w:p>
    <w:p w14:paraId="4821A7F8">
      <w:pPr>
        <w:spacing w:line="420" w:lineRule="exact"/>
        <w:ind w:firstLine="480" w:firstLineChars="200"/>
        <w:contextualSpacing/>
        <w:rPr>
          <w:rFonts w:ascii="仿宋_GB2312" w:eastAsia="仿宋_GB2312"/>
          <w:color w:val="auto"/>
          <w:sz w:val="24"/>
          <w:szCs w:val="24"/>
        </w:rPr>
      </w:pPr>
      <w:r>
        <w:rPr>
          <w:rFonts w:hint="eastAsia" w:ascii="仿宋_GB2312" w:eastAsia="仿宋_GB2312"/>
          <w:color w:val="auto"/>
          <w:sz w:val="24"/>
          <w:szCs w:val="24"/>
        </w:rPr>
        <w:t>质疑联系人：俞跃辉</w:t>
      </w:r>
    </w:p>
    <w:p w14:paraId="0B905622">
      <w:pPr>
        <w:spacing w:line="420" w:lineRule="exact"/>
        <w:ind w:firstLine="480" w:firstLineChars="200"/>
        <w:contextualSpacing/>
        <w:rPr>
          <w:rFonts w:hint="eastAsia" w:ascii="仿宋_GB2312" w:hAnsi="仿宋_GB2312" w:eastAsia="仿宋_GB2312" w:cs="仿宋_GB2312"/>
          <w:color w:val="auto"/>
          <w:sz w:val="24"/>
          <w:szCs w:val="24"/>
          <w:lang w:val="en-US" w:eastAsia="zh-CN"/>
        </w:rPr>
      </w:pPr>
      <w:r>
        <w:rPr>
          <w:rFonts w:hint="eastAsia" w:ascii="仿宋_GB2312" w:eastAsia="仿宋_GB2312"/>
          <w:color w:val="auto"/>
          <w:sz w:val="24"/>
          <w:szCs w:val="24"/>
        </w:rPr>
        <w:t>质疑联系方式：</w:t>
      </w:r>
      <w:r>
        <w:rPr>
          <w:rFonts w:hint="eastAsia" w:ascii="仿宋_GB2312" w:hAnsi="仿宋_GB2312" w:eastAsia="仿宋_GB2312" w:cs="仿宋_GB2312"/>
          <w:i w:val="0"/>
          <w:iCs w:val="0"/>
          <w:caps w:val="0"/>
          <w:color w:val="171A1D"/>
          <w:spacing w:val="0"/>
          <w:sz w:val="24"/>
          <w:szCs w:val="24"/>
          <w:shd w:val="clear" w:fill="FFFFFF"/>
        </w:rPr>
        <w:t>0580-2182001</w:t>
      </w:r>
    </w:p>
    <w:p w14:paraId="685DBAE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2.采购代理机构信息</w:t>
      </w:r>
    </w:p>
    <w:p w14:paraId="3EB884A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名 称：舟山市公共资源交易中心</w:t>
      </w:r>
    </w:p>
    <w:p w14:paraId="2CE0922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地 址：舟山市新城翁山路555号四楼（大宗商品交易中心同幢西边）4楼</w:t>
      </w:r>
    </w:p>
    <w:p w14:paraId="18D05C5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传 真：/</w:t>
      </w:r>
    </w:p>
    <w:p w14:paraId="4667032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项目联系人（询问）：陈女士</w:t>
      </w:r>
    </w:p>
    <w:p w14:paraId="40CF35E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项目联系方式（询问）：0580-2280969</w:t>
      </w:r>
    </w:p>
    <w:p w14:paraId="5EB3D7A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质疑联系人：陈女士</w:t>
      </w:r>
    </w:p>
    <w:p w14:paraId="5B59096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质疑联系方式：0580-2280952</w:t>
      </w:r>
    </w:p>
    <w:p w14:paraId="1D9143A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3.同级政府采购监督管理部门</w:t>
      </w:r>
    </w:p>
    <w:p w14:paraId="1CB077E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名 称：舟山市财政局政府采购监管处</w:t>
      </w:r>
    </w:p>
    <w:p w14:paraId="669658A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地 址：舟山市定海区新城海天大道681号</w:t>
      </w:r>
    </w:p>
    <w:p w14:paraId="2514AD1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传 真：0580-2282591</w:t>
      </w:r>
    </w:p>
    <w:p w14:paraId="39C6A1A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联系人 ：王女士</w:t>
      </w:r>
    </w:p>
    <w:p w14:paraId="2A48F0B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监督投诉电话：0580-2282591</w:t>
      </w:r>
    </w:p>
    <w:p w14:paraId="533D4E5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若对项目采购电子交易系统操作有疑问，可登录政采云（https://www.zcygov.cn/），点击右侧咨询小采，获取采小蜜智能服务管家帮助，或拨打政采云服务热线95763获取热线服务帮助。</w:t>
      </w:r>
    </w:p>
    <w:p w14:paraId="7BDB6B0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 CA问题联系电话（人工）：汇信CA 400-888-4636；天谷CA 400-087-8198。</w:t>
      </w:r>
    </w:p>
    <w:p w14:paraId="3C4EED03">
      <w:pPr>
        <w:spacing w:line="540" w:lineRule="exact"/>
        <w:contextualSpacing/>
        <w:rPr>
          <w:rFonts w:ascii="仿宋_GB2312" w:eastAsia="仿宋_GB2312"/>
          <w:sz w:val="28"/>
          <w:szCs w:val="28"/>
        </w:rPr>
      </w:pPr>
    </w:p>
    <w:p w14:paraId="59B63E6A">
      <w:pPr>
        <w:spacing w:line="540" w:lineRule="exact"/>
        <w:contextualSpacing/>
        <w:jc w:val="center"/>
        <w:rPr>
          <w:rFonts w:ascii="仿宋_GB2312" w:hAnsi="宋体" w:eastAsia="仿宋_GB2312"/>
          <w:b/>
          <w:sz w:val="28"/>
          <w:szCs w:val="28"/>
        </w:rPr>
      </w:pPr>
      <w:r>
        <w:rPr>
          <w:rFonts w:hint="eastAsia" w:ascii="仿宋_GB2312" w:eastAsia="仿宋_GB2312"/>
          <w:sz w:val="28"/>
          <w:szCs w:val="28"/>
        </w:rPr>
        <w:br w:type="page"/>
      </w:r>
      <w:r>
        <w:rPr>
          <w:rFonts w:hint="eastAsia" w:ascii="仿宋_GB2312" w:hAnsi="宋体" w:eastAsia="仿宋_GB2312"/>
          <w:b/>
          <w:sz w:val="28"/>
          <w:szCs w:val="28"/>
        </w:rPr>
        <w:t>第二部分</w:t>
      </w:r>
      <w:bookmarkEnd w:id="8"/>
      <w:r>
        <w:rPr>
          <w:rFonts w:hint="eastAsia" w:ascii="仿宋_GB2312" w:hAnsi="宋体" w:eastAsia="仿宋_GB2312"/>
          <w:b/>
          <w:sz w:val="28"/>
          <w:szCs w:val="28"/>
        </w:rPr>
        <w:t xml:space="preserve"> 投标人须知</w:t>
      </w:r>
      <w:bookmarkEnd w:id="9"/>
    </w:p>
    <w:p w14:paraId="502475D4">
      <w:pPr>
        <w:spacing w:line="540" w:lineRule="exact"/>
        <w:contextualSpacing/>
        <w:rPr>
          <w:rFonts w:ascii="仿宋_GB2312" w:eastAsia="仿宋_GB2312"/>
          <w:sz w:val="24"/>
          <w:szCs w:val="24"/>
        </w:rPr>
      </w:pPr>
      <w:r>
        <w:rPr>
          <w:rFonts w:hint="eastAsia" w:ascii="仿宋_GB2312" w:eastAsia="仿宋_GB2312"/>
          <w:sz w:val="24"/>
          <w:szCs w:val="24"/>
        </w:rPr>
        <w:t>前附表</w:t>
      </w:r>
    </w:p>
    <w:tbl>
      <w:tblPr>
        <w:tblStyle w:val="1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90C4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E515ACD">
            <w:pPr>
              <w:spacing w:line="54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030446A">
            <w:pPr>
              <w:spacing w:line="540" w:lineRule="exact"/>
              <w:contextualSpacing/>
              <w:jc w:val="center"/>
              <w:rPr>
                <w:rFonts w:ascii="仿宋_GB2312" w:eastAsia="仿宋_GB2312"/>
                <w:sz w:val="24"/>
                <w:szCs w:val="24"/>
              </w:rPr>
            </w:pPr>
            <w:r>
              <w:rPr>
                <w:rFonts w:hint="eastAsia" w:ascii="仿宋_GB2312" w:eastAsia="仿宋_GB2312"/>
                <w:sz w:val="24"/>
                <w:szCs w:val="24"/>
              </w:rPr>
              <w:t>事  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C81A962">
            <w:pPr>
              <w:spacing w:line="540" w:lineRule="exact"/>
              <w:contextualSpacing/>
              <w:jc w:val="center"/>
              <w:rPr>
                <w:rFonts w:ascii="仿宋_GB2312" w:eastAsia="仿宋_GB2312"/>
                <w:sz w:val="24"/>
                <w:szCs w:val="24"/>
              </w:rPr>
            </w:pPr>
            <w:r>
              <w:rPr>
                <w:rFonts w:hint="eastAsia" w:ascii="仿宋_GB2312" w:eastAsia="仿宋_GB2312"/>
                <w:sz w:val="24"/>
                <w:szCs w:val="24"/>
              </w:rPr>
              <w:t>本项目的特别规定</w:t>
            </w:r>
          </w:p>
        </w:tc>
      </w:tr>
      <w:tr w14:paraId="56478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442C2A">
            <w:pPr>
              <w:spacing w:line="540" w:lineRule="exact"/>
              <w:contextualSpacing/>
              <w:jc w:val="center"/>
              <w:rPr>
                <w:rFonts w:ascii="仿宋_GB2312" w:eastAsia="仿宋_GB2312"/>
                <w:sz w:val="24"/>
                <w:szCs w:val="24"/>
              </w:rPr>
            </w:pPr>
            <w:r>
              <w:rPr>
                <w:rFonts w:hint="eastAsia" w:ascii="仿宋_GB2312" w:eastAsia="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911D93E">
            <w:pPr>
              <w:spacing w:line="540" w:lineRule="exact"/>
              <w:contextualSpacing/>
              <w:jc w:val="center"/>
              <w:rPr>
                <w:rFonts w:ascii="仿宋_GB2312" w:eastAsia="仿宋_GB2312"/>
                <w:sz w:val="24"/>
                <w:szCs w:val="24"/>
              </w:rPr>
            </w:pPr>
            <w:r>
              <w:rPr>
                <w:rFonts w:hint="eastAsia" w:ascii="仿宋_GB2312" w:eastAsia="仿宋_GB2312"/>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C9C7228">
            <w:pPr>
              <w:spacing w:line="400" w:lineRule="exact"/>
              <w:contextualSpacing/>
              <w:rPr>
                <w:rFonts w:ascii="仿宋_GB2312" w:eastAsia="仿宋_GB2312"/>
                <w:b/>
                <w:sz w:val="24"/>
                <w:szCs w:val="24"/>
              </w:rPr>
            </w:pPr>
            <w:r>
              <w:rPr>
                <w:rFonts w:hint="eastAsia" w:ascii="仿宋_GB2312" w:eastAsia="仿宋_GB2312"/>
                <w:sz w:val="24"/>
                <w:szCs w:val="24"/>
              </w:rPr>
              <w:t>有关本项目实施所需的所有费用（含税费）均计入报价。</w:t>
            </w:r>
            <w:r>
              <w:rPr>
                <w:rFonts w:hint="eastAsia" w:ascii="仿宋_GB2312" w:eastAsia="仿宋_GB2312"/>
                <w:b/>
                <w:sz w:val="24"/>
                <w:szCs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_GB2312" w:eastAsia="仿宋_GB2312"/>
                <w:sz w:val="24"/>
                <w:szCs w:val="24"/>
              </w:rPr>
              <w:t>投标文件中价格全部采用人民币报价。招标文件未列明，而投标人认为必需的费用也需列入报价。</w:t>
            </w:r>
            <w:r>
              <w:rPr>
                <w:rFonts w:hint="eastAsia" w:ascii="仿宋_GB2312" w:eastAsia="仿宋_GB2312"/>
                <w:b/>
                <w:sz w:val="24"/>
                <w:szCs w:val="24"/>
              </w:rPr>
              <w:t>提醒：验收时检测费用由采购人承担，不包含在投标总价中。</w:t>
            </w:r>
          </w:p>
          <w:p w14:paraId="46D29ED3">
            <w:pPr>
              <w:spacing w:line="400" w:lineRule="exact"/>
              <w:contextualSpacing/>
              <w:rPr>
                <w:rFonts w:ascii="仿宋_GB2312" w:eastAsia="仿宋_GB2312"/>
                <w:b/>
                <w:sz w:val="24"/>
                <w:szCs w:val="24"/>
              </w:rPr>
            </w:pPr>
            <w:r>
              <w:rPr>
                <w:rFonts w:hint="eastAsia" w:ascii="仿宋_GB2312" w:eastAsia="仿宋_GB2312"/>
                <w:b/>
                <w:sz w:val="24"/>
                <w:szCs w:val="24"/>
              </w:rPr>
              <w:t>投标报价出现下列情形的，投标无效：</w:t>
            </w:r>
          </w:p>
          <w:p w14:paraId="517932C5">
            <w:pPr>
              <w:spacing w:line="400" w:lineRule="exact"/>
              <w:contextualSpacing/>
              <w:rPr>
                <w:rFonts w:ascii="仿宋_GB2312" w:eastAsia="仿宋_GB2312"/>
                <w:b/>
                <w:sz w:val="24"/>
                <w:szCs w:val="24"/>
              </w:rPr>
            </w:pPr>
            <w:r>
              <w:rPr>
                <w:rFonts w:hint="eastAsia" w:ascii="仿宋_GB2312" w:eastAsia="仿宋_GB2312"/>
                <w:b/>
                <w:sz w:val="24"/>
                <w:szCs w:val="24"/>
              </w:rPr>
              <w:t>1.投标文件出现不是唯一的、有选择性投标报价的；</w:t>
            </w:r>
          </w:p>
          <w:p w14:paraId="0284861E">
            <w:pPr>
              <w:spacing w:line="400" w:lineRule="exact"/>
              <w:contextualSpacing/>
              <w:rPr>
                <w:rFonts w:ascii="仿宋_GB2312" w:eastAsia="仿宋_GB2312"/>
                <w:b/>
                <w:sz w:val="24"/>
                <w:szCs w:val="24"/>
              </w:rPr>
            </w:pPr>
            <w:r>
              <w:rPr>
                <w:rFonts w:hint="eastAsia" w:ascii="仿宋_GB2312" w:eastAsia="仿宋_GB2312"/>
                <w:b/>
                <w:sz w:val="24"/>
                <w:szCs w:val="24"/>
              </w:rPr>
              <w:t>2.投标报价超过招标文件中规定的预算金额或者最高限价的;</w:t>
            </w:r>
          </w:p>
          <w:p w14:paraId="0A2D6B38">
            <w:pPr>
              <w:spacing w:line="400" w:lineRule="exact"/>
              <w:contextualSpacing/>
              <w:rPr>
                <w:rFonts w:ascii="仿宋_GB2312" w:eastAsia="仿宋_GB2312"/>
                <w:b/>
                <w:sz w:val="24"/>
                <w:szCs w:val="24"/>
              </w:rPr>
            </w:pPr>
            <w:r>
              <w:rPr>
                <w:rFonts w:hint="eastAsia" w:ascii="仿宋_GB2312" w:eastAsia="仿宋_GB2312"/>
                <w:b/>
                <w:sz w:val="24"/>
                <w:szCs w:val="24"/>
              </w:rPr>
              <w:t>3.报价明显低于其他通过符合性审查投标人的报价，有可能影响产品质量或者不能诚信履约的，未能按要求提供书面说明或者提交相关证明材料证明其报价合理性的;</w:t>
            </w:r>
          </w:p>
          <w:p w14:paraId="74C89CB2">
            <w:pPr>
              <w:spacing w:line="400" w:lineRule="exact"/>
              <w:contextualSpacing/>
              <w:rPr>
                <w:rFonts w:ascii="仿宋_GB2312" w:eastAsia="仿宋_GB2312"/>
                <w:sz w:val="24"/>
                <w:szCs w:val="24"/>
              </w:rPr>
            </w:pPr>
            <w:r>
              <w:rPr>
                <w:rFonts w:hint="eastAsia" w:ascii="仿宋_GB2312" w:eastAsia="仿宋_GB2312"/>
                <w:b/>
                <w:sz w:val="24"/>
                <w:szCs w:val="24"/>
              </w:rPr>
              <w:t>4.投标人对根据修正原则修正后的报价不确认的。</w:t>
            </w:r>
          </w:p>
        </w:tc>
      </w:tr>
      <w:tr w14:paraId="626E3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0DBC56">
            <w:pPr>
              <w:spacing w:line="540" w:lineRule="exact"/>
              <w:contextualSpacing/>
              <w:jc w:val="center"/>
              <w:rPr>
                <w:rFonts w:ascii="仿宋_GB2312" w:eastAsia="仿宋_GB2312"/>
                <w:sz w:val="24"/>
                <w:szCs w:val="24"/>
              </w:rPr>
            </w:pPr>
            <w:r>
              <w:rPr>
                <w:rFonts w:hint="eastAsia" w:ascii="仿宋_GB2312" w:eastAsia="仿宋_GB2312"/>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EA183CF">
            <w:pPr>
              <w:spacing w:line="540" w:lineRule="exact"/>
              <w:contextualSpacing/>
              <w:jc w:val="center"/>
              <w:rPr>
                <w:rFonts w:ascii="仿宋_GB2312" w:eastAsia="仿宋_GB2312"/>
                <w:sz w:val="24"/>
                <w:szCs w:val="24"/>
              </w:rPr>
            </w:pPr>
            <w:r>
              <w:rPr>
                <w:rFonts w:hint="eastAsia" w:ascii="仿宋_GB2312" w:eastAsia="仿宋_GB2312"/>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55BCF8C">
            <w:pPr>
              <w:spacing w:line="400" w:lineRule="exact"/>
              <w:contextualSpacing/>
              <w:rPr>
                <w:rFonts w:ascii="仿宋_GB2312" w:eastAsia="仿宋_GB2312"/>
                <w:sz w:val="24"/>
                <w:szCs w:val="24"/>
              </w:rPr>
            </w:pPr>
            <w:r>
              <w:rPr>
                <w:rFonts w:hint="default" w:ascii="Arial" w:hAnsi="Arial" w:eastAsia="仿宋_GB2312" w:cs="Arial"/>
                <w:b/>
                <w:sz w:val="24"/>
                <w:szCs w:val="24"/>
              </w:rPr>
              <w:t>√</w:t>
            </w:r>
            <w:r>
              <w:rPr>
                <w:rFonts w:hint="eastAsia" w:ascii="仿宋_GB2312" w:eastAsia="仿宋_GB2312"/>
                <w:sz w:val="24"/>
                <w:szCs w:val="24"/>
              </w:rPr>
              <w:t>A同意将非主体、非关键性的</w:t>
            </w:r>
            <w:r>
              <w:rPr>
                <w:rFonts w:hint="eastAsia" w:ascii="仿宋_GB2312" w:eastAsia="仿宋_GB2312"/>
                <w:sz w:val="24"/>
                <w:szCs w:val="24"/>
                <w:u w:val="single"/>
                <w:lang w:val="en-US" w:eastAsia="zh-CN"/>
              </w:rPr>
              <w:t xml:space="preserve"> </w:t>
            </w:r>
            <w:r>
              <w:rPr>
                <w:rFonts w:hint="eastAsia" w:ascii="仿宋_GB2312" w:eastAsia="仿宋_GB2312"/>
                <w:sz w:val="24"/>
                <w:szCs w:val="24"/>
                <w:highlight w:val="none"/>
                <w:u w:val="single"/>
                <w:lang w:val="en-US" w:eastAsia="zh-CN"/>
              </w:rPr>
              <w:t xml:space="preserve"> </w:t>
            </w:r>
            <w:r>
              <w:rPr>
                <w:rFonts w:hint="eastAsia" w:ascii="仿宋_GB2312" w:eastAsia="仿宋_GB2312"/>
                <w:color w:val="auto"/>
                <w:sz w:val="24"/>
                <w:szCs w:val="24"/>
                <w:highlight w:val="none"/>
                <w:u w:val="single"/>
                <w:lang w:val="en-US" w:eastAsia="zh-CN"/>
              </w:rPr>
              <w:t>保洁、绿化、</w:t>
            </w:r>
            <w:r>
              <w:rPr>
                <w:rFonts w:hint="eastAsia" w:ascii="仿宋_GB2312" w:hAnsi="仿宋_GB2312" w:eastAsia="仿宋_GB2312" w:cs="仿宋_GB2312"/>
                <w:color w:val="auto"/>
                <w:sz w:val="24"/>
                <w:szCs w:val="24"/>
                <w:highlight w:val="none"/>
                <w:u w:val="single"/>
              </w:rPr>
              <w:t>运</w:t>
            </w:r>
            <w:r>
              <w:rPr>
                <w:rFonts w:hint="eastAsia" w:ascii="仿宋_GB2312" w:hAnsi="仿宋_GB2312" w:eastAsia="仿宋_GB2312" w:cs="仿宋_GB2312"/>
                <w:sz w:val="24"/>
                <w:szCs w:val="24"/>
                <w:highlight w:val="none"/>
                <w:u w:val="single"/>
              </w:rPr>
              <w:t>行保障员</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rPr>
              <w:t>分包。</w:t>
            </w:r>
          </w:p>
          <w:p w14:paraId="2785EC90">
            <w:pPr>
              <w:spacing w:line="400" w:lineRule="exact"/>
              <w:contextualSpacing/>
              <w:rPr>
                <w:rFonts w:ascii="仿宋_GB2312" w:eastAsia="仿宋_GB2312"/>
                <w:sz w:val="24"/>
                <w:szCs w:val="24"/>
              </w:rPr>
            </w:pPr>
            <w:r>
              <w:rPr>
                <w:rFonts w:ascii="仿宋_GB2312" w:hAnsi="MS Mincho" w:eastAsia="仿宋_GB2312" w:cs="MS Mincho"/>
                <w:sz w:val="24"/>
                <w:szCs w:val="24"/>
              </w:rPr>
              <w:t>☐</w:t>
            </w:r>
            <w:r>
              <w:rPr>
                <w:rFonts w:hint="eastAsia" w:ascii="仿宋_GB2312" w:eastAsia="仿宋_GB2312"/>
                <w:sz w:val="24"/>
                <w:szCs w:val="24"/>
              </w:rPr>
              <w:t>B不同意分包。</w:t>
            </w:r>
          </w:p>
          <w:p w14:paraId="2EA142D6">
            <w:pPr>
              <w:pStyle w:val="4"/>
            </w:pPr>
            <w:r>
              <w:rPr>
                <w:rFonts w:hint="eastAsia"/>
              </w:rPr>
              <w:t>注：不得限制大中型企业向小微企业合理分包。</w:t>
            </w:r>
          </w:p>
        </w:tc>
      </w:tr>
      <w:tr w14:paraId="4005E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4E9328C">
            <w:pPr>
              <w:spacing w:line="540" w:lineRule="exact"/>
              <w:contextualSpacing/>
              <w:jc w:val="center"/>
              <w:rPr>
                <w:rFonts w:ascii="仿宋_GB2312" w:eastAsia="仿宋_GB2312"/>
                <w:sz w:val="24"/>
                <w:szCs w:val="24"/>
              </w:rPr>
            </w:pPr>
            <w:r>
              <w:rPr>
                <w:rFonts w:hint="eastAsia" w:ascii="仿宋_GB2312" w:eastAsia="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14:paraId="48782E3E">
            <w:pPr>
              <w:spacing w:line="400" w:lineRule="exact"/>
              <w:contextualSpacing/>
              <w:jc w:val="center"/>
              <w:rPr>
                <w:rFonts w:ascii="仿宋_GB2312" w:eastAsia="仿宋_GB2312"/>
                <w:sz w:val="24"/>
                <w:szCs w:val="24"/>
              </w:rPr>
            </w:pPr>
            <w:r>
              <w:rPr>
                <w:rFonts w:hint="eastAsia" w:ascii="仿宋_GB2312" w:eastAsia="仿宋_GB2312"/>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6A83D22">
            <w:pPr>
              <w:spacing w:line="400" w:lineRule="exact"/>
              <w:contextualSpacing/>
              <w:rPr>
                <w:rFonts w:ascii="仿宋_GB2312" w:eastAsia="仿宋_GB2312"/>
                <w:sz w:val="24"/>
                <w:szCs w:val="24"/>
              </w:rPr>
            </w:pPr>
            <w:r>
              <w:rPr>
                <w:rFonts w:hint="eastAsia" w:ascii="仿宋_GB2312" w:eastAsia="仿宋_GB2312"/>
                <w:sz w:val="24"/>
                <w:szCs w:val="24"/>
              </w:rPr>
              <w:t>（1）资格证明文件：见招标文件第二部分11.1。</w:t>
            </w:r>
          </w:p>
          <w:p w14:paraId="6BADA189">
            <w:pPr>
              <w:spacing w:line="400" w:lineRule="exact"/>
              <w:contextualSpacing/>
              <w:rPr>
                <w:rFonts w:ascii="仿宋_GB2312" w:eastAsia="仿宋_GB2312"/>
                <w:sz w:val="24"/>
                <w:szCs w:val="24"/>
              </w:rPr>
            </w:pPr>
            <w:r>
              <w:rPr>
                <w:rFonts w:hint="eastAsia" w:ascii="仿宋_GB2312" w:eastAsia="仿宋_GB2312"/>
                <w:sz w:val="24"/>
                <w:szCs w:val="24"/>
              </w:rPr>
              <w:t>投标人未提供有效的资格证明文件的，视为投标人不具备招标文件中规定的资格要求，投标无效。</w:t>
            </w:r>
          </w:p>
        </w:tc>
      </w:tr>
      <w:tr w14:paraId="3F3E7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trPr>
        <w:tc>
          <w:tcPr>
            <w:tcW w:w="629" w:type="dxa"/>
            <w:vMerge w:val="continue"/>
            <w:tcBorders>
              <w:left w:val="single" w:color="auto" w:sz="4" w:space="0"/>
              <w:bottom w:val="single" w:color="auto" w:sz="4" w:space="0"/>
              <w:right w:val="single" w:color="auto" w:sz="4" w:space="0"/>
            </w:tcBorders>
          </w:tcPr>
          <w:p w14:paraId="7EE3AD94">
            <w:pPr>
              <w:spacing w:line="540" w:lineRule="exact"/>
              <w:contextualSpacing/>
              <w:rPr>
                <w:rFonts w:ascii="仿宋_GB2312" w:eastAsia="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4F411CAE">
            <w:pPr>
              <w:spacing w:line="400" w:lineRule="exact"/>
              <w:contextualSpacing/>
              <w:rPr>
                <w:rFonts w:ascii="仿宋_GB2312" w:eastAsia="仿宋_GB2312"/>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9C64D5A">
            <w:pPr>
              <w:spacing w:line="400" w:lineRule="exact"/>
              <w:contextualSpacing/>
              <w:rPr>
                <w:rFonts w:ascii="仿宋_GB2312" w:eastAsia="仿宋_GB2312"/>
                <w:sz w:val="24"/>
                <w:szCs w:val="24"/>
              </w:rPr>
            </w:pPr>
            <w:r>
              <w:rPr>
                <w:rFonts w:hint="eastAsia" w:ascii="仿宋_GB2312" w:eastAsia="仿宋_GB2312"/>
                <w:sz w:val="24"/>
                <w:szCs w:val="24"/>
              </w:rPr>
              <w:t>（2）资信证明文件：根据招标文件第四部分评标办法提供。</w:t>
            </w:r>
          </w:p>
        </w:tc>
      </w:tr>
      <w:tr w14:paraId="0BEDD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EF9543">
            <w:pPr>
              <w:spacing w:line="540" w:lineRule="exact"/>
              <w:contextualSpacing/>
              <w:jc w:val="center"/>
              <w:rPr>
                <w:rFonts w:ascii="仿宋_GB2312" w:eastAsia="仿宋_GB2312"/>
                <w:sz w:val="24"/>
                <w:szCs w:val="24"/>
              </w:rPr>
            </w:pPr>
            <w:r>
              <w:rPr>
                <w:rFonts w:hint="eastAsia" w:ascii="仿宋_GB2312" w:eastAsia="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E1A250D">
            <w:pPr>
              <w:spacing w:line="400" w:lineRule="exact"/>
              <w:contextualSpacing/>
              <w:rPr>
                <w:rFonts w:ascii="仿宋_GB2312" w:eastAsia="仿宋_GB2312"/>
                <w:sz w:val="24"/>
                <w:szCs w:val="24"/>
              </w:rPr>
            </w:pPr>
            <w:r>
              <w:rPr>
                <w:rFonts w:hint="eastAsia" w:ascii="仿宋_GB2312" w:eastAsia="仿宋_GB2312"/>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772462F">
            <w:pPr>
              <w:spacing w:line="400" w:lineRule="exact"/>
              <w:contextualSpacing/>
              <w:rPr>
                <w:rFonts w:ascii="仿宋_GB2312" w:eastAsia="仿宋_GB2312"/>
                <w:sz w:val="24"/>
                <w:szCs w:val="24"/>
              </w:rPr>
            </w:pPr>
            <w:r>
              <w:rPr>
                <w:rFonts w:hint="default" w:ascii="Arial" w:hAnsi="Arial" w:eastAsia="仿宋_GB2312" w:cs="Arial"/>
                <w:b/>
                <w:sz w:val="24"/>
                <w:szCs w:val="24"/>
              </w:rPr>
              <w:t>√</w:t>
            </w:r>
            <w:r>
              <w:rPr>
                <w:rFonts w:hint="eastAsia" w:ascii="仿宋_GB2312" w:eastAsia="仿宋_GB2312"/>
                <w:sz w:val="24"/>
                <w:szCs w:val="24"/>
              </w:rPr>
              <w:t>A不组织。</w:t>
            </w:r>
          </w:p>
          <w:p w14:paraId="0CCEC87F">
            <w:pPr>
              <w:spacing w:line="400" w:lineRule="exact"/>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B组织，时间： ,地点： ，联系人： ，联系方式：。</w:t>
            </w:r>
          </w:p>
        </w:tc>
      </w:tr>
      <w:tr w14:paraId="5ED32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B7DD38">
            <w:pPr>
              <w:spacing w:line="540" w:lineRule="exact"/>
              <w:contextualSpacing/>
              <w:jc w:val="center"/>
              <w:rPr>
                <w:rFonts w:ascii="仿宋_GB2312" w:eastAsia="仿宋_GB2312"/>
                <w:sz w:val="24"/>
                <w:szCs w:val="24"/>
              </w:rPr>
            </w:pPr>
            <w:r>
              <w:rPr>
                <w:rFonts w:hint="eastAsia" w:ascii="仿宋_GB2312" w:eastAsia="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1F8B7B9">
            <w:pPr>
              <w:spacing w:line="540" w:lineRule="exact"/>
              <w:contextualSpacing/>
              <w:jc w:val="center"/>
              <w:rPr>
                <w:rFonts w:ascii="仿宋_GB2312" w:eastAsia="仿宋_GB2312"/>
                <w:sz w:val="24"/>
                <w:szCs w:val="24"/>
              </w:rPr>
            </w:pPr>
            <w:r>
              <w:rPr>
                <w:rFonts w:hint="eastAsia" w:ascii="仿宋_GB2312" w:eastAsia="仿宋_GB2312"/>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49F135C">
            <w:pPr>
              <w:spacing w:line="400" w:lineRule="exact"/>
              <w:contextualSpacing/>
              <w:rPr>
                <w:rFonts w:ascii="仿宋_GB2312" w:eastAsia="仿宋_GB2312"/>
                <w:sz w:val="24"/>
                <w:szCs w:val="24"/>
              </w:rPr>
            </w:pPr>
            <w:r>
              <w:rPr>
                <w:rFonts w:hint="default" w:ascii="Arial" w:hAnsi="Arial" w:eastAsia="仿宋_GB2312" w:cs="Arial"/>
                <w:b/>
                <w:sz w:val="24"/>
                <w:szCs w:val="24"/>
              </w:rPr>
              <w:t>√</w:t>
            </w:r>
            <w:r>
              <w:rPr>
                <w:rFonts w:hint="eastAsia" w:ascii="仿宋_GB2312" w:eastAsia="仿宋_GB2312"/>
                <w:sz w:val="24"/>
                <w:szCs w:val="24"/>
              </w:rPr>
              <w:t>A不要求提供。</w:t>
            </w:r>
          </w:p>
          <w:p w14:paraId="474518C8">
            <w:pPr>
              <w:spacing w:line="400" w:lineRule="exact"/>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B要求提供，</w:t>
            </w:r>
          </w:p>
          <w:p w14:paraId="161990E9">
            <w:pPr>
              <w:spacing w:line="400" w:lineRule="exact"/>
              <w:rPr>
                <w:rFonts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hAnsi="宋体" w:eastAsia="仿宋_GB2312" w:cs="宋体"/>
                <w:snapToGrid w:val="0"/>
                <w:kern w:val="28"/>
                <w:sz w:val="24"/>
              </w:rPr>
              <w:t>样品：</w:t>
            </w:r>
            <w:r>
              <w:rPr>
                <w:rFonts w:hint="eastAsia" w:ascii="仿宋_GB2312" w:hAnsi="宋体" w:eastAsia="仿宋_GB2312" w:cs="宋体"/>
                <w:kern w:val="0"/>
                <w:sz w:val="24"/>
              </w:rPr>
              <w:t>；</w:t>
            </w:r>
          </w:p>
          <w:p w14:paraId="7F5E7060">
            <w:pPr>
              <w:spacing w:line="400" w:lineRule="exact"/>
              <w:rPr>
                <w:rFonts w:ascii="仿宋_GB2312" w:hAnsi="宋体" w:eastAsia="仿宋_GB2312" w:cs="宋体"/>
                <w:kern w:val="0"/>
                <w:sz w:val="24"/>
              </w:rPr>
            </w:pPr>
            <w:r>
              <w:rPr>
                <w:rFonts w:hint="eastAsia" w:ascii="仿宋_GB2312" w:hAnsi="宋体" w:eastAsia="仿宋_GB2312" w:cs="宋体"/>
                <w:kern w:val="0"/>
                <w:sz w:val="24"/>
              </w:rPr>
              <w:t>（2）</w:t>
            </w:r>
            <w:r>
              <w:rPr>
                <w:rFonts w:hint="eastAsia" w:ascii="仿宋_GB2312" w:hAnsi="宋体" w:eastAsia="仿宋_GB2312" w:cs="宋体"/>
                <w:snapToGrid w:val="0"/>
                <w:kern w:val="28"/>
                <w:sz w:val="24"/>
              </w:rPr>
              <w:t>样品制作的标准和要求：</w:t>
            </w:r>
            <w:r>
              <w:rPr>
                <w:rFonts w:hint="eastAsia" w:ascii="仿宋_GB2312" w:hAnsi="宋体" w:eastAsia="仿宋_GB2312" w:cs="宋体"/>
                <w:kern w:val="0"/>
                <w:sz w:val="24"/>
              </w:rPr>
              <w:t>；</w:t>
            </w:r>
          </w:p>
          <w:p w14:paraId="0808AB0B">
            <w:pPr>
              <w:spacing w:line="400" w:lineRule="exact"/>
              <w:rPr>
                <w:rFonts w:ascii="仿宋_GB2312" w:hAnsi="宋体" w:eastAsia="仿宋_GB2312" w:cs="宋体"/>
                <w:kern w:val="0"/>
                <w:sz w:val="24"/>
              </w:rPr>
            </w:pPr>
            <w:r>
              <w:rPr>
                <w:rFonts w:hint="eastAsia" w:ascii="仿宋_GB2312" w:hAnsi="宋体" w:eastAsia="仿宋_GB2312" w:cs="宋体"/>
                <w:kern w:val="0"/>
                <w:sz w:val="24"/>
              </w:rPr>
              <w:t>（3）样品的评审方法以及评审标准</w:t>
            </w:r>
            <w:r>
              <w:rPr>
                <w:rFonts w:hint="eastAsia" w:ascii="仿宋_GB2312" w:hAnsi="宋体" w:eastAsia="仿宋_GB2312" w:cs="宋体"/>
                <w:snapToGrid w:val="0"/>
                <w:kern w:val="28"/>
                <w:sz w:val="24"/>
              </w:rPr>
              <w:t>：详见</w:t>
            </w:r>
            <w:r>
              <w:rPr>
                <w:rFonts w:hint="eastAsia" w:ascii="仿宋_GB2312" w:hAnsi="宋体" w:eastAsia="仿宋_GB2312" w:cs="宋体"/>
                <w:sz w:val="24"/>
                <w:u w:val="single"/>
              </w:rPr>
              <w:t>评标办法</w:t>
            </w:r>
            <w:r>
              <w:rPr>
                <w:rFonts w:hint="eastAsia" w:ascii="仿宋_GB2312" w:hAnsi="宋体" w:eastAsia="仿宋_GB2312" w:cs="宋体"/>
                <w:kern w:val="0"/>
                <w:sz w:val="24"/>
              </w:rPr>
              <w:t>；</w:t>
            </w:r>
          </w:p>
          <w:p w14:paraId="3D931C03">
            <w:pPr>
              <w:spacing w:line="400" w:lineRule="exact"/>
              <w:rPr>
                <w:rFonts w:ascii="仿宋_GB2312" w:hAnsi="宋体" w:eastAsia="仿宋_GB2312" w:cs="宋体"/>
                <w:kern w:val="0"/>
                <w:sz w:val="24"/>
              </w:rPr>
            </w:pPr>
            <w:r>
              <w:rPr>
                <w:rFonts w:hint="eastAsia" w:ascii="仿宋_GB2312" w:hAnsi="宋体" w:eastAsia="仿宋_GB2312" w:cs="宋体"/>
                <w:kern w:val="0"/>
                <w:sz w:val="24"/>
              </w:rPr>
              <w:t>（4）是否需要随样品提交检测报告：</w:t>
            </w:r>
            <w:r>
              <w:rPr>
                <w:rFonts w:hint="eastAsia" w:ascii="MS Mincho" w:hAnsi="MS Mincho" w:eastAsia="MS Mincho" w:cs="MS Mincho"/>
                <w:kern w:val="0"/>
                <w:sz w:val="24"/>
              </w:rPr>
              <w:t>☐</w:t>
            </w:r>
            <w:r>
              <w:rPr>
                <w:rFonts w:hint="eastAsia" w:ascii="仿宋_GB2312" w:hAnsi="宋体" w:eastAsia="仿宋_GB2312" w:cs="宋体"/>
                <w:kern w:val="0"/>
                <w:sz w:val="24"/>
              </w:rPr>
              <w:t>否；</w:t>
            </w:r>
            <w:r>
              <w:rPr>
                <w:rFonts w:hint="eastAsia" w:ascii="MS Mincho" w:hAnsi="MS Mincho" w:eastAsia="MS Mincho" w:cs="MS Mincho"/>
                <w:kern w:val="0"/>
                <w:sz w:val="24"/>
              </w:rPr>
              <w:t>☐</w:t>
            </w:r>
            <w:r>
              <w:rPr>
                <w:rFonts w:hint="eastAsia" w:ascii="仿宋_GB2312" w:hAnsi="宋体" w:eastAsia="仿宋_GB2312" w:cs="宋体"/>
                <w:kern w:val="0"/>
                <w:sz w:val="24"/>
              </w:rPr>
              <w:t>是，检测机构的要求</w:t>
            </w:r>
            <w:r>
              <w:rPr>
                <w:rFonts w:hint="eastAsia" w:ascii="仿宋_GB2312" w:hAnsi="宋体" w:eastAsia="仿宋_GB2312" w:cs="宋体"/>
                <w:sz w:val="24"/>
              </w:rPr>
              <w:t>：</w:t>
            </w:r>
            <w:r>
              <w:rPr>
                <w:rFonts w:hint="eastAsia" w:ascii="仿宋_GB2312" w:hAnsi="宋体" w:eastAsia="仿宋_GB2312" w:cs="宋体"/>
                <w:kern w:val="0"/>
                <w:sz w:val="24"/>
              </w:rPr>
              <w:t>；检测内容</w:t>
            </w:r>
            <w:r>
              <w:rPr>
                <w:rFonts w:hint="eastAsia" w:ascii="仿宋_GB2312" w:hAnsi="宋体" w:eastAsia="仿宋_GB2312" w:cs="宋体"/>
                <w:sz w:val="24"/>
              </w:rPr>
              <w:t>：</w:t>
            </w:r>
            <w:r>
              <w:rPr>
                <w:rFonts w:hint="eastAsia" w:ascii="仿宋_GB2312" w:hAnsi="宋体" w:eastAsia="仿宋_GB2312" w:cs="宋体"/>
                <w:kern w:val="0"/>
                <w:sz w:val="24"/>
              </w:rPr>
              <w:t>。</w:t>
            </w:r>
          </w:p>
          <w:p w14:paraId="3A6F488B">
            <w:pPr>
              <w:spacing w:line="400" w:lineRule="exact"/>
              <w:rPr>
                <w:rFonts w:ascii="仿宋_GB2312" w:hAnsi="宋体" w:eastAsia="仿宋_GB2312" w:cs="宋体"/>
                <w:sz w:val="24"/>
              </w:rPr>
            </w:pPr>
            <w:r>
              <w:rPr>
                <w:rFonts w:hint="eastAsia" w:ascii="仿宋_GB2312" w:hAnsi="宋体" w:eastAsia="仿宋_GB2312" w:cs="宋体"/>
                <w:sz w:val="24"/>
              </w:rPr>
              <w:t>（5）提供样品的时间：</w:t>
            </w:r>
            <w:r>
              <w:rPr>
                <w:rFonts w:hint="eastAsia" w:ascii="仿宋_GB2312" w:hAnsi="宋体" w:eastAsia="仿宋_GB2312" w:cs="宋体"/>
                <w:kern w:val="0"/>
                <w:sz w:val="24"/>
              </w:rPr>
              <w:t>；地点：；联系人</w:t>
            </w:r>
            <w:r>
              <w:rPr>
                <w:rFonts w:hint="eastAsia" w:ascii="仿宋_GB2312" w:hAnsi="宋体" w:eastAsia="仿宋_GB2312" w:cs="宋体"/>
                <w:sz w:val="24"/>
              </w:rPr>
              <w:t>：，</w:t>
            </w:r>
            <w:r>
              <w:rPr>
                <w:rFonts w:hint="eastAsia" w:ascii="仿宋_GB2312" w:hAnsi="宋体" w:eastAsia="仿宋_GB2312" w:cs="宋体"/>
                <w:kern w:val="28"/>
                <w:sz w:val="24"/>
              </w:rPr>
              <w:t>联系电话：</w:t>
            </w:r>
            <w:r>
              <w:rPr>
                <w:rFonts w:hint="eastAsia" w:ascii="仿宋_GB2312" w:hAnsi="宋体" w:eastAsia="仿宋_GB2312" w:cs="宋体"/>
                <w:sz w:val="24"/>
              </w:rPr>
              <w:t>。请投标人在上述时间内提供样品并按规定位置安装完毕。超过截止时间的，采购人或采购代理机构将不予接收，并将清场并封闭样品现场。</w:t>
            </w:r>
          </w:p>
          <w:p w14:paraId="61DE8A4D">
            <w:pPr>
              <w:spacing w:line="400" w:lineRule="exact"/>
              <w:rPr>
                <w:rFonts w:ascii="仿宋_GB2312" w:hAnsi="宋体" w:eastAsia="仿宋_GB2312" w:cs="宋体"/>
                <w:sz w:val="24"/>
              </w:rPr>
            </w:pPr>
            <w:r>
              <w:rPr>
                <w:rFonts w:hint="eastAsia" w:ascii="仿宋_GB2312" w:hAnsi="宋体" w:eastAsia="仿宋_GB2312"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178AC02">
            <w:pPr>
              <w:spacing w:line="400" w:lineRule="exact"/>
              <w:contextualSpacing/>
              <w:rPr>
                <w:rFonts w:ascii="仿宋_GB2312" w:eastAsia="仿宋_GB2312"/>
                <w:sz w:val="24"/>
                <w:szCs w:val="24"/>
              </w:rPr>
            </w:pPr>
            <w:r>
              <w:rPr>
                <w:rFonts w:hint="eastAsia" w:ascii="仿宋_GB2312" w:hAnsi="宋体" w:eastAsia="仿宋_GB2312" w:cs="宋体"/>
                <w:sz w:val="24"/>
              </w:rPr>
              <w:t>（7）制作、运输、安装和保管样品所发生的一切费用由投标人自理。</w:t>
            </w:r>
          </w:p>
        </w:tc>
      </w:tr>
      <w:tr w14:paraId="64B65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488E32">
            <w:pPr>
              <w:spacing w:line="400" w:lineRule="exact"/>
              <w:contextualSpacing/>
              <w:jc w:val="center"/>
              <w:rPr>
                <w:rFonts w:ascii="仿宋_GB2312" w:eastAsia="仿宋_GB2312"/>
                <w:sz w:val="24"/>
                <w:szCs w:val="24"/>
              </w:rPr>
            </w:pPr>
            <w:r>
              <w:rPr>
                <w:rFonts w:hint="eastAsia" w:ascii="仿宋_GB2312" w:eastAsia="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4CFE7C9C">
            <w:pPr>
              <w:spacing w:line="400" w:lineRule="exact"/>
              <w:contextualSpacing/>
              <w:rPr>
                <w:rFonts w:ascii="仿宋_GB2312" w:eastAsia="仿宋_GB2312"/>
                <w:sz w:val="24"/>
                <w:szCs w:val="24"/>
              </w:rPr>
            </w:pPr>
            <w:r>
              <w:rPr>
                <w:rFonts w:hint="eastAsia" w:ascii="仿宋_GB2312" w:eastAsia="仿宋_GB2312"/>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C57D4C9">
            <w:pPr>
              <w:spacing w:line="400" w:lineRule="exact"/>
              <w:contextualSpacing/>
              <w:rPr>
                <w:rFonts w:ascii="仿宋_GB2312" w:eastAsia="仿宋_GB2312"/>
                <w:sz w:val="24"/>
                <w:szCs w:val="24"/>
              </w:rPr>
            </w:pPr>
            <w:r>
              <w:rPr>
                <w:rFonts w:hint="default" w:ascii="Arial" w:hAnsi="Arial" w:eastAsia="仿宋_GB2312" w:cs="Arial"/>
                <w:b/>
                <w:sz w:val="24"/>
                <w:szCs w:val="24"/>
              </w:rPr>
              <w:t>√</w:t>
            </w:r>
            <w:r>
              <w:rPr>
                <w:rFonts w:hint="eastAsia" w:ascii="仿宋_GB2312" w:eastAsia="仿宋_GB2312"/>
                <w:sz w:val="24"/>
                <w:szCs w:val="24"/>
              </w:rPr>
              <w:t>A不组织。</w:t>
            </w:r>
          </w:p>
          <w:p w14:paraId="2B7561A3">
            <w:pPr>
              <w:spacing w:line="400" w:lineRule="exact"/>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B组织。</w:t>
            </w:r>
          </w:p>
          <w:p w14:paraId="78797879">
            <w:pPr>
              <w:spacing w:line="400" w:lineRule="exact"/>
              <w:contextualSpacing/>
              <w:rPr>
                <w:rFonts w:ascii="仿宋_GB2312" w:eastAsia="仿宋_GB2312"/>
                <w:sz w:val="24"/>
                <w:szCs w:val="24"/>
              </w:rPr>
            </w:pPr>
            <w:r>
              <w:rPr>
                <w:rFonts w:hint="eastAsia" w:ascii="仿宋_GB2312" w:eastAsia="仿宋_GB2312"/>
                <w:sz w:val="24"/>
                <w:szCs w:val="24"/>
              </w:rPr>
              <w:t>（1）在评标时安排每个投标人进行方案讲解演示。每个投标人时间不超过</w:t>
            </w:r>
            <w:r>
              <w:rPr>
                <w:rFonts w:hint="eastAsia" w:ascii="仿宋_GB2312" w:eastAsia="仿宋_GB2312"/>
                <w:sz w:val="24"/>
                <w:szCs w:val="24"/>
                <w:u w:val="single"/>
              </w:rPr>
              <w:t>20</w:t>
            </w:r>
            <w:r>
              <w:rPr>
                <w:rFonts w:hint="eastAsia" w:ascii="仿宋_GB2312" w:eastAsia="仿宋_GB2312"/>
                <w:sz w:val="24"/>
                <w:szCs w:val="24"/>
              </w:rPr>
              <w:t>分钟，讲解次序以投标文件解密时间先后次序为准，讲解演示人员不超过</w:t>
            </w:r>
            <w:r>
              <w:rPr>
                <w:rFonts w:hint="eastAsia" w:ascii="仿宋_GB2312" w:eastAsia="仿宋_GB2312"/>
                <w:sz w:val="24"/>
                <w:szCs w:val="24"/>
                <w:u w:val="single"/>
              </w:rPr>
              <w:t>3</w:t>
            </w:r>
            <w:r>
              <w:rPr>
                <w:rFonts w:hint="eastAsia" w:ascii="仿宋_GB2312" w:eastAsia="仿宋_GB2312"/>
                <w:sz w:val="24"/>
                <w:szCs w:val="24"/>
              </w:rPr>
              <w:t>人。讲解演示结束后按要求解答评标委员会提问。</w:t>
            </w:r>
          </w:p>
          <w:p w14:paraId="006C5F96">
            <w:pPr>
              <w:spacing w:line="400" w:lineRule="exact"/>
              <w:contextualSpacing/>
              <w:rPr>
                <w:rFonts w:ascii="仿宋_GB2312" w:eastAsia="仿宋_GB2312"/>
                <w:sz w:val="24"/>
                <w:szCs w:val="24"/>
              </w:rPr>
            </w:pPr>
            <w:r>
              <w:rPr>
                <w:rFonts w:hint="eastAsia" w:ascii="仿宋_GB2312" w:eastAsia="仿宋_GB2312"/>
                <w:sz w:val="24"/>
                <w:szCs w:val="24"/>
              </w:rPr>
              <w:t>（2）方案讲解演示可选择以下其中一种方式：</w:t>
            </w:r>
          </w:p>
          <w:p w14:paraId="68BEE3E3">
            <w:pPr>
              <w:spacing w:line="400" w:lineRule="exact"/>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hAnsi="仿宋_GB2312" w:eastAsia="仿宋_GB2312" w:cs="仿宋_GB2312"/>
                <w:sz w:val="24"/>
                <w:szCs w:val="24"/>
              </w:rPr>
              <w:t>政采云平台在线讲解演示。政采云平台在线讲解需投标人根据政采云平台操作要求做好准备工作，提前完善软硬件配置环境。</w:t>
            </w:r>
          </w:p>
          <w:p w14:paraId="200EAD32">
            <w:pPr>
              <w:spacing w:line="400" w:lineRule="exact"/>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交易中心现场讲解演示。现场讲解地点为，讲解演示所用电脑等设备由投标人自备。现场讲解演示人员进场时提供讲解人员名单（加盖公章）及身份证明，否则不得讲解演示。</w:t>
            </w:r>
          </w:p>
          <w:p w14:paraId="193F57AF">
            <w:pPr>
              <w:spacing w:line="400" w:lineRule="exact"/>
              <w:contextualSpacing/>
              <w:rPr>
                <w:rFonts w:ascii="仿宋_GB2312" w:eastAsia="仿宋_GB2312"/>
                <w:sz w:val="24"/>
                <w:szCs w:val="24"/>
              </w:rPr>
            </w:pPr>
            <w:r>
              <w:rPr>
                <w:rFonts w:hint="eastAsia" w:ascii="仿宋_GB2312" w:eastAsia="仿宋_GB2312"/>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0899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0F4AA2">
            <w:pPr>
              <w:spacing w:line="400" w:lineRule="exact"/>
              <w:contextualSpacing/>
              <w:jc w:val="center"/>
              <w:rPr>
                <w:rFonts w:ascii="仿宋_GB2312" w:eastAsia="仿宋_GB2312"/>
                <w:sz w:val="24"/>
                <w:szCs w:val="24"/>
              </w:rPr>
            </w:pPr>
            <w:r>
              <w:rPr>
                <w:rFonts w:hint="eastAsia" w:ascii="仿宋_GB2312" w:eastAsia="仿宋_GB2312"/>
                <w:sz w:val="24"/>
                <w:szCs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61592C39">
            <w:pPr>
              <w:spacing w:line="400" w:lineRule="exact"/>
              <w:contextualSpacing/>
              <w:rPr>
                <w:rFonts w:ascii="仿宋_GB2312" w:eastAsia="仿宋_GB2312"/>
                <w:sz w:val="24"/>
                <w:szCs w:val="24"/>
              </w:rPr>
            </w:pPr>
            <w:r>
              <w:rPr>
                <w:rFonts w:hint="eastAsia" w:ascii="仿宋_GB2312" w:eastAsia="仿宋_GB2312"/>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B41DBD">
            <w:pPr>
              <w:spacing w:line="400" w:lineRule="exact"/>
              <w:contextualSpacing/>
              <w:rPr>
                <w:rFonts w:ascii="仿宋_GB2312" w:eastAsia="仿宋_GB2312"/>
                <w:sz w:val="24"/>
                <w:szCs w:val="24"/>
              </w:rPr>
            </w:pPr>
            <w:r>
              <w:rPr>
                <w:rFonts w:hint="default" w:ascii="Arial" w:hAnsi="Arial" w:eastAsia="仿宋_GB2312" w:cs="Arial"/>
                <w:b/>
                <w:sz w:val="24"/>
                <w:szCs w:val="24"/>
              </w:rPr>
              <w:t>√</w:t>
            </w:r>
            <w:r>
              <w:rPr>
                <w:rFonts w:hint="eastAsia" w:ascii="仿宋_GB2312" w:eastAsia="仿宋_GB2312"/>
                <w:sz w:val="24"/>
                <w:szCs w:val="24"/>
              </w:rPr>
              <w:t>本项目不允许采购进口产品。</w:t>
            </w:r>
          </w:p>
          <w:p w14:paraId="28231113">
            <w:pPr>
              <w:spacing w:line="400" w:lineRule="exact"/>
              <w:contextualSpacing/>
              <w:rPr>
                <w:rFonts w:ascii="仿宋_GB2312" w:eastAsia="仿宋_GB2312"/>
                <w:sz w:val="24"/>
                <w:szCs w:val="24"/>
              </w:rPr>
            </w:pPr>
            <w:r>
              <w:rPr>
                <w:rFonts w:hint="eastAsia" w:ascii="MS Mincho" w:hAnsi="MS Mincho" w:eastAsia="MS Mincho" w:cs="MS Mincho"/>
                <w:sz w:val="24"/>
                <w:szCs w:val="24"/>
              </w:rPr>
              <w:t>☐</w:t>
            </w:r>
            <w:r>
              <w:rPr>
                <w:rFonts w:hint="eastAsia" w:ascii="仿宋_GB2312" w:eastAsia="仿宋_GB2312"/>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4234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4769EF">
            <w:pPr>
              <w:spacing w:line="400" w:lineRule="exact"/>
              <w:contextualSpacing/>
              <w:jc w:val="center"/>
              <w:rPr>
                <w:rFonts w:ascii="仿宋_GB2312" w:eastAsia="仿宋_GB2312"/>
                <w:sz w:val="24"/>
                <w:szCs w:val="24"/>
              </w:rPr>
            </w:pPr>
            <w:r>
              <w:rPr>
                <w:rFonts w:hint="eastAsia" w:ascii="仿宋_GB2312" w:eastAsia="仿宋_GB2312"/>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09733E04">
            <w:pPr>
              <w:spacing w:line="400" w:lineRule="exact"/>
              <w:contextualSpacing/>
              <w:rPr>
                <w:rFonts w:ascii="仿宋_GB2312" w:eastAsia="仿宋_GB2312"/>
                <w:sz w:val="24"/>
                <w:szCs w:val="24"/>
              </w:rPr>
            </w:pPr>
            <w:r>
              <w:rPr>
                <w:rFonts w:hint="eastAsia" w:ascii="仿宋_GB2312" w:eastAsia="仿宋_GB2312"/>
                <w:sz w:val="24"/>
                <w:szCs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71951D0">
            <w:pPr>
              <w:spacing w:line="400" w:lineRule="exact"/>
              <w:contextualSpacing/>
              <w:rPr>
                <w:rFonts w:ascii="仿宋_GB2312" w:eastAsia="仿宋_GB2312"/>
                <w:sz w:val="24"/>
                <w:szCs w:val="24"/>
              </w:rPr>
            </w:pPr>
            <w:r>
              <w:rPr>
                <w:rFonts w:hint="eastAsia" w:ascii="仿宋_GB2312" w:eastAsia="仿宋_GB2312"/>
                <w:sz w:val="24"/>
                <w:szCs w:val="24"/>
              </w:rPr>
              <w:t>服务类</w:t>
            </w:r>
          </w:p>
        </w:tc>
      </w:tr>
      <w:tr w14:paraId="20538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8B0BC87">
            <w:pPr>
              <w:spacing w:line="400" w:lineRule="exact"/>
              <w:contextualSpacing/>
              <w:jc w:val="center"/>
              <w:rPr>
                <w:rFonts w:ascii="仿宋_GB2312" w:eastAsia="仿宋_GB2312"/>
                <w:sz w:val="24"/>
                <w:szCs w:val="24"/>
              </w:rPr>
            </w:pPr>
            <w:r>
              <w:rPr>
                <w:rFonts w:hint="eastAsia" w:ascii="仿宋_GB2312" w:eastAsia="仿宋_GB2312"/>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ED668BA">
            <w:pPr>
              <w:spacing w:line="400" w:lineRule="exact"/>
              <w:contextualSpacing/>
              <w:rPr>
                <w:rFonts w:ascii="仿宋_GB2312" w:eastAsia="仿宋_GB2312"/>
                <w:sz w:val="24"/>
                <w:szCs w:val="24"/>
              </w:rPr>
            </w:pPr>
            <w:r>
              <w:rPr>
                <w:rFonts w:hint="eastAsia" w:ascii="仿宋_GB2312" w:eastAsia="仿宋_GB2312"/>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681B58B">
            <w:pPr>
              <w:spacing w:line="400" w:lineRule="exact"/>
              <w:contextualSpacing/>
              <w:rPr>
                <w:rFonts w:ascii="仿宋_GB2312" w:eastAsia="仿宋_GB2312"/>
                <w:sz w:val="24"/>
                <w:szCs w:val="24"/>
              </w:rPr>
            </w:pPr>
            <w:r>
              <w:rPr>
                <w:rFonts w:hint="eastAsia" w:ascii="仿宋_GB2312" w:eastAsia="仿宋_GB2312"/>
                <w:sz w:val="24"/>
                <w:szCs w:val="24"/>
              </w:rPr>
              <w:t>采购标的：</w:t>
            </w:r>
            <w:r>
              <w:rPr>
                <w:rFonts w:hint="eastAsia" w:ascii="仿宋_GB2312" w:eastAsia="仿宋_GB2312"/>
                <w:sz w:val="24"/>
                <w:szCs w:val="24"/>
                <w:u w:val="single"/>
              </w:rPr>
              <w:t>物业管理服务</w:t>
            </w:r>
            <w:r>
              <w:rPr>
                <w:rFonts w:hint="eastAsia" w:ascii="仿宋_GB2312" w:eastAsia="仿宋_GB2312"/>
                <w:sz w:val="24"/>
                <w:szCs w:val="24"/>
              </w:rPr>
              <w:t>，所属行业：</w:t>
            </w:r>
            <w:r>
              <w:rPr>
                <w:rFonts w:hint="eastAsia" w:ascii="仿宋_GB2312" w:eastAsia="仿宋_GB2312"/>
                <w:sz w:val="24"/>
                <w:szCs w:val="24"/>
                <w:u w:val="single"/>
              </w:rPr>
              <w:t>物业管理</w:t>
            </w:r>
          </w:p>
        </w:tc>
      </w:tr>
      <w:tr w14:paraId="3EF13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93E275">
            <w:pPr>
              <w:spacing w:line="400" w:lineRule="exact"/>
              <w:contextualSpacing/>
              <w:jc w:val="center"/>
              <w:rPr>
                <w:rFonts w:ascii="仿宋_GB2312" w:eastAsia="仿宋_GB2312"/>
                <w:sz w:val="24"/>
                <w:szCs w:val="24"/>
              </w:rPr>
            </w:pPr>
            <w:r>
              <w:rPr>
                <w:rFonts w:hint="eastAsia" w:ascii="仿宋_GB2312" w:eastAsia="仿宋_GB2312"/>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A0C0E2A">
            <w:pPr>
              <w:spacing w:line="400" w:lineRule="exact"/>
              <w:contextualSpacing/>
              <w:rPr>
                <w:rFonts w:ascii="仿宋_GB2312" w:eastAsia="仿宋_GB2312"/>
                <w:sz w:val="24"/>
                <w:szCs w:val="24"/>
              </w:rPr>
            </w:pPr>
            <w:r>
              <w:rPr>
                <w:rFonts w:hint="eastAsia" w:ascii="仿宋_GB2312" w:eastAsia="仿宋_GB2312"/>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1AB8B25">
            <w:pPr>
              <w:spacing w:line="400" w:lineRule="exact"/>
              <w:contextualSpacing/>
              <w:rPr>
                <w:rFonts w:ascii="仿宋_GB2312" w:eastAsia="仿宋_GB2312"/>
                <w:sz w:val="24"/>
                <w:szCs w:val="24"/>
              </w:rPr>
            </w:pPr>
            <w:r>
              <w:rPr>
                <w:rFonts w:hint="eastAsia" w:ascii="仿宋_GB2312" w:eastAsia="仿宋_GB231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C0C4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tblHeader/>
        </w:trPr>
        <w:tc>
          <w:tcPr>
            <w:tcW w:w="629" w:type="dxa"/>
            <w:tcBorders>
              <w:top w:val="single" w:color="auto" w:sz="4" w:space="0"/>
              <w:left w:val="single" w:color="000000" w:sz="8" w:space="0"/>
              <w:right w:val="single" w:color="000000" w:sz="2" w:space="0"/>
            </w:tcBorders>
            <w:vAlign w:val="center"/>
          </w:tcPr>
          <w:p w14:paraId="2DF4C471">
            <w:pPr>
              <w:spacing w:line="400" w:lineRule="exact"/>
              <w:contextualSpacing/>
              <w:jc w:val="center"/>
              <w:rPr>
                <w:rFonts w:ascii="仿宋_GB2312" w:eastAsia="仿宋_GB2312"/>
                <w:sz w:val="24"/>
                <w:szCs w:val="24"/>
              </w:rPr>
            </w:pPr>
            <w:r>
              <w:rPr>
                <w:rFonts w:hint="eastAsia" w:ascii="仿宋_GB2312" w:eastAsia="仿宋_GB2312"/>
                <w:sz w:val="24"/>
                <w:szCs w:val="24"/>
              </w:rPr>
              <w:t>11</w:t>
            </w:r>
          </w:p>
        </w:tc>
        <w:tc>
          <w:tcPr>
            <w:tcW w:w="1843" w:type="dxa"/>
            <w:tcBorders>
              <w:top w:val="single" w:color="000000" w:sz="8" w:space="0"/>
              <w:left w:val="single" w:color="000000" w:sz="2" w:space="0"/>
              <w:right w:val="single" w:color="000000" w:sz="8" w:space="0"/>
            </w:tcBorders>
            <w:vAlign w:val="center"/>
          </w:tcPr>
          <w:p w14:paraId="44EDB52A">
            <w:pPr>
              <w:spacing w:line="400" w:lineRule="exact"/>
              <w:contextualSpacing/>
              <w:rPr>
                <w:rFonts w:ascii="仿宋_GB2312" w:eastAsia="仿宋_GB2312"/>
                <w:sz w:val="24"/>
                <w:szCs w:val="24"/>
              </w:rPr>
            </w:pPr>
            <w:r>
              <w:rPr>
                <w:rFonts w:hint="eastAsia" w:ascii="仿宋_GB2312" w:eastAsia="仿宋_GB2312"/>
                <w:sz w:val="24"/>
                <w:szCs w:val="24"/>
              </w:rPr>
              <w:t>政采贷</w:t>
            </w:r>
          </w:p>
        </w:tc>
        <w:tc>
          <w:tcPr>
            <w:tcW w:w="6095" w:type="dxa"/>
            <w:tcBorders>
              <w:top w:val="single" w:color="000000" w:sz="8" w:space="0"/>
              <w:left w:val="single" w:color="000000" w:sz="2" w:space="0"/>
              <w:bottom w:val="single" w:color="000000" w:sz="8" w:space="0"/>
              <w:right w:val="single" w:color="000000" w:sz="8" w:space="0"/>
            </w:tcBorders>
            <w:vAlign w:val="center"/>
          </w:tcPr>
          <w:p w14:paraId="49C49606">
            <w:pPr>
              <w:spacing w:line="400" w:lineRule="exact"/>
              <w:contextualSpacing/>
              <w:rPr>
                <w:rFonts w:ascii="仿宋_GB2312" w:eastAsia="仿宋_GB2312"/>
                <w:sz w:val="24"/>
                <w:szCs w:val="24"/>
              </w:rPr>
            </w:pPr>
            <w:r>
              <w:rPr>
                <w:rFonts w:hint="eastAsia" w:ascii="仿宋_GB2312" w:eastAsia="仿宋_GB2312"/>
                <w:sz w:val="24"/>
                <w:szCs w:val="24"/>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75B9FD53">
            <w:pPr>
              <w:pStyle w:val="4"/>
              <w:spacing w:after="0" w:line="400" w:lineRule="exact"/>
            </w:pPr>
            <w:r>
              <w:rPr>
                <w:rFonts w:hint="eastAsia" w:ascii="仿宋_GB2312" w:hAnsi="仿宋_GB2312" w:eastAsia="仿宋_GB2312" w:cs="仿宋_GB2312"/>
              </w:rPr>
              <w:t>（2）供应商中标后也可在“政采云”平台申请政采贷：操作路径：登录政采云平台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DF85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A2EA6B">
            <w:pPr>
              <w:spacing w:line="400" w:lineRule="exact"/>
              <w:contextualSpacing/>
              <w:jc w:val="center"/>
              <w:rPr>
                <w:rFonts w:ascii="仿宋_GB2312" w:eastAsia="仿宋_GB2312"/>
                <w:sz w:val="24"/>
                <w:szCs w:val="24"/>
              </w:rPr>
            </w:pPr>
            <w:r>
              <w:rPr>
                <w:rFonts w:hint="eastAsia" w:ascii="仿宋_GB2312" w:eastAsia="仿宋_GB2312"/>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752FD6E">
            <w:pPr>
              <w:spacing w:line="400" w:lineRule="exact"/>
              <w:contextualSpacing/>
              <w:rPr>
                <w:rFonts w:ascii="仿宋_GB2312" w:eastAsia="仿宋_GB2312"/>
                <w:sz w:val="24"/>
                <w:szCs w:val="24"/>
              </w:rPr>
            </w:pPr>
            <w:r>
              <w:rPr>
                <w:rFonts w:hint="eastAsia" w:ascii="仿宋_GB2312" w:eastAsia="仿宋_GB2312"/>
                <w:sz w:val="24"/>
                <w:szCs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0A6C9C4">
            <w:pPr>
              <w:spacing w:line="400" w:lineRule="exact"/>
              <w:contextualSpacing/>
              <w:rPr>
                <w:rFonts w:ascii="仿宋_GB2312" w:eastAsia="仿宋_GB2312"/>
                <w:sz w:val="24"/>
                <w:szCs w:val="24"/>
              </w:rPr>
            </w:pPr>
            <w:r>
              <w:rPr>
                <w:rFonts w:hint="eastAsia" w:ascii="仿宋_GB2312" w:eastAsia="仿宋_GB2312"/>
                <w:sz w:val="24"/>
                <w:szCs w:val="24"/>
              </w:rPr>
              <w:t>备份投标文件的送达地点和签收人员详见招标文件第二部分15.3.；15.4。采购人、采购代理机构不强制或变相强制投标人提交备份投标文件。</w:t>
            </w:r>
          </w:p>
        </w:tc>
      </w:tr>
      <w:tr w14:paraId="56642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3F6C3F2">
            <w:pPr>
              <w:spacing w:line="400" w:lineRule="exact"/>
              <w:contextualSpacing/>
              <w:jc w:val="center"/>
              <w:rPr>
                <w:rFonts w:ascii="仿宋_GB2312" w:eastAsia="仿宋_GB2312"/>
                <w:sz w:val="24"/>
                <w:szCs w:val="24"/>
              </w:rPr>
            </w:pPr>
            <w:r>
              <w:rPr>
                <w:rFonts w:hint="eastAsia" w:ascii="仿宋_GB2312" w:eastAsia="仿宋_GB2312"/>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96AA48A">
            <w:pPr>
              <w:spacing w:line="400" w:lineRule="exact"/>
              <w:contextualSpacing/>
              <w:rPr>
                <w:rFonts w:ascii="仿宋_GB2312" w:eastAsia="仿宋_GB2312"/>
                <w:sz w:val="24"/>
                <w:szCs w:val="24"/>
              </w:rPr>
            </w:pPr>
            <w:r>
              <w:rPr>
                <w:rFonts w:hint="eastAsia" w:ascii="仿宋_GB2312" w:eastAsia="仿宋_GB2312"/>
                <w:sz w:val="24"/>
                <w:szCs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5502C3D3">
            <w:pPr>
              <w:spacing w:line="400" w:lineRule="exact"/>
              <w:contextualSpacing/>
              <w:rPr>
                <w:rFonts w:ascii="仿宋_GB2312" w:eastAsia="仿宋_GB2312"/>
                <w:sz w:val="24"/>
                <w:szCs w:val="24"/>
              </w:rPr>
            </w:pPr>
            <w:r>
              <w:rPr>
                <w:rFonts w:hint="eastAsia" w:ascii="仿宋_GB2312" w:eastAsia="仿宋_GB2312"/>
                <w:sz w:val="24"/>
                <w:szCs w:val="24"/>
              </w:rPr>
              <w:t>是否需要履约保证金:</w:t>
            </w:r>
            <w:r>
              <w:rPr>
                <w:rFonts w:hint="eastAsia" w:ascii="仿宋_GB2312" w:eastAsia="仿宋_GB2312"/>
                <w:sz w:val="24"/>
                <w:szCs w:val="24"/>
              </w:rPr>
              <w:sym w:font="Wingdings" w:char="00A8"/>
            </w:r>
            <w:r>
              <w:rPr>
                <w:rFonts w:hint="eastAsia" w:ascii="仿宋_GB2312" w:eastAsia="仿宋_GB2312"/>
                <w:color w:val="auto"/>
                <w:sz w:val="24"/>
                <w:szCs w:val="24"/>
              </w:rPr>
              <w:t>是</w:t>
            </w:r>
            <w:r>
              <w:rPr>
                <w:rFonts w:hint="default" w:ascii="Arial" w:hAnsi="Arial" w:eastAsia="仿宋_GB2312" w:cs="Arial"/>
                <w:b/>
                <w:color w:val="auto"/>
                <w:sz w:val="24"/>
                <w:szCs w:val="24"/>
              </w:rPr>
              <w:t>√</w:t>
            </w:r>
            <w:r>
              <w:rPr>
                <w:rFonts w:hint="eastAsia" w:ascii="仿宋_GB2312" w:eastAsia="仿宋_GB2312"/>
                <w:color w:val="auto"/>
                <w:sz w:val="24"/>
                <w:szCs w:val="24"/>
              </w:rPr>
              <w:t>否</w:t>
            </w:r>
          </w:p>
        </w:tc>
      </w:tr>
      <w:tr w14:paraId="60F57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24476B0D">
            <w:pPr>
              <w:spacing w:line="400" w:lineRule="exact"/>
              <w:contextualSpacing/>
              <w:jc w:val="center"/>
              <w:rPr>
                <w:rFonts w:ascii="仿宋_GB2312" w:eastAsia="仿宋_GB2312"/>
                <w:sz w:val="24"/>
                <w:szCs w:val="24"/>
              </w:rPr>
            </w:pPr>
            <w:r>
              <w:rPr>
                <w:rFonts w:hint="eastAsia" w:ascii="仿宋_GB2312" w:eastAsia="仿宋_GB2312"/>
                <w:sz w:val="24"/>
                <w:szCs w:val="24"/>
              </w:rPr>
              <w:t>14</w:t>
            </w:r>
          </w:p>
        </w:tc>
        <w:tc>
          <w:tcPr>
            <w:tcW w:w="1843" w:type="dxa"/>
            <w:vMerge w:val="restart"/>
            <w:tcBorders>
              <w:top w:val="single" w:color="000000" w:sz="8" w:space="0"/>
              <w:left w:val="single" w:color="000000" w:sz="2" w:space="0"/>
              <w:right w:val="single" w:color="000000" w:sz="8" w:space="0"/>
            </w:tcBorders>
            <w:vAlign w:val="center"/>
          </w:tcPr>
          <w:p w14:paraId="3DEBEF93">
            <w:pPr>
              <w:spacing w:line="400" w:lineRule="exact"/>
              <w:contextualSpacing/>
              <w:rPr>
                <w:rFonts w:ascii="仿宋_GB2312" w:eastAsia="仿宋_GB2312"/>
                <w:sz w:val="24"/>
                <w:szCs w:val="24"/>
              </w:rPr>
            </w:pPr>
            <w:r>
              <w:rPr>
                <w:rFonts w:hint="eastAsia" w:ascii="仿宋_GB2312" w:eastAsia="仿宋_GB2312"/>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C638753">
            <w:pPr>
              <w:spacing w:line="400" w:lineRule="exact"/>
              <w:rPr>
                <w:rFonts w:hint="eastAsia" w:ascii="仿宋_GB2312" w:eastAsia="仿宋_GB2312"/>
                <w:color w:val="auto"/>
                <w:lang w:val="en-US" w:eastAsia="zh-CN"/>
              </w:rPr>
            </w:pPr>
            <w:r>
              <w:rPr>
                <w:rFonts w:hint="eastAsia" w:ascii="仿宋_GB2312" w:hAnsi="仿宋_GB2312" w:eastAsia="仿宋_GB2312" w:cs="仿宋_GB2312"/>
                <w:i w:val="0"/>
                <w:iCs w:val="0"/>
                <w:caps w:val="0"/>
                <w:color w:val="auto"/>
                <w:spacing w:val="0"/>
                <w:sz w:val="24"/>
                <w:szCs w:val="24"/>
                <w:shd w:val="clear" w:fill="FFFFFF"/>
              </w:rPr>
              <w:t>联合体投标的，联合体各方分别提供与联合体协议中规定的分工内容相应的业绩证明材料，业绩数量以提供材料较少的一方为准，有一方未提供业绩的不得分，如第四部分评标办法仅要求一类业绩证明材料的，则视为联合体各方均须提供。</w:t>
            </w:r>
          </w:p>
        </w:tc>
      </w:tr>
      <w:tr w14:paraId="38D38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136778EA">
            <w:pPr>
              <w:spacing w:line="400" w:lineRule="exact"/>
              <w:contextualSpacing/>
              <w:jc w:val="center"/>
              <w:rPr>
                <w:rFonts w:ascii="仿宋_GB2312" w:eastAsia="仿宋_GB2312"/>
                <w:sz w:val="24"/>
                <w:szCs w:val="24"/>
              </w:rPr>
            </w:pPr>
          </w:p>
        </w:tc>
        <w:tc>
          <w:tcPr>
            <w:tcW w:w="1843" w:type="dxa"/>
            <w:vMerge w:val="continue"/>
            <w:tcBorders>
              <w:left w:val="single" w:color="000000" w:sz="2" w:space="0"/>
              <w:right w:val="single" w:color="000000" w:sz="8" w:space="0"/>
            </w:tcBorders>
            <w:vAlign w:val="center"/>
          </w:tcPr>
          <w:p w14:paraId="2FBFD664">
            <w:pPr>
              <w:spacing w:line="400" w:lineRule="exact"/>
              <w:contextualSpacing/>
              <w:rPr>
                <w:rFonts w:ascii="仿宋_GB2312" w:eastAsia="仿宋_GB2312"/>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2943C21">
            <w:pPr>
              <w:spacing w:line="400" w:lineRule="exact"/>
              <w:rPr>
                <w:rFonts w:ascii="仿宋_GB2312" w:eastAsia="仿宋_GB2312"/>
                <w:color w:val="auto"/>
                <w:sz w:val="24"/>
                <w:szCs w:val="24"/>
              </w:rPr>
            </w:pPr>
            <w:r>
              <w:rPr>
                <w:rFonts w:hint="eastAsia" w:ascii="MS Mincho" w:hAnsi="MS Mincho" w:eastAsia="MS Mincho" w:cs="MS Mincho"/>
                <w:color w:val="auto"/>
                <w:sz w:val="24"/>
                <w:szCs w:val="24"/>
              </w:rPr>
              <w:t>☐</w:t>
            </w:r>
            <w:r>
              <w:rPr>
                <w:rFonts w:hint="eastAsia" w:ascii="仿宋_GB2312" w:eastAsia="仿宋_GB2312"/>
                <w:color w:val="auto"/>
                <w:sz w:val="24"/>
                <w:szCs w:val="24"/>
              </w:rPr>
              <w:t>联合体投标的，联合体各方均需按招标文件第四部分评标办法提供资信证明文件，否则视为不符合相关要求。</w:t>
            </w:r>
          </w:p>
          <w:p w14:paraId="42E562F1">
            <w:pPr>
              <w:spacing w:line="400" w:lineRule="exact"/>
              <w:rPr>
                <w:rFonts w:ascii="仿宋_GB2312" w:eastAsia="仿宋_GB2312"/>
                <w:color w:val="auto"/>
                <w:sz w:val="24"/>
                <w:szCs w:val="24"/>
              </w:rPr>
            </w:pPr>
            <w:r>
              <w:rPr>
                <w:rFonts w:hint="default" w:ascii="Arial" w:hAnsi="Arial" w:eastAsia="仿宋_GB2312" w:cs="Arial"/>
                <w:b/>
                <w:color w:val="auto"/>
                <w:sz w:val="24"/>
                <w:szCs w:val="24"/>
              </w:rPr>
              <w:t>√</w:t>
            </w:r>
            <w:r>
              <w:rPr>
                <w:rFonts w:hint="eastAsia" w:ascii="仿宋_GB2312" w:eastAsia="仿宋_GB2312"/>
                <w:color w:val="auto"/>
                <w:sz w:val="24"/>
                <w:szCs w:val="24"/>
              </w:rPr>
              <w:t>联合体投标的，联合体中有一方或者联合体成员根据分工按招标文件第四部分评标办法提供资信证明文件的，视为符合了相关要求。</w:t>
            </w:r>
          </w:p>
        </w:tc>
      </w:tr>
    </w:tbl>
    <w:p w14:paraId="39291F16">
      <w:pPr>
        <w:spacing w:line="540" w:lineRule="exact"/>
        <w:contextualSpacing/>
        <w:rPr>
          <w:rFonts w:ascii="仿宋_GB2312" w:eastAsia="仿宋_GB2312"/>
          <w:sz w:val="24"/>
          <w:szCs w:val="24"/>
        </w:rPr>
      </w:pPr>
    </w:p>
    <w:bookmarkEnd w:id="10"/>
    <w:p w14:paraId="7A22D849">
      <w:pPr>
        <w:spacing w:line="420" w:lineRule="exact"/>
        <w:ind w:firstLine="472" w:firstLineChars="196"/>
        <w:contextualSpacing/>
        <w:rPr>
          <w:rFonts w:ascii="仿宋_GB2312" w:eastAsia="仿宋_GB2312"/>
          <w:b/>
          <w:sz w:val="24"/>
          <w:szCs w:val="24"/>
        </w:rPr>
      </w:pPr>
      <w:bookmarkStart w:id="11" w:name="第三部分"/>
      <w:bookmarkStart w:id="12" w:name="_Toc164416483"/>
      <w:r>
        <w:rPr>
          <w:rFonts w:hint="eastAsia" w:ascii="仿宋_GB2312" w:eastAsia="仿宋_GB2312"/>
          <w:b/>
          <w:sz w:val="24"/>
          <w:szCs w:val="24"/>
        </w:rPr>
        <w:t>一、总则</w:t>
      </w:r>
    </w:p>
    <w:p w14:paraId="3C35F39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 适用范围</w:t>
      </w:r>
    </w:p>
    <w:p w14:paraId="1C2ADE6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本招标文件适用于该项目的招标、投标、开标、资格审查及信用信息查询、评标、定标、合同、验收等行为（法律、法规另有规定的，从其规定）。</w:t>
      </w:r>
    </w:p>
    <w:p w14:paraId="71672B0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2.定义</w:t>
      </w:r>
    </w:p>
    <w:p w14:paraId="49D3F54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2.1 “采购人”系指招标公告中载明的本项目的采购人。</w:t>
      </w:r>
    </w:p>
    <w:p w14:paraId="3A440FA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2.2 “采购代理机构”系指招标公告中载明的本项目的采购代理机构。</w:t>
      </w:r>
    </w:p>
    <w:p w14:paraId="6AFBE1B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 “投标人”系指是指响应招标、参加投标竞争的法人、其他组织或者自然人。</w:t>
      </w:r>
    </w:p>
    <w:p w14:paraId="15C7EA5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2.4 “负责人”系指法人企业的法定负责人，或其他组织为法律、行政法规规定代表单位行使职权的主要负责人，或自然人本人。</w:t>
      </w:r>
    </w:p>
    <w:p w14:paraId="799A1C2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7A2AA5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2.6“电子交易平台”是指本项目政府采购活动所依托的政府采购云平台（https://www.zcygov.cn/）。</w:t>
      </w:r>
    </w:p>
    <w:p w14:paraId="6D5C8DD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2.7 “▲” 系指实质性要求条款，“★”系产品采购项目中单一产品或核心产品，“</w:t>
      </w:r>
      <w:r>
        <w:rPr>
          <w:rFonts w:hint="default" w:ascii="Arial" w:hAnsi="Arial" w:eastAsia="仿宋_GB2312" w:cs="Arial"/>
          <w:b/>
          <w:color w:val="auto"/>
          <w:sz w:val="24"/>
          <w:szCs w:val="24"/>
        </w:rPr>
        <w:t>√</w:t>
      </w:r>
      <w:r>
        <w:rPr>
          <w:rFonts w:hint="eastAsia" w:ascii="仿宋_GB2312" w:eastAsia="仿宋_GB2312"/>
          <w:sz w:val="24"/>
          <w:szCs w:val="24"/>
        </w:rPr>
        <w:t>” 系指适用本项目的要求，“</w:t>
      </w:r>
      <w:r>
        <w:rPr>
          <w:rFonts w:hint="eastAsia" w:ascii="MS Mincho" w:hAnsi="MS Mincho" w:eastAsia="MS Mincho" w:cs="MS Mincho"/>
          <w:sz w:val="24"/>
          <w:szCs w:val="24"/>
        </w:rPr>
        <w:t>☐</w:t>
      </w:r>
      <w:r>
        <w:rPr>
          <w:rFonts w:hint="eastAsia" w:ascii="仿宋_GB2312" w:eastAsia="仿宋_GB2312"/>
          <w:sz w:val="24"/>
          <w:szCs w:val="24"/>
        </w:rPr>
        <w:t>”系指不适用本项目的要求。</w:t>
      </w:r>
    </w:p>
    <w:p w14:paraId="7261C60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 采购项目需要落实的政府采购政策</w:t>
      </w:r>
    </w:p>
    <w:p w14:paraId="4B02863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311D01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 支持绿色发展。</w:t>
      </w:r>
    </w:p>
    <w:p w14:paraId="23AB0DC4">
      <w:pPr>
        <w:spacing w:line="420" w:lineRule="exact"/>
        <w:ind w:firstLine="480" w:firstLineChars="200"/>
        <w:contextualSpacing/>
        <w:rPr>
          <w:rFonts w:hint="eastAsia" w:ascii="仿宋_GB2312" w:eastAsia="仿宋_GB2312"/>
          <w:sz w:val="24"/>
          <w:szCs w:val="24"/>
        </w:rPr>
      </w:pPr>
      <w:r>
        <w:rPr>
          <w:rFonts w:hint="eastAsia" w:ascii="仿宋_GB2312" w:eastAsia="仿宋_GB2312"/>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0D031D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3.2.2 修缮、装修类项目采购建材的，采购人应将绿色建筑和绿色建材性能、指标等作为实质性条件纳入招标文件和合同。</w:t>
      </w:r>
    </w:p>
    <w:p w14:paraId="68F3AA6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B97DF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60AB4E0">
      <w:pPr>
        <w:spacing w:line="420" w:lineRule="exact"/>
        <w:ind w:firstLine="480" w:firstLineChars="200"/>
        <w:rPr>
          <w:rFonts w:ascii="仿宋_GB2312" w:eastAsia="仿宋_GB2312"/>
          <w:sz w:val="24"/>
          <w:szCs w:val="24"/>
        </w:rPr>
      </w:pPr>
      <w:r>
        <w:rPr>
          <w:rFonts w:hint="eastAsia" w:ascii="仿宋_GB2312" w:eastAsia="仿宋_GB2312"/>
          <w:sz w:val="24"/>
          <w:szCs w:val="24"/>
        </w:rPr>
        <w:t>3.3支持中小企业发展</w:t>
      </w:r>
    </w:p>
    <w:p w14:paraId="316284F6">
      <w:pPr>
        <w:spacing w:line="420" w:lineRule="exact"/>
        <w:ind w:firstLine="480" w:firstLineChars="200"/>
        <w:rPr>
          <w:rFonts w:ascii="仿宋_GB2312" w:eastAsia="仿宋_GB2312"/>
          <w:sz w:val="24"/>
          <w:szCs w:val="24"/>
        </w:rPr>
      </w:pPr>
      <w:r>
        <w:rPr>
          <w:rFonts w:hint="eastAsia" w:ascii="仿宋_GB2312" w:eastAsia="仿宋_GB2312"/>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EF7B0E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符合中小企业划分标准的个体工商户，在政府采购活动中视同中小企业。</w:t>
      </w:r>
    </w:p>
    <w:p w14:paraId="5B6AECD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3.3.2在政府采购活动中，投标人提供的货物、工程或者服务符合下列情形的，享受中小企业扶持政策：</w:t>
      </w:r>
    </w:p>
    <w:p w14:paraId="182F62A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3.3.2.1在货物采购项目中，货物由中小企业制造，即货物由中小企业生产且使用该中小企业商号或者注册商标；</w:t>
      </w:r>
    </w:p>
    <w:p w14:paraId="2D226DF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3.3.2.2在工程采购项目中，工程由中小企业承建，即工程施工单位为中小企业；</w:t>
      </w:r>
    </w:p>
    <w:p w14:paraId="59F90D0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3.3.2.3在服务采购项目中，服务由中小企业承接，即提供服务的人员为中小企业依《中华人民共和国劳动法》订立劳动合同的从业人员。</w:t>
      </w:r>
    </w:p>
    <w:p w14:paraId="49EED73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在货物采购项目中，投标人提供的货物既有中小企业制造货物，也有大型企业制造货物的，不享受中小企业扶持政策。</w:t>
      </w:r>
    </w:p>
    <w:p w14:paraId="613DC4C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以联合体形式参加政府采购活动，联合体各方均为中小企业的，联合体视同中小企业。其中，联合体各方均为小微企业的，联合体视同小微企业。</w:t>
      </w:r>
    </w:p>
    <w:p w14:paraId="3BA20E1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3.3.3对于未预留份额专门面向中小企业的政府采购项目，以及预留份额政府采购项目中的非预留部分标项，对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专门面向中小企业采购的项目或者采购包，不再执行价格评审优惠的扶持政策。</w:t>
      </w:r>
    </w:p>
    <w:p w14:paraId="619013DD">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3.3.4符合《关于促进残疾人就业政府采购政策的通知》（财库〔2017〕141号）规定的条件并提供《残疾人福利性单位声明函》(附件1)的残疾人福利性单位视同小型、微型企业；</w:t>
      </w:r>
    </w:p>
    <w:p w14:paraId="681ECFE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63A128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FE221D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3.3.7中小企业享受扶持政策获得政府采购合同的，小微企业不得将合同分包给大中型企业，中型企业不得将合同分包给大型企业。</w:t>
      </w:r>
    </w:p>
    <w:p w14:paraId="563109B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3.4支持创新发展</w:t>
      </w:r>
    </w:p>
    <w:p w14:paraId="75779CE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 采购人优先采购被认定为首台套产品和“制造精品”的自主创新产品。</w:t>
      </w:r>
    </w:p>
    <w:p w14:paraId="6C8AC7B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464DA3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3.5平等对待内外资企业和符合条件的破产重整企业</w:t>
      </w:r>
    </w:p>
    <w:p w14:paraId="593AEF6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平等对待内外资企业和符合条件的破产重整企业，切实保障企业公平竞争，平等维护企业的合法利益。</w:t>
      </w:r>
    </w:p>
    <w:p w14:paraId="71E16E8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3.6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7808FE7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 询问、质疑、投诉</w:t>
      </w:r>
    </w:p>
    <w:p w14:paraId="73B68AE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在线询问、质疑、投诉。根据《浙江省财政厅关于进一步促进政府采购公平竞争打造最优营商环境的通知》（浙财采监（2021）22号）文件关于“健全行政裁决机制”要求，鼓励供应商询问线上提起，路径为：政采云-项目采购-询问质疑投诉-询问列表；鼓励供应商质疑线上提起，路径为：政采云-项目采购-询问质疑投诉-质疑列表。质疑供应商对线上质疑答复不满意的，可线上提起投诉，路径为：浙江政务服务网-政府采购投诉处理-在线办理。</w:t>
      </w:r>
    </w:p>
    <w:p w14:paraId="000AF43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4.2供应商询问</w:t>
      </w:r>
    </w:p>
    <w:p w14:paraId="436204D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294A3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4.3供应商质疑</w:t>
      </w:r>
    </w:p>
    <w:p w14:paraId="0CA5C8A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4.3.1提出质疑的供应商应当是参与所质疑项目采购活动的供应商。潜在供应商已依法获取其可质疑的招标文件的，可以对该文件提出质疑。</w:t>
      </w:r>
    </w:p>
    <w:p w14:paraId="721E6DC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4.3.2供应商认为招标文件、采购过程和中标结果使自己的权益受到损害的，可以在知道或者应知其权益受到损害之日起七个工作日内，以书面形式或线上向采购人或者采购代理机构提出质疑，否则，采购人或者采购代理机构不予受理：</w:t>
      </w:r>
    </w:p>
    <w:p w14:paraId="70DCDF64">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4.3.2.1对招标文件提出质疑的，质疑期限为供应商获得招标文件之日或者招标文件公告期限届满之日起计算。供应商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14:paraId="1EC31AFD">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4.3.2.2对采购过程提出质疑的，质疑期限为各采购程序环节结束之日起计算。对同一采购程序环节的质疑，供应商须在法定质疑期内一次性提出。对采购过程中有关现场考察或开标前答疑会事项提出的质疑，原则上由采购人负责答复；对采购过程中其它事项提出的质疑，原则上由采购代理机构负责答复。</w:t>
      </w:r>
    </w:p>
    <w:p w14:paraId="7629FC4F">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4.3.2.3对采购结果提出质疑的，质疑期限自采购结果公告期限届满之日起计算。对采购结果提出质疑的，采购代理机构负责答复。</w:t>
      </w:r>
    </w:p>
    <w:p w14:paraId="7B108EC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4.3.3供应商提出质疑应当提交质疑函和必要的证明材料。质疑函应当包括下列内容：</w:t>
      </w:r>
    </w:p>
    <w:p w14:paraId="7FCC571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4.3.3.1供应商的姓名或者名称、地址、邮编、联系人及联系电话；</w:t>
      </w:r>
    </w:p>
    <w:p w14:paraId="3FE1F24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4.3.3.2质疑项目的名称、编号；</w:t>
      </w:r>
    </w:p>
    <w:p w14:paraId="14F3CCB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4.3.3.3具体、明确的质疑事项和与质疑事项相关的请求；</w:t>
      </w:r>
    </w:p>
    <w:p w14:paraId="259FEFD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4.3.3.4事实依据；</w:t>
      </w:r>
    </w:p>
    <w:p w14:paraId="4D802B4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4.3.3.5必要的法律依据；</w:t>
      </w:r>
    </w:p>
    <w:p w14:paraId="12E7B40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4.3.3.6提出质疑的日期。</w:t>
      </w:r>
    </w:p>
    <w:p w14:paraId="069B965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供应商线下提交质疑函的，质疑函需一式三份。供应商为自然人的，应当由本人签字；供应商为法人或者其他组织的，应当由法定代表人、主要负责人，或者其授权代表签字或者盖章，并加盖公章。</w:t>
      </w:r>
    </w:p>
    <w:p w14:paraId="6121BD0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质疑函范本及制作说明详见附件2。</w:t>
      </w:r>
    </w:p>
    <w:p w14:paraId="40AA7E4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14:paraId="43B5429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4.3.5询问或者质疑事项可能影响采购结果的，采购人应当暂停签订合同，已经签订合同的，应当中止履行合同。</w:t>
      </w:r>
    </w:p>
    <w:p w14:paraId="28DE7F5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4.4供应商投诉</w:t>
      </w:r>
    </w:p>
    <w:p w14:paraId="287D6F6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4.4.1质疑供应商对采购人、采购代理机构的答复不满意或者采购人、采购代理机构未在规定的时间内作出答复的，可以在答复期满后十五个工作日内向同级政府采购监督管理部门提出投诉。</w:t>
      </w:r>
    </w:p>
    <w:p w14:paraId="11F6DAF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4.4.2供应商投诉的事项不得超出已质疑事项的范围，基于质疑答复内容提出的投诉事项除外。</w:t>
      </w:r>
    </w:p>
    <w:p w14:paraId="6DE3313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4.4.3供应商投诉应当有明确的请求和必要的证明材料。</w:t>
      </w:r>
    </w:p>
    <w:p w14:paraId="449CC9D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w:t>
      </w:r>
      <w:r>
        <w:rPr>
          <w:rFonts w:ascii="仿宋_GB2312" w:eastAsia="仿宋_GB2312"/>
          <w:sz w:val="24"/>
          <w:szCs w:val="24"/>
        </w:rPr>
        <w:t>4</w:t>
      </w:r>
      <w:r>
        <w:rPr>
          <w:rFonts w:hint="eastAsia" w:ascii="仿宋_GB2312" w:eastAsia="仿宋_GB2312"/>
          <w:sz w:val="24"/>
          <w:szCs w:val="24"/>
        </w:rPr>
        <w:t>以联合体形式参加政府采购活动的，其投诉应当由组成联合体的所有供应商共同提出。</w:t>
      </w:r>
    </w:p>
    <w:p w14:paraId="36A2703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投诉书范本及制作说明详见附件3。</w:t>
      </w:r>
    </w:p>
    <w:p w14:paraId="7C7470D6">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二、招标文件的构成、澄清、修改</w:t>
      </w:r>
    </w:p>
    <w:p w14:paraId="03E9ACB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5．招标文件的构成</w:t>
      </w:r>
    </w:p>
    <w:p w14:paraId="11C609C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 招标文件包括下列文件及附件：</w:t>
      </w:r>
    </w:p>
    <w:p w14:paraId="37C856C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5.1.1招标公告；</w:t>
      </w:r>
    </w:p>
    <w:p w14:paraId="1699656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5.1.2投标人须知；</w:t>
      </w:r>
    </w:p>
    <w:p w14:paraId="22331B0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5.1.3采购需求；</w:t>
      </w:r>
    </w:p>
    <w:p w14:paraId="2221572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5.1.4评标办法；</w:t>
      </w:r>
    </w:p>
    <w:p w14:paraId="2BEDE2D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5.1.5拟签订的合同文本；</w:t>
      </w:r>
    </w:p>
    <w:p w14:paraId="64BAA86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5.1.6应提交的有关格式范例。</w:t>
      </w:r>
    </w:p>
    <w:p w14:paraId="2FA6B33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5.2与本项目有关的澄清或者修改的内容为招标文件的组成部分。</w:t>
      </w:r>
    </w:p>
    <w:p w14:paraId="2E79B0A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 招标文件的澄清、修改</w:t>
      </w:r>
    </w:p>
    <w:p w14:paraId="1DFCA49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6.1已获取招标文件的潜在投标人，若有问题需要澄清，应于投标截止时间前，以书面形式向采购代理机构提出。</w:t>
      </w:r>
    </w:p>
    <w:p w14:paraId="27D6B93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E3DF387">
      <w:pPr>
        <w:spacing w:line="420" w:lineRule="exact"/>
        <w:contextualSpacing/>
        <w:rPr>
          <w:rFonts w:ascii="仿宋_GB2312" w:eastAsia="仿宋_GB2312"/>
          <w:b/>
          <w:sz w:val="24"/>
          <w:szCs w:val="24"/>
        </w:rPr>
      </w:pPr>
      <w:r>
        <w:rPr>
          <w:rFonts w:hint="eastAsia" w:ascii="仿宋_GB2312" w:eastAsia="仿宋_GB2312"/>
          <w:b/>
          <w:sz w:val="24"/>
          <w:szCs w:val="24"/>
        </w:rPr>
        <w:t xml:space="preserve">    三、投标</w:t>
      </w:r>
    </w:p>
    <w:p w14:paraId="7A951D0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 招标文件的获取</w:t>
      </w:r>
    </w:p>
    <w:p w14:paraId="52F482EB">
      <w:pPr>
        <w:spacing w:line="420" w:lineRule="exact"/>
        <w:contextualSpacing/>
        <w:rPr>
          <w:rFonts w:ascii="仿宋_GB2312" w:eastAsia="仿宋_GB2312"/>
          <w:sz w:val="24"/>
          <w:szCs w:val="24"/>
        </w:rPr>
      </w:pPr>
      <w:r>
        <w:rPr>
          <w:rFonts w:hint="eastAsia" w:ascii="仿宋_GB2312" w:eastAsia="仿宋_GB2312"/>
          <w:sz w:val="24"/>
          <w:szCs w:val="24"/>
        </w:rPr>
        <w:t xml:space="preserve">    详见招标公告中获取招标文件的时间期限、地点、方式及招标文件售价。</w:t>
      </w:r>
    </w:p>
    <w:p w14:paraId="460D176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8.开标前答疑会或现场考察</w:t>
      </w:r>
    </w:p>
    <w:p w14:paraId="46E95A2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采购人组织潜在投标人现场考察或者召开开标前答疑会的，潜在投标人按第二部分投标人须知前附表的规定参加现场考察或者开标前答疑会。</w:t>
      </w:r>
    </w:p>
    <w:p w14:paraId="164D7FA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9.投标保证金</w:t>
      </w:r>
    </w:p>
    <w:p w14:paraId="0BDEA42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本项目不需缴纳投标保证金。</w:t>
      </w:r>
    </w:p>
    <w:p w14:paraId="7F1662C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10. 投标文件的语言</w:t>
      </w:r>
    </w:p>
    <w:p w14:paraId="1316DE0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投标文件及投标人与采购有关的来往通知、函件和文件均应使用中文。</w:t>
      </w:r>
    </w:p>
    <w:p w14:paraId="68DD3A3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 投标文件的组成</w:t>
      </w:r>
    </w:p>
    <w:p w14:paraId="6D8A957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11.1资格文件：</w:t>
      </w:r>
    </w:p>
    <w:p w14:paraId="4A52C94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11.1.1符合参加政府采购活动应当具备的一般条件的承诺函；</w:t>
      </w:r>
    </w:p>
    <w:p w14:paraId="41B72C1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11.1.2联合协议（如果有）；</w:t>
      </w:r>
    </w:p>
    <w:p w14:paraId="7ACA2C86">
      <w:pPr>
        <w:spacing w:line="420" w:lineRule="exact"/>
        <w:ind w:firstLine="465"/>
        <w:contextualSpacing/>
        <w:rPr>
          <w:rFonts w:ascii="仿宋_GB2312" w:eastAsia="仿宋_GB2312"/>
          <w:sz w:val="24"/>
          <w:szCs w:val="24"/>
        </w:rPr>
      </w:pPr>
      <w:r>
        <w:rPr>
          <w:rFonts w:hint="eastAsia" w:ascii="仿宋_GB2312" w:eastAsia="仿宋_GB2312"/>
          <w:sz w:val="24"/>
          <w:szCs w:val="24"/>
        </w:rPr>
        <w:t>11.1.3落实政府采购政策需满足的资格要求;</w:t>
      </w:r>
    </w:p>
    <w:p w14:paraId="2793330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11.1.4本项目的特定资格要求。</w:t>
      </w:r>
    </w:p>
    <w:p w14:paraId="47AD65F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  商务技术文件：</w:t>
      </w:r>
    </w:p>
    <w:p w14:paraId="5104C46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11.2.1投标函； </w:t>
      </w:r>
    </w:p>
    <w:p w14:paraId="0AE0C41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w:t>
      </w:r>
      <w:r>
        <w:rPr>
          <w:rFonts w:hint="eastAsia" w:ascii="仿宋_GB2312" w:eastAsia="仿宋_GB2312"/>
          <w:sz w:val="24"/>
          <w:szCs w:val="24"/>
          <w:lang w:val="en-US" w:eastAsia="zh-CN"/>
        </w:rPr>
        <w:t>2</w:t>
      </w:r>
      <w:r>
        <w:rPr>
          <w:rFonts w:hint="eastAsia" w:ascii="仿宋_GB2312" w:eastAsia="仿宋_GB2312"/>
          <w:sz w:val="24"/>
          <w:szCs w:val="24"/>
        </w:rPr>
        <w:t>联合协议（如果有）；</w:t>
      </w:r>
    </w:p>
    <w:p w14:paraId="197BB98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w:t>
      </w:r>
      <w:r>
        <w:rPr>
          <w:rFonts w:hint="eastAsia" w:ascii="仿宋_GB2312" w:eastAsia="仿宋_GB2312"/>
          <w:sz w:val="24"/>
          <w:szCs w:val="24"/>
          <w:lang w:val="en-US" w:eastAsia="zh-CN"/>
        </w:rPr>
        <w:t>3</w:t>
      </w:r>
      <w:r>
        <w:rPr>
          <w:rFonts w:hint="eastAsia" w:ascii="仿宋_GB2312" w:eastAsia="仿宋_GB2312"/>
          <w:sz w:val="24"/>
          <w:szCs w:val="24"/>
        </w:rPr>
        <w:t>分包意向协议（如果有）；</w:t>
      </w:r>
    </w:p>
    <w:p w14:paraId="701FFA0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w:t>
      </w:r>
      <w:r>
        <w:rPr>
          <w:rFonts w:hint="eastAsia" w:ascii="仿宋_GB2312" w:eastAsia="仿宋_GB2312"/>
          <w:sz w:val="24"/>
          <w:szCs w:val="24"/>
          <w:lang w:val="en-US" w:eastAsia="zh-CN"/>
        </w:rPr>
        <w:t>4</w:t>
      </w:r>
      <w:r>
        <w:rPr>
          <w:rFonts w:hint="eastAsia" w:ascii="仿宋_GB2312" w:eastAsia="仿宋_GB2312"/>
          <w:sz w:val="24"/>
          <w:szCs w:val="24"/>
        </w:rPr>
        <w:t>符合性审查资料；</w:t>
      </w:r>
    </w:p>
    <w:p w14:paraId="56600C1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w:t>
      </w:r>
      <w:r>
        <w:rPr>
          <w:rFonts w:hint="eastAsia" w:ascii="仿宋_GB2312" w:eastAsia="仿宋_GB2312"/>
          <w:sz w:val="24"/>
          <w:szCs w:val="24"/>
          <w:lang w:val="en-US" w:eastAsia="zh-CN"/>
        </w:rPr>
        <w:t>5</w:t>
      </w:r>
      <w:r>
        <w:rPr>
          <w:rFonts w:hint="eastAsia" w:ascii="仿宋_GB2312" w:eastAsia="仿宋_GB2312"/>
          <w:sz w:val="24"/>
          <w:szCs w:val="24"/>
        </w:rPr>
        <w:t>拟投入的项目班子格式；</w:t>
      </w:r>
    </w:p>
    <w:p w14:paraId="07291A83">
      <w:pPr>
        <w:spacing w:line="420" w:lineRule="exact"/>
        <w:ind w:firstLine="465"/>
        <w:contextualSpacing/>
        <w:rPr>
          <w:rFonts w:ascii="仿宋_GB2312" w:eastAsia="仿宋_GB2312"/>
          <w:sz w:val="24"/>
          <w:szCs w:val="24"/>
        </w:rPr>
      </w:pPr>
      <w:r>
        <w:rPr>
          <w:rFonts w:hint="eastAsia" w:ascii="仿宋_GB2312" w:eastAsia="仿宋_GB2312"/>
          <w:sz w:val="24"/>
          <w:szCs w:val="24"/>
        </w:rPr>
        <w:t>11.2.</w:t>
      </w:r>
      <w:r>
        <w:rPr>
          <w:rFonts w:hint="eastAsia" w:ascii="仿宋_GB2312" w:eastAsia="仿宋_GB2312"/>
          <w:sz w:val="24"/>
          <w:szCs w:val="24"/>
          <w:lang w:val="en-US" w:eastAsia="zh-CN"/>
        </w:rPr>
        <w:t>6</w:t>
      </w:r>
      <w:r>
        <w:rPr>
          <w:rFonts w:hint="eastAsia" w:ascii="仿宋_GB2312" w:eastAsia="仿宋_GB2312"/>
          <w:sz w:val="24"/>
          <w:szCs w:val="24"/>
        </w:rPr>
        <w:t>评标标准相应的商务技术资料；</w:t>
      </w:r>
    </w:p>
    <w:p w14:paraId="3E7E3A43">
      <w:pPr>
        <w:spacing w:line="420" w:lineRule="exact"/>
        <w:ind w:firstLine="465"/>
        <w:contextualSpacing/>
        <w:rPr>
          <w:rFonts w:ascii="仿宋_GB2312" w:eastAsia="仿宋_GB2312"/>
          <w:sz w:val="24"/>
          <w:szCs w:val="24"/>
        </w:rPr>
      </w:pPr>
      <w:r>
        <w:rPr>
          <w:rFonts w:hint="eastAsia" w:ascii="仿宋_GB2312" w:eastAsia="仿宋_GB2312"/>
          <w:sz w:val="24"/>
          <w:szCs w:val="24"/>
        </w:rPr>
        <w:t>11.2.</w:t>
      </w:r>
      <w:r>
        <w:rPr>
          <w:rFonts w:hint="eastAsia" w:ascii="仿宋_GB2312" w:eastAsia="仿宋_GB2312"/>
          <w:sz w:val="24"/>
          <w:szCs w:val="24"/>
          <w:lang w:val="en-US" w:eastAsia="zh-CN"/>
        </w:rPr>
        <w:t>7</w:t>
      </w:r>
      <w:r>
        <w:rPr>
          <w:rFonts w:hint="eastAsia" w:ascii="仿宋_GB2312" w:eastAsia="仿宋_GB2312"/>
          <w:sz w:val="24"/>
          <w:szCs w:val="24"/>
        </w:rPr>
        <w:t>投标标的清单（如果有）；</w:t>
      </w:r>
    </w:p>
    <w:p w14:paraId="68B2546F">
      <w:pPr>
        <w:spacing w:line="420" w:lineRule="exact"/>
        <w:ind w:firstLine="465"/>
        <w:contextualSpacing/>
        <w:rPr>
          <w:rFonts w:ascii="仿宋_GB2312" w:eastAsia="仿宋_GB2312"/>
          <w:sz w:val="24"/>
          <w:szCs w:val="24"/>
        </w:rPr>
      </w:pPr>
      <w:r>
        <w:rPr>
          <w:rFonts w:hint="eastAsia" w:ascii="仿宋_GB2312" w:eastAsia="仿宋_GB2312"/>
          <w:sz w:val="24"/>
          <w:szCs w:val="24"/>
        </w:rPr>
        <w:t>11.2.</w:t>
      </w:r>
      <w:r>
        <w:rPr>
          <w:rFonts w:hint="eastAsia" w:ascii="仿宋_GB2312" w:eastAsia="仿宋_GB2312"/>
          <w:sz w:val="24"/>
          <w:szCs w:val="24"/>
          <w:lang w:val="en-US" w:eastAsia="zh-CN"/>
        </w:rPr>
        <w:t>8</w:t>
      </w:r>
      <w:r>
        <w:rPr>
          <w:rFonts w:hint="eastAsia" w:ascii="仿宋_GB2312" w:eastAsia="仿宋_GB2312"/>
          <w:sz w:val="24"/>
          <w:szCs w:val="24"/>
        </w:rPr>
        <w:t>商务技术偏离表；</w:t>
      </w:r>
    </w:p>
    <w:p w14:paraId="2145D2ED">
      <w:pPr>
        <w:spacing w:line="420" w:lineRule="exact"/>
        <w:ind w:firstLine="465"/>
        <w:contextualSpacing/>
        <w:rPr>
          <w:rFonts w:ascii="仿宋_GB2312" w:eastAsia="仿宋_GB2312"/>
          <w:sz w:val="24"/>
          <w:szCs w:val="24"/>
        </w:rPr>
      </w:pPr>
      <w:r>
        <w:rPr>
          <w:rFonts w:hint="eastAsia" w:ascii="仿宋_GB2312" w:eastAsia="仿宋_GB2312"/>
          <w:sz w:val="24"/>
          <w:szCs w:val="24"/>
        </w:rPr>
        <w:t>11.2.</w:t>
      </w:r>
      <w:r>
        <w:rPr>
          <w:rFonts w:hint="eastAsia" w:ascii="仿宋_GB2312" w:eastAsia="仿宋_GB2312"/>
          <w:sz w:val="24"/>
          <w:szCs w:val="24"/>
          <w:lang w:val="en-US" w:eastAsia="zh-CN"/>
        </w:rPr>
        <w:t>9</w:t>
      </w:r>
      <w:r>
        <w:rPr>
          <w:rFonts w:hint="eastAsia" w:ascii="仿宋_GB2312" w:eastAsia="仿宋_GB2312"/>
          <w:sz w:val="24"/>
          <w:szCs w:val="24"/>
        </w:rPr>
        <w:t>政府采购供应商廉洁自律承诺书。</w:t>
      </w:r>
    </w:p>
    <w:p w14:paraId="768E8143">
      <w:pPr>
        <w:spacing w:line="420" w:lineRule="exact"/>
        <w:ind w:firstLine="465"/>
        <w:contextualSpacing/>
        <w:rPr>
          <w:rFonts w:ascii="仿宋_GB2312" w:eastAsia="仿宋_GB2312"/>
          <w:sz w:val="24"/>
          <w:szCs w:val="24"/>
        </w:rPr>
      </w:pPr>
      <w:r>
        <w:rPr>
          <w:rFonts w:hint="eastAsia" w:ascii="仿宋_GB2312" w:eastAsia="仿宋_GB2312"/>
          <w:sz w:val="24"/>
          <w:szCs w:val="24"/>
        </w:rPr>
        <w:t xml:space="preserve">11.3报价文件： </w:t>
      </w:r>
    </w:p>
    <w:p w14:paraId="367B0F6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11.3.1开标一览表（报价表）；</w:t>
      </w:r>
    </w:p>
    <w:p w14:paraId="4DE5638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11.3.2中小企业声明函；</w:t>
      </w:r>
    </w:p>
    <w:p w14:paraId="22622A48">
      <w:pPr>
        <w:spacing w:line="420" w:lineRule="exact"/>
        <w:ind w:firstLine="480" w:firstLineChars="200"/>
        <w:contextualSpacing/>
        <w:rPr>
          <w:rFonts w:ascii="仿宋_GB2312" w:eastAsia="仿宋_GB2312"/>
        </w:rPr>
      </w:pPr>
      <w:r>
        <w:rPr>
          <w:rFonts w:hint="eastAsia" w:ascii="仿宋_GB2312" w:eastAsia="仿宋_GB2312"/>
          <w:sz w:val="24"/>
          <w:szCs w:val="24"/>
        </w:rPr>
        <w:t>11.3.3 详细阐述关于不影响产品质量或者诚信履约的具体原因（如果报价低于项目预算50%的）。</w:t>
      </w:r>
    </w:p>
    <w:p w14:paraId="3449989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 投标文件的编制</w:t>
      </w:r>
    </w:p>
    <w:p w14:paraId="54C7A0F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59FE59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12.2投标人进行电子投标应安装客户端软件—“政采云电子交易客户端”，并按照招标文件和电子交易平台的要求编制并加密投标文件。投标人未按规定加密的投标文件，电子交易平台将拒收并提示。</w:t>
      </w:r>
    </w:p>
    <w:p w14:paraId="36B8E9F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12.3使用“政采云电子交易客户端”需要提前申领CA数字证书，申领流程请自行前往“浙江政府采购网-下载专区-电子交易客户端-CA驱动和申领流程”进行查阅。</w:t>
      </w:r>
    </w:p>
    <w:p w14:paraId="69C0328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13.投标文件的签署、盖章</w:t>
      </w:r>
    </w:p>
    <w:p w14:paraId="74953D8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13.1投标文件按照招标文件第六部分格式要求进行签署、盖章。▲</w:t>
      </w:r>
      <w:r>
        <w:rPr>
          <w:rFonts w:hint="eastAsia" w:ascii="仿宋_GB2312" w:eastAsia="仿宋_GB2312"/>
          <w:b/>
          <w:sz w:val="24"/>
          <w:szCs w:val="24"/>
        </w:rPr>
        <w:t>投标人的投标文件未按照招标文件要求签署、盖章的，其投标无效</w:t>
      </w:r>
      <w:r>
        <w:rPr>
          <w:rFonts w:hint="eastAsia" w:ascii="仿宋_GB2312" w:eastAsia="仿宋_GB2312"/>
          <w:sz w:val="24"/>
          <w:szCs w:val="24"/>
        </w:rPr>
        <w:t>。</w:t>
      </w:r>
    </w:p>
    <w:p w14:paraId="07E32CF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13.2为确保网上操作合法、有效和安全，投标人应当在投标截止时间前完成在“政府采购云平台”的身份认证，确保在电子投标过程中能够对相关数据电文进行加密和使用电子签名。</w:t>
      </w:r>
    </w:p>
    <w:p w14:paraId="5C2135E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13.3招标文件对投标文件签署、盖章的要求适用于电子签名。</w:t>
      </w:r>
    </w:p>
    <w:p w14:paraId="77BB53E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14.投标文件的提交、补充、修改、撤回</w:t>
      </w:r>
    </w:p>
    <w:p w14:paraId="7556E0C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F72671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2617ECD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14.3采购人、采购代理机构可以视情况延长投标文件提交的截止时间。在上述情况下，采购代理机构与投标人以前在投标截止期方面的全部权利、责任和义务，将适用于延长至新的投标截止期。</w:t>
      </w:r>
    </w:p>
    <w:p w14:paraId="16CA277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15.备份投标文件</w:t>
      </w:r>
    </w:p>
    <w:p w14:paraId="75BB0906">
      <w:pPr>
        <w:spacing w:line="420" w:lineRule="exact"/>
        <w:contextualSpacing/>
        <w:rPr>
          <w:rFonts w:ascii="仿宋_GB2312" w:eastAsia="仿宋_GB2312"/>
          <w:sz w:val="24"/>
          <w:szCs w:val="24"/>
        </w:rPr>
      </w:pPr>
      <w:r>
        <w:rPr>
          <w:rFonts w:hint="eastAsia" w:ascii="仿宋_GB2312" w:eastAsia="仿宋_GB2312"/>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5392714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465AB6D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15.3直接提交备份投标文件的，投标人应于开标当日投标截止时间前将备份投标文件按要求密封和标记后送达舟山市新城翁山路555号四楼（大宗商品交易中心同幢西边）4楼政府采购窗口；送达时间以签收人签收时间为准（签收人：曹女士，联系电话：0580-2281591）。采购代理机构将拒绝接受逾期送达的备份投标文件。</w:t>
      </w:r>
    </w:p>
    <w:p w14:paraId="2FB55EA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15.4以邮政快递方式递交备份投标文件的，投标人应先将备份投标文件按要求密封和标记，再进行邮政快递包装后邮寄。备份投标文件须在投标截止时间之前送达舟山市翁山路555号4楼4024室；送达时间以签收人签收时间为准（签收人：曹女士，联系电话：0580-2281591）。采购代理机构将拒绝接受逾期送达的备份投标文件。邮寄过程中，电子备份投标文件发生泄露、遗失、损坏或延期送达等情况的，由投标人自行负责。</w:t>
      </w:r>
    </w:p>
    <w:p w14:paraId="4FB7B77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15.5投标人仅提交备份投标文件，没有在电子交易平台传输递交投标文件的，投标无效。</w:t>
      </w:r>
    </w:p>
    <w:p w14:paraId="1BE2EA7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16.投标文件的无效处理</w:t>
      </w:r>
    </w:p>
    <w:p w14:paraId="627F0EA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有招标文件第四部分4.2项规定的情形之一的，投标无效。</w:t>
      </w:r>
    </w:p>
    <w:p w14:paraId="457B9EA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17.投标有效期</w:t>
      </w:r>
    </w:p>
    <w:p w14:paraId="2B458393">
      <w:pPr>
        <w:spacing w:line="420" w:lineRule="exact"/>
        <w:ind w:firstLine="480" w:firstLineChars="200"/>
        <w:contextualSpacing/>
        <w:rPr>
          <w:rFonts w:ascii="仿宋_GB2312" w:eastAsia="仿宋_GB2312"/>
          <w:b/>
          <w:sz w:val="24"/>
          <w:szCs w:val="24"/>
        </w:rPr>
      </w:pPr>
      <w:r>
        <w:rPr>
          <w:rFonts w:hint="eastAsia" w:ascii="仿宋_GB2312" w:eastAsia="仿宋_GB2312"/>
          <w:sz w:val="24"/>
          <w:szCs w:val="24"/>
        </w:rPr>
        <w:t>17.1投标有效期为从提交投标文件的截止之日起90天。▲</w:t>
      </w:r>
      <w:r>
        <w:rPr>
          <w:rFonts w:hint="eastAsia" w:ascii="仿宋_GB2312" w:eastAsia="仿宋_GB2312"/>
          <w:b/>
          <w:sz w:val="24"/>
          <w:szCs w:val="24"/>
        </w:rPr>
        <w:t>投标人的投标文件中承诺的投标有效期少于招标文件中载明的投标有效期的，投标无效。</w:t>
      </w:r>
    </w:p>
    <w:p w14:paraId="1148D05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17.2投标文件合格投递后，自投标截止日期起，在投标有效期内有效。</w:t>
      </w:r>
    </w:p>
    <w:p w14:paraId="5F5C0B8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0EAA30FE">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四、开标、资格审查与信用信息查询</w:t>
      </w:r>
    </w:p>
    <w:p w14:paraId="396E527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18.开标 </w:t>
      </w:r>
    </w:p>
    <w:p w14:paraId="69E13F0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18.1采购代理机构按照招标文件规定的时间通过电子交易平台组织开标，所有投标人均应当准时在线参加。</w:t>
      </w:r>
    </w:p>
    <w:p w14:paraId="0593FDCF">
      <w:pPr>
        <w:spacing w:line="420" w:lineRule="exact"/>
        <w:contextualSpacing/>
        <w:rPr>
          <w:rFonts w:ascii="仿宋_GB2312" w:eastAsia="仿宋_GB2312"/>
          <w:sz w:val="24"/>
          <w:szCs w:val="24"/>
        </w:rPr>
      </w:pPr>
      <w:r>
        <w:rPr>
          <w:rFonts w:hint="eastAsia" w:ascii="仿宋_GB2312" w:eastAsia="仿宋_GB2312"/>
          <w:sz w:val="24"/>
          <w:szCs w:val="24"/>
        </w:rPr>
        <w:t>　  18.2开标时，电子交易平台按开标时间自动提取所有投标文件。采购代理机构依托电子交易平台发起开始解密指令，投标人按照平台提示和招标文件的规定在半小时内完成在线解密。</w:t>
      </w:r>
    </w:p>
    <w:p w14:paraId="226F5A2E">
      <w:pPr>
        <w:spacing w:line="420" w:lineRule="exact"/>
        <w:contextualSpacing/>
        <w:rPr>
          <w:rFonts w:ascii="仿宋_GB2312" w:eastAsia="仿宋_GB2312"/>
          <w:sz w:val="24"/>
          <w:szCs w:val="24"/>
        </w:rPr>
      </w:pPr>
      <w:r>
        <w:rPr>
          <w:rFonts w:hint="eastAsia" w:ascii="仿宋_GB2312" w:eastAsia="仿宋_GB2312"/>
          <w:sz w:val="24"/>
          <w:szCs w:val="24"/>
        </w:rPr>
        <w:t>　  18.3</w:t>
      </w:r>
      <w:r>
        <w:rPr>
          <w:rFonts w:hint="eastAsia" w:ascii="仿宋_GB2312" w:eastAsia="仿宋_GB2312"/>
          <w:b/>
          <w:sz w:val="24"/>
          <w:szCs w:val="24"/>
        </w:rPr>
        <w:t>投标文件未按时解密，投标人提供了备份投标文件的，以备份投标文件作为依据，否则视为投标文件撤回。投标文件已按时解密的，备份投标文件自动失效。</w:t>
      </w:r>
    </w:p>
    <w:p w14:paraId="418030E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19.资格审查</w:t>
      </w:r>
    </w:p>
    <w:p w14:paraId="1F9BA3B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19.1开标后，采购人将依法对投标人的资格进行审查。</w:t>
      </w:r>
    </w:p>
    <w:p w14:paraId="238F8FE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19.2采购人依据法律法规和招标文件的规定，对投标人的基本资格条件、特定资格条件进行审查。</w:t>
      </w:r>
    </w:p>
    <w:p w14:paraId="06FDE25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19.3投标人未按照招标文件要求提供与基本资格条件、特定资格条件相应的有效资格证明材料的，视为投标人不具备招标文件中规定的资格要求，其投标无效。</w:t>
      </w:r>
    </w:p>
    <w:p w14:paraId="40CE184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19.4对未通过资格审查的投标人，采购人或采购代理机构告知其未通过的原因。</w:t>
      </w:r>
    </w:p>
    <w:p w14:paraId="5C2F9A2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19.5合格投标人不足3家的，不再评标。</w:t>
      </w:r>
    </w:p>
    <w:p w14:paraId="404C8CB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20.信用信息查询</w:t>
      </w:r>
    </w:p>
    <w:p w14:paraId="1FEC3B9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20.1信用信息查询渠道及截止时间：采购代理机构将通过“信用中国”网站(www.creditchina.gov.cn)、中国政府采购网(www.ccgp.gov.cn)渠道查询投标人投标截止时间当天的信用记录。</w:t>
      </w:r>
    </w:p>
    <w:p w14:paraId="1C81115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20.2信用信息查询记录和证据留存的具体方式：现场查询的投标人的信用记录、查询结果经确认后将与采购文件一起存档。</w:t>
      </w:r>
    </w:p>
    <w:p w14:paraId="180E9B0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358B4DC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E7F0C90">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五、评标</w:t>
      </w:r>
    </w:p>
    <w:p w14:paraId="2375056B">
      <w:pPr>
        <w:spacing w:line="420" w:lineRule="exact"/>
        <w:ind w:firstLine="480" w:firstLineChars="200"/>
        <w:contextualSpacing/>
        <w:rPr>
          <w:rFonts w:ascii="仿宋_GB2312" w:eastAsia="仿宋_GB2312"/>
          <w:sz w:val="24"/>
          <w:szCs w:val="24"/>
        </w:rPr>
      </w:pPr>
      <w:bookmarkStart w:id="13" w:name="_Toc91899903"/>
      <w:r>
        <w:rPr>
          <w:rFonts w:hint="eastAsia" w:ascii="仿宋_GB2312" w:eastAsia="仿宋_GB2312"/>
          <w:sz w:val="24"/>
          <w:szCs w:val="24"/>
        </w:rPr>
        <w:t>21. 评标委员会将根据招标文件和有关规定，履行评标工作职责，并按照评标办法及评分标准，全面衡量各投标人对招标文件的响应情况。对实质上响应招标文件的投标人，按照评审得分由高到低排序，并按顺序提出授标建议。评标办法详见招标文件第四部分。本项目由采购人授权评审委员会（谈判小组、询价小组）根据中标（成交）候选人名单及排序，直接确定中标人（成交供应商）。</w:t>
      </w:r>
    </w:p>
    <w:p w14:paraId="268CF04F">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六、定标</w:t>
      </w:r>
    </w:p>
    <w:p w14:paraId="637F3F0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22. 确定中标供应商</w:t>
      </w:r>
    </w:p>
    <w:p w14:paraId="184384E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候选人撤销投标（响应）文件不能成为采购人不确认采购结果的正当理由。中标、成交通知书和中标、成交结果公告应当在规定时间内同时发出。</w:t>
      </w:r>
    </w:p>
    <w:p w14:paraId="6F77F97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 中标通知与中标结果公告</w:t>
      </w:r>
    </w:p>
    <w:p w14:paraId="0298E91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23.1自中标人确定之日起2个工作日内，采购代理机构通过电子交易平台向中标人发出中标通知书，同时编制发布采购结果公告。采购代理机构也可以以纸质形式进行中标通知。</w:t>
      </w:r>
    </w:p>
    <w:p w14:paraId="440818D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E70592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23.3公告期限为1个工作日。</w:t>
      </w:r>
    </w:p>
    <w:p w14:paraId="197A68E5">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七、合同授予</w:t>
      </w:r>
    </w:p>
    <w:p w14:paraId="0A7705F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24. 合同主要条款详见第五部分拟签订的合同文本。</w:t>
      </w:r>
    </w:p>
    <w:p w14:paraId="46A2332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 合同的签订</w:t>
      </w:r>
    </w:p>
    <w:p w14:paraId="69F5BDD3">
      <w:pPr>
        <w:spacing w:line="420" w:lineRule="exact"/>
        <w:ind w:firstLine="480" w:firstLineChars="200"/>
        <w:contextualSpacing/>
        <w:rPr>
          <w:rFonts w:ascii="仿宋_GB2312" w:eastAsia="仿宋_GB2312"/>
          <w:sz w:val="24"/>
          <w:szCs w:val="24"/>
          <w:u w:val="single"/>
        </w:rPr>
      </w:pPr>
      <w:r>
        <w:rPr>
          <w:rFonts w:hint="eastAsia" w:ascii="仿宋_GB2312" w:eastAsia="仿宋_GB2312"/>
          <w:sz w:val="24"/>
          <w:szCs w:val="24"/>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采购人与中标供应商按照采购文件确定的事项签订政府采购合同，并及时上传发布。</w:t>
      </w:r>
    </w:p>
    <w:p w14:paraId="00FABD8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25.2中标人按规定的日期、时间、地点，由法定代表人或其授权代表与采购人代表签订合同。如中标人为联合体的，由联合体成员各方法定代表人或其授权代表与采购人代表签订合同。</w:t>
      </w:r>
    </w:p>
    <w:p w14:paraId="6025D20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25.3中标供应商拒绝与采购人签订合同的，采购人可以按照评审报告推荐的中标或者成交候选人名单排序，确定下一候选人为中标供应商，也可以重新开展政府采购活动。</w:t>
      </w:r>
    </w:p>
    <w:p w14:paraId="3E4559B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25.4中标供应商放弃中标资格导致重新采购的，应当承担支付专家评审费等费用在内的赔偿责任。</w:t>
      </w:r>
    </w:p>
    <w:p w14:paraId="5F711B2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25.5采购合同由采购人与中标供应商根据招标文件、投标文件等内容通过政府采购电子交易平台在线签订，自动备案。</w:t>
      </w:r>
    </w:p>
    <w:p w14:paraId="24ECD29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26. 履约保证金</w:t>
      </w:r>
    </w:p>
    <w:p w14:paraId="240F40A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4859C0C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7D4047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27. 预付款</w:t>
      </w:r>
    </w:p>
    <w:p w14:paraId="2284185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939AD51">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八、电子交易活动的中止</w:t>
      </w:r>
    </w:p>
    <w:p w14:paraId="4C95A0E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 电子交易活动的中止。采购过程中出现以下情形，导致电子交易平台无法正常运行，或者无法保证电子交易的公平、公正和安全时，采购代理机构可中止电子交易活动：</w:t>
      </w:r>
    </w:p>
    <w:p w14:paraId="3B7441B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28.1电子交易平台发生故障而无法登录访问的； </w:t>
      </w:r>
    </w:p>
    <w:p w14:paraId="5B30526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28.2电子交易平台应用或数据库出现错误，不能进行正常操作的；</w:t>
      </w:r>
    </w:p>
    <w:p w14:paraId="552C773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28.3电子交易平台发现严重安全漏洞，有潜在泄密危险的；</w:t>
      </w:r>
    </w:p>
    <w:p w14:paraId="27BDEE5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28.4病毒发作导致不能进行正常操作的； </w:t>
      </w:r>
    </w:p>
    <w:p w14:paraId="4DC095B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28.5其他无法保证电子交易的公平、公正和安全的情况。</w:t>
      </w:r>
    </w:p>
    <w:p w14:paraId="490FD58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29.出现以上情形，不影响采购公平、公正性的，采购组织机构可以待上述情形消除后继续组织电子交易活动，也可以决定某些环节以纸质形式进行；影响或可能影响采购公平、公正性的，应当重新采购。</w:t>
      </w:r>
    </w:p>
    <w:p w14:paraId="4F4E04F3">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九、验收</w:t>
      </w:r>
    </w:p>
    <w:p w14:paraId="13B2158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30.验收</w:t>
      </w:r>
    </w:p>
    <w:p w14:paraId="029284A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63A92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30.2采购人可以邀请参加本项目的其他投标人或者第三方机构参与验收。参与验收的投标人或者第三方机构的意见作为验收书的参考资料一并存档。</w:t>
      </w:r>
    </w:p>
    <w:p w14:paraId="6F0AEE9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FBAACB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86BC755">
      <w:pPr>
        <w:spacing w:line="540" w:lineRule="exact"/>
        <w:contextualSpacing/>
        <w:rPr>
          <w:rFonts w:ascii="仿宋_GB2312" w:eastAsia="仿宋_GB2312"/>
          <w:sz w:val="24"/>
          <w:szCs w:val="24"/>
        </w:rPr>
        <w:sectPr>
          <w:footerReference r:id="rId6" w:type="first"/>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117"/>
        </w:sectPr>
      </w:pPr>
      <w:bookmarkStart w:id="14" w:name="_Hlt74729768"/>
      <w:bookmarkEnd w:id="14"/>
      <w:bookmarkStart w:id="15" w:name="_Hlt68072990"/>
      <w:bookmarkEnd w:id="15"/>
      <w:bookmarkStart w:id="16" w:name="_Hlt68057669"/>
      <w:bookmarkEnd w:id="16"/>
      <w:bookmarkStart w:id="17" w:name="_Hlt75236011"/>
      <w:bookmarkEnd w:id="17"/>
      <w:bookmarkStart w:id="18" w:name="_Hlt68403820"/>
      <w:bookmarkEnd w:id="18"/>
      <w:bookmarkStart w:id="19" w:name="_Hlt75236290"/>
      <w:bookmarkEnd w:id="19"/>
      <w:bookmarkStart w:id="20" w:name="_Hlt74730295"/>
      <w:bookmarkEnd w:id="20"/>
      <w:bookmarkStart w:id="21" w:name="_Hlt74714665"/>
      <w:bookmarkEnd w:id="21"/>
      <w:bookmarkStart w:id="22" w:name="_Hlt68073093"/>
      <w:bookmarkEnd w:id="22"/>
      <w:bookmarkStart w:id="23" w:name="_Hlt74707468"/>
      <w:bookmarkEnd w:id="23"/>
      <w:bookmarkStart w:id="24" w:name="_Hlt75236101"/>
      <w:bookmarkEnd w:id="24"/>
      <w:bookmarkStart w:id="25" w:name="_Hlt68072998"/>
      <w:bookmarkEnd w:id="25"/>
    </w:p>
    <w:bookmarkEnd w:id="11"/>
    <w:bookmarkEnd w:id="12"/>
    <w:p w14:paraId="3D189CC1">
      <w:pPr>
        <w:spacing w:line="540" w:lineRule="exact"/>
        <w:contextualSpacing/>
        <w:jc w:val="center"/>
        <w:rPr>
          <w:rFonts w:ascii="仿宋_GB2312" w:eastAsia="仿宋_GB2312"/>
          <w:b/>
          <w:sz w:val="28"/>
          <w:szCs w:val="28"/>
        </w:rPr>
      </w:pPr>
      <w:bookmarkStart w:id="26" w:name="OLE_LINK2"/>
      <w:bookmarkStart w:id="27" w:name="OLE_LINK1"/>
      <w:bookmarkStart w:id="28" w:name="第四部分"/>
      <w:r>
        <w:rPr>
          <w:rFonts w:hint="eastAsia" w:ascii="仿宋_GB2312" w:eastAsia="仿宋_GB2312"/>
          <w:b/>
          <w:sz w:val="28"/>
          <w:szCs w:val="28"/>
        </w:rPr>
        <w:t>第三部分   采购需求</w:t>
      </w:r>
    </w:p>
    <w:p w14:paraId="4B2FF3A6"/>
    <w:p w14:paraId="40C6D6E2">
      <w:pPr>
        <w:spacing w:line="480" w:lineRule="exact"/>
        <w:ind w:firstLine="480" w:firstLineChars="200"/>
        <w:contextualSpacing/>
        <w:rPr>
          <w:rFonts w:ascii="黑体" w:hAnsi="黑体" w:eastAsia="黑体"/>
          <w:bCs/>
          <w:sz w:val="24"/>
          <w:szCs w:val="24"/>
        </w:rPr>
      </w:pPr>
      <w:r>
        <w:rPr>
          <w:rFonts w:hint="eastAsia" w:ascii="黑体" w:hAnsi="黑体" w:eastAsia="黑体"/>
          <w:bCs/>
          <w:sz w:val="24"/>
          <w:szCs w:val="24"/>
        </w:rPr>
        <w:t>一、项目概况</w:t>
      </w:r>
    </w:p>
    <w:p w14:paraId="73BBB985">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本单位采购的是位于新城区域的舟山市体育中心，涵盖舟山体育场、舟山体育馆（含体育公园）及外围周边区域。</w:t>
      </w:r>
    </w:p>
    <w:p w14:paraId="3CF1033A">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舟山体育场位于舟山市行政中心东南侧，场地西侧与舟山体育馆隔体育路对望，北侧隔城市河道同海天大道毗邻，东南部为科创园区。用地面积112724㎡，总建筑面积15102.62㎡，总席位数为20805座，项目定性为体育建筑等级乙级，体育场规模定位为中型（20000-40000座）。</w:t>
      </w:r>
    </w:p>
    <w:p w14:paraId="03EB0682">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舟山体育馆位于市行政中心东南侧，东临体育路，南至海景道，西至海洋文化公园，北靠海天大道，占地面积14380㎡，总建筑面积30690㎡。该馆目前由主馆、副馆及二楼乒乓球馆</w:t>
      </w:r>
      <w:r>
        <w:rPr>
          <w:rFonts w:ascii="仿宋_GB2312" w:hAnsi="仿宋_GB2312" w:eastAsia="仿宋_GB2312" w:cs="仿宋_GB2312"/>
          <w:sz w:val="24"/>
          <w:szCs w:val="24"/>
        </w:rPr>
        <w:t>等</w:t>
      </w:r>
      <w:r>
        <w:rPr>
          <w:rFonts w:hint="eastAsia" w:ascii="仿宋_GB2312" w:hAnsi="仿宋_GB2312" w:eastAsia="仿宋_GB2312" w:cs="仿宋_GB2312"/>
          <w:sz w:val="24"/>
          <w:szCs w:val="24"/>
        </w:rPr>
        <w:t>组成，另拥有室外篮球场、网球场、笼式足球场、沙滩足球场及即将新建的室外匹克球和网球场等体育公园项目。</w:t>
      </w:r>
    </w:p>
    <w:p w14:paraId="38C0599A">
      <w:pPr>
        <w:spacing w:line="480" w:lineRule="exact"/>
        <w:ind w:firstLine="480" w:firstLineChars="200"/>
        <w:contextualSpacing/>
        <w:rPr>
          <w:rFonts w:ascii="黑体" w:hAnsi="黑体" w:eastAsia="黑体"/>
          <w:bCs/>
          <w:sz w:val="24"/>
          <w:szCs w:val="24"/>
        </w:rPr>
      </w:pPr>
      <w:r>
        <w:rPr>
          <w:rFonts w:hint="eastAsia" w:ascii="黑体" w:hAnsi="黑体" w:eastAsia="黑体"/>
          <w:bCs/>
          <w:sz w:val="24"/>
          <w:szCs w:val="24"/>
        </w:rPr>
        <w:t>二、列入本次采购的物业管理内容</w:t>
      </w:r>
    </w:p>
    <w:p w14:paraId="5A533B2F">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（一）保安服务；</w:t>
      </w:r>
    </w:p>
    <w:p w14:paraId="4D508D48">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（二）保洁服务（包括消灭、除“四害”、白蚁防治服务及垃圾清运）；</w:t>
      </w:r>
    </w:p>
    <w:p w14:paraId="08974F8A">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（三）消监控设施管理维护服务；</w:t>
      </w:r>
    </w:p>
    <w:p w14:paraId="2C5C6DD1">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（四）高配设施管理维护服务；</w:t>
      </w:r>
    </w:p>
    <w:p w14:paraId="3C87063B">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（五）绿化服务；</w:t>
      </w:r>
    </w:p>
    <w:p w14:paraId="4D5966C7">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（六）停车系统维护服务；</w:t>
      </w:r>
    </w:p>
    <w:p w14:paraId="2DBBFC06">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（七）停车收费服务；</w:t>
      </w:r>
    </w:p>
    <w:p w14:paraId="08A06E1D">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（八）其他服务。</w:t>
      </w:r>
    </w:p>
    <w:p w14:paraId="451871F7">
      <w:pPr>
        <w:spacing w:line="480" w:lineRule="exact"/>
        <w:ind w:firstLine="480" w:firstLineChars="200"/>
        <w:contextualSpacing/>
        <w:rPr>
          <w:rFonts w:ascii="黑体" w:hAnsi="黑体" w:eastAsia="黑体"/>
          <w:bCs/>
          <w:sz w:val="24"/>
          <w:szCs w:val="24"/>
        </w:rPr>
      </w:pPr>
      <w:r>
        <w:rPr>
          <w:rFonts w:hint="eastAsia" w:ascii="黑体" w:hAnsi="黑体" w:eastAsia="黑体"/>
          <w:bCs/>
          <w:sz w:val="24"/>
          <w:szCs w:val="24"/>
        </w:rPr>
        <w:t>三、项目技术规范和服务基本要求</w:t>
      </w:r>
    </w:p>
    <w:p w14:paraId="39E55CFC">
      <w:pPr>
        <w:spacing w:line="480" w:lineRule="exact"/>
        <w:ind w:firstLine="482" w:firstLineChars="200"/>
        <w:contextualSpacing/>
        <w:rPr>
          <w:rFonts w:ascii="楷体" w:hAnsi="楷体" w:eastAsia="楷体" w:cs="楷体"/>
          <w:b/>
          <w:bCs/>
          <w:sz w:val="24"/>
          <w:szCs w:val="24"/>
        </w:rPr>
      </w:pPr>
      <w:r>
        <w:rPr>
          <w:rFonts w:hint="eastAsia" w:ascii="楷体" w:hAnsi="楷体" w:eastAsia="楷体" w:cs="楷体"/>
          <w:b/>
          <w:bCs/>
          <w:sz w:val="24"/>
          <w:szCs w:val="24"/>
        </w:rPr>
        <w:t>（一）项目经理、主管、现场管理人员</w:t>
      </w:r>
    </w:p>
    <w:p w14:paraId="2AF3EBE6">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负责与业主方的沟通、协调，服从业主方的指导，管理并督促保洁、保安及工程服务等人员</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落实业主方提出的物业服务工作及</w:t>
      </w:r>
      <w:r>
        <w:rPr>
          <w:rFonts w:ascii="仿宋_GB2312" w:hAnsi="仿宋_GB2312" w:eastAsia="仿宋_GB2312" w:cs="仿宋_GB2312"/>
          <w:sz w:val="24"/>
          <w:szCs w:val="24"/>
        </w:rPr>
        <w:t>相关</w:t>
      </w:r>
      <w:r>
        <w:rPr>
          <w:rFonts w:hint="eastAsia" w:ascii="仿宋_GB2312" w:hAnsi="仿宋_GB2312" w:eastAsia="仿宋_GB2312" w:cs="仿宋_GB2312"/>
          <w:sz w:val="24"/>
          <w:szCs w:val="24"/>
        </w:rPr>
        <w:t>要求。</w:t>
      </w:r>
    </w:p>
    <w:p w14:paraId="75CA0BBB">
      <w:pPr>
        <w:spacing w:line="480" w:lineRule="exact"/>
        <w:ind w:firstLine="482" w:firstLineChars="200"/>
        <w:contextualSpacing/>
        <w:rPr>
          <w:rFonts w:ascii="楷体" w:hAnsi="楷体" w:eastAsia="楷体" w:cs="楷体"/>
          <w:b/>
          <w:bCs/>
          <w:sz w:val="24"/>
          <w:szCs w:val="24"/>
        </w:rPr>
      </w:pPr>
      <w:r>
        <w:rPr>
          <w:rFonts w:hint="eastAsia" w:ascii="楷体" w:hAnsi="楷体" w:eastAsia="楷体" w:cs="楷体"/>
          <w:b/>
          <w:bCs/>
          <w:sz w:val="24"/>
          <w:szCs w:val="24"/>
        </w:rPr>
        <w:t>（二）工程维修人员</w:t>
      </w:r>
    </w:p>
    <w:p w14:paraId="0AB3A01E">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1.负责场馆水、电、暖通、土建等专业维修工作；</w:t>
      </w:r>
    </w:p>
    <w:p w14:paraId="222F9270">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2.除常规工作外，实行定期（每季）巡查维修制，巡查包括配电、照明及供电、空调、恒温机组、通风、给排水、房屋及装修、室外构筑</w:t>
      </w:r>
      <w:r>
        <w:rPr>
          <w:rFonts w:ascii="仿宋_GB2312" w:hAnsi="仿宋_GB2312" w:eastAsia="仿宋_GB2312" w:cs="仿宋_GB2312"/>
          <w:sz w:val="24"/>
          <w:szCs w:val="24"/>
        </w:rPr>
        <w:t>及</w:t>
      </w:r>
      <w:r>
        <w:rPr>
          <w:rFonts w:hint="eastAsia" w:ascii="仿宋_GB2312" w:hAnsi="仿宋_GB2312" w:eastAsia="仿宋_GB2312" w:cs="仿宋_GB2312"/>
          <w:sz w:val="24"/>
          <w:szCs w:val="24"/>
        </w:rPr>
        <w:t>其他公用等设施；</w:t>
      </w:r>
    </w:p>
    <w:p w14:paraId="73EC7DC1">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3.每天对所有区域和</w:t>
      </w:r>
      <w:r>
        <w:rPr>
          <w:rFonts w:ascii="仿宋_GB2312" w:hAnsi="仿宋_GB2312" w:eastAsia="仿宋_GB2312" w:cs="仿宋_GB2312"/>
          <w:sz w:val="24"/>
          <w:szCs w:val="24"/>
        </w:rPr>
        <w:t>相关用房</w:t>
      </w:r>
      <w:r>
        <w:rPr>
          <w:rFonts w:hint="eastAsia" w:ascii="仿宋_GB2312" w:hAnsi="仿宋_GB2312" w:eastAsia="仿宋_GB2312" w:cs="仿宋_GB2312"/>
          <w:sz w:val="24"/>
          <w:szCs w:val="24"/>
        </w:rPr>
        <w:t>进行巡查，并随时记录和处理；</w:t>
      </w:r>
    </w:p>
    <w:p w14:paraId="0D6E9986">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4.对场馆各专业设施的运行状态实施监控，发现异常及时协调业主及相关单位进行维护。</w:t>
      </w:r>
    </w:p>
    <w:p w14:paraId="4DB6C0AB">
      <w:pPr>
        <w:spacing w:line="480" w:lineRule="exact"/>
        <w:ind w:firstLine="482" w:firstLineChars="200"/>
        <w:contextualSpacing/>
        <w:rPr>
          <w:rFonts w:ascii="楷体" w:hAnsi="楷体" w:eastAsia="楷体" w:cs="楷体"/>
          <w:b/>
          <w:bCs/>
          <w:sz w:val="24"/>
          <w:szCs w:val="24"/>
        </w:rPr>
      </w:pPr>
      <w:r>
        <w:rPr>
          <w:rFonts w:hint="eastAsia" w:ascii="楷体" w:hAnsi="楷体" w:eastAsia="楷体" w:cs="楷体"/>
          <w:b/>
          <w:bCs/>
          <w:sz w:val="24"/>
          <w:szCs w:val="24"/>
        </w:rPr>
        <w:t>（三）高配值班人员</w:t>
      </w:r>
    </w:p>
    <w:p w14:paraId="2D2D2800">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负责场馆高配运行值班工作，根据高压配电室值班要求，建立完善的台账制度（包括但不限于缺陷管理、巡检管理、操作票管理、工作票管理等）。</w:t>
      </w:r>
    </w:p>
    <w:p w14:paraId="76401A4A">
      <w:pPr>
        <w:spacing w:line="480" w:lineRule="exact"/>
        <w:ind w:firstLine="482" w:firstLineChars="200"/>
        <w:contextualSpacing/>
        <w:rPr>
          <w:rFonts w:ascii="楷体" w:hAnsi="楷体" w:eastAsia="楷体" w:cs="楷体"/>
          <w:b/>
          <w:bCs/>
          <w:sz w:val="24"/>
          <w:szCs w:val="24"/>
        </w:rPr>
      </w:pPr>
      <w:r>
        <w:rPr>
          <w:rFonts w:hint="eastAsia" w:ascii="楷体" w:hAnsi="楷体" w:eastAsia="楷体" w:cs="楷体"/>
          <w:b/>
          <w:bCs/>
          <w:sz w:val="24"/>
          <w:szCs w:val="24"/>
        </w:rPr>
        <w:t>（四）保安服务</w:t>
      </w:r>
    </w:p>
    <w:p w14:paraId="3E30188F">
      <w:pPr>
        <w:spacing w:line="480" w:lineRule="exact"/>
        <w:ind w:firstLine="482" w:firstLineChars="200"/>
        <w:contextualSpacing/>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1.门卫值班</w:t>
      </w:r>
    </w:p>
    <w:p w14:paraId="5048A045">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安排24小时值岗，建立体育中心区域传达、秩序维护、车辆、道路及公共秩序管理等制度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用语规范</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礼貌待客</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文明工作。</w:t>
      </w:r>
      <w:r>
        <w:rPr>
          <w:rFonts w:ascii="仿宋_GB2312" w:hAnsi="仿宋_GB2312" w:eastAsia="仿宋_GB2312" w:cs="仿宋_GB2312"/>
          <w:sz w:val="24"/>
          <w:szCs w:val="24"/>
        </w:rPr>
        <w:t>实行</w:t>
      </w:r>
      <w:r>
        <w:rPr>
          <w:rFonts w:hint="eastAsia" w:ascii="仿宋_GB2312" w:hAnsi="仿宋_GB2312" w:eastAsia="仿宋_GB2312" w:cs="仿宋_GB2312"/>
          <w:sz w:val="24"/>
          <w:szCs w:val="24"/>
        </w:rPr>
        <w:t>严格验证、登记制度，杜绝闲杂人员进入场馆</w:t>
      </w:r>
      <w:r>
        <w:rPr>
          <w:rFonts w:ascii="仿宋_GB2312" w:hAnsi="仿宋_GB2312" w:eastAsia="仿宋_GB2312" w:cs="仿宋_GB2312"/>
          <w:sz w:val="24"/>
          <w:szCs w:val="24"/>
        </w:rPr>
        <w:t>工作</w:t>
      </w:r>
      <w:r>
        <w:rPr>
          <w:rFonts w:hint="eastAsia" w:ascii="仿宋_GB2312" w:hAnsi="仿宋_GB2312" w:eastAsia="仿宋_GB2312" w:cs="仿宋_GB2312"/>
          <w:sz w:val="24"/>
          <w:szCs w:val="24"/>
        </w:rPr>
        <w:t>区域，维护安全、正常的工作环境。对物品进出实施分类管理，实行物品进出审验制度，杜绝危险物品进入体育中心。</w:t>
      </w:r>
    </w:p>
    <w:p w14:paraId="60F08DEA">
      <w:pPr>
        <w:spacing w:line="480" w:lineRule="exact"/>
        <w:ind w:firstLine="482" w:firstLineChars="200"/>
        <w:contextualSpacing/>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2.巡视检查</w:t>
      </w:r>
    </w:p>
    <w:p w14:paraId="15BEA199">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明确巡视工作职责，规范巡视工作流程，对场馆及体育公园制定相对固定的巡视路线，实行08:00-22:00每2小时一次（场馆开放场地及外围区域），22点后至少二次（以场馆内部区域为主）的巡更打卡制度，对重要区域、部位、设备机房进行重点巡视并记录相关情况，及时发现和处理各种安全隐患，并保持巡更记录。在接到监控室发出的指令后，巡视人员应及时到达事发现场，采取相应措施妥善处理；如巡视中发现异常情况，应立即通知有关部门并在现场采取必要措施，随时启动并执行相应的应急预案。</w:t>
      </w:r>
    </w:p>
    <w:p w14:paraId="345960F9">
      <w:pPr>
        <w:spacing w:line="480" w:lineRule="exact"/>
        <w:ind w:firstLine="482" w:firstLineChars="200"/>
        <w:contextualSpacing/>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3.突发事件处理</w:t>
      </w:r>
    </w:p>
    <w:p w14:paraId="3661414F">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应急响应：接到火警、警情等突发性事件后</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5分钟内到达现场处置，并</w:t>
      </w:r>
      <w:r>
        <w:rPr>
          <w:rFonts w:ascii="仿宋_GB2312" w:hAnsi="仿宋_GB2312" w:eastAsia="仿宋_GB2312" w:cs="仿宋_GB2312"/>
          <w:sz w:val="24"/>
          <w:szCs w:val="24"/>
        </w:rPr>
        <w:t>第一时间</w:t>
      </w:r>
      <w:r>
        <w:rPr>
          <w:rFonts w:hint="eastAsia" w:ascii="仿宋_GB2312" w:hAnsi="仿宋_GB2312" w:eastAsia="仿宋_GB2312" w:cs="仿宋_GB2312"/>
          <w:sz w:val="24"/>
          <w:szCs w:val="24"/>
        </w:rPr>
        <w:t>报相关部门领导，同时根据领导要求与警方联系与协调（为确保应对突发性事件能力，请在投标文件中明确能调配的保卫力量以及到达体育中心的时间）。按照要求制订物业突发事件应急预案，并将预案在物业管理办公室、监控室、机房等处张榜悬挂。各楼层固定位置悬挂疏散示意图及引导标志，每年组织不少于4次的突发事件应急演习。当发生台风、暴雨等灾害性天气及其它突发事件时，应采取以下应急措施：对设备机房、停车场、广告牌等露天设施进行检查和加固。各岗位人员必须按规定实行岗位警戒，根据不同突发事件的情况进行应变处理，在有关部门到达现场前，确保人身安全，减少财产损失，并全力协助处理相关事宜。</w:t>
      </w:r>
    </w:p>
    <w:p w14:paraId="68C301B5">
      <w:pPr>
        <w:spacing w:line="480" w:lineRule="exact"/>
        <w:ind w:firstLine="482" w:firstLineChars="200"/>
        <w:contextualSpacing/>
        <w:rPr>
          <w:rFonts w:ascii="楷体" w:hAnsi="楷体" w:eastAsia="楷体" w:cs="楷体"/>
          <w:b/>
          <w:bCs/>
          <w:sz w:val="24"/>
          <w:szCs w:val="24"/>
        </w:rPr>
      </w:pPr>
      <w:r>
        <w:rPr>
          <w:rFonts w:hint="eastAsia" w:ascii="楷体" w:hAnsi="楷体" w:eastAsia="楷体" w:cs="楷体"/>
          <w:b/>
          <w:bCs/>
          <w:sz w:val="24"/>
          <w:szCs w:val="24"/>
        </w:rPr>
        <w:t>（五）消控、监控室值班</w:t>
      </w:r>
    </w:p>
    <w:p w14:paraId="7EA2653E">
      <w:pPr>
        <w:spacing w:line="480" w:lineRule="exact"/>
        <w:ind w:firstLine="482" w:firstLineChars="200"/>
        <w:contextualSpacing/>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1.消控</w:t>
      </w:r>
    </w:p>
    <w:p w14:paraId="234C4111">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监控设施应保持24小时开通，并保持完整的监控记录，保证对办公区域各出入口、场馆重点区域的安全监控、录像及协助布警。监控室收到火情、险情及其他异常情况报警信号后，应及时报警，并</w:t>
      </w:r>
      <w:r>
        <w:rPr>
          <w:rFonts w:ascii="仿宋_GB2312" w:hAnsi="仿宋_GB2312" w:eastAsia="仿宋_GB2312" w:cs="仿宋_GB2312"/>
          <w:sz w:val="24"/>
          <w:szCs w:val="24"/>
        </w:rPr>
        <w:t>指</w:t>
      </w:r>
      <w:r>
        <w:rPr>
          <w:rFonts w:hint="eastAsia" w:ascii="仿宋_GB2312" w:hAnsi="仿宋_GB2312" w:eastAsia="仿宋_GB2312" w:cs="仿宋_GB2312"/>
          <w:sz w:val="24"/>
          <w:szCs w:val="24"/>
        </w:rPr>
        <w:t>派专人赶到现场进行处理。监控显示屏上墙显示时间与北京时间实际误差不得超过10秒，监控资料应至少保持90天，有特殊要求的参照相关规定或行业标准执行。同时，确保治安电话畅通，接听及时（铃响三声内须接听）。</w:t>
      </w:r>
    </w:p>
    <w:p w14:paraId="1B316A9A">
      <w:pPr>
        <w:spacing w:line="480" w:lineRule="exact"/>
        <w:ind w:firstLine="361" w:firstLineChars="150"/>
        <w:contextualSpacing/>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2.消防、监控设施维护</w:t>
      </w:r>
    </w:p>
    <w:p w14:paraId="7FC05990">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定期对消防、监控主机及各消防、监控点的设备进行巡查，确保运行无故障；定期对室外的消防栓、消防水带、消防泵等设备进行检查，是否有埋压或损坏等情况；定期对各楼层消防栓进行检查，设施是否齐全完好；定期对各楼层的喷淋头、感烟探测器、感温探测器、手动报警按扭等设备进行检查，是否有遮挡或损坏等情况；定期对各楼层的灭火器进行检查更换，是否有压力不足或缺少等情况；定期对各楼层的排烟通风口、消防通道进行检查，是否有遮挡或堵塞，各楼层的疏散指示标志是否有损坏或缺少等情况；定期对各楼层应急电源的主、备电情况进行检查。</w:t>
      </w:r>
    </w:p>
    <w:p w14:paraId="47C5C5EA">
      <w:pPr>
        <w:spacing w:line="480" w:lineRule="exact"/>
        <w:ind w:firstLine="482" w:firstLineChars="200"/>
        <w:contextualSpacing/>
        <w:rPr>
          <w:rFonts w:ascii="楷体" w:hAnsi="楷体" w:eastAsia="楷体" w:cs="楷体"/>
          <w:b/>
          <w:bCs/>
          <w:sz w:val="24"/>
          <w:szCs w:val="24"/>
        </w:rPr>
      </w:pPr>
      <w:r>
        <w:rPr>
          <w:rFonts w:hint="eastAsia" w:ascii="楷体" w:hAnsi="楷体" w:eastAsia="楷体" w:cs="楷体"/>
          <w:b/>
          <w:bCs/>
          <w:sz w:val="24"/>
          <w:szCs w:val="24"/>
        </w:rPr>
        <w:t>（六）保洁服务（包括消灭、除“四害”、白蚁防治服务及垃圾清运）</w:t>
      </w:r>
    </w:p>
    <w:p w14:paraId="68C8F0E4">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1.舟山市体育中心</w:t>
      </w:r>
      <w:r>
        <w:rPr>
          <w:rFonts w:ascii="仿宋_GB2312" w:hAnsi="仿宋_GB2312" w:eastAsia="仿宋_GB2312" w:cs="仿宋_GB2312"/>
          <w:sz w:val="24"/>
          <w:szCs w:val="24"/>
        </w:rPr>
        <w:t>场馆、办公区域、</w:t>
      </w:r>
      <w:r>
        <w:rPr>
          <w:rFonts w:hint="eastAsia" w:ascii="仿宋_GB2312" w:hAnsi="仿宋_GB2312" w:eastAsia="仿宋_GB2312" w:cs="仿宋_GB2312"/>
          <w:sz w:val="24"/>
          <w:szCs w:val="24"/>
        </w:rPr>
        <w:t>通道地面和墙面、休息区域（桌椅）、电梯、楼梯、扶手、大厅、玻璃、走廊、天台做到无垃圾、无积灰、无污渍、无手印等，每日清扫和擦拭保养，巡回保洁。</w:t>
      </w:r>
    </w:p>
    <w:p w14:paraId="65FBA2F4">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2.舟山市体育中心的卫生间、开水间、水器及设备保持清洁，无污迹、无积水、无积尘、无异味、无漏滴水、无堆积杂物、无乱张贴物；电器按时开关，保证安全。做到每日清扫和擦拭保养，巡回保洁。</w:t>
      </w:r>
    </w:p>
    <w:p w14:paraId="7C127D96">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3.舟山市体育中心的道路和停车场所有公共区域的地面无有色垃圾和建筑垃圾、无堆积杂物、无积灰、无积水和淤泥，无阻塞等。做到每日清扫两次，巡回保洁。</w:t>
      </w:r>
    </w:p>
    <w:p w14:paraId="573465F4">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4.垃圾、废弃物做到日产日清；化粪池及时掏清，保持常年干净、清洁，无积水、无异味。</w:t>
      </w:r>
    </w:p>
    <w:p w14:paraId="2F38E146">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5.建立“四害”消杀工作管理制度以及白蚁防治服务管理制度，根据实际情况定期开展消杀工作，有效控制鼠、蟑、蝇、蚊等害虫孳生，定期对各类病虫害进行预防控制，适时投放消杀药物和设施。</w:t>
      </w:r>
    </w:p>
    <w:p w14:paraId="1AC7689C">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6.负责体育中心日常运营过程中的各类垃圾的清运工作，在合适的地点安放数量适合的大型垃圾桶（垃圾桶由中标方负责采购），确保区域内无垃圾堆放。</w:t>
      </w:r>
    </w:p>
    <w:p w14:paraId="052F27CE">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7.建立场馆保洁统一管理，杜绝场馆分离，每年组织全面大扫除不少于2次。</w:t>
      </w:r>
    </w:p>
    <w:p w14:paraId="3BDD9AA3">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未列入的且为正常保洁工作以及突发性事件造成的保洁工作的项目、部位均包括在本次采购范围内，中标人不得因此拒绝。</w:t>
      </w:r>
    </w:p>
    <w:p w14:paraId="4C5FF20B">
      <w:pPr>
        <w:spacing w:line="480" w:lineRule="exact"/>
        <w:ind w:firstLine="482" w:firstLineChars="200"/>
        <w:contextualSpacing/>
        <w:rPr>
          <w:rFonts w:ascii="楷体" w:hAnsi="楷体" w:eastAsia="楷体" w:cs="楷体"/>
          <w:b/>
          <w:bCs/>
          <w:sz w:val="24"/>
          <w:szCs w:val="24"/>
        </w:rPr>
      </w:pPr>
      <w:r>
        <w:rPr>
          <w:rFonts w:hint="eastAsia" w:ascii="楷体" w:hAnsi="楷体" w:eastAsia="楷体" w:cs="楷体"/>
          <w:b/>
          <w:bCs/>
          <w:sz w:val="24"/>
          <w:szCs w:val="24"/>
        </w:rPr>
        <w:t>（七）草坪绿化服务</w:t>
      </w:r>
    </w:p>
    <w:p w14:paraId="71FE4FC7">
      <w:pPr>
        <w:spacing w:line="480" w:lineRule="exact"/>
        <w:ind w:firstLine="480" w:firstLineChars="200"/>
        <w:contextualSpacing/>
        <w:rPr>
          <w:rFonts w:ascii="仿宋_GB2312" w:hAnsi="仿宋_GB2312" w:eastAsia="仿宋_GB2312" w:cs="仿宋_GB2312"/>
          <w:sz w:val="24"/>
          <w:szCs w:val="24"/>
        </w:rPr>
      </w:pPr>
      <w:r>
        <w:rPr>
          <w:rFonts w:ascii="仿宋_GB2312" w:hAnsi="仿宋_GB2312" w:eastAsia="仿宋_GB2312" w:cs="仿宋_GB2312"/>
          <w:sz w:val="24"/>
          <w:szCs w:val="24"/>
        </w:rPr>
        <w:t>对</w:t>
      </w:r>
      <w:r>
        <w:rPr>
          <w:rFonts w:hint="eastAsia" w:ascii="仿宋_GB2312" w:hAnsi="仿宋_GB2312" w:eastAsia="仿宋_GB2312" w:cs="仿宋_GB2312"/>
          <w:sz w:val="24"/>
          <w:szCs w:val="24"/>
        </w:rPr>
        <w:t>专业足球场草坪、绿化带和公共区域盆栽的树木、花、草等</w:t>
      </w:r>
      <w:r>
        <w:rPr>
          <w:rFonts w:ascii="仿宋_GB2312" w:hAnsi="仿宋_GB2312" w:eastAsia="仿宋_GB2312" w:cs="仿宋_GB2312"/>
          <w:sz w:val="24"/>
          <w:szCs w:val="24"/>
        </w:rPr>
        <w:t>进行</w:t>
      </w:r>
      <w:r>
        <w:rPr>
          <w:rFonts w:hint="eastAsia" w:ascii="仿宋_GB2312" w:hAnsi="仿宋_GB2312" w:eastAsia="仿宋_GB2312" w:cs="仿宋_GB2312"/>
          <w:sz w:val="24"/>
          <w:szCs w:val="24"/>
        </w:rPr>
        <w:t>日常养护和管理。有需要时，应做好室内绿化摆放和会议室摆花等工作。根据甲方要求进行调整；建立定期除草、修剪制度，确保绿化无杂草、造型规整；及时喷洒农药、浇水施肥，确保绿化养护存活率。</w:t>
      </w:r>
    </w:p>
    <w:p w14:paraId="6412A629">
      <w:pPr>
        <w:spacing w:line="480" w:lineRule="exact"/>
        <w:contextualSpacing/>
        <w:rPr>
          <w:rFonts w:ascii="仿宋_GB2312" w:hAnsi="仿宋_GB2312" w:eastAsia="仿宋_GB2312" w:cs="仿宋_GB2312"/>
          <w:sz w:val="24"/>
          <w:szCs w:val="24"/>
        </w:rPr>
      </w:pPr>
      <w:r>
        <w:rPr>
          <w:rFonts w:hint="eastAsia" w:ascii="楷体" w:hAnsi="楷体" w:eastAsia="楷体" w:cs="楷体"/>
          <w:b/>
          <w:bCs/>
          <w:sz w:val="24"/>
          <w:szCs w:val="24"/>
        </w:rPr>
        <w:t>（八）停车收费及道闸系统维保、运维费用</w:t>
      </w:r>
    </w:p>
    <w:p w14:paraId="326D1ADC">
      <w:pPr>
        <w:spacing w:line="480" w:lineRule="exact"/>
        <w:ind w:firstLine="482" w:firstLineChars="200"/>
        <w:contextualSpacing/>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1.停车收费服务</w:t>
      </w:r>
    </w:p>
    <w:p w14:paraId="1E86152F">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在管辖区域设置行车指示标志，指定车辆停放区域，非机动车应实行定点停放。对进出管辖区域的车辆进行管理，维护交通秩序，保证车辆有序通行、有序停放。地面、墙面按要求设立明显指示牌和地标。停车费收入按采购方60%、服务方40%分成，停车收费标准由招标人根据发改批文要求设定。</w:t>
      </w:r>
    </w:p>
    <w:p w14:paraId="434356C6">
      <w:pPr>
        <w:spacing w:line="480" w:lineRule="exact"/>
        <w:ind w:firstLine="482" w:firstLineChars="200"/>
        <w:contextualSpacing/>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2.道闸系统维保及运维费用</w:t>
      </w:r>
    </w:p>
    <w:p w14:paraId="6C873DB1">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体育场、体育馆均设有道闸系统，道闸系统维保费用按采购方和服务方的收入比例进行分摊，运营人员费用由中标供应商负责。</w:t>
      </w:r>
    </w:p>
    <w:p w14:paraId="7861D187">
      <w:pPr>
        <w:spacing w:line="480" w:lineRule="exact"/>
        <w:ind w:firstLine="482" w:firstLineChars="200"/>
        <w:contextualSpacing/>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3.中标供应商对采购人内部工作人员以及合作单位实行免费停车，具体数量根据实际情况安排，采购方不得出售或出租免费停车证。</w:t>
      </w:r>
    </w:p>
    <w:p w14:paraId="4EABEA16">
      <w:pPr>
        <w:spacing w:line="480" w:lineRule="exact"/>
        <w:ind w:firstLine="482" w:firstLineChars="200"/>
        <w:contextualSpacing/>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4.如招标人举办大型活动，应相关部门要求需</w:t>
      </w:r>
      <w:r>
        <w:rPr>
          <w:rFonts w:ascii="仿宋_GB2312" w:hAnsi="仿宋_GB2312" w:eastAsia="仿宋_GB2312" w:cs="仿宋_GB2312"/>
          <w:b/>
          <w:bCs/>
          <w:sz w:val="24"/>
          <w:szCs w:val="24"/>
        </w:rPr>
        <w:t>实行</w:t>
      </w:r>
      <w:r>
        <w:rPr>
          <w:rFonts w:hint="eastAsia" w:ascii="仿宋_GB2312" w:hAnsi="仿宋_GB2312" w:eastAsia="仿宋_GB2312" w:cs="仿宋_GB2312"/>
          <w:b/>
          <w:bCs/>
          <w:sz w:val="24"/>
          <w:szCs w:val="24"/>
        </w:rPr>
        <w:t>停车场免费开放，中标供应商无条件配合。</w:t>
      </w:r>
    </w:p>
    <w:p w14:paraId="22234178">
      <w:pPr>
        <w:spacing w:line="480" w:lineRule="exact"/>
        <w:ind w:firstLine="482" w:firstLineChars="200"/>
        <w:contextualSpacing/>
        <w:rPr>
          <w:rFonts w:ascii="楷体" w:hAnsi="楷体" w:eastAsia="楷体" w:cs="楷体"/>
          <w:b/>
          <w:bCs/>
          <w:sz w:val="24"/>
          <w:szCs w:val="24"/>
        </w:rPr>
      </w:pPr>
      <w:r>
        <w:rPr>
          <w:rFonts w:hint="eastAsia" w:ascii="楷体" w:hAnsi="楷体" w:eastAsia="楷体" w:cs="楷体"/>
          <w:b/>
          <w:bCs/>
          <w:sz w:val="24"/>
          <w:szCs w:val="24"/>
        </w:rPr>
        <w:t>（九）中标供应商应做好场馆文体活动</w:t>
      </w:r>
      <w:r>
        <w:rPr>
          <w:rFonts w:ascii="楷体" w:hAnsi="楷体" w:eastAsia="楷体" w:cs="楷体"/>
          <w:b/>
          <w:bCs/>
          <w:sz w:val="24"/>
          <w:szCs w:val="24"/>
        </w:rPr>
        <w:t>的</w:t>
      </w:r>
      <w:r>
        <w:rPr>
          <w:rFonts w:hint="eastAsia" w:ascii="楷体" w:hAnsi="楷体" w:eastAsia="楷体" w:cs="楷体"/>
          <w:b/>
          <w:bCs/>
          <w:sz w:val="24"/>
          <w:szCs w:val="24"/>
        </w:rPr>
        <w:t>保洁、保安和协调</w:t>
      </w:r>
      <w:r>
        <w:rPr>
          <w:rFonts w:ascii="楷体" w:hAnsi="楷体" w:eastAsia="楷体" w:cs="楷体"/>
          <w:b/>
          <w:bCs/>
          <w:sz w:val="24"/>
          <w:szCs w:val="24"/>
        </w:rPr>
        <w:t>等</w:t>
      </w:r>
      <w:r>
        <w:rPr>
          <w:rFonts w:hint="eastAsia" w:ascii="楷体" w:hAnsi="楷体" w:eastAsia="楷体" w:cs="楷体"/>
          <w:b/>
          <w:bCs/>
          <w:sz w:val="24"/>
          <w:szCs w:val="24"/>
        </w:rPr>
        <w:t>工作，包括秩序维护</w:t>
      </w:r>
      <w:r>
        <w:rPr>
          <w:rFonts w:ascii="楷体" w:hAnsi="楷体" w:eastAsia="楷体" w:cs="楷体"/>
          <w:b/>
          <w:bCs/>
          <w:sz w:val="24"/>
          <w:szCs w:val="24"/>
        </w:rPr>
        <w:t>、</w:t>
      </w:r>
      <w:r>
        <w:rPr>
          <w:rFonts w:hint="eastAsia" w:ascii="楷体" w:hAnsi="楷体" w:eastAsia="楷体" w:cs="楷体"/>
          <w:b/>
          <w:bCs/>
          <w:sz w:val="24"/>
          <w:szCs w:val="24"/>
        </w:rPr>
        <w:t>垃圾清运等工作。</w:t>
      </w:r>
      <w:r>
        <w:rPr>
          <w:rFonts w:ascii="楷体" w:hAnsi="楷体" w:eastAsia="楷体" w:cs="楷体"/>
          <w:b/>
          <w:bCs/>
          <w:sz w:val="24"/>
          <w:szCs w:val="24"/>
        </w:rPr>
        <w:t>商业性活动所涉及的相关</w:t>
      </w:r>
      <w:r>
        <w:rPr>
          <w:rFonts w:hint="eastAsia" w:ascii="楷体" w:hAnsi="楷体" w:eastAsia="楷体" w:cs="楷体"/>
          <w:b/>
          <w:bCs/>
          <w:sz w:val="24"/>
          <w:szCs w:val="24"/>
        </w:rPr>
        <w:t>事宜，另行协商。</w:t>
      </w:r>
    </w:p>
    <w:p w14:paraId="2DEF2ABF">
      <w:pPr>
        <w:spacing w:line="480" w:lineRule="exact"/>
        <w:ind w:firstLine="482" w:firstLineChars="200"/>
        <w:contextualSpacing/>
        <w:rPr>
          <w:rFonts w:ascii="楷体" w:hAnsi="楷体" w:eastAsia="楷体" w:cs="楷体"/>
          <w:b/>
          <w:bCs/>
          <w:sz w:val="24"/>
          <w:szCs w:val="24"/>
        </w:rPr>
      </w:pPr>
      <w:r>
        <w:rPr>
          <w:rFonts w:hint="eastAsia" w:ascii="楷体" w:hAnsi="楷体" w:eastAsia="楷体" w:cs="楷体"/>
          <w:b/>
          <w:bCs/>
          <w:sz w:val="24"/>
          <w:szCs w:val="24"/>
        </w:rPr>
        <w:t>（十）其他</w:t>
      </w:r>
    </w:p>
    <w:p w14:paraId="1ED83636">
      <w:pPr>
        <w:spacing w:line="480" w:lineRule="exact"/>
        <w:ind w:firstLine="482" w:firstLineChars="200"/>
        <w:contextualSpacing/>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1.环境卫生</w:t>
      </w:r>
    </w:p>
    <w:p w14:paraId="50528ECB">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1）实行“零打扰”、“无滞留”、“不损伤”服务。即第一次保洁须在使用前清洁完毕，并且做到随脏随清不影响使用；出入口和主要通道及场所丢弃废物滞留时间不超过30分钟；保洁用清洗剂及工具不损伤清洁物表面和牢固度；</w:t>
      </w:r>
    </w:p>
    <w:p w14:paraId="50CE75D6">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（2）外墙无乱贴、涂、划之物。做好符合辖区要求的门前“三包”。</w:t>
      </w:r>
    </w:p>
    <w:p w14:paraId="5C52D318">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（3）定期对场</w:t>
      </w:r>
      <w:r>
        <w:rPr>
          <w:rFonts w:ascii="仿宋_GB2312" w:hAnsi="仿宋_GB2312" w:eastAsia="仿宋_GB2312" w:cs="仿宋_GB2312"/>
          <w:sz w:val="24"/>
          <w:szCs w:val="24"/>
        </w:rPr>
        <w:t>馆</w:t>
      </w:r>
      <w:r>
        <w:rPr>
          <w:rFonts w:hint="eastAsia" w:ascii="仿宋_GB2312" w:hAnsi="仿宋_GB2312" w:eastAsia="仿宋_GB2312" w:cs="仿宋_GB2312"/>
          <w:sz w:val="24"/>
          <w:szCs w:val="24"/>
        </w:rPr>
        <w:t>内道路、广场进行清洗，每月不得少于一次。</w:t>
      </w:r>
    </w:p>
    <w:p w14:paraId="7E1A3A6E">
      <w:pPr>
        <w:spacing w:line="480" w:lineRule="exact"/>
        <w:ind w:firstLine="482" w:firstLineChars="200"/>
        <w:contextualSpacing/>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2.工作时间</w:t>
      </w:r>
    </w:p>
    <w:p w14:paraId="6B479CD3">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保洁、工程综合维修人员每天上班时间为业主上班前一小时，上班期间巡回保洁</w:t>
      </w:r>
      <w:r>
        <w:rPr>
          <w:rFonts w:ascii="仿宋_GB2312" w:hAnsi="仿宋_GB2312" w:eastAsia="仿宋_GB2312" w:cs="仿宋_GB2312"/>
          <w:sz w:val="24"/>
          <w:szCs w:val="24"/>
        </w:rPr>
        <w:t>、检查巡视</w:t>
      </w:r>
      <w:r>
        <w:rPr>
          <w:rFonts w:hint="eastAsia" w:ascii="仿宋_GB2312" w:hAnsi="仿宋_GB2312" w:eastAsia="仿宋_GB2312" w:cs="仿宋_GB2312"/>
          <w:sz w:val="24"/>
          <w:szCs w:val="24"/>
        </w:rPr>
        <w:t>；遇重大活动应增加人员，遇自然灾害、恶劣天气等特殊时期，24小时到场服务，增援力量</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配备充足，各相关岗位应做好轮班管理，确保节假日期间保安、保洁等岗位有工作人员。</w:t>
      </w:r>
    </w:p>
    <w:p w14:paraId="6B37A9F8">
      <w:pPr>
        <w:spacing w:line="480" w:lineRule="exact"/>
        <w:ind w:firstLine="482" w:firstLineChars="200"/>
        <w:contextualSpacing/>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3.人员变动备案</w:t>
      </w:r>
    </w:p>
    <w:p w14:paraId="066C1538">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物业服务人员要求相对稳定，特殊情况有变化，需提前告知采购人管理部门，并征得采购人同意后方可实施，人员到位相互对接时间不少于一周，新到人员档案信息及时备案到采购人。</w:t>
      </w:r>
    </w:p>
    <w:p w14:paraId="301C106F">
      <w:pPr>
        <w:spacing w:line="480" w:lineRule="exact"/>
        <w:ind w:firstLine="482" w:firstLineChars="200"/>
        <w:contextualSpacing/>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4.定期反馈制度</w:t>
      </w:r>
    </w:p>
    <w:p w14:paraId="2823987C">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物业管理方须建立阶段性物业服务执行情况反馈制度，每月以书面形式向采购方管理部门报送当月物业服务安排、检查及执行完成情况。</w:t>
      </w:r>
    </w:p>
    <w:p w14:paraId="1A9C2229">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注：以上所有的工作，均需建立工台帐制度以备查与考核。</w:t>
      </w:r>
    </w:p>
    <w:p w14:paraId="573D04A2">
      <w:pPr>
        <w:spacing w:line="480" w:lineRule="exact"/>
        <w:contextualSpacing/>
        <w:rPr>
          <w:rFonts w:ascii="黑体" w:hAnsi="黑体" w:eastAsia="黑体"/>
          <w:bCs/>
          <w:sz w:val="24"/>
          <w:szCs w:val="24"/>
        </w:rPr>
      </w:pPr>
      <w:r>
        <w:rPr>
          <w:rFonts w:hint="eastAsia" w:ascii="黑体" w:hAnsi="黑体" w:eastAsia="黑体"/>
          <w:bCs/>
          <w:sz w:val="24"/>
          <w:szCs w:val="24"/>
        </w:rPr>
        <w:t>四、管理服务人员配置要求</w:t>
      </w:r>
    </w:p>
    <w:p w14:paraId="1270B660">
      <w:pPr>
        <w:spacing w:line="480" w:lineRule="exact"/>
        <w:contextualSpacing/>
        <w:rPr>
          <w:rFonts w:ascii="楷体" w:hAnsi="楷体" w:eastAsia="楷体" w:cs="楷体"/>
          <w:b/>
          <w:bCs/>
          <w:sz w:val="24"/>
          <w:szCs w:val="24"/>
        </w:rPr>
      </w:pPr>
      <w:r>
        <w:rPr>
          <w:rFonts w:hint="eastAsia" w:ascii="楷体" w:hAnsi="楷体" w:eastAsia="楷体" w:cs="楷体"/>
          <w:b/>
          <w:bCs/>
          <w:sz w:val="24"/>
          <w:szCs w:val="24"/>
        </w:rPr>
        <w:t>（一）人员配置及岗位要求</w:t>
      </w:r>
    </w:p>
    <w:tbl>
      <w:tblPr>
        <w:tblStyle w:val="11"/>
        <w:tblW w:w="9861" w:type="dxa"/>
        <w:jc w:val="center"/>
        <w:tblLayout w:type="fixed"/>
        <w:tblCellMar>
          <w:top w:w="0" w:type="dxa"/>
          <w:left w:w="108" w:type="dxa"/>
          <w:bottom w:w="0" w:type="dxa"/>
          <w:right w:w="108" w:type="dxa"/>
        </w:tblCellMar>
      </w:tblPr>
      <w:tblGrid>
        <w:gridCol w:w="825"/>
        <w:gridCol w:w="1866"/>
        <w:gridCol w:w="735"/>
        <w:gridCol w:w="2280"/>
        <w:gridCol w:w="3450"/>
        <w:gridCol w:w="705"/>
      </w:tblGrid>
      <w:tr w14:paraId="6B41B8FF">
        <w:tblPrEx>
          <w:tblCellMar>
            <w:top w:w="0" w:type="dxa"/>
            <w:left w:w="108" w:type="dxa"/>
            <w:bottom w:w="0" w:type="dxa"/>
            <w:right w:w="108" w:type="dxa"/>
          </w:tblCellMar>
        </w:tblPrEx>
        <w:trPr>
          <w:cantSplit/>
          <w:trHeight w:val="560" w:hRule="atLeast"/>
          <w:jc w:val="center"/>
        </w:trPr>
        <w:tc>
          <w:tcPr>
            <w:tcW w:w="825" w:type="dxa"/>
            <w:vMerge w:val="restart"/>
            <w:tcBorders>
              <w:top w:val="single" w:color="auto" w:sz="8" w:space="0"/>
              <w:left w:val="single" w:color="auto" w:sz="4" w:space="0"/>
              <w:bottom w:val="single" w:color="auto" w:sz="4" w:space="0"/>
              <w:right w:val="single" w:color="auto" w:sz="4" w:space="0"/>
            </w:tcBorders>
            <w:vAlign w:val="center"/>
          </w:tcPr>
          <w:p w14:paraId="4BE04975">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部门</w:t>
            </w:r>
          </w:p>
        </w:tc>
        <w:tc>
          <w:tcPr>
            <w:tcW w:w="1866" w:type="dxa"/>
            <w:vMerge w:val="restart"/>
            <w:tcBorders>
              <w:top w:val="single" w:color="auto" w:sz="8" w:space="0"/>
              <w:left w:val="single" w:color="auto" w:sz="4" w:space="0"/>
              <w:bottom w:val="single" w:color="auto" w:sz="4" w:space="0"/>
              <w:right w:val="single" w:color="auto" w:sz="4" w:space="0"/>
            </w:tcBorders>
            <w:vAlign w:val="center"/>
          </w:tcPr>
          <w:p w14:paraId="10BEF61A">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岗位</w:t>
            </w:r>
          </w:p>
        </w:tc>
        <w:tc>
          <w:tcPr>
            <w:tcW w:w="735" w:type="dxa"/>
            <w:vMerge w:val="restart"/>
            <w:tcBorders>
              <w:top w:val="single" w:color="auto" w:sz="8" w:space="0"/>
              <w:left w:val="single" w:color="auto" w:sz="4" w:space="0"/>
              <w:bottom w:val="single" w:color="auto" w:sz="4" w:space="0"/>
              <w:right w:val="single" w:color="auto" w:sz="4" w:space="0"/>
            </w:tcBorders>
            <w:vAlign w:val="center"/>
          </w:tcPr>
          <w:p w14:paraId="62192E98">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人数</w:t>
            </w:r>
          </w:p>
        </w:tc>
        <w:tc>
          <w:tcPr>
            <w:tcW w:w="2280" w:type="dxa"/>
            <w:vMerge w:val="restart"/>
            <w:tcBorders>
              <w:top w:val="single" w:color="auto" w:sz="8" w:space="0"/>
              <w:left w:val="single" w:color="auto" w:sz="4" w:space="0"/>
              <w:bottom w:val="single" w:color="auto" w:sz="4" w:space="0"/>
              <w:right w:val="single" w:color="auto" w:sz="4" w:space="0"/>
            </w:tcBorders>
            <w:vAlign w:val="center"/>
          </w:tcPr>
          <w:p w14:paraId="5119FC7D">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岗位及工作时间</w:t>
            </w:r>
          </w:p>
        </w:tc>
        <w:tc>
          <w:tcPr>
            <w:tcW w:w="3450" w:type="dxa"/>
            <w:vMerge w:val="restart"/>
            <w:tcBorders>
              <w:top w:val="single" w:color="auto" w:sz="8" w:space="0"/>
              <w:left w:val="single" w:color="auto" w:sz="4" w:space="0"/>
              <w:bottom w:val="single" w:color="auto" w:sz="4" w:space="0"/>
              <w:right w:val="single" w:color="auto" w:sz="4" w:space="0"/>
            </w:tcBorders>
            <w:vAlign w:val="center"/>
          </w:tcPr>
          <w:p w14:paraId="18D189DA">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工作岗位职责</w:t>
            </w:r>
          </w:p>
        </w:tc>
        <w:tc>
          <w:tcPr>
            <w:tcW w:w="705" w:type="dxa"/>
            <w:vMerge w:val="restart"/>
            <w:tcBorders>
              <w:top w:val="single" w:color="auto" w:sz="8" w:space="0"/>
              <w:left w:val="single" w:color="auto" w:sz="4" w:space="0"/>
              <w:bottom w:val="single" w:color="auto" w:sz="4" w:space="0"/>
              <w:right w:val="single" w:color="auto" w:sz="8" w:space="0"/>
            </w:tcBorders>
            <w:vAlign w:val="center"/>
          </w:tcPr>
          <w:p w14:paraId="3E9632D9">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14:paraId="7B627551">
        <w:tblPrEx>
          <w:tblCellMar>
            <w:top w:w="0" w:type="dxa"/>
            <w:left w:w="108" w:type="dxa"/>
            <w:bottom w:w="0" w:type="dxa"/>
            <w:right w:w="108" w:type="dxa"/>
          </w:tblCellMar>
        </w:tblPrEx>
        <w:trPr>
          <w:cantSplit/>
          <w:trHeight w:val="560" w:hRule="atLeast"/>
          <w:jc w:val="center"/>
        </w:trPr>
        <w:tc>
          <w:tcPr>
            <w:tcW w:w="825" w:type="dxa"/>
            <w:vMerge w:val="continue"/>
            <w:tcBorders>
              <w:top w:val="single" w:color="auto" w:sz="8" w:space="0"/>
              <w:left w:val="single" w:color="auto" w:sz="4" w:space="0"/>
              <w:bottom w:val="single" w:color="auto" w:sz="4" w:space="0"/>
              <w:right w:val="single" w:color="auto" w:sz="4" w:space="0"/>
            </w:tcBorders>
            <w:vAlign w:val="center"/>
          </w:tcPr>
          <w:p w14:paraId="1CA6C76D">
            <w:pPr>
              <w:spacing w:line="480" w:lineRule="exact"/>
              <w:contextualSpacing/>
              <w:jc w:val="center"/>
              <w:rPr>
                <w:rFonts w:ascii="仿宋_GB2312" w:hAnsi="仿宋_GB2312" w:eastAsia="仿宋_GB2312" w:cs="仿宋_GB2312"/>
                <w:sz w:val="24"/>
                <w:szCs w:val="24"/>
              </w:rPr>
            </w:pPr>
          </w:p>
        </w:tc>
        <w:tc>
          <w:tcPr>
            <w:tcW w:w="1866" w:type="dxa"/>
            <w:vMerge w:val="continue"/>
            <w:tcBorders>
              <w:top w:val="single" w:color="auto" w:sz="8" w:space="0"/>
              <w:left w:val="single" w:color="auto" w:sz="4" w:space="0"/>
              <w:bottom w:val="single" w:color="auto" w:sz="4" w:space="0"/>
              <w:right w:val="single" w:color="auto" w:sz="4" w:space="0"/>
            </w:tcBorders>
            <w:vAlign w:val="center"/>
          </w:tcPr>
          <w:p w14:paraId="7103E242">
            <w:pPr>
              <w:spacing w:line="480" w:lineRule="exact"/>
              <w:contextualSpacing/>
              <w:jc w:val="center"/>
              <w:rPr>
                <w:rFonts w:ascii="仿宋_GB2312" w:hAnsi="仿宋_GB2312" w:eastAsia="仿宋_GB2312" w:cs="仿宋_GB2312"/>
                <w:sz w:val="24"/>
                <w:szCs w:val="24"/>
              </w:rPr>
            </w:pPr>
          </w:p>
        </w:tc>
        <w:tc>
          <w:tcPr>
            <w:tcW w:w="735" w:type="dxa"/>
            <w:vMerge w:val="continue"/>
            <w:tcBorders>
              <w:top w:val="single" w:color="auto" w:sz="8" w:space="0"/>
              <w:left w:val="single" w:color="auto" w:sz="4" w:space="0"/>
              <w:bottom w:val="single" w:color="auto" w:sz="4" w:space="0"/>
              <w:right w:val="single" w:color="auto" w:sz="4" w:space="0"/>
            </w:tcBorders>
            <w:vAlign w:val="center"/>
          </w:tcPr>
          <w:p w14:paraId="7253BBD4">
            <w:pPr>
              <w:spacing w:line="480" w:lineRule="exact"/>
              <w:contextualSpacing/>
              <w:jc w:val="center"/>
              <w:rPr>
                <w:rFonts w:ascii="仿宋_GB2312" w:hAnsi="仿宋_GB2312" w:eastAsia="仿宋_GB2312" w:cs="仿宋_GB2312"/>
                <w:sz w:val="24"/>
                <w:szCs w:val="24"/>
              </w:rPr>
            </w:pPr>
          </w:p>
        </w:tc>
        <w:tc>
          <w:tcPr>
            <w:tcW w:w="2280" w:type="dxa"/>
            <w:vMerge w:val="continue"/>
            <w:tcBorders>
              <w:top w:val="single" w:color="auto" w:sz="8" w:space="0"/>
              <w:left w:val="single" w:color="auto" w:sz="4" w:space="0"/>
              <w:bottom w:val="single" w:color="auto" w:sz="4" w:space="0"/>
              <w:right w:val="single" w:color="auto" w:sz="4" w:space="0"/>
            </w:tcBorders>
            <w:vAlign w:val="center"/>
          </w:tcPr>
          <w:p w14:paraId="20B012C6">
            <w:pPr>
              <w:spacing w:line="480" w:lineRule="exact"/>
              <w:contextualSpacing/>
              <w:jc w:val="center"/>
              <w:rPr>
                <w:rFonts w:ascii="仿宋_GB2312" w:hAnsi="仿宋_GB2312" w:eastAsia="仿宋_GB2312" w:cs="仿宋_GB2312"/>
                <w:sz w:val="24"/>
                <w:szCs w:val="24"/>
              </w:rPr>
            </w:pPr>
          </w:p>
        </w:tc>
        <w:tc>
          <w:tcPr>
            <w:tcW w:w="3450" w:type="dxa"/>
            <w:vMerge w:val="continue"/>
            <w:tcBorders>
              <w:top w:val="single" w:color="auto" w:sz="8" w:space="0"/>
              <w:left w:val="single" w:color="auto" w:sz="4" w:space="0"/>
              <w:bottom w:val="single" w:color="auto" w:sz="4" w:space="0"/>
              <w:right w:val="single" w:color="auto" w:sz="4" w:space="0"/>
            </w:tcBorders>
            <w:vAlign w:val="center"/>
          </w:tcPr>
          <w:p w14:paraId="721DC173">
            <w:pPr>
              <w:spacing w:line="480" w:lineRule="exact"/>
              <w:contextualSpacing/>
              <w:rPr>
                <w:rFonts w:ascii="仿宋_GB2312" w:hAnsi="仿宋_GB2312" w:eastAsia="仿宋_GB2312" w:cs="仿宋_GB2312"/>
                <w:sz w:val="24"/>
                <w:szCs w:val="24"/>
              </w:rPr>
            </w:pPr>
          </w:p>
        </w:tc>
        <w:tc>
          <w:tcPr>
            <w:tcW w:w="705" w:type="dxa"/>
            <w:vMerge w:val="continue"/>
            <w:tcBorders>
              <w:top w:val="single" w:color="auto" w:sz="8" w:space="0"/>
              <w:left w:val="single" w:color="auto" w:sz="4" w:space="0"/>
              <w:bottom w:val="single" w:color="auto" w:sz="4" w:space="0"/>
              <w:right w:val="single" w:color="auto" w:sz="8" w:space="0"/>
            </w:tcBorders>
            <w:vAlign w:val="center"/>
          </w:tcPr>
          <w:p w14:paraId="690810FB">
            <w:pPr>
              <w:spacing w:line="480" w:lineRule="exact"/>
              <w:contextualSpacing/>
              <w:rPr>
                <w:rFonts w:ascii="仿宋_GB2312" w:hAnsi="仿宋_GB2312" w:eastAsia="仿宋_GB2312" w:cs="仿宋_GB2312"/>
                <w:sz w:val="24"/>
                <w:szCs w:val="24"/>
              </w:rPr>
            </w:pPr>
          </w:p>
        </w:tc>
      </w:tr>
      <w:tr w14:paraId="1F5715E0">
        <w:tblPrEx>
          <w:tblCellMar>
            <w:top w:w="0" w:type="dxa"/>
            <w:left w:w="108" w:type="dxa"/>
            <w:bottom w:w="0" w:type="dxa"/>
            <w:right w:w="108" w:type="dxa"/>
          </w:tblCellMar>
        </w:tblPrEx>
        <w:trPr>
          <w:cantSplit/>
          <w:trHeight w:val="567" w:hRule="exact"/>
          <w:jc w:val="center"/>
        </w:trPr>
        <w:tc>
          <w:tcPr>
            <w:tcW w:w="825" w:type="dxa"/>
            <w:vMerge w:val="restart"/>
            <w:tcBorders>
              <w:top w:val="nil"/>
              <w:left w:val="single" w:color="auto" w:sz="4" w:space="0"/>
              <w:right w:val="single" w:color="auto" w:sz="4" w:space="0"/>
            </w:tcBorders>
            <w:vAlign w:val="center"/>
          </w:tcPr>
          <w:p w14:paraId="1B287D87">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综合管理部</w:t>
            </w:r>
          </w:p>
        </w:tc>
        <w:tc>
          <w:tcPr>
            <w:tcW w:w="1866" w:type="dxa"/>
            <w:tcBorders>
              <w:top w:val="nil"/>
              <w:left w:val="nil"/>
              <w:bottom w:val="single" w:color="auto" w:sz="4" w:space="0"/>
              <w:right w:val="single" w:color="auto" w:sz="4" w:space="0"/>
            </w:tcBorders>
            <w:vAlign w:val="center"/>
          </w:tcPr>
          <w:p w14:paraId="13A0E755">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项目经理</w:t>
            </w:r>
          </w:p>
        </w:tc>
        <w:tc>
          <w:tcPr>
            <w:tcW w:w="735" w:type="dxa"/>
            <w:tcBorders>
              <w:top w:val="nil"/>
              <w:left w:val="nil"/>
              <w:bottom w:val="single" w:color="auto" w:sz="4" w:space="0"/>
              <w:right w:val="single" w:color="auto" w:sz="4" w:space="0"/>
            </w:tcBorders>
            <w:vAlign w:val="center"/>
          </w:tcPr>
          <w:p w14:paraId="096B20BA">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80" w:type="dxa"/>
            <w:tcBorders>
              <w:top w:val="nil"/>
              <w:left w:val="nil"/>
              <w:bottom w:val="single" w:color="auto" w:sz="4" w:space="0"/>
              <w:right w:val="single" w:color="auto" w:sz="4" w:space="0"/>
            </w:tcBorders>
            <w:vAlign w:val="center"/>
          </w:tcPr>
          <w:p w14:paraId="171154AE">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8小时工作制</w:t>
            </w:r>
          </w:p>
        </w:tc>
        <w:tc>
          <w:tcPr>
            <w:tcW w:w="3450" w:type="dxa"/>
            <w:tcBorders>
              <w:top w:val="nil"/>
              <w:left w:val="nil"/>
              <w:bottom w:val="single" w:color="auto" w:sz="4" w:space="0"/>
              <w:right w:val="single" w:color="auto" w:sz="4" w:space="0"/>
            </w:tcBorders>
            <w:vAlign w:val="center"/>
          </w:tcPr>
          <w:p w14:paraId="5BDE53B0">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负责体育中心物业服务的管理工作</w:t>
            </w:r>
          </w:p>
        </w:tc>
        <w:tc>
          <w:tcPr>
            <w:tcW w:w="705" w:type="dxa"/>
            <w:tcBorders>
              <w:top w:val="nil"/>
              <w:left w:val="nil"/>
              <w:bottom w:val="single" w:color="auto" w:sz="4" w:space="0"/>
              <w:right w:val="single" w:color="auto" w:sz="8" w:space="0"/>
            </w:tcBorders>
            <w:vAlign w:val="center"/>
          </w:tcPr>
          <w:p w14:paraId="0FFDFEE2">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24C4AC83">
        <w:tblPrEx>
          <w:tblCellMar>
            <w:top w:w="0" w:type="dxa"/>
            <w:left w:w="108" w:type="dxa"/>
            <w:bottom w:w="0" w:type="dxa"/>
            <w:right w:w="108" w:type="dxa"/>
          </w:tblCellMar>
        </w:tblPrEx>
        <w:trPr>
          <w:cantSplit/>
          <w:trHeight w:val="1432" w:hRule="exact"/>
          <w:jc w:val="center"/>
        </w:trPr>
        <w:tc>
          <w:tcPr>
            <w:tcW w:w="825" w:type="dxa"/>
            <w:vMerge w:val="continue"/>
            <w:tcBorders>
              <w:left w:val="single" w:color="auto" w:sz="4" w:space="0"/>
              <w:bottom w:val="single" w:color="auto" w:sz="4" w:space="0"/>
              <w:right w:val="single" w:color="auto" w:sz="4" w:space="0"/>
            </w:tcBorders>
            <w:vAlign w:val="center"/>
          </w:tcPr>
          <w:p w14:paraId="728AD0AC">
            <w:pPr>
              <w:spacing w:line="480" w:lineRule="exact"/>
              <w:contextualSpacing/>
              <w:jc w:val="center"/>
              <w:rPr>
                <w:rFonts w:ascii="仿宋_GB2312" w:hAnsi="仿宋_GB2312" w:eastAsia="仿宋_GB2312" w:cs="仿宋_GB2312"/>
                <w:sz w:val="24"/>
                <w:szCs w:val="24"/>
              </w:rPr>
            </w:pPr>
          </w:p>
        </w:tc>
        <w:tc>
          <w:tcPr>
            <w:tcW w:w="1866" w:type="dxa"/>
            <w:tcBorders>
              <w:top w:val="nil"/>
              <w:left w:val="nil"/>
              <w:bottom w:val="single" w:color="auto" w:sz="4" w:space="0"/>
              <w:right w:val="single" w:color="auto" w:sz="4" w:space="0"/>
            </w:tcBorders>
            <w:vAlign w:val="center"/>
          </w:tcPr>
          <w:p w14:paraId="19968FE8">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场馆运行保障员</w:t>
            </w:r>
          </w:p>
        </w:tc>
        <w:tc>
          <w:tcPr>
            <w:tcW w:w="735" w:type="dxa"/>
            <w:tcBorders>
              <w:top w:val="nil"/>
              <w:left w:val="nil"/>
              <w:bottom w:val="single" w:color="auto" w:sz="4" w:space="0"/>
              <w:right w:val="single" w:color="auto" w:sz="4" w:space="0"/>
            </w:tcBorders>
            <w:vAlign w:val="center"/>
          </w:tcPr>
          <w:p w14:paraId="6CE6C50D">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280" w:type="dxa"/>
            <w:tcBorders>
              <w:top w:val="nil"/>
              <w:left w:val="nil"/>
              <w:bottom w:val="single" w:color="auto" w:sz="4" w:space="0"/>
              <w:right w:val="single" w:color="auto" w:sz="4" w:space="0"/>
            </w:tcBorders>
            <w:vAlign w:val="center"/>
          </w:tcPr>
          <w:p w14:paraId="128FE0A3">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12小时岗位</w:t>
            </w:r>
          </w:p>
          <w:p w14:paraId="02793A16">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做一休一工作制</w:t>
            </w:r>
          </w:p>
        </w:tc>
        <w:tc>
          <w:tcPr>
            <w:tcW w:w="3450" w:type="dxa"/>
            <w:tcBorders>
              <w:top w:val="nil"/>
              <w:left w:val="nil"/>
              <w:bottom w:val="single" w:color="auto" w:sz="4" w:space="0"/>
              <w:right w:val="single" w:color="auto" w:sz="4" w:space="0"/>
            </w:tcBorders>
            <w:vAlign w:val="center"/>
          </w:tcPr>
          <w:p w14:paraId="3E72FB01">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掌握办公、场馆管理软件并熟练操作，提供服务咨询、接待等工作，保障场馆正常运行。</w:t>
            </w:r>
          </w:p>
        </w:tc>
        <w:tc>
          <w:tcPr>
            <w:tcW w:w="705" w:type="dxa"/>
            <w:tcBorders>
              <w:top w:val="nil"/>
              <w:left w:val="nil"/>
              <w:bottom w:val="single" w:color="auto" w:sz="4" w:space="0"/>
              <w:right w:val="single" w:color="auto" w:sz="8" w:space="0"/>
            </w:tcBorders>
            <w:vAlign w:val="center"/>
          </w:tcPr>
          <w:p w14:paraId="0051AE15">
            <w:pPr>
              <w:spacing w:line="480" w:lineRule="exact"/>
              <w:contextualSpacing/>
              <w:rPr>
                <w:rFonts w:ascii="仿宋_GB2312" w:hAnsi="仿宋_GB2312" w:eastAsia="仿宋_GB2312" w:cs="仿宋_GB2312"/>
                <w:sz w:val="24"/>
                <w:szCs w:val="24"/>
              </w:rPr>
            </w:pPr>
          </w:p>
        </w:tc>
      </w:tr>
      <w:tr w14:paraId="26D13233">
        <w:tblPrEx>
          <w:tblCellMar>
            <w:top w:w="0" w:type="dxa"/>
            <w:left w:w="108" w:type="dxa"/>
            <w:bottom w:w="0" w:type="dxa"/>
            <w:right w:w="108" w:type="dxa"/>
          </w:tblCellMar>
        </w:tblPrEx>
        <w:trPr>
          <w:cantSplit/>
          <w:trHeight w:val="1495" w:hRule="exact"/>
          <w:jc w:val="center"/>
        </w:trPr>
        <w:tc>
          <w:tcPr>
            <w:tcW w:w="825" w:type="dxa"/>
            <w:vMerge w:val="restart"/>
            <w:tcBorders>
              <w:left w:val="single" w:color="auto" w:sz="4" w:space="0"/>
              <w:right w:val="single" w:color="auto" w:sz="4" w:space="0"/>
            </w:tcBorders>
            <w:vAlign w:val="center"/>
          </w:tcPr>
          <w:p w14:paraId="0A0B5C79">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工程技术部</w:t>
            </w:r>
          </w:p>
        </w:tc>
        <w:tc>
          <w:tcPr>
            <w:tcW w:w="1866" w:type="dxa"/>
            <w:tcBorders>
              <w:top w:val="nil"/>
              <w:left w:val="nil"/>
              <w:bottom w:val="single" w:color="auto" w:sz="4" w:space="0"/>
              <w:right w:val="single" w:color="auto" w:sz="4" w:space="0"/>
            </w:tcBorders>
            <w:vAlign w:val="center"/>
          </w:tcPr>
          <w:p w14:paraId="259B1218">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工程主管</w:t>
            </w:r>
          </w:p>
        </w:tc>
        <w:tc>
          <w:tcPr>
            <w:tcW w:w="735" w:type="dxa"/>
            <w:tcBorders>
              <w:top w:val="nil"/>
              <w:left w:val="nil"/>
              <w:bottom w:val="single" w:color="auto" w:sz="4" w:space="0"/>
              <w:right w:val="single" w:color="auto" w:sz="4" w:space="0"/>
            </w:tcBorders>
            <w:vAlign w:val="center"/>
          </w:tcPr>
          <w:p w14:paraId="049924B2">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80" w:type="dxa"/>
            <w:tcBorders>
              <w:top w:val="nil"/>
              <w:left w:val="nil"/>
              <w:bottom w:val="single" w:color="auto" w:sz="4" w:space="0"/>
              <w:right w:val="single" w:color="auto" w:sz="4" w:space="0"/>
            </w:tcBorders>
            <w:vAlign w:val="center"/>
          </w:tcPr>
          <w:p w14:paraId="117F6ED0">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8小时工作制</w:t>
            </w:r>
          </w:p>
        </w:tc>
        <w:tc>
          <w:tcPr>
            <w:tcW w:w="3450" w:type="dxa"/>
            <w:tcBorders>
              <w:top w:val="nil"/>
              <w:left w:val="nil"/>
              <w:bottom w:val="single" w:color="auto" w:sz="4" w:space="0"/>
              <w:right w:val="single" w:color="auto" w:sz="4" w:space="0"/>
            </w:tcBorders>
            <w:vAlign w:val="center"/>
          </w:tcPr>
          <w:p w14:paraId="05F76063">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主管体育中心水、电、暖通、土建等专业维修高配运行工作。</w:t>
            </w:r>
          </w:p>
        </w:tc>
        <w:tc>
          <w:tcPr>
            <w:tcW w:w="705" w:type="dxa"/>
            <w:vMerge w:val="restart"/>
            <w:tcBorders>
              <w:top w:val="nil"/>
              <w:left w:val="nil"/>
              <w:right w:val="single" w:color="auto" w:sz="8" w:space="0"/>
            </w:tcBorders>
            <w:vAlign w:val="center"/>
          </w:tcPr>
          <w:p w14:paraId="35FD6916">
            <w:pPr>
              <w:spacing w:line="480" w:lineRule="exact"/>
              <w:contextualSpacing/>
              <w:rPr>
                <w:rFonts w:ascii="仿宋_GB2312" w:hAnsi="仿宋_GB2312" w:eastAsia="仿宋_GB2312" w:cs="仿宋_GB2312"/>
                <w:sz w:val="24"/>
                <w:szCs w:val="24"/>
              </w:rPr>
            </w:pPr>
          </w:p>
        </w:tc>
      </w:tr>
      <w:tr w14:paraId="4A72F3C5">
        <w:tblPrEx>
          <w:tblCellMar>
            <w:top w:w="0" w:type="dxa"/>
            <w:left w:w="108" w:type="dxa"/>
            <w:bottom w:w="0" w:type="dxa"/>
            <w:right w:w="108" w:type="dxa"/>
          </w:tblCellMar>
        </w:tblPrEx>
        <w:trPr>
          <w:cantSplit/>
          <w:trHeight w:val="1461" w:hRule="exact"/>
          <w:jc w:val="center"/>
        </w:trPr>
        <w:tc>
          <w:tcPr>
            <w:tcW w:w="825" w:type="dxa"/>
            <w:vMerge w:val="continue"/>
            <w:tcBorders>
              <w:left w:val="single" w:color="auto" w:sz="4" w:space="0"/>
              <w:bottom w:val="single" w:color="auto" w:sz="4" w:space="0"/>
              <w:right w:val="single" w:color="auto" w:sz="4" w:space="0"/>
            </w:tcBorders>
            <w:vAlign w:val="center"/>
          </w:tcPr>
          <w:p w14:paraId="12AF0E88">
            <w:pPr>
              <w:spacing w:line="480" w:lineRule="exact"/>
              <w:contextualSpacing/>
              <w:jc w:val="center"/>
              <w:rPr>
                <w:rFonts w:ascii="仿宋_GB2312" w:hAnsi="仿宋_GB2312" w:eastAsia="仿宋_GB2312" w:cs="仿宋_GB2312"/>
                <w:sz w:val="24"/>
                <w:szCs w:val="24"/>
              </w:rPr>
            </w:pPr>
          </w:p>
        </w:tc>
        <w:tc>
          <w:tcPr>
            <w:tcW w:w="1866" w:type="dxa"/>
            <w:tcBorders>
              <w:top w:val="single" w:color="auto" w:sz="4" w:space="0"/>
              <w:left w:val="nil"/>
              <w:bottom w:val="single" w:color="auto" w:sz="4" w:space="0"/>
              <w:right w:val="single" w:color="auto" w:sz="4" w:space="0"/>
            </w:tcBorders>
            <w:vAlign w:val="center"/>
          </w:tcPr>
          <w:p w14:paraId="2C9E0571">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工程技术人员</w:t>
            </w:r>
          </w:p>
        </w:tc>
        <w:tc>
          <w:tcPr>
            <w:tcW w:w="735" w:type="dxa"/>
            <w:tcBorders>
              <w:top w:val="single" w:color="auto" w:sz="4" w:space="0"/>
              <w:left w:val="nil"/>
              <w:bottom w:val="single" w:color="auto" w:sz="4" w:space="0"/>
              <w:right w:val="single" w:color="auto" w:sz="4" w:space="0"/>
            </w:tcBorders>
            <w:vAlign w:val="center"/>
          </w:tcPr>
          <w:p w14:paraId="638BF4B1">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280" w:type="dxa"/>
            <w:tcBorders>
              <w:top w:val="single" w:color="auto" w:sz="4" w:space="0"/>
              <w:left w:val="nil"/>
              <w:bottom w:val="single" w:color="auto" w:sz="4" w:space="0"/>
              <w:right w:val="single" w:color="auto" w:sz="4" w:space="0"/>
            </w:tcBorders>
            <w:vAlign w:val="center"/>
          </w:tcPr>
          <w:p w14:paraId="1C2947DC">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24小时岗位</w:t>
            </w:r>
          </w:p>
          <w:p w14:paraId="00DE2F8F">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8小时工作制</w:t>
            </w:r>
          </w:p>
        </w:tc>
        <w:tc>
          <w:tcPr>
            <w:tcW w:w="3450" w:type="dxa"/>
            <w:tcBorders>
              <w:top w:val="single" w:color="auto" w:sz="4" w:space="0"/>
              <w:left w:val="nil"/>
              <w:bottom w:val="single" w:color="auto" w:sz="4" w:space="0"/>
              <w:right w:val="single" w:color="auto" w:sz="4" w:space="0"/>
            </w:tcBorders>
            <w:vAlign w:val="center"/>
          </w:tcPr>
          <w:p w14:paraId="2A6876BC">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做好体育中心水、电、暖通、土建等日常巡检、专业维修及高配运行值班工作</w:t>
            </w:r>
          </w:p>
        </w:tc>
        <w:tc>
          <w:tcPr>
            <w:tcW w:w="705" w:type="dxa"/>
            <w:vMerge w:val="continue"/>
            <w:tcBorders>
              <w:left w:val="nil"/>
              <w:bottom w:val="single" w:color="auto" w:sz="4" w:space="0"/>
              <w:right w:val="single" w:color="auto" w:sz="8" w:space="0"/>
            </w:tcBorders>
            <w:vAlign w:val="center"/>
          </w:tcPr>
          <w:p w14:paraId="6B00FA7B">
            <w:pPr>
              <w:spacing w:line="480" w:lineRule="exact"/>
              <w:contextualSpacing/>
              <w:rPr>
                <w:rFonts w:ascii="仿宋_GB2312" w:hAnsi="仿宋_GB2312" w:eastAsia="仿宋_GB2312" w:cs="仿宋_GB2312"/>
                <w:sz w:val="24"/>
                <w:szCs w:val="24"/>
              </w:rPr>
            </w:pPr>
          </w:p>
        </w:tc>
      </w:tr>
      <w:tr w14:paraId="66E369BB">
        <w:tblPrEx>
          <w:tblCellMar>
            <w:top w:w="0" w:type="dxa"/>
            <w:left w:w="108" w:type="dxa"/>
            <w:bottom w:w="0" w:type="dxa"/>
            <w:right w:w="108" w:type="dxa"/>
          </w:tblCellMar>
        </w:tblPrEx>
        <w:trPr>
          <w:cantSplit/>
          <w:trHeight w:val="567" w:hRule="exact"/>
          <w:jc w:val="center"/>
        </w:trPr>
        <w:tc>
          <w:tcPr>
            <w:tcW w:w="825" w:type="dxa"/>
            <w:vMerge w:val="restart"/>
            <w:tcBorders>
              <w:left w:val="single" w:color="auto" w:sz="4" w:space="0"/>
              <w:right w:val="single" w:color="auto" w:sz="4" w:space="0"/>
            </w:tcBorders>
            <w:vAlign w:val="center"/>
          </w:tcPr>
          <w:p w14:paraId="6E2B266B">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秩序维护部</w:t>
            </w:r>
          </w:p>
        </w:tc>
        <w:tc>
          <w:tcPr>
            <w:tcW w:w="1866" w:type="dxa"/>
            <w:tcBorders>
              <w:top w:val="nil"/>
              <w:left w:val="nil"/>
              <w:bottom w:val="single" w:color="auto" w:sz="4" w:space="0"/>
              <w:right w:val="single" w:color="auto" w:sz="4" w:space="0"/>
            </w:tcBorders>
            <w:vAlign w:val="center"/>
          </w:tcPr>
          <w:p w14:paraId="11728365">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保安主管</w:t>
            </w:r>
          </w:p>
        </w:tc>
        <w:tc>
          <w:tcPr>
            <w:tcW w:w="735" w:type="dxa"/>
            <w:tcBorders>
              <w:top w:val="nil"/>
              <w:left w:val="nil"/>
              <w:bottom w:val="single" w:color="auto" w:sz="4" w:space="0"/>
              <w:right w:val="single" w:color="auto" w:sz="4" w:space="0"/>
            </w:tcBorders>
            <w:vAlign w:val="center"/>
          </w:tcPr>
          <w:p w14:paraId="6C26E99D">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80" w:type="dxa"/>
            <w:tcBorders>
              <w:top w:val="nil"/>
              <w:left w:val="nil"/>
              <w:bottom w:val="single" w:color="auto" w:sz="4" w:space="0"/>
              <w:right w:val="single" w:color="auto" w:sz="4" w:space="0"/>
            </w:tcBorders>
            <w:vAlign w:val="center"/>
          </w:tcPr>
          <w:p w14:paraId="081CECCF">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8小时岗位工作制</w:t>
            </w:r>
          </w:p>
        </w:tc>
        <w:tc>
          <w:tcPr>
            <w:tcW w:w="3450" w:type="dxa"/>
            <w:tcBorders>
              <w:top w:val="nil"/>
              <w:left w:val="nil"/>
              <w:bottom w:val="single" w:color="auto" w:sz="4" w:space="0"/>
              <w:right w:val="single" w:color="auto" w:sz="4" w:space="0"/>
            </w:tcBorders>
            <w:vAlign w:val="center"/>
          </w:tcPr>
          <w:p w14:paraId="1D98E470">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主管体育中心安保工作</w:t>
            </w:r>
          </w:p>
        </w:tc>
        <w:tc>
          <w:tcPr>
            <w:tcW w:w="705" w:type="dxa"/>
            <w:vMerge w:val="restart"/>
            <w:tcBorders>
              <w:top w:val="nil"/>
              <w:left w:val="nil"/>
              <w:right w:val="single" w:color="auto" w:sz="8" w:space="0"/>
            </w:tcBorders>
            <w:vAlign w:val="center"/>
          </w:tcPr>
          <w:p w14:paraId="70CCED9D">
            <w:pPr>
              <w:spacing w:line="480" w:lineRule="exact"/>
              <w:contextualSpacing/>
              <w:rPr>
                <w:rFonts w:ascii="仿宋_GB2312" w:hAnsi="仿宋_GB2312" w:eastAsia="仿宋_GB2312" w:cs="仿宋_GB2312"/>
                <w:sz w:val="24"/>
                <w:szCs w:val="24"/>
              </w:rPr>
            </w:pPr>
          </w:p>
        </w:tc>
      </w:tr>
      <w:tr w14:paraId="19644F3D">
        <w:tblPrEx>
          <w:tblCellMar>
            <w:top w:w="0" w:type="dxa"/>
            <w:left w:w="108" w:type="dxa"/>
            <w:bottom w:w="0" w:type="dxa"/>
            <w:right w:w="108" w:type="dxa"/>
          </w:tblCellMar>
        </w:tblPrEx>
        <w:trPr>
          <w:cantSplit/>
          <w:trHeight w:val="1000" w:hRule="exact"/>
          <w:jc w:val="center"/>
        </w:trPr>
        <w:tc>
          <w:tcPr>
            <w:tcW w:w="825" w:type="dxa"/>
            <w:vMerge w:val="continue"/>
            <w:tcBorders>
              <w:left w:val="single" w:color="auto" w:sz="4" w:space="0"/>
              <w:bottom w:val="single" w:color="auto" w:sz="4" w:space="0"/>
              <w:right w:val="single" w:color="auto" w:sz="4" w:space="0"/>
            </w:tcBorders>
            <w:vAlign w:val="center"/>
          </w:tcPr>
          <w:p w14:paraId="41891E31">
            <w:pPr>
              <w:spacing w:line="480" w:lineRule="exact"/>
              <w:contextualSpacing/>
              <w:jc w:val="center"/>
              <w:rPr>
                <w:rFonts w:ascii="仿宋_GB2312" w:hAnsi="仿宋_GB2312" w:eastAsia="仿宋_GB2312" w:cs="仿宋_GB2312"/>
                <w:sz w:val="24"/>
                <w:szCs w:val="24"/>
              </w:rPr>
            </w:pPr>
          </w:p>
        </w:tc>
        <w:tc>
          <w:tcPr>
            <w:tcW w:w="1866" w:type="dxa"/>
            <w:tcBorders>
              <w:top w:val="single" w:color="auto" w:sz="4" w:space="0"/>
              <w:left w:val="nil"/>
              <w:bottom w:val="single" w:color="auto" w:sz="4" w:space="0"/>
              <w:right w:val="single" w:color="auto" w:sz="4" w:space="0"/>
            </w:tcBorders>
            <w:vAlign w:val="center"/>
          </w:tcPr>
          <w:p w14:paraId="77037370">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保安员</w:t>
            </w:r>
          </w:p>
        </w:tc>
        <w:tc>
          <w:tcPr>
            <w:tcW w:w="735" w:type="dxa"/>
            <w:tcBorders>
              <w:top w:val="single" w:color="auto" w:sz="4" w:space="0"/>
              <w:left w:val="nil"/>
              <w:bottom w:val="single" w:color="auto" w:sz="4" w:space="0"/>
              <w:right w:val="single" w:color="auto" w:sz="4" w:space="0"/>
            </w:tcBorders>
            <w:vAlign w:val="center"/>
          </w:tcPr>
          <w:p w14:paraId="19BE9C91">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280" w:type="dxa"/>
            <w:tcBorders>
              <w:top w:val="single" w:color="auto" w:sz="4" w:space="0"/>
              <w:left w:val="nil"/>
              <w:bottom w:val="single" w:color="auto" w:sz="4" w:space="0"/>
              <w:right w:val="single" w:color="auto" w:sz="4" w:space="0"/>
            </w:tcBorders>
            <w:vAlign w:val="center"/>
          </w:tcPr>
          <w:p w14:paraId="5DDCE552">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24小时岗位</w:t>
            </w:r>
          </w:p>
          <w:p w14:paraId="65191927">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8小时工作制</w:t>
            </w:r>
          </w:p>
          <w:p w14:paraId="5DCA3AF0">
            <w:pPr>
              <w:spacing w:line="480" w:lineRule="exact"/>
              <w:contextualSpacing/>
              <w:jc w:val="center"/>
              <w:rPr>
                <w:rFonts w:ascii="仿宋_GB2312" w:hAnsi="仿宋_GB2312" w:eastAsia="仿宋_GB2312" w:cs="仿宋_GB2312"/>
                <w:sz w:val="24"/>
                <w:szCs w:val="24"/>
              </w:rPr>
            </w:pPr>
          </w:p>
          <w:p w14:paraId="65E96072">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8小时工作制</w:t>
            </w:r>
          </w:p>
        </w:tc>
        <w:tc>
          <w:tcPr>
            <w:tcW w:w="3450" w:type="dxa"/>
            <w:tcBorders>
              <w:top w:val="single" w:color="auto" w:sz="4" w:space="0"/>
              <w:left w:val="nil"/>
              <w:bottom w:val="single" w:color="auto" w:sz="4" w:space="0"/>
              <w:right w:val="single" w:color="auto" w:sz="4" w:space="0"/>
            </w:tcBorders>
            <w:vAlign w:val="center"/>
          </w:tcPr>
          <w:p w14:paraId="16F639E7">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做好体育中心安保工作</w:t>
            </w:r>
          </w:p>
        </w:tc>
        <w:tc>
          <w:tcPr>
            <w:tcW w:w="705" w:type="dxa"/>
            <w:vMerge w:val="continue"/>
            <w:tcBorders>
              <w:left w:val="nil"/>
              <w:bottom w:val="single" w:color="auto" w:sz="4" w:space="0"/>
              <w:right w:val="single" w:color="auto" w:sz="8" w:space="0"/>
            </w:tcBorders>
            <w:vAlign w:val="center"/>
          </w:tcPr>
          <w:p w14:paraId="08DB2E55">
            <w:pPr>
              <w:spacing w:line="480" w:lineRule="exact"/>
              <w:contextualSpacing/>
              <w:rPr>
                <w:rFonts w:ascii="仿宋_GB2312" w:hAnsi="仿宋_GB2312" w:eastAsia="仿宋_GB2312" w:cs="仿宋_GB2312"/>
                <w:sz w:val="24"/>
                <w:szCs w:val="24"/>
              </w:rPr>
            </w:pPr>
          </w:p>
        </w:tc>
      </w:tr>
      <w:tr w14:paraId="476E9323">
        <w:tblPrEx>
          <w:tblCellMar>
            <w:top w:w="0" w:type="dxa"/>
            <w:left w:w="108" w:type="dxa"/>
            <w:bottom w:w="0" w:type="dxa"/>
            <w:right w:w="108" w:type="dxa"/>
          </w:tblCellMar>
        </w:tblPrEx>
        <w:trPr>
          <w:cantSplit/>
          <w:trHeight w:val="946" w:hRule="exact"/>
          <w:jc w:val="center"/>
        </w:trPr>
        <w:tc>
          <w:tcPr>
            <w:tcW w:w="825" w:type="dxa"/>
            <w:vMerge w:val="continue"/>
            <w:tcBorders>
              <w:left w:val="single" w:color="auto" w:sz="4" w:space="0"/>
              <w:bottom w:val="single" w:color="auto" w:sz="4" w:space="0"/>
              <w:right w:val="single" w:color="auto" w:sz="4" w:space="0"/>
            </w:tcBorders>
            <w:vAlign w:val="center"/>
          </w:tcPr>
          <w:p w14:paraId="37BEF95B">
            <w:pPr>
              <w:spacing w:line="480" w:lineRule="exact"/>
              <w:contextualSpacing/>
              <w:jc w:val="center"/>
              <w:rPr>
                <w:rFonts w:ascii="仿宋_GB2312" w:hAnsi="仿宋_GB2312" w:eastAsia="仿宋_GB2312" w:cs="仿宋_GB2312"/>
                <w:sz w:val="24"/>
                <w:szCs w:val="24"/>
              </w:rPr>
            </w:pPr>
          </w:p>
        </w:tc>
        <w:tc>
          <w:tcPr>
            <w:tcW w:w="1866" w:type="dxa"/>
            <w:tcBorders>
              <w:top w:val="single" w:color="auto" w:sz="4" w:space="0"/>
              <w:left w:val="nil"/>
              <w:bottom w:val="single" w:color="auto" w:sz="4" w:space="0"/>
              <w:right w:val="single" w:color="auto" w:sz="4" w:space="0"/>
            </w:tcBorders>
            <w:vAlign w:val="center"/>
          </w:tcPr>
          <w:p w14:paraId="77072A5E">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消监控员</w:t>
            </w:r>
          </w:p>
        </w:tc>
        <w:tc>
          <w:tcPr>
            <w:tcW w:w="735" w:type="dxa"/>
            <w:tcBorders>
              <w:top w:val="single" w:color="auto" w:sz="4" w:space="0"/>
              <w:left w:val="nil"/>
              <w:bottom w:val="single" w:color="auto" w:sz="4" w:space="0"/>
              <w:right w:val="single" w:color="auto" w:sz="4" w:space="0"/>
            </w:tcBorders>
            <w:vAlign w:val="center"/>
          </w:tcPr>
          <w:p w14:paraId="083DBA1B">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280" w:type="dxa"/>
            <w:tcBorders>
              <w:top w:val="single" w:color="auto" w:sz="4" w:space="0"/>
              <w:left w:val="nil"/>
              <w:bottom w:val="single" w:color="auto" w:sz="4" w:space="0"/>
              <w:right w:val="single" w:color="auto" w:sz="4" w:space="0"/>
            </w:tcBorders>
            <w:vAlign w:val="center"/>
          </w:tcPr>
          <w:p w14:paraId="2EC13B93">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24小时岗位</w:t>
            </w:r>
          </w:p>
          <w:p w14:paraId="141470A5">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8小时工作制</w:t>
            </w:r>
          </w:p>
        </w:tc>
        <w:tc>
          <w:tcPr>
            <w:tcW w:w="3450" w:type="dxa"/>
            <w:tcBorders>
              <w:top w:val="single" w:color="auto" w:sz="4" w:space="0"/>
              <w:left w:val="nil"/>
              <w:bottom w:val="single" w:color="auto" w:sz="4" w:space="0"/>
              <w:right w:val="single" w:color="auto" w:sz="4" w:space="0"/>
            </w:tcBorders>
            <w:vAlign w:val="center"/>
          </w:tcPr>
          <w:p w14:paraId="4545E0FD">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负责消防监控系统运行值班工作</w:t>
            </w:r>
          </w:p>
        </w:tc>
        <w:tc>
          <w:tcPr>
            <w:tcW w:w="705" w:type="dxa"/>
            <w:vMerge w:val="continue"/>
            <w:tcBorders>
              <w:left w:val="nil"/>
              <w:bottom w:val="single" w:color="auto" w:sz="4" w:space="0"/>
              <w:right w:val="single" w:color="auto" w:sz="8" w:space="0"/>
            </w:tcBorders>
            <w:vAlign w:val="center"/>
          </w:tcPr>
          <w:p w14:paraId="55A26F69">
            <w:pPr>
              <w:spacing w:line="480" w:lineRule="exact"/>
              <w:contextualSpacing/>
              <w:rPr>
                <w:rFonts w:ascii="仿宋_GB2312" w:hAnsi="仿宋_GB2312" w:eastAsia="仿宋_GB2312" w:cs="仿宋_GB2312"/>
                <w:sz w:val="24"/>
                <w:szCs w:val="24"/>
              </w:rPr>
            </w:pPr>
          </w:p>
        </w:tc>
      </w:tr>
      <w:tr w14:paraId="779BDBAD">
        <w:tblPrEx>
          <w:tblCellMar>
            <w:top w:w="0" w:type="dxa"/>
            <w:left w:w="108" w:type="dxa"/>
            <w:bottom w:w="0" w:type="dxa"/>
            <w:right w:w="108" w:type="dxa"/>
          </w:tblCellMar>
        </w:tblPrEx>
        <w:trPr>
          <w:cantSplit/>
          <w:trHeight w:val="1403" w:hRule="exact"/>
          <w:jc w:val="center"/>
        </w:trPr>
        <w:tc>
          <w:tcPr>
            <w:tcW w:w="825" w:type="dxa"/>
            <w:vMerge w:val="restart"/>
            <w:tcBorders>
              <w:top w:val="single" w:color="auto" w:sz="4" w:space="0"/>
              <w:left w:val="single" w:color="auto" w:sz="4" w:space="0"/>
              <w:bottom w:val="single" w:color="auto" w:sz="4" w:space="0"/>
              <w:right w:val="single" w:color="auto" w:sz="4" w:space="0"/>
            </w:tcBorders>
            <w:vAlign w:val="center"/>
          </w:tcPr>
          <w:p w14:paraId="6A9115C0">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环境维护部</w:t>
            </w:r>
          </w:p>
        </w:tc>
        <w:tc>
          <w:tcPr>
            <w:tcW w:w="1866" w:type="dxa"/>
            <w:tcBorders>
              <w:top w:val="nil"/>
              <w:left w:val="nil"/>
              <w:bottom w:val="single" w:color="auto" w:sz="4" w:space="0"/>
              <w:right w:val="single" w:color="auto" w:sz="4" w:space="0"/>
            </w:tcBorders>
            <w:vAlign w:val="center"/>
          </w:tcPr>
          <w:p w14:paraId="41B56610">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环境维护主管</w:t>
            </w:r>
          </w:p>
        </w:tc>
        <w:tc>
          <w:tcPr>
            <w:tcW w:w="735" w:type="dxa"/>
            <w:tcBorders>
              <w:top w:val="nil"/>
              <w:left w:val="nil"/>
              <w:bottom w:val="single" w:color="auto" w:sz="4" w:space="0"/>
              <w:right w:val="single" w:color="auto" w:sz="4" w:space="0"/>
            </w:tcBorders>
            <w:vAlign w:val="center"/>
          </w:tcPr>
          <w:p w14:paraId="743A3B63">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80" w:type="dxa"/>
            <w:tcBorders>
              <w:top w:val="nil"/>
              <w:left w:val="nil"/>
              <w:bottom w:val="single" w:color="auto" w:sz="4" w:space="0"/>
              <w:right w:val="single" w:color="auto" w:sz="4" w:space="0"/>
            </w:tcBorders>
            <w:vAlign w:val="center"/>
          </w:tcPr>
          <w:p w14:paraId="1A0B56A5">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8小时工作制</w:t>
            </w:r>
          </w:p>
        </w:tc>
        <w:tc>
          <w:tcPr>
            <w:tcW w:w="3450" w:type="dxa"/>
            <w:tcBorders>
              <w:top w:val="nil"/>
              <w:left w:val="nil"/>
              <w:bottom w:val="single" w:color="auto" w:sz="4" w:space="0"/>
              <w:right w:val="single" w:color="auto" w:sz="4" w:space="0"/>
            </w:tcBorders>
            <w:vAlign w:val="center"/>
          </w:tcPr>
          <w:p w14:paraId="1A692324">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主管体育中心保洁工作，垃圾收集清运工作，消杀及绿化工作。</w:t>
            </w:r>
          </w:p>
        </w:tc>
        <w:tc>
          <w:tcPr>
            <w:tcW w:w="705" w:type="dxa"/>
            <w:vMerge w:val="restart"/>
            <w:tcBorders>
              <w:top w:val="nil"/>
              <w:left w:val="single" w:color="auto" w:sz="4" w:space="0"/>
              <w:bottom w:val="single" w:color="000000" w:sz="4" w:space="0"/>
              <w:right w:val="single" w:color="auto" w:sz="8" w:space="0"/>
            </w:tcBorders>
            <w:vAlign w:val="center"/>
          </w:tcPr>
          <w:p w14:paraId="4F4E18E2">
            <w:pPr>
              <w:spacing w:line="480" w:lineRule="exact"/>
              <w:contextualSpacing/>
              <w:rPr>
                <w:rFonts w:ascii="仿宋_GB2312" w:hAnsi="仿宋_GB2312" w:eastAsia="仿宋_GB2312" w:cs="仿宋_GB2312"/>
                <w:sz w:val="24"/>
                <w:szCs w:val="24"/>
              </w:rPr>
            </w:pPr>
          </w:p>
        </w:tc>
      </w:tr>
      <w:tr w14:paraId="5213C931">
        <w:tblPrEx>
          <w:tblCellMar>
            <w:top w:w="0" w:type="dxa"/>
            <w:left w:w="108" w:type="dxa"/>
            <w:bottom w:w="0" w:type="dxa"/>
            <w:right w:w="108" w:type="dxa"/>
          </w:tblCellMar>
        </w:tblPrEx>
        <w:trPr>
          <w:cantSplit/>
          <w:trHeight w:val="953" w:hRule="exact"/>
          <w:jc w:val="center"/>
        </w:trPr>
        <w:tc>
          <w:tcPr>
            <w:tcW w:w="825" w:type="dxa"/>
            <w:vMerge w:val="continue"/>
            <w:tcBorders>
              <w:left w:val="single" w:color="auto" w:sz="4" w:space="0"/>
              <w:right w:val="single" w:color="auto" w:sz="4" w:space="0"/>
            </w:tcBorders>
            <w:vAlign w:val="center"/>
          </w:tcPr>
          <w:p w14:paraId="2D1E13F3">
            <w:pPr>
              <w:spacing w:line="480" w:lineRule="exact"/>
              <w:contextualSpacing/>
              <w:jc w:val="center"/>
              <w:rPr>
                <w:rFonts w:ascii="仿宋_GB2312" w:hAnsi="仿宋_GB2312" w:eastAsia="仿宋_GB2312" w:cs="仿宋_GB2312"/>
                <w:sz w:val="24"/>
                <w:szCs w:val="24"/>
              </w:rPr>
            </w:pPr>
          </w:p>
        </w:tc>
        <w:tc>
          <w:tcPr>
            <w:tcW w:w="1866" w:type="dxa"/>
            <w:tcBorders>
              <w:top w:val="single" w:color="auto" w:sz="4" w:space="0"/>
              <w:left w:val="nil"/>
              <w:bottom w:val="single" w:color="auto" w:sz="4" w:space="0"/>
              <w:right w:val="single" w:color="auto" w:sz="4" w:space="0"/>
            </w:tcBorders>
            <w:vAlign w:val="center"/>
          </w:tcPr>
          <w:p w14:paraId="275CE0AD">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保洁人员</w:t>
            </w:r>
          </w:p>
        </w:tc>
        <w:tc>
          <w:tcPr>
            <w:tcW w:w="735" w:type="dxa"/>
            <w:tcBorders>
              <w:top w:val="single" w:color="auto" w:sz="4" w:space="0"/>
              <w:left w:val="nil"/>
              <w:bottom w:val="single" w:color="auto" w:sz="4" w:space="0"/>
              <w:right w:val="single" w:color="auto" w:sz="4" w:space="0"/>
            </w:tcBorders>
            <w:vAlign w:val="center"/>
          </w:tcPr>
          <w:p w14:paraId="096E6088">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280" w:type="dxa"/>
            <w:tcBorders>
              <w:top w:val="single" w:color="auto" w:sz="4" w:space="0"/>
              <w:left w:val="nil"/>
              <w:bottom w:val="single" w:color="auto" w:sz="4" w:space="0"/>
              <w:right w:val="single" w:color="auto" w:sz="4" w:space="0"/>
            </w:tcBorders>
            <w:vAlign w:val="center"/>
          </w:tcPr>
          <w:p w14:paraId="42B6102B">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8小时工作制</w:t>
            </w:r>
          </w:p>
        </w:tc>
        <w:tc>
          <w:tcPr>
            <w:tcW w:w="3450" w:type="dxa"/>
            <w:tcBorders>
              <w:top w:val="single" w:color="auto" w:sz="4" w:space="0"/>
              <w:left w:val="nil"/>
              <w:bottom w:val="single" w:color="auto" w:sz="4" w:space="0"/>
              <w:right w:val="single" w:color="auto" w:sz="4" w:space="0"/>
            </w:tcBorders>
            <w:vAlign w:val="center"/>
          </w:tcPr>
          <w:p w14:paraId="0F25B304">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做好体育中心保洁工作，垃圾收集清运工作及消杀工作。</w:t>
            </w:r>
          </w:p>
        </w:tc>
        <w:tc>
          <w:tcPr>
            <w:tcW w:w="705" w:type="dxa"/>
            <w:vMerge w:val="continue"/>
            <w:tcBorders>
              <w:left w:val="single" w:color="auto" w:sz="4" w:space="0"/>
              <w:right w:val="single" w:color="auto" w:sz="8" w:space="0"/>
            </w:tcBorders>
            <w:vAlign w:val="center"/>
          </w:tcPr>
          <w:p w14:paraId="7DC86764">
            <w:pPr>
              <w:spacing w:line="480" w:lineRule="exact"/>
              <w:contextualSpacing/>
              <w:rPr>
                <w:rFonts w:ascii="仿宋_GB2312" w:hAnsi="仿宋_GB2312" w:eastAsia="仿宋_GB2312" w:cs="仿宋_GB2312"/>
                <w:sz w:val="24"/>
                <w:szCs w:val="24"/>
              </w:rPr>
            </w:pPr>
          </w:p>
        </w:tc>
      </w:tr>
      <w:tr w14:paraId="21ACE40B">
        <w:tblPrEx>
          <w:tblCellMar>
            <w:top w:w="0" w:type="dxa"/>
            <w:left w:w="108" w:type="dxa"/>
            <w:bottom w:w="0" w:type="dxa"/>
            <w:right w:w="108" w:type="dxa"/>
          </w:tblCellMar>
        </w:tblPrEx>
        <w:trPr>
          <w:cantSplit/>
          <w:trHeight w:val="1031" w:hRule="exact"/>
          <w:jc w:val="center"/>
        </w:trPr>
        <w:tc>
          <w:tcPr>
            <w:tcW w:w="825" w:type="dxa"/>
            <w:vMerge w:val="continue"/>
            <w:tcBorders>
              <w:top w:val="nil"/>
              <w:left w:val="single" w:color="auto" w:sz="4" w:space="0"/>
              <w:bottom w:val="single" w:color="auto" w:sz="4" w:space="0"/>
              <w:right w:val="single" w:color="auto" w:sz="4" w:space="0"/>
            </w:tcBorders>
            <w:vAlign w:val="center"/>
          </w:tcPr>
          <w:p w14:paraId="331F898A">
            <w:pPr>
              <w:spacing w:line="480" w:lineRule="exact"/>
              <w:contextualSpacing/>
              <w:jc w:val="center"/>
              <w:rPr>
                <w:rFonts w:ascii="仿宋_GB2312" w:hAnsi="仿宋_GB2312" w:eastAsia="仿宋_GB2312" w:cs="仿宋_GB2312"/>
                <w:sz w:val="24"/>
                <w:szCs w:val="24"/>
              </w:rPr>
            </w:pPr>
          </w:p>
        </w:tc>
        <w:tc>
          <w:tcPr>
            <w:tcW w:w="1866" w:type="dxa"/>
            <w:tcBorders>
              <w:top w:val="nil"/>
              <w:left w:val="nil"/>
              <w:bottom w:val="single" w:color="auto" w:sz="4" w:space="0"/>
              <w:right w:val="single" w:color="auto" w:sz="4" w:space="0"/>
            </w:tcBorders>
            <w:vAlign w:val="center"/>
          </w:tcPr>
          <w:p w14:paraId="7175D243">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草坪绿化养护绿化工</w:t>
            </w:r>
          </w:p>
        </w:tc>
        <w:tc>
          <w:tcPr>
            <w:tcW w:w="735" w:type="dxa"/>
            <w:tcBorders>
              <w:top w:val="nil"/>
              <w:left w:val="nil"/>
              <w:bottom w:val="single" w:color="auto" w:sz="4" w:space="0"/>
              <w:right w:val="single" w:color="auto" w:sz="4" w:space="0"/>
            </w:tcBorders>
            <w:vAlign w:val="center"/>
          </w:tcPr>
          <w:p w14:paraId="204F526E">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280" w:type="dxa"/>
            <w:tcBorders>
              <w:top w:val="nil"/>
              <w:left w:val="nil"/>
              <w:bottom w:val="single" w:color="auto" w:sz="4" w:space="0"/>
              <w:right w:val="single" w:color="auto" w:sz="4" w:space="0"/>
            </w:tcBorders>
            <w:vAlign w:val="center"/>
          </w:tcPr>
          <w:p w14:paraId="28F20EAA">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8小时工作制</w:t>
            </w:r>
          </w:p>
        </w:tc>
        <w:tc>
          <w:tcPr>
            <w:tcW w:w="3450" w:type="dxa"/>
            <w:tcBorders>
              <w:top w:val="nil"/>
              <w:left w:val="nil"/>
              <w:bottom w:val="single" w:color="auto" w:sz="4" w:space="0"/>
              <w:right w:val="single" w:color="auto" w:sz="4" w:space="0"/>
            </w:tcBorders>
            <w:vAlign w:val="center"/>
          </w:tcPr>
          <w:p w14:paraId="7C3C6B76">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做好体育中心绿化养护工作</w:t>
            </w:r>
          </w:p>
        </w:tc>
        <w:tc>
          <w:tcPr>
            <w:tcW w:w="705" w:type="dxa"/>
            <w:vMerge w:val="continue"/>
            <w:tcBorders>
              <w:top w:val="nil"/>
              <w:left w:val="single" w:color="auto" w:sz="4" w:space="0"/>
              <w:bottom w:val="single" w:color="000000" w:sz="4" w:space="0"/>
              <w:right w:val="single" w:color="auto" w:sz="8" w:space="0"/>
            </w:tcBorders>
            <w:vAlign w:val="center"/>
          </w:tcPr>
          <w:p w14:paraId="326DBFB0">
            <w:pPr>
              <w:spacing w:line="480" w:lineRule="exact"/>
              <w:contextualSpacing/>
              <w:rPr>
                <w:rFonts w:ascii="仿宋_GB2312" w:hAnsi="仿宋_GB2312" w:eastAsia="仿宋_GB2312" w:cs="仿宋_GB2312"/>
                <w:sz w:val="24"/>
                <w:szCs w:val="24"/>
              </w:rPr>
            </w:pPr>
          </w:p>
        </w:tc>
      </w:tr>
      <w:tr w14:paraId="6253480C">
        <w:tblPrEx>
          <w:tblCellMar>
            <w:top w:w="0" w:type="dxa"/>
            <w:left w:w="108" w:type="dxa"/>
            <w:bottom w:w="0" w:type="dxa"/>
            <w:right w:w="108" w:type="dxa"/>
          </w:tblCellMar>
        </w:tblPrEx>
        <w:trPr>
          <w:cantSplit/>
          <w:trHeight w:val="567" w:hRule="exact"/>
          <w:jc w:val="center"/>
        </w:trPr>
        <w:tc>
          <w:tcPr>
            <w:tcW w:w="9156" w:type="dxa"/>
            <w:gridSpan w:val="5"/>
            <w:tcBorders>
              <w:top w:val="single" w:color="auto" w:sz="8" w:space="0"/>
              <w:left w:val="single" w:color="auto" w:sz="4" w:space="0"/>
              <w:bottom w:val="single" w:color="auto" w:sz="4" w:space="0"/>
              <w:right w:val="single" w:color="auto" w:sz="4" w:space="0"/>
            </w:tcBorders>
            <w:vAlign w:val="center"/>
          </w:tcPr>
          <w:p w14:paraId="7FFFC3FA">
            <w:pPr>
              <w:spacing w:line="48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合计：47人</w:t>
            </w:r>
          </w:p>
        </w:tc>
        <w:tc>
          <w:tcPr>
            <w:tcW w:w="705" w:type="dxa"/>
            <w:tcBorders>
              <w:top w:val="single" w:color="auto" w:sz="8" w:space="0"/>
              <w:left w:val="single" w:color="auto" w:sz="4" w:space="0"/>
              <w:bottom w:val="single" w:color="auto" w:sz="4" w:space="0"/>
              <w:right w:val="single" w:color="auto" w:sz="8" w:space="0"/>
            </w:tcBorders>
            <w:vAlign w:val="center"/>
          </w:tcPr>
          <w:p w14:paraId="745077C8">
            <w:pPr>
              <w:spacing w:line="480" w:lineRule="exact"/>
              <w:contextualSpacing/>
              <w:rPr>
                <w:rFonts w:ascii="仿宋_GB2312" w:hAnsi="仿宋_GB2312" w:eastAsia="仿宋_GB2312" w:cs="仿宋_GB2312"/>
                <w:sz w:val="24"/>
                <w:szCs w:val="24"/>
              </w:rPr>
            </w:pPr>
          </w:p>
        </w:tc>
      </w:tr>
    </w:tbl>
    <w:p w14:paraId="556D0648">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备注：各岗位人员工作地点由采购人根据项目实际情况进行调配。</w:t>
      </w:r>
    </w:p>
    <w:p w14:paraId="7C8AB256">
      <w:pPr>
        <w:spacing w:line="480" w:lineRule="exact"/>
        <w:ind w:firstLine="482" w:firstLineChars="200"/>
        <w:contextualSpacing/>
        <w:rPr>
          <w:rFonts w:ascii="楷体" w:hAnsi="楷体" w:eastAsia="楷体" w:cs="楷体"/>
          <w:b/>
          <w:bCs/>
          <w:sz w:val="24"/>
          <w:szCs w:val="24"/>
        </w:rPr>
      </w:pPr>
      <w:r>
        <w:rPr>
          <w:rFonts w:hint="eastAsia" w:ascii="楷体" w:hAnsi="楷体" w:eastAsia="楷体" w:cs="楷体"/>
          <w:b/>
          <w:bCs/>
          <w:sz w:val="24"/>
          <w:szCs w:val="24"/>
        </w:rPr>
        <w:t>（二）人员素质需求</w:t>
      </w:r>
    </w:p>
    <w:p w14:paraId="67854C08">
      <w:pPr>
        <w:spacing w:line="480" w:lineRule="exact"/>
        <w:ind w:firstLine="602" w:firstLineChars="250"/>
        <w:contextualSpacing/>
        <w:rPr>
          <w:rFonts w:ascii="仿宋_GB2312" w:hAnsi="仿宋_GB2312" w:eastAsia="仿宋_GB2312" w:cs="仿宋_GB2312"/>
          <w:sz w:val="24"/>
          <w:szCs w:val="24"/>
        </w:rPr>
      </w:pPr>
      <w:r>
        <w:rPr>
          <w:rFonts w:hint="eastAsia" w:ascii="仿宋_GB2312" w:hAnsi="仿宋_GB2312" w:eastAsia="仿宋_GB2312" w:cs="仿宋_GB2312"/>
          <w:b/>
          <w:bCs/>
          <w:sz w:val="24"/>
          <w:szCs w:val="24"/>
        </w:rPr>
        <w:t>1.项目经理</w:t>
      </w:r>
      <w:r>
        <w:rPr>
          <w:rFonts w:hint="eastAsia" w:ascii="仿宋_GB2312" w:hAnsi="仿宋_GB2312" w:eastAsia="仿宋_GB2312" w:cs="仿宋_GB2312"/>
          <w:sz w:val="24"/>
          <w:szCs w:val="24"/>
        </w:rPr>
        <w:t>：年龄35-55周岁，具有《全国物业管理企业经理》上岗资格证书。（年龄在45周岁及以下的，遵纪守法，敬业爱岗，身体素质好，知礼仪，无不良行为记录，综合素质高者优先）。</w:t>
      </w:r>
    </w:p>
    <w:p w14:paraId="36CC7118">
      <w:pPr>
        <w:spacing w:line="480" w:lineRule="exact"/>
        <w:ind w:firstLine="602" w:firstLineChars="250"/>
        <w:contextualSpacing/>
        <w:rPr>
          <w:rFonts w:ascii="仿宋_GB2312" w:hAnsi="仿宋_GB2312" w:eastAsia="仿宋_GB2312" w:cs="仿宋_GB2312"/>
          <w:sz w:val="24"/>
          <w:szCs w:val="24"/>
        </w:rPr>
      </w:pPr>
      <w:r>
        <w:rPr>
          <w:rFonts w:hint="eastAsia" w:ascii="仿宋_GB2312" w:hAnsi="仿宋_GB2312" w:eastAsia="仿宋_GB2312" w:cs="仿宋_GB2312"/>
          <w:b/>
          <w:bCs/>
          <w:sz w:val="24"/>
          <w:szCs w:val="24"/>
        </w:rPr>
        <w:t>2.场馆运行保障员</w:t>
      </w:r>
      <w:r>
        <w:rPr>
          <w:rFonts w:hint="eastAsia" w:ascii="仿宋_GB2312" w:hAnsi="仿宋_GB2312" w:eastAsia="仿宋_GB2312" w:cs="仿宋_GB2312"/>
          <w:sz w:val="24"/>
          <w:szCs w:val="24"/>
        </w:rPr>
        <w:t>：年龄20-50周岁，熟练掌握办公、场馆管理软件，对人有礼貌，言行得体大方，具有较好的亲和力和服务意识，遵纪守法，敬业爱岗，身体素质好，知礼仪，无不良行为记录，综合素质高者优先。</w:t>
      </w:r>
    </w:p>
    <w:p w14:paraId="035769F4">
      <w:pPr>
        <w:spacing w:line="480" w:lineRule="exact"/>
        <w:ind w:firstLine="482" w:firstLineChars="200"/>
        <w:contextualSpacing/>
        <w:rPr>
          <w:rFonts w:ascii="仿宋_GB2312" w:hAnsi="仿宋_GB2312" w:eastAsia="仿宋_GB2312" w:cs="仿宋_GB2312"/>
          <w:sz w:val="24"/>
          <w:szCs w:val="24"/>
        </w:rPr>
      </w:pPr>
      <w:r>
        <w:rPr>
          <w:rFonts w:hint="eastAsia" w:ascii="仿宋_GB2312" w:hAnsi="仿宋_GB2312" w:eastAsia="仿宋_GB2312" w:cs="仿宋_GB2312"/>
          <w:b/>
          <w:bCs/>
          <w:sz w:val="24"/>
          <w:szCs w:val="24"/>
        </w:rPr>
        <w:t>3.工程主管</w:t>
      </w:r>
      <w:r>
        <w:rPr>
          <w:rFonts w:hint="eastAsia" w:ascii="仿宋_GB2312" w:hAnsi="仿宋_GB2312" w:eastAsia="仿宋_GB2312" w:cs="仿宋_GB2312"/>
          <w:sz w:val="24"/>
          <w:szCs w:val="24"/>
        </w:rPr>
        <w:t>：年龄35-55周岁，具备多年工程维修经验，具有高压电工作业证书及相关职业资格证书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遵纪守法，敬业爱岗，身体素质好，知礼仪，无不良行为记录，综合素质高者优先。</w:t>
      </w:r>
    </w:p>
    <w:p w14:paraId="06DAF29F">
      <w:pPr>
        <w:spacing w:line="480" w:lineRule="exact"/>
        <w:ind w:firstLine="482" w:firstLineChars="200"/>
        <w:contextualSpacing/>
        <w:rPr>
          <w:rFonts w:ascii="仿宋_GB2312" w:hAnsi="仿宋_GB2312" w:eastAsia="仿宋_GB2312" w:cs="仿宋_GB2312"/>
          <w:sz w:val="24"/>
          <w:szCs w:val="24"/>
        </w:rPr>
      </w:pPr>
      <w:r>
        <w:rPr>
          <w:rFonts w:hint="eastAsia" w:ascii="仿宋_GB2312" w:hAnsi="仿宋_GB2312" w:eastAsia="仿宋_GB2312" w:cs="仿宋_GB2312"/>
          <w:b/>
          <w:bCs/>
          <w:sz w:val="24"/>
          <w:szCs w:val="24"/>
        </w:rPr>
        <w:t>4.工程技术人员</w:t>
      </w:r>
      <w:r>
        <w:rPr>
          <w:rFonts w:hint="eastAsia" w:ascii="仿宋_GB2312" w:hAnsi="仿宋_GB2312" w:eastAsia="仿宋_GB2312" w:cs="仿宋_GB2312"/>
          <w:sz w:val="24"/>
          <w:szCs w:val="24"/>
        </w:rPr>
        <w:t>：年龄35-55周岁，具备多年工程维修经验，具有高压电工作业证书和维修电工证书，遵纪守法，敬业爱岗，身体素质好，知礼仪，无不良行为记录，综合素质高者优先。</w:t>
      </w:r>
    </w:p>
    <w:p w14:paraId="65815170">
      <w:pPr>
        <w:spacing w:line="480" w:lineRule="exact"/>
        <w:ind w:firstLine="482" w:firstLineChars="200"/>
        <w:contextualSpacing/>
        <w:rPr>
          <w:rFonts w:ascii="仿宋_GB2312" w:hAnsi="仿宋_GB2312" w:eastAsia="仿宋_GB2312" w:cs="仿宋_GB2312"/>
          <w:sz w:val="24"/>
          <w:szCs w:val="24"/>
        </w:rPr>
      </w:pPr>
      <w:r>
        <w:rPr>
          <w:rFonts w:hint="eastAsia" w:ascii="仿宋_GB2312" w:hAnsi="仿宋_GB2312" w:eastAsia="仿宋_GB2312" w:cs="仿宋_GB2312"/>
          <w:b/>
          <w:bCs/>
          <w:sz w:val="24"/>
          <w:szCs w:val="24"/>
        </w:rPr>
        <w:t>5.保安主管</w:t>
      </w:r>
      <w:r>
        <w:rPr>
          <w:rFonts w:hint="eastAsia" w:ascii="仿宋_GB2312" w:hAnsi="仿宋_GB2312" w:eastAsia="仿宋_GB2312" w:cs="仿宋_GB2312"/>
          <w:sz w:val="24"/>
          <w:szCs w:val="24"/>
        </w:rPr>
        <w:t>：年龄35-55周岁，具备多年安保经验，具有保安员证书（年龄40周岁及以下，遵纪守法，敬业爱岗，身体素质好，知礼仪，无不良行为记录，综合素质高者优先）。</w:t>
      </w:r>
    </w:p>
    <w:p w14:paraId="34219AF3">
      <w:pPr>
        <w:spacing w:line="480" w:lineRule="exact"/>
        <w:ind w:firstLine="482" w:firstLineChars="200"/>
        <w:contextualSpacing/>
        <w:rPr>
          <w:rFonts w:ascii="仿宋_GB2312" w:hAnsi="仿宋_GB2312" w:eastAsia="仿宋_GB2312" w:cs="仿宋_GB2312"/>
          <w:sz w:val="24"/>
          <w:szCs w:val="24"/>
        </w:rPr>
      </w:pPr>
      <w:r>
        <w:rPr>
          <w:rFonts w:hint="eastAsia" w:ascii="仿宋_GB2312" w:hAnsi="仿宋_GB2312" w:eastAsia="仿宋_GB2312" w:cs="仿宋_GB2312"/>
          <w:b/>
          <w:bCs/>
          <w:sz w:val="24"/>
          <w:szCs w:val="24"/>
        </w:rPr>
        <w:t>6.保安人员</w:t>
      </w:r>
      <w:r>
        <w:rPr>
          <w:rFonts w:hint="eastAsia" w:ascii="仿宋_GB2312" w:hAnsi="仿宋_GB2312" w:eastAsia="仿宋_GB2312" w:cs="仿宋_GB2312"/>
          <w:sz w:val="24"/>
          <w:szCs w:val="24"/>
        </w:rPr>
        <w:t>：年龄35-55周岁，具备多年安保经验，具有保安员证书，遵纪守法，敬业爱岗，身体素质好，知礼仪，无不良行为记录，综合素质高者优先。</w:t>
      </w:r>
    </w:p>
    <w:p w14:paraId="57428493">
      <w:pPr>
        <w:spacing w:line="480" w:lineRule="exact"/>
        <w:ind w:firstLine="482" w:firstLineChars="200"/>
        <w:contextualSpacing/>
        <w:rPr>
          <w:rFonts w:ascii="仿宋_GB2312" w:hAnsi="仿宋_GB2312" w:eastAsia="仿宋_GB2312" w:cs="仿宋_GB2312"/>
          <w:sz w:val="24"/>
          <w:szCs w:val="24"/>
        </w:rPr>
      </w:pPr>
      <w:r>
        <w:rPr>
          <w:rFonts w:hint="eastAsia" w:ascii="仿宋_GB2312" w:hAnsi="仿宋_GB2312" w:eastAsia="仿宋_GB2312" w:cs="仿宋_GB2312"/>
          <w:b/>
          <w:bCs/>
          <w:sz w:val="24"/>
          <w:szCs w:val="24"/>
        </w:rPr>
        <w:t>7.消监控人员</w:t>
      </w:r>
      <w:r>
        <w:rPr>
          <w:rFonts w:hint="eastAsia" w:ascii="仿宋_GB2312" w:hAnsi="仿宋_GB2312" w:eastAsia="仿宋_GB2312" w:cs="仿宋_GB2312"/>
          <w:sz w:val="24"/>
          <w:szCs w:val="24"/>
        </w:rPr>
        <w:t>：年龄35-50周岁，具备多年消监控管理经验；具有建（构）筑物消防员职业资格证书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遵纪守法，敬业爱岗，身体素质好，知礼仪，无不良行为记录，综合素质高者优先。</w:t>
      </w:r>
    </w:p>
    <w:p w14:paraId="135940B1">
      <w:pPr>
        <w:spacing w:line="480" w:lineRule="exact"/>
        <w:ind w:firstLine="482" w:firstLineChars="200"/>
        <w:contextualSpacing/>
        <w:rPr>
          <w:rFonts w:ascii="仿宋_GB2312" w:hAnsi="仿宋_GB2312" w:eastAsia="仿宋_GB2312" w:cs="仿宋_GB2312"/>
          <w:sz w:val="24"/>
          <w:szCs w:val="24"/>
        </w:rPr>
      </w:pPr>
      <w:r>
        <w:rPr>
          <w:rFonts w:hint="eastAsia" w:ascii="仿宋_GB2312" w:hAnsi="仿宋_GB2312" w:eastAsia="仿宋_GB2312" w:cs="仿宋_GB2312"/>
          <w:b/>
          <w:bCs/>
          <w:sz w:val="24"/>
          <w:szCs w:val="24"/>
        </w:rPr>
        <w:t>8.环境维护主管</w:t>
      </w:r>
      <w:r>
        <w:rPr>
          <w:rFonts w:hint="eastAsia" w:ascii="仿宋_GB2312" w:hAnsi="仿宋_GB2312" w:eastAsia="仿宋_GB2312" w:cs="仿宋_GB2312"/>
          <w:sz w:val="24"/>
          <w:szCs w:val="24"/>
        </w:rPr>
        <w:t>：环境维护主管：年龄60周岁以下，工作认真细致，效率高（年龄在45周岁及以下，遵纪守法，敬业爱岗，身体素质好，知礼仪，无不良行为记录，综合素质高者优先）。</w:t>
      </w:r>
    </w:p>
    <w:p w14:paraId="54FEE02F">
      <w:pPr>
        <w:spacing w:line="480" w:lineRule="exact"/>
        <w:ind w:firstLine="482" w:firstLineChars="200"/>
        <w:contextualSpacing/>
        <w:rPr>
          <w:rFonts w:ascii="仿宋_GB2312" w:hAnsi="仿宋_GB2312" w:eastAsia="仿宋_GB2312" w:cs="仿宋_GB2312"/>
          <w:sz w:val="24"/>
          <w:szCs w:val="24"/>
        </w:rPr>
      </w:pPr>
      <w:r>
        <w:rPr>
          <w:rFonts w:hint="eastAsia" w:ascii="仿宋_GB2312" w:hAnsi="仿宋_GB2312" w:eastAsia="仿宋_GB2312" w:cs="仿宋_GB2312"/>
          <w:b/>
          <w:bCs/>
          <w:sz w:val="24"/>
          <w:szCs w:val="24"/>
        </w:rPr>
        <w:t>9.保洁人员</w:t>
      </w:r>
      <w:r>
        <w:rPr>
          <w:rFonts w:hint="eastAsia" w:ascii="仿宋_GB2312" w:hAnsi="仿宋_GB2312" w:eastAsia="仿宋_GB2312" w:cs="仿宋_GB2312"/>
          <w:sz w:val="24"/>
          <w:szCs w:val="24"/>
        </w:rPr>
        <w:t>：年龄60周岁以下，工作认真细致，效率高，遵纪守法，敬业爱岗，身体素质好，知礼仪，无不良行为记录，综合素质高者优先。</w:t>
      </w:r>
    </w:p>
    <w:p w14:paraId="41623F39">
      <w:pPr>
        <w:spacing w:line="480" w:lineRule="exact"/>
        <w:ind w:firstLine="564"/>
        <w:contextualSpacing/>
        <w:rPr>
          <w:rFonts w:ascii="仿宋_GB2312" w:hAnsi="仿宋_GB2312" w:eastAsia="仿宋_GB2312" w:cs="仿宋_GB2312"/>
          <w:sz w:val="24"/>
          <w:szCs w:val="24"/>
        </w:rPr>
      </w:pPr>
      <w:r>
        <w:rPr>
          <w:rFonts w:hint="eastAsia" w:ascii="仿宋_GB2312" w:hAnsi="仿宋_GB2312" w:eastAsia="仿宋_GB2312" w:cs="仿宋_GB2312"/>
          <w:b/>
          <w:bCs/>
          <w:sz w:val="24"/>
          <w:szCs w:val="24"/>
        </w:rPr>
        <w:t>10.草坪绿化养护绿化工</w:t>
      </w:r>
      <w:r>
        <w:rPr>
          <w:rFonts w:hint="eastAsia" w:ascii="仿宋_GB2312" w:hAnsi="仿宋_GB2312" w:eastAsia="仿宋_GB2312" w:cs="仿宋_GB2312"/>
          <w:sz w:val="24"/>
          <w:szCs w:val="24"/>
        </w:rPr>
        <w:t>：年龄60周岁以下，具备多年绿化工作经验，遵纪守法，敬业爱岗，身体素质好，知礼仪，无良行为记录，综合素质高者优先。</w:t>
      </w:r>
    </w:p>
    <w:p w14:paraId="4AB178BF">
      <w:pPr>
        <w:spacing w:line="480" w:lineRule="exact"/>
        <w:ind w:firstLine="564"/>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根据工作需要，经中标方书面申请，采购方同意后，年龄可适当放宽；重点关键岗位人员配置及资质按国家有关规定执行。</w:t>
      </w:r>
    </w:p>
    <w:p w14:paraId="2A1DCA68">
      <w:pPr>
        <w:spacing w:line="480" w:lineRule="exact"/>
        <w:ind w:firstLine="564"/>
        <w:contextualSpacing/>
        <w:rPr>
          <w:rFonts w:ascii="黑体" w:hAnsi="黑体" w:eastAsia="黑体"/>
          <w:bCs/>
          <w:sz w:val="24"/>
          <w:szCs w:val="24"/>
        </w:rPr>
      </w:pPr>
      <w:r>
        <w:rPr>
          <w:rFonts w:hint="eastAsia" w:ascii="黑体" w:hAnsi="黑体" w:eastAsia="黑体"/>
          <w:bCs/>
          <w:sz w:val="24"/>
          <w:szCs w:val="24"/>
        </w:rPr>
        <w:t>五、其他要求及特别要求</w:t>
      </w:r>
    </w:p>
    <w:p w14:paraId="0A38851C">
      <w:pPr>
        <w:spacing w:line="480" w:lineRule="exact"/>
        <w:ind w:firstLine="482" w:firstLineChars="200"/>
        <w:contextualSpacing/>
        <w:rPr>
          <w:rFonts w:ascii="楷体" w:hAnsi="楷体" w:eastAsia="楷体" w:cs="楷体"/>
          <w:b/>
          <w:bCs/>
          <w:sz w:val="24"/>
          <w:szCs w:val="24"/>
        </w:rPr>
      </w:pPr>
      <w:r>
        <w:rPr>
          <w:rFonts w:hint="eastAsia" w:ascii="楷体" w:hAnsi="楷体" w:eastAsia="楷体" w:cs="楷体"/>
          <w:b/>
          <w:bCs/>
          <w:sz w:val="24"/>
          <w:szCs w:val="24"/>
        </w:rPr>
        <w:t>（一）其他要求</w:t>
      </w:r>
    </w:p>
    <w:p w14:paraId="62EBFBFD">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1.投标人应制订具体的质量保证</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相关服务的承诺</w:t>
      </w:r>
      <w:r>
        <w:rPr>
          <w:rFonts w:ascii="仿宋_GB2312" w:hAnsi="仿宋_GB2312" w:eastAsia="仿宋_GB2312" w:cs="仿宋_GB2312"/>
          <w:sz w:val="24"/>
          <w:szCs w:val="24"/>
        </w:rPr>
        <w:t>及措施</w:t>
      </w:r>
      <w:r>
        <w:rPr>
          <w:rFonts w:hint="eastAsia" w:ascii="仿宋_GB2312" w:hAnsi="仿宋_GB2312" w:eastAsia="仿宋_GB2312" w:cs="仿宋_GB2312"/>
          <w:sz w:val="24"/>
          <w:szCs w:val="24"/>
        </w:rPr>
        <w:t>。如因服务质量未达到目标，供应商应因此承担责任和经济赔偿。</w:t>
      </w:r>
    </w:p>
    <w:p w14:paraId="115AFB47">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2.服务方须在合同签订前提供管理总负责人、工程维修服务人员、保安等重要岗位人员的相关有效证件和信息，如果服务方不能提供，则采购人有权终止合同签订。其他人员聘用须将人员信息向采购方备案。</w:t>
      </w:r>
    </w:p>
    <w:p w14:paraId="6CAE2E64">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3.按要求和事项发生量及时配备足够</w:t>
      </w:r>
      <w:r>
        <w:rPr>
          <w:rFonts w:ascii="仿宋_GB2312" w:hAnsi="仿宋_GB2312" w:eastAsia="仿宋_GB2312" w:cs="仿宋_GB2312"/>
          <w:sz w:val="24"/>
          <w:szCs w:val="24"/>
        </w:rPr>
        <w:t>和</w:t>
      </w:r>
      <w:r>
        <w:rPr>
          <w:rFonts w:hint="eastAsia" w:ascii="仿宋_GB2312" w:hAnsi="仿宋_GB2312" w:eastAsia="仿宋_GB2312" w:cs="仿宋_GB2312"/>
          <w:sz w:val="24"/>
          <w:szCs w:val="24"/>
        </w:rPr>
        <w:t>胜任的相关管理和服务人员，并保持人员的稳定。遇调动或辞职时，管理总负责人提前一个月、工程综合服务人员提前20天、保安提前10天、保洁提前7天告知业主并得到同意后才能更换，按要求及时补充相应人员，提前做好交接班，如遇特殊情况，与业主另行协商。对业主认为无能力、工作失职或不合适人员，应立即更换。若在合同期内业主方发现缺编空编现象，可以对服务方提出书面通知责令整改，并酌情处罚，对在规定期限内拒不整改或拖延整改情节严重的，则采购人有权终止合同。</w:t>
      </w:r>
    </w:p>
    <w:p w14:paraId="232CA55C">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4.按国家和当地政府有关劳动法规、条例，向管理服务人员提供相应工种的劳动工资、加班工资、劳动保护等待遇。为保证服务人员的技能素质、队伍的相对稳定，应保障关键技术岗位如设备维护人员的工资待遇。</w:t>
      </w:r>
    </w:p>
    <w:p w14:paraId="6E5F83CA">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5.管理服务人员上岗时须统一着装，服装样式体现岗位特色和方便不同岗位操作。</w:t>
      </w:r>
    </w:p>
    <w:p w14:paraId="02F5D7F2">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6.为提高物业管理服务水平，所有管理服务人员在服务期间按岗位要求进行定期培训。</w:t>
      </w:r>
    </w:p>
    <w:p w14:paraId="4E216559">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7.服务方需建立上岗前培训制度，并通过考试方式，经投标人同意准许上岗。</w:t>
      </w:r>
    </w:p>
    <w:p w14:paraId="3DE9DFED">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8.服务方应承诺在合同期内，为承包区域内提供物业安保、保洁、场地服务、水电与设备维护及其他相关服务，并承担由此带来的一切风险。</w:t>
      </w:r>
    </w:p>
    <w:p w14:paraId="3B1D388F">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9.</w:t>
      </w:r>
      <w:r>
        <w:rPr>
          <w:rFonts w:ascii="仿宋_GB2312" w:hAnsi="仿宋_GB2312" w:eastAsia="仿宋_GB2312" w:cs="仿宋_GB2312"/>
          <w:sz w:val="24"/>
          <w:szCs w:val="24"/>
        </w:rPr>
        <w:t>投标人</w:t>
      </w:r>
      <w:r>
        <w:rPr>
          <w:rFonts w:hint="eastAsia" w:ascii="仿宋_GB2312" w:hAnsi="仿宋_GB2312" w:eastAsia="仿宋_GB2312" w:cs="仿宋_GB2312"/>
          <w:sz w:val="24"/>
          <w:szCs w:val="24"/>
        </w:rPr>
        <w:t>所有的工作除应按服务方的内部流程实施外还应接受采购人或第三方的检查。服务方达不到采购人要求及各项服务承诺，采购人有权要求其整改，直至扣款或终止合同。</w:t>
      </w:r>
    </w:p>
    <w:p w14:paraId="0F7E0970">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10.采购人工作人员及其他物业使用人对中标人的满意率达到90％，采购人可随时要求成交人在采购人的监督下进行满意率调查。</w:t>
      </w:r>
    </w:p>
    <w:p w14:paraId="1B36E3FA">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11.如今后物业服务范围增加，采购人将按成交单价根据有关规定另行签订补充协议。</w:t>
      </w:r>
    </w:p>
    <w:p w14:paraId="3198704D">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12.服务方有义务帮助采购人完成除维修维护外零星的小型电器安装、线路铺设、改动等工作，费用包含在本次投标价中，不再另行计费（上述所用设备及耗材由采购人负责解决，但所有给维护人员配置的维修工具、维修辅助设备应由服务方自行解决）。</w:t>
      </w:r>
    </w:p>
    <w:p w14:paraId="0548EEA4">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13.服务方必须配备物业管理的相关设施设备，包括但不限于扫地车、洒水车、垃圾清运车、安保设施、垃圾桶等保洁设施等。</w:t>
      </w:r>
    </w:p>
    <w:p w14:paraId="302CA9C7">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14.各投标人须按国家有关标准和规范完成采购文件要求的物业管理工作。</w:t>
      </w:r>
    </w:p>
    <w:p w14:paraId="013153F4">
      <w:pPr>
        <w:spacing w:line="480" w:lineRule="exact"/>
        <w:ind w:firstLine="482" w:firstLineChars="200"/>
        <w:contextualSpacing/>
        <w:rPr>
          <w:rFonts w:ascii="楷体" w:hAnsi="楷体" w:eastAsia="楷体" w:cs="楷体"/>
          <w:b/>
          <w:bCs/>
          <w:sz w:val="24"/>
          <w:szCs w:val="24"/>
        </w:rPr>
      </w:pPr>
      <w:r>
        <w:rPr>
          <w:rFonts w:hint="eastAsia" w:ascii="楷体" w:hAnsi="楷体" w:eastAsia="楷体" w:cs="楷体"/>
          <w:b/>
          <w:bCs/>
          <w:sz w:val="24"/>
          <w:szCs w:val="24"/>
        </w:rPr>
        <w:t>（二）特别要求</w:t>
      </w:r>
    </w:p>
    <w:p w14:paraId="2B1AB1EB">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为落实《政府采购促进中小企业发展管理办法》，本采购项目适宜由中小企业提供，预留给中小微企业的合同份额为合同总金额的40%。</w:t>
      </w:r>
    </w:p>
    <w:p w14:paraId="7B4994E0">
      <w:pPr>
        <w:spacing w:line="480" w:lineRule="exact"/>
        <w:ind w:firstLine="480" w:firstLineChars="200"/>
        <w:contextualSpacing/>
        <w:rPr>
          <w:rFonts w:ascii="黑体" w:hAnsi="黑体" w:eastAsia="黑体"/>
          <w:bCs/>
          <w:sz w:val="24"/>
          <w:szCs w:val="24"/>
        </w:rPr>
      </w:pPr>
      <w:r>
        <w:rPr>
          <w:rFonts w:hint="eastAsia" w:ascii="黑体" w:hAnsi="黑体" w:eastAsia="黑体"/>
          <w:bCs/>
          <w:sz w:val="24"/>
          <w:szCs w:val="24"/>
        </w:rPr>
        <w:t>六、管理服务应达到的各项指标</w:t>
      </w:r>
    </w:p>
    <w:p w14:paraId="1E4160E2">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（一）杜绝火灾责任事故和刑事案件；</w:t>
      </w:r>
    </w:p>
    <w:p w14:paraId="133C8A45">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（二）环境卫生、清洁率达99%；</w:t>
      </w:r>
    </w:p>
    <w:p w14:paraId="42064DD4">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（三）维修、报修及时率100%，返修率小于1%；</w:t>
      </w:r>
    </w:p>
    <w:p w14:paraId="682BD1B5">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（四）服务有效投诉少于1%，处理率100%；</w:t>
      </w:r>
    </w:p>
    <w:p w14:paraId="03720D06">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（五）满意率95%以上。</w:t>
      </w:r>
    </w:p>
    <w:p w14:paraId="54A1B43D">
      <w:pPr>
        <w:spacing w:line="480" w:lineRule="exact"/>
        <w:ind w:firstLine="480" w:firstLineChars="200"/>
        <w:contextualSpacing/>
        <w:rPr>
          <w:rFonts w:ascii="黑体" w:hAnsi="黑体" w:eastAsia="黑体"/>
          <w:bCs/>
          <w:sz w:val="24"/>
          <w:szCs w:val="24"/>
        </w:rPr>
      </w:pPr>
      <w:r>
        <w:rPr>
          <w:rFonts w:hint="eastAsia" w:ascii="黑体" w:hAnsi="黑体" w:eastAsia="黑体"/>
          <w:bCs/>
          <w:sz w:val="24"/>
          <w:szCs w:val="24"/>
        </w:rPr>
        <w:t>七、服务期限</w:t>
      </w:r>
    </w:p>
    <w:p w14:paraId="49959228">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本次招标服务年限为一年（2025年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月1日至2026年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月3</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日）。一年期满后</w:t>
      </w:r>
      <w:r>
        <w:rPr>
          <w:rFonts w:ascii="仿宋_GB2312" w:hAnsi="仿宋_GB2312" w:eastAsia="仿宋_GB2312" w:cs="仿宋_GB2312"/>
          <w:sz w:val="24"/>
          <w:szCs w:val="24"/>
        </w:rPr>
        <w:t>重新招标</w:t>
      </w:r>
      <w:r>
        <w:rPr>
          <w:rFonts w:hint="eastAsia" w:ascii="仿宋_GB2312" w:hAnsi="仿宋_GB2312" w:eastAsia="仿宋_GB2312" w:cs="仿宋_GB2312"/>
          <w:sz w:val="24"/>
          <w:szCs w:val="24"/>
        </w:rPr>
        <w:t>。</w:t>
      </w:r>
    </w:p>
    <w:p w14:paraId="7E0C724E">
      <w:pPr>
        <w:spacing w:line="480" w:lineRule="exact"/>
        <w:ind w:firstLine="480" w:firstLineChars="200"/>
        <w:contextualSpacing/>
        <w:rPr>
          <w:rFonts w:ascii="黑体" w:hAnsi="黑体" w:eastAsia="黑体"/>
          <w:bCs/>
          <w:sz w:val="24"/>
          <w:szCs w:val="24"/>
        </w:rPr>
      </w:pPr>
      <w:r>
        <w:rPr>
          <w:rFonts w:hint="eastAsia" w:ascii="黑体" w:hAnsi="黑体" w:eastAsia="黑体"/>
          <w:bCs/>
          <w:sz w:val="24"/>
          <w:szCs w:val="24"/>
        </w:rPr>
        <w:t>八、相关场地提供</w:t>
      </w:r>
    </w:p>
    <w:p w14:paraId="6CE2741E">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采购人不免费提供物业管理的办公场地，办公用品（指电脑、打印机、对讲机等）亦由投标人自行解决，若服务方需采购方提供管理用房，可协商租赁。</w:t>
      </w:r>
    </w:p>
    <w:p w14:paraId="548DD7C7">
      <w:pPr>
        <w:spacing w:line="480" w:lineRule="exact"/>
        <w:ind w:firstLine="480" w:firstLineChars="200"/>
        <w:contextualSpacing/>
        <w:rPr>
          <w:rFonts w:ascii="黑体" w:hAnsi="黑体" w:eastAsia="黑体"/>
          <w:bCs/>
          <w:sz w:val="24"/>
          <w:szCs w:val="24"/>
        </w:rPr>
      </w:pPr>
      <w:r>
        <w:rPr>
          <w:rFonts w:hint="eastAsia" w:ascii="黑体" w:hAnsi="黑体" w:eastAsia="黑体"/>
          <w:bCs/>
          <w:sz w:val="24"/>
          <w:szCs w:val="24"/>
        </w:rPr>
        <w:t>九、物业服务费用及财务管理要求</w:t>
      </w:r>
    </w:p>
    <w:p w14:paraId="681FD622">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物业管理服务费用以签订的合同价为准，业主按季度分期拨付。其中，分项目费用包括保洁服务（包括灭“四害”消杀、白蚁防治及垃圾清运）、保安服务、绿化管理、水电设备维护、工程综合维修及巡查及采购人交办的其他工作等，分别预算支出，使用时在总合同价内统筹安排。</w:t>
      </w:r>
    </w:p>
    <w:p w14:paraId="0F408A98">
      <w:pPr>
        <w:spacing w:line="480" w:lineRule="exact"/>
        <w:ind w:firstLine="480" w:firstLineChars="200"/>
        <w:contextualSpacing/>
        <w:rPr>
          <w:rFonts w:ascii="黑体" w:hAnsi="黑体" w:eastAsia="黑体"/>
          <w:bCs/>
          <w:sz w:val="24"/>
          <w:szCs w:val="24"/>
        </w:rPr>
      </w:pPr>
      <w:r>
        <w:rPr>
          <w:rFonts w:hint="eastAsia" w:ascii="黑体" w:hAnsi="黑体" w:eastAsia="黑体"/>
          <w:bCs/>
          <w:sz w:val="24"/>
          <w:szCs w:val="24"/>
        </w:rPr>
        <w:t>十、物业服务费用</w:t>
      </w:r>
    </w:p>
    <w:p w14:paraId="0546C4A5">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包括保安服务、保洁服务、消防、监控设施管理维护、高配设施管理维护、水电设备维护、房屋日常养护维修、工程综合维修及巡查等各项费用。各投标人报价按项目分项列出项目年支出费用，费用标准参照国家行业标准。在实施过程中具体列支可在物业管理服务期限内统筹安排，调剂使用。（维修耗材由采购人负责）。</w:t>
      </w:r>
    </w:p>
    <w:p w14:paraId="71E32BBE">
      <w:pPr>
        <w:spacing w:line="480" w:lineRule="exact"/>
        <w:ind w:firstLine="480" w:firstLineChars="200"/>
        <w:contextualSpacing/>
        <w:rPr>
          <w:rFonts w:ascii="黑体" w:hAnsi="黑体" w:eastAsia="黑体"/>
          <w:bCs/>
          <w:sz w:val="24"/>
          <w:szCs w:val="24"/>
        </w:rPr>
      </w:pPr>
      <w:r>
        <w:rPr>
          <w:rFonts w:hint="eastAsia" w:ascii="黑体" w:hAnsi="黑体" w:eastAsia="黑体"/>
          <w:bCs/>
          <w:sz w:val="24"/>
          <w:szCs w:val="24"/>
        </w:rPr>
        <w:t>十一、检查与考核</w:t>
      </w:r>
    </w:p>
    <w:p w14:paraId="26593793">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（一）服务方应制订具体的质量保证和相关服务承诺</w:t>
      </w:r>
      <w:r>
        <w:rPr>
          <w:rFonts w:ascii="仿宋_GB2312" w:hAnsi="仿宋_GB2312" w:eastAsia="仿宋_GB2312" w:cs="仿宋_GB2312"/>
          <w:sz w:val="24"/>
          <w:szCs w:val="24"/>
        </w:rPr>
        <w:t>及措施</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服务方</w:t>
      </w:r>
      <w:r>
        <w:rPr>
          <w:rFonts w:hint="eastAsia" w:ascii="仿宋_GB2312" w:hAnsi="仿宋_GB2312" w:eastAsia="仿宋_GB2312" w:cs="仿宋_GB2312"/>
          <w:sz w:val="24"/>
          <w:szCs w:val="24"/>
        </w:rPr>
        <w:t>所有的工作除应按</w:t>
      </w:r>
      <w:r>
        <w:rPr>
          <w:rFonts w:ascii="仿宋_GB2312" w:hAnsi="仿宋_GB2312" w:eastAsia="仿宋_GB2312" w:cs="仿宋_GB2312"/>
          <w:sz w:val="24"/>
          <w:szCs w:val="24"/>
        </w:rPr>
        <w:t>服务方</w:t>
      </w:r>
      <w:r>
        <w:rPr>
          <w:rFonts w:hint="eastAsia" w:ascii="仿宋_GB2312" w:hAnsi="仿宋_GB2312" w:eastAsia="仿宋_GB2312" w:cs="仿宋_GB2312"/>
          <w:sz w:val="24"/>
          <w:szCs w:val="24"/>
        </w:rPr>
        <w:t>的内部流程实施外，还应接受采购人或第三方的随时检查。如因质量未达到目标，采购人有权要求其整改，同时服务方应承担责任和经济赔偿（扣款或终止合同）。</w:t>
      </w:r>
    </w:p>
    <w:p w14:paraId="174E3E8E">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（二）采购人定期和不定期地对</w:t>
      </w:r>
      <w:r>
        <w:rPr>
          <w:rFonts w:ascii="仿宋_GB2312" w:hAnsi="仿宋_GB2312" w:eastAsia="仿宋_GB2312" w:cs="仿宋_GB2312"/>
          <w:sz w:val="24"/>
          <w:szCs w:val="24"/>
        </w:rPr>
        <w:t>服务方</w:t>
      </w:r>
      <w:r>
        <w:rPr>
          <w:rFonts w:hint="eastAsia" w:ascii="仿宋_GB2312" w:hAnsi="仿宋_GB2312" w:eastAsia="仿宋_GB2312" w:cs="仿宋_GB2312"/>
          <w:sz w:val="24"/>
          <w:szCs w:val="24"/>
        </w:rPr>
        <w:t>管理服务进行检查和抽查，检查记录和整改时限反馈服务方。并每季对“传达、保安和秩序管理”，“环境卫生”，“综合维修”等内容的检查结果进行考核。</w:t>
      </w:r>
    </w:p>
    <w:p w14:paraId="1E9739D5">
      <w:pPr>
        <w:spacing w:line="480" w:lineRule="exact"/>
        <w:ind w:firstLine="480" w:firstLineChars="200"/>
        <w:contextualSpacing/>
        <w:rPr>
          <w:rFonts w:ascii="黑体" w:hAnsi="黑体" w:eastAsia="黑体"/>
          <w:bCs/>
          <w:sz w:val="24"/>
          <w:szCs w:val="24"/>
        </w:rPr>
      </w:pPr>
      <w:r>
        <w:rPr>
          <w:rFonts w:hint="eastAsia" w:ascii="黑体" w:hAnsi="黑体" w:eastAsia="黑体"/>
          <w:bCs/>
          <w:sz w:val="24"/>
          <w:szCs w:val="24"/>
        </w:rPr>
        <w:t>十二、监督管理与检查考核办法</w:t>
      </w:r>
    </w:p>
    <w:p w14:paraId="00A31832">
      <w:pPr>
        <w:spacing w:line="480" w:lineRule="exact"/>
        <w:ind w:firstLine="482" w:firstLineChars="200"/>
        <w:contextualSpacing/>
        <w:rPr>
          <w:rFonts w:ascii="楷体" w:hAnsi="楷体" w:eastAsia="楷体" w:cs="楷体"/>
          <w:b/>
          <w:bCs/>
          <w:sz w:val="24"/>
          <w:szCs w:val="24"/>
        </w:rPr>
      </w:pPr>
      <w:bookmarkStart w:id="29" w:name="_Toc384307882"/>
      <w:r>
        <w:rPr>
          <w:rFonts w:hint="eastAsia" w:ascii="楷体" w:hAnsi="楷体" w:eastAsia="楷体" w:cs="楷体"/>
          <w:b/>
          <w:bCs/>
          <w:sz w:val="24"/>
          <w:szCs w:val="24"/>
        </w:rPr>
        <w:t>（一）监督管理</w:t>
      </w:r>
      <w:bookmarkEnd w:id="29"/>
    </w:p>
    <w:p w14:paraId="2AB5331B">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1.严格执行合同中规定的岗位服务内容及标准；</w:t>
      </w:r>
    </w:p>
    <w:p w14:paraId="2C5295B5">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ascii="仿宋_GB2312" w:hAnsi="仿宋_GB2312" w:eastAsia="仿宋_GB2312" w:cs="仿宋_GB2312"/>
          <w:sz w:val="24"/>
          <w:szCs w:val="24"/>
        </w:rPr>
        <w:t>服务方</w:t>
      </w:r>
      <w:r>
        <w:rPr>
          <w:rFonts w:hint="eastAsia" w:ascii="仿宋_GB2312" w:hAnsi="仿宋_GB2312" w:eastAsia="仿宋_GB2312" w:cs="仿宋_GB2312"/>
          <w:sz w:val="24"/>
          <w:szCs w:val="24"/>
        </w:rPr>
        <w:t>应根据合同规定的内容及人员情况，制定出内部相应的考核办法；</w:t>
      </w:r>
    </w:p>
    <w:p w14:paraId="0E99272C">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3.经采购人考核不合格项并限期下达整改的措施必须按时完成；</w:t>
      </w:r>
    </w:p>
    <w:p w14:paraId="64BD2DBA">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4.做好各方面的记录工作。</w:t>
      </w:r>
    </w:p>
    <w:p w14:paraId="17CF129F">
      <w:pPr>
        <w:spacing w:line="480" w:lineRule="exact"/>
        <w:ind w:firstLine="482" w:firstLineChars="200"/>
        <w:contextualSpacing/>
        <w:rPr>
          <w:rFonts w:ascii="楷体" w:hAnsi="楷体" w:eastAsia="楷体" w:cs="楷体"/>
          <w:b/>
          <w:bCs/>
          <w:sz w:val="24"/>
          <w:szCs w:val="24"/>
        </w:rPr>
      </w:pPr>
      <w:bookmarkStart w:id="30" w:name="_Toc384307883"/>
      <w:r>
        <w:rPr>
          <w:rFonts w:hint="eastAsia" w:ascii="楷体" w:hAnsi="楷体" w:eastAsia="楷体" w:cs="楷体"/>
          <w:b/>
          <w:bCs/>
          <w:sz w:val="24"/>
          <w:szCs w:val="24"/>
        </w:rPr>
        <w:t>（二）检查与考核</w:t>
      </w:r>
      <w:bookmarkEnd w:id="30"/>
    </w:p>
    <w:p w14:paraId="2ABA80A9">
      <w:pPr>
        <w:spacing w:line="480" w:lineRule="exact"/>
        <w:ind w:firstLine="482" w:firstLineChars="200"/>
        <w:contextualSpacing/>
        <w:rPr>
          <w:rFonts w:ascii="仿宋_GB2312" w:hAnsi="仿宋_GB2312" w:eastAsia="仿宋_GB2312" w:cs="仿宋_GB2312"/>
          <w:sz w:val="24"/>
          <w:szCs w:val="24"/>
        </w:rPr>
      </w:pPr>
      <w:r>
        <w:rPr>
          <w:rFonts w:hint="eastAsia" w:ascii="仿宋_GB2312" w:hAnsi="仿宋_GB2312" w:eastAsia="仿宋_GB2312" w:cs="仿宋_GB2312"/>
          <w:b/>
          <w:bCs/>
          <w:sz w:val="24"/>
          <w:szCs w:val="24"/>
        </w:rPr>
        <w:t>1.检查时间</w:t>
      </w:r>
      <w:r>
        <w:rPr>
          <w:rFonts w:hint="eastAsia" w:ascii="仿宋_GB2312" w:hAnsi="仿宋_GB2312" w:eastAsia="仿宋_GB2312" w:cs="仿宋_GB2312"/>
          <w:sz w:val="24"/>
          <w:szCs w:val="24"/>
        </w:rPr>
        <w:t>：每月不定期检查。</w:t>
      </w:r>
    </w:p>
    <w:p w14:paraId="5208536E">
      <w:pPr>
        <w:spacing w:line="480" w:lineRule="exact"/>
        <w:ind w:firstLine="482" w:firstLineChars="200"/>
        <w:contextualSpacing/>
        <w:rPr>
          <w:rFonts w:ascii="仿宋_GB2312" w:hAnsi="仿宋_GB2312" w:eastAsia="仿宋_GB2312" w:cs="仿宋_GB2312"/>
          <w:sz w:val="24"/>
          <w:szCs w:val="24"/>
        </w:rPr>
      </w:pPr>
      <w:r>
        <w:rPr>
          <w:rFonts w:hint="eastAsia" w:ascii="仿宋_GB2312" w:hAnsi="仿宋_GB2312" w:eastAsia="仿宋_GB2312" w:cs="仿宋_GB2312"/>
          <w:b/>
          <w:bCs/>
          <w:sz w:val="24"/>
          <w:szCs w:val="24"/>
        </w:rPr>
        <w:t>2.考核形式</w:t>
      </w:r>
      <w:r>
        <w:rPr>
          <w:rFonts w:hint="eastAsia" w:ascii="仿宋_GB2312" w:hAnsi="仿宋_GB2312" w:eastAsia="仿宋_GB2312" w:cs="仿宋_GB2312"/>
          <w:sz w:val="24"/>
          <w:szCs w:val="24"/>
        </w:rPr>
        <w:t>：</w:t>
      </w:r>
    </w:p>
    <w:p w14:paraId="1CAF4060">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（1）考核小组：由采购人的管理班子成员</w:t>
      </w:r>
      <w:r>
        <w:rPr>
          <w:rFonts w:ascii="仿宋_GB2312" w:hAnsi="仿宋_GB2312" w:eastAsia="仿宋_GB2312" w:cs="仿宋_GB2312"/>
          <w:sz w:val="24"/>
          <w:szCs w:val="24"/>
        </w:rPr>
        <w:t>及相关工作人员</w:t>
      </w:r>
      <w:r>
        <w:rPr>
          <w:rFonts w:hint="eastAsia" w:ascii="仿宋_GB2312" w:hAnsi="仿宋_GB2312" w:eastAsia="仿宋_GB2312" w:cs="仿宋_GB2312"/>
          <w:sz w:val="24"/>
          <w:szCs w:val="24"/>
        </w:rPr>
        <w:t>组成；</w:t>
      </w:r>
    </w:p>
    <w:p w14:paraId="4A2743BC">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（2）月度考核：每月不定期检查并结合当月物业服务安排、</w:t>
      </w:r>
      <w:r>
        <w:rPr>
          <w:rFonts w:ascii="仿宋_GB2312" w:hAnsi="仿宋_GB2312" w:eastAsia="仿宋_GB2312" w:cs="仿宋_GB2312"/>
          <w:sz w:val="24"/>
          <w:szCs w:val="24"/>
        </w:rPr>
        <w:t>具体工作</w:t>
      </w:r>
      <w:r>
        <w:rPr>
          <w:rFonts w:hint="eastAsia" w:ascii="仿宋_GB2312" w:hAnsi="仿宋_GB2312" w:eastAsia="仿宋_GB2312" w:cs="仿宋_GB2312"/>
          <w:sz w:val="24"/>
          <w:szCs w:val="24"/>
        </w:rPr>
        <w:t>及执行完成情况台账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按百分制进行月度考评打分；</w:t>
      </w:r>
    </w:p>
    <w:p w14:paraId="0D94DD12">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（3）季度考核：以该季度三个月每月考核的平均分为准；</w:t>
      </w:r>
    </w:p>
    <w:p w14:paraId="69C67FA8">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（4）年度考核：以该服务年度内每月考核的平均分为准。</w:t>
      </w:r>
    </w:p>
    <w:p w14:paraId="755AC142">
      <w:pPr>
        <w:spacing w:line="480" w:lineRule="exact"/>
        <w:ind w:firstLine="602" w:firstLineChars="250"/>
        <w:contextualSpacing/>
        <w:rPr>
          <w:rFonts w:ascii="仿宋_GB2312" w:hAnsi="仿宋_GB2312" w:eastAsia="仿宋_GB2312" w:cs="仿宋_GB2312"/>
          <w:sz w:val="24"/>
          <w:szCs w:val="24"/>
        </w:rPr>
      </w:pPr>
      <w:r>
        <w:rPr>
          <w:rFonts w:hint="eastAsia" w:ascii="仿宋_GB2312" w:hAnsi="仿宋_GB2312" w:eastAsia="仿宋_GB2312" w:cs="仿宋_GB2312"/>
          <w:b/>
          <w:bCs/>
          <w:sz w:val="24"/>
          <w:szCs w:val="24"/>
        </w:rPr>
        <w:t>3.考核标准</w:t>
      </w:r>
      <w:r>
        <w:rPr>
          <w:rFonts w:hint="eastAsia" w:ascii="仿宋_GB2312" w:hAnsi="仿宋_GB2312" w:eastAsia="仿宋_GB2312" w:cs="仿宋_GB2312"/>
          <w:sz w:val="24"/>
          <w:szCs w:val="24"/>
        </w:rPr>
        <w:t>：</w:t>
      </w:r>
    </w:p>
    <w:p w14:paraId="2271150F">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（1）以</w:t>
      </w:r>
      <w:r>
        <w:rPr>
          <w:rFonts w:ascii="仿宋_GB2312" w:hAnsi="仿宋_GB2312" w:eastAsia="仿宋_GB2312" w:cs="仿宋_GB2312"/>
          <w:sz w:val="24"/>
          <w:szCs w:val="24"/>
        </w:rPr>
        <w:t>物业</w:t>
      </w:r>
      <w:r>
        <w:rPr>
          <w:rFonts w:hint="eastAsia" w:ascii="仿宋_GB2312" w:hAnsi="仿宋_GB2312" w:eastAsia="仿宋_GB2312" w:cs="仿宋_GB2312"/>
          <w:sz w:val="24"/>
          <w:szCs w:val="24"/>
        </w:rPr>
        <w:t>服务内容及标准中所列项进行考核；</w:t>
      </w:r>
    </w:p>
    <w:p w14:paraId="58F0B7AD">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（2）按考核标准，85分为服务达标标准分。</w:t>
      </w:r>
    </w:p>
    <w:p w14:paraId="7171A187">
      <w:pPr>
        <w:spacing w:line="480" w:lineRule="exact"/>
        <w:ind w:firstLine="482" w:firstLineChars="200"/>
        <w:contextualSpacing/>
        <w:rPr>
          <w:rFonts w:ascii="楷体" w:hAnsi="楷体" w:eastAsia="楷体" w:cs="楷体"/>
          <w:b/>
          <w:bCs/>
          <w:sz w:val="24"/>
          <w:szCs w:val="24"/>
        </w:rPr>
      </w:pPr>
      <w:bookmarkStart w:id="31" w:name="_Toc384307884"/>
      <w:r>
        <w:rPr>
          <w:rFonts w:hint="eastAsia" w:ascii="楷体" w:hAnsi="楷体" w:eastAsia="楷体" w:cs="楷体"/>
          <w:b/>
          <w:bCs/>
          <w:sz w:val="24"/>
          <w:szCs w:val="24"/>
        </w:rPr>
        <w:t>（三）</w:t>
      </w:r>
      <w:bookmarkEnd w:id="31"/>
      <w:r>
        <w:rPr>
          <w:rFonts w:hint="eastAsia" w:ascii="楷体" w:hAnsi="楷体" w:eastAsia="楷体" w:cs="楷体"/>
          <w:b/>
          <w:bCs/>
          <w:sz w:val="24"/>
          <w:szCs w:val="24"/>
        </w:rPr>
        <w:t>奖惩</w:t>
      </w:r>
    </w:p>
    <w:p w14:paraId="138D45AB">
      <w:pPr>
        <w:spacing w:line="480" w:lineRule="exact"/>
        <w:ind w:firstLine="482" w:firstLineChars="200"/>
        <w:contextualSpacing/>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1.处罚</w:t>
      </w:r>
    </w:p>
    <w:p w14:paraId="35C626E3">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（1）全国性检查通报一次扣 5000元，若直接对采购方造成负面社会影响或经济损失的，则视情节严重程度做出相应的处罚；</w:t>
      </w:r>
    </w:p>
    <w:p w14:paraId="5660DE40">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（2）省、市检查通报一次扣 2000元，若直接对采购方造成负面社会影响或经济损失的，则视情节严重程度做出相应的处罚；</w:t>
      </w:r>
    </w:p>
    <w:p w14:paraId="663C5275">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（3）新闻媒体批评及曝光</w:t>
      </w:r>
      <w:r>
        <w:rPr>
          <w:rFonts w:ascii="仿宋_GB2312" w:hAnsi="仿宋_GB2312" w:eastAsia="仿宋_GB2312" w:cs="仿宋_GB2312"/>
          <w:sz w:val="24"/>
          <w:szCs w:val="24"/>
        </w:rPr>
        <w:t>一</w:t>
      </w:r>
      <w:r>
        <w:rPr>
          <w:rFonts w:hint="eastAsia" w:ascii="仿宋_GB2312" w:hAnsi="仿宋_GB2312" w:eastAsia="仿宋_GB2312" w:cs="仿宋_GB2312"/>
          <w:sz w:val="24"/>
          <w:szCs w:val="24"/>
        </w:rPr>
        <w:t>次扣1000元；</w:t>
      </w:r>
    </w:p>
    <w:p w14:paraId="6EB13FE9">
      <w:pPr>
        <w:spacing w:line="48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（4）累计发出三次以上整改通知书且不整改的，履约保证金不予退还。</w:t>
      </w:r>
    </w:p>
    <w:p w14:paraId="051427EB">
      <w:pPr>
        <w:spacing w:line="480" w:lineRule="exact"/>
        <w:ind w:firstLine="482" w:firstLineChars="200"/>
        <w:contextualSpacing/>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2.奖励</w:t>
      </w:r>
    </w:p>
    <w:p w14:paraId="2279F009">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新闻媒休（电视台、报社、广播电台等）表扬的，给予一定的奖励；</w:t>
      </w:r>
    </w:p>
    <w:p w14:paraId="420BE786">
      <w:pPr>
        <w:spacing w:line="48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全年上级有关部门各种检查未失责任分的，给予一定的奖励。</w:t>
      </w:r>
    </w:p>
    <w:p w14:paraId="3F0BAEE1">
      <w:pPr>
        <w:spacing w:line="480" w:lineRule="exact"/>
        <w:ind w:firstLine="482" w:firstLineChars="200"/>
        <w:jc w:val="lef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十三、付款方式</w:t>
      </w:r>
    </w:p>
    <w:p w14:paraId="74972710">
      <w:pPr>
        <w:spacing w:line="440" w:lineRule="exact"/>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物业管理费支付办法为：</w:t>
      </w:r>
    </w:p>
    <w:p w14:paraId="3AC8CBC1">
      <w:pPr>
        <w:spacing w:line="440" w:lineRule="exact"/>
        <w:ind w:firstLine="480" w:firstLineChars="20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lang w:val="en-US" w:eastAsia="zh-CN"/>
        </w:rPr>
        <w:t>1</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rPr>
        <w:t>预付款：</w:t>
      </w:r>
      <w:r>
        <w:rPr>
          <w:rFonts w:hint="eastAsia" w:ascii="仿宋_GB2312" w:hAnsi="仿宋" w:eastAsia="仿宋_GB2312" w:cs="仿宋"/>
          <w:color w:val="auto"/>
          <w:sz w:val="24"/>
          <w:szCs w:val="24"/>
          <w:highlight w:val="none"/>
        </w:rPr>
        <w:t>在合同生效后的7个工作日内，</w:t>
      </w:r>
      <w:r>
        <w:rPr>
          <w:rFonts w:hint="eastAsia" w:ascii="仿宋_GB2312" w:hAnsi="仿宋" w:eastAsia="仿宋_GB2312" w:cs="仿宋"/>
          <w:color w:val="auto"/>
          <w:sz w:val="24"/>
          <w:szCs w:val="24"/>
          <w:highlight w:val="none"/>
          <w:lang w:eastAsia="zh-CN"/>
        </w:rPr>
        <w:t>采购人</w:t>
      </w:r>
      <w:r>
        <w:rPr>
          <w:rFonts w:hint="eastAsia" w:ascii="仿宋_GB2312" w:hAnsi="仿宋" w:eastAsia="仿宋_GB2312" w:cs="仿宋"/>
          <w:color w:val="auto"/>
          <w:sz w:val="24"/>
          <w:szCs w:val="24"/>
          <w:highlight w:val="none"/>
        </w:rPr>
        <w:t>凭</w:t>
      </w:r>
      <w:r>
        <w:rPr>
          <w:rFonts w:hint="eastAsia" w:ascii="仿宋_GB2312" w:hAnsi="仿宋" w:eastAsia="仿宋_GB2312" w:cs="仿宋"/>
          <w:color w:val="auto"/>
          <w:sz w:val="24"/>
          <w:szCs w:val="24"/>
          <w:highlight w:val="none"/>
          <w:lang w:eastAsia="zh-CN"/>
        </w:rPr>
        <w:t>中标人</w:t>
      </w:r>
      <w:r>
        <w:rPr>
          <w:rFonts w:hint="eastAsia" w:ascii="仿宋_GB2312" w:hAnsi="仿宋" w:eastAsia="仿宋_GB2312" w:cs="仿宋"/>
          <w:color w:val="auto"/>
          <w:sz w:val="24"/>
          <w:szCs w:val="24"/>
          <w:highlight w:val="none"/>
        </w:rPr>
        <w:t>提供的正规发票，按财政部门规定的支付方式支付当年度合同金额的</w:t>
      </w:r>
      <w:r>
        <w:rPr>
          <w:rFonts w:hint="eastAsia" w:ascii="仿宋_GB2312" w:hAnsi="仿宋" w:eastAsia="仿宋_GB2312" w:cs="仿宋"/>
          <w:color w:val="auto"/>
          <w:sz w:val="24"/>
          <w:szCs w:val="24"/>
          <w:highlight w:val="none"/>
          <w:lang w:val="en-US" w:eastAsia="zh-CN"/>
        </w:rPr>
        <w:t>20</w:t>
      </w:r>
      <w:r>
        <w:rPr>
          <w:rFonts w:hint="eastAsia" w:ascii="仿宋_GB2312" w:hAnsi="仿宋" w:eastAsia="仿宋_GB2312" w:cs="仿宋"/>
          <w:color w:val="auto"/>
          <w:sz w:val="24"/>
          <w:szCs w:val="24"/>
          <w:highlight w:val="none"/>
        </w:rPr>
        <w:t>%给</w:t>
      </w:r>
      <w:r>
        <w:rPr>
          <w:rFonts w:hint="eastAsia" w:ascii="仿宋_GB2312" w:hAnsi="仿宋" w:eastAsia="仿宋_GB2312" w:cs="仿宋"/>
          <w:color w:val="auto"/>
          <w:sz w:val="24"/>
          <w:szCs w:val="24"/>
          <w:highlight w:val="none"/>
          <w:lang w:eastAsia="zh-CN"/>
        </w:rPr>
        <w:t>中标人</w:t>
      </w:r>
      <w:r>
        <w:rPr>
          <w:rFonts w:hint="eastAsia" w:ascii="仿宋_GB2312" w:hAnsi="仿宋" w:eastAsia="仿宋_GB2312" w:cs="仿宋"/>
          <w:color w:val="auto"/>
          <w:sz w:val="24"/>
          <w:szCs w:val="24"/>
          <w:highlight w:val="none"/>
        </w:rPr>
        <w:t>。</w:t>
      </w:r>
    </w:p>
    <w:p w14:paraId="02BB3789">
      <w:pPr>
        <w:spacing w:line="440" w:lineRule="exact"/>
        <w:ind w:firstLine="480" w:firstLineChars="20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lang w:val="en-US" w:eastAsia="zh-CN"/>
        </w:rPr>
        <w:t>2</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rPr>
        <w:t>剩余款项：</w:t>
      </w:r>
      <w:r>
        <w:rPr>
          <w:rFonts w:hint="eastAsia" w:ascii="仿宋_GB2312" w:hAnsi="仿宋" w:eastAsia="仿宋_GB2312" w:cs="仿宋"/>
          <w:color w:val="auto"/>
          <w:sz w:val="24"/>
          <w:szCs w:val="24"/>
          <w:highlight w:val="none"/>
        </w:rPr>
        <w:t>剩余合同金额的</w:t>
      </w:r>
      <w:r>
        <w:rPr>
          <w:rFonts w:hint="eastAsia" w:ascii="仿宋_GB2312" w:hAnsi="仿宋" w:eastAsia="仿宋_GB2312" w:cs="仿宋"/>
          <w:color w:val="auto"/>
          <w:sz w:val="24"/>
          <w:szCs w:val="24"/>
          <w:highlight w:val="none"/>
          <w:lang w:val="en-US" w:eastAsia="zh-CN"/>
        </w:rPr>
        <w:t>80</w:t>
      </w:r>
      <w:r>
        <w:rPr>
          <w:rFonts w:hint="eastAsia"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lang w:eastAsia="zh-CN"/>
        </w:rPr>
        <w:t>满足合同约定支付条件的，按财政部门规定的支付方式按季度平均支付。</w:t>
      </w:r>
    </w:p>
    <w:p w14:paraId="3937D849">
      <w:pPr>
        <w:numPr>
          <w:ilvl w:val="0"/>
          <w:numId w:val="0"/>
        </w:numPr>
        <w:spacing w:line="440" w:lineRule="exact"/>
        <w:rPr>
          <w:rFonts w:ascii="仿宋_GB2312" w:hAnsi="仿宋" w:eastAsia="仿宋_GB2312" w:cs="仿宋"/>
          <w:color w:val="FF0000"/>
          <w:sz w:val="24"/>
          <w:szCs w:val="24"/>
        </w:rPr>
      </w:pPr>
    </w:p>
    <w:p w14:paraId="736D67CC">
      <w:pPr>
        <w:spacing w:line="56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附件：1.服务质量月度考评表</w:t>
      </w:r>
    </w:p>
    <w:p w14:paraId="3A963049">
      <w:pPr>
        <w:spacing w:line="560" w:lineRule="exact"/>
        <w:ind w:firstLine="480" w:firstLineChars="20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2.处罚方法</w:t>
      </w:r>
    </w:p>
    <w:p w14:paraId="2746C8D1">
      <w:pPr>
        <w:spacing w:line="560" w:lineRule="exact"/>
        <w:ind w:firstLine="480" w:firstLineChars="200"/>
        <w:contextualSpacing/>
        <w:rPr>
          <w:rFonts w:ascii="仿宋_GB2312" w:hAnsi="仿宋_GB2312" w:eastAsia="仿宋_GB2312" w:cs="仿宋_GB2312"/>
          <w:sz w:val="24"/>
          <w:szCs w:val="24"/>
        </w:rPr>
      </w:pPr>
    </w:p>
    <w:p w14:paraId="7293052F">
      <w:pPr>
        <w:spacing w:line="560" w:lineRule="exact"/>
        <w:ind w:firstLine="480" w:firstLineChars="200"/>
        <w:contextualSpacing/>
        <w:rPr>
          <w:rFonts w:ascii="仿宋_GB2312" w:hAnsi="仿宋_GB2312" w:eastAsia="仿宋_GB2312" w:cs="仿宋_GB2312"/>
          <w:sz w:val="24"/>
          <w:szCs w:val="24"/>
        </w:rPr>
      </w:pPr>
    </w:p>
    <w:p w14:paraId="22A30F42">
      <w:pPr>
        <w:spacing w:line="560" w:lineRule="exact"/>
        <w:ind w:firstLine="480" w:firstLineChars="200"/>
        <w:contextualSpacing/>
        <w:rPr>
          <w:rFonts w:ascii="仿宋_GB2312" w:hAnsi="仿宋_GB2312" w:eastAsia="仿宋_GB2312" w:cs="仿宋_GB2312"/>
          <w:sz w:val="24"/>
          <w:szCs w:val="24"/>
        </w:rPr>
      </w:pPr>
    </w:p>
    <w:p w14:paraId="0FDA38E2">
      <w:pPr>
        <w:spacing w:line="560" w:lineRule="exact"/>
        <w:ind w:firstLine="480" w:firstLineChars="200"/>
        <w:contextualSpacing/>
        <w:rPr>
          <w:rFonts w:ascii="仿宋_GB2312" w:hAnsi="仿宋_GB2312" w:eastAsia="仿宋_GB2312" w:cs="仿宋_GB2312"/>
          <w:sz w:val="24"/>
          <w:szCs w:val="24"/>
        </w:rPr>
      </w:pPr>
    </w:p>
    <w:p w14:paraId="57EFA3AA">
      <w:pPr>
        <w:spacing w:line="560" w:lineRule="exact"/>
        <w:ind w:firstLine="480" w:firstLineChars="200"/>
        <w:contextualSpacing/>
        <w:rPr>
          <w:rFonts w:ascii="仿宋_GB2312" w:hAnsi="仿宋_GB2312" w:eastAsia="仿宋_GB2312" w:cs="仿宋_GB2312"/>
          <w:sz w:val="24"/>
          <w:szCs w:val="24"/>
        </w:rPr>
      </w:pPr>
    </w:p>
    <w:p w14:paraId="195E2FD4">
      <w:pPr>
        <w:spacing w:line="560" w:lineRule="exact"/>
        <w:ind w:firstLine="480" w:firstLineChars="200"/>
        <w:contextualSpacing/>
        <w:rPr>
          <w:rFonts w:ascii="仿宋_GB2312" w:hAnsi="仿宋_GB2312" w:eastAsia="仿宋_GB2312" w:cs="仿宋_GB2312"/>
          <w:sz w:val="24"/>
          <w:szCs w:val="24"/>
        </w:rPr>
      </w:pPr>
    </w:p>
    <w:p w14:paraId="5F0A8DB1">
      <w:pPr>
        <w:spacing w:line="560" w:lineRule="exact"/>
        <w:ind w:firstLine="480" w:firstLineChars="200"/>
        <w:contextualSpacing/>
        <w:rPr>
          <w:rFonts w:ascii="仿宋_GB2312" w:hAnsi="仿宋_GB2312" w:eastAsia="仿宋_GB2312" w:cs="仿宋_GB2312"/>
          <w:sz w:val="24"/>
          <w:szCs w:val="24"/>
        </w:rPr>
      </w:pPr>
    </w:p>
    <w:p w14:paraId="62C96D06">
      <w:pPr>
        <w:spacing w:line="560" w:lineRule="exact"/>
        <w:ind w:firstLine="480" w:firstLineChars="200"/>
        <w:contextualSpacing/>
        <w:rPr>
          <w:rFonts w:ascii="仿宋_GB2312" w:hAnsi="仿宋_GB2312" w:eastAsia="仿宋_GB2312" w:cs="仿宋_GB2312"/>
          <w:sz w:val="24"/>
          <w:szCs w:val="24"/>
        </w:rPr>
      </w:pPr>
    </w:p>
    <w:p w14:paraId="57C905E4">
      <w:pPr>
        <w:spacing w:line="560" w:lineRule="exact"/>
        <w:ind w:firstLine="480" w:firstLineChars="200"/>
        <w:contextualSpacing/>
        <w:rPr>
          <w:rFonts w:ascii="仿宋_GB2312" w:hAnsi="仿宋_GB2312" w:eastAsia="仿宋_GB2312" w:cs="仿宋_GB2312"/>
          <w:sz w:val="24"/>
          <w:szCs w:val="24"/>
        </w:rPr>
      </w:pPr>
    </w:p>
    <w:p w14:paraId="342597CD">
      <w:pPr>
        <w:spacing w:line="560" w:lineRule="exact"/>
        <w:ind w:firstLine="480" w:firstLineChars="200"/>
        <w:contextualSpacing/>
        <w:rPr>
          <w:rFonts w:ascii="仿宋_GB2312" w:hAnsi="仿宋_GB2312" w:eastAsia="仿宋_GB2312" w:cs="仿宋_GB2312"/>
          <w:sz w:val="24"/>
          <w:szCs w:val="24"/>
        </w:rPr>
      </w:pPr>
    </w:p>
    <w:p w14:paraId="68B5C761">
      <w:pPr>
        <w:spacing w:line="560" w:lineRule="exact"/>
        <w:ind w:firstLine="480" w:firstLineChars="200"/>
        <w:contextualSpacing/>
        <w:rPr>
          <w:rFonts w:ascii="仿宋_GB2312" w:hAnsi="仿宋_GB2312" w:eastAsia="仿宋_GB2312" w:cs="仿宋_GB2312"/>
          <w:sz w:val="24"/>
          <w:szCs w:val="24"/>
        </w:rPr>
      </w:pPr>
    </w:p>
    <w:p w14:paraId="40A31CD6">
      <w:pPr>
        <w:pStyle w:val="4"/>
      </w:pPr>
    </w:p>
    <w:p w14:paraId="48737C4D">
      <w:pPr>
        <w:spacing w:line="560" w:lineRule="exact"/>
        <w:ind w:firstLine="480" w:firstLineChars="200"/>
        <w:contextualSpacing/>
        <w:rPr>
          <w:rFonts w:ascii="仿宋_GB2312" w:hAnsi="仿宋_GB2312" w:eastAsia="仿宋_GB2312" w:cs="仿宋_GB2312"/>
          <w:sz w:val="24"/>
          <w:szCs w:val="24"/>
        </w:rPr>
      </w:pPr>
    </w:p>
    <w:p w14:paraId="02ABB097">
      <w:pPr>
        <w:spacing w:line="560" w:lineRule="exact"/>
        <w:ind w:firstLine="480" w:firstLineChars="200"/>
        <w:contextualSpacing/>
        <w:rPr>
          <w:rFonts w:ascii="仿宋_GB2312" w:hAnsi="仿宋_GB2312" w:eastAsia="仿宋_GB2312" w:cs="仿宋_GB2312"/>
          <w:sz w:val="24"/>
          <w:szCs w:val="24"/>
        </w:rPr>
      </w:pPr>
    </w:p>
    <w:p w14:paraId="607511C1">
      <w:pPr>
        <w:spacing w:line="560" w:lineRule="exact"/>
        <w:ind w:firstLine="480" w:firstLineChars="200"/>
        <w:contextualSpacing/>
        <w:rPr>
          <w:rFonts w:ascii="仿宋_GB2312" w:hAnsi="仿宋_GB2312" w:eastAsia="仿宋_GB2312" w:cs="仿宋_GB2312"/>
          <w:sz w:val="24"/>
          <w:szCs w:val="24"/>
        </w:rPr>
      </w:pPr>
    </w:p>
    <w:p w14:paraId="37928560">
      <w:pPr>
        <w:spacing w:line="560" w:lineRule="exact"/>
        <w:ind w:firstLine="480" w:firstLineChars="200"/>
        <w:contextualSpacing/>
        <w:rPr>
          <w:rFonts w:ascii="仿宋_GB2312" w:hAnsi="仿宋_GB2312" w:eastAsia="仿宋_GB2312" w:cs="仿宋_GB2312"/>
          <w:sz w:val="24"/>
          <w:szCs w:val="24"/>
        </w:rPr>
      </w:pPr>
    </w:p>
    <w:p w14:paraId="5478A4B2">
      <w:pPr>
        <w:spacing w:line="560" w:lineRule="exact"/>
        <w:ind w:firstLine="480" w:firstLineChars="200"/>
        <w:contextualSpacing/>
        <w:rPr>
          <w:rFonts w:ascii="仿宋_GB2312" w:hAnsi="仿宋_GB2312" w:eastAsia="仿宋_GB2312" w:cs="仿宋_GB2312"/>
          <w:sz w:val="24"/>
          <w:szCs w:val="24"/>
        </w:rPr>
      </w:pPr>
    </w:p>
    <w:p w14:paraId="61E8CF07">
      <w:pPr>
        <w:spacing w:line="560" w:lineRule="exact"/>
        <w:ind w:firstLine="480" w:firstLineChars="200"/>
        <w:contextualSpacing/>
        <w:rPr>
          <w:rFonts w:ascii="仿宋_GB2312" w:hAnsi="仿宋_GB2312" w:eastAsia="仿宋_GB2312" w:cs="仿宋_GB2312"/>
          <w:sz w:val="24"/>
          <w:szCs w:val="24"/>
        </w:rPr>
      </w:pPr>
    </w:p>
    <w:p w14:paraId="20ADFED9">
      <w:pPr>
        <w:spacing w:line="560" w:lineRule="exact"/>
        <w:contextualSpacing/>
        <w:rPr>
          <w:rFonts w:ascii="仿宋_GB2312" w:hAnsi="仿宋_GB2312" w:eastAsia="仿宋_GB2312" w:cs="仿宋_GB2312"/>
          <w:sz w:val="24"/>
          <w:szCs w:val="24"/>
        </w:rPr>
      </w:pPr>
      <w:r>
        <w:rPr>
          <w:rFonts w:hint="eastAsia" w:ascii="黑体" w:hAnsi="黑体" w:eastAsia="黑体"/>
          <w:sz w:val="24"/>
          <w:szCs w:val="24"/>
        </w:rPr>
        <w:t>附件1</w:t>
      </w:r>
    </w:p>
    <w:tbl>
      <w:tblPr>
        <w:tblStyle w:val="11"/>
        <w:tblW w:w="9197" w:type="dxa"/>
        <w:tblInd w:w="93" w:type="dxa"/>
        <w:tblLayout w:type="fixed"/>
        <w:tblCellMar>
          <w:top w:w="15" w:type="dxa"/>
          <w:left w:w="108" w:type="dxa"/>
          <w:bottom w:w="15" w:type="dxa"/>
          <w:right w:w="108" w:type="dxa"/>
        </w:tblCellMar>
      </w:tblPr>
      <w:tblGrid>
        <w:gridCol w:w="9197"/>
      </w:tblGrid>
      <w:tr w14:paraId="3E7C6EFC">
        <w:trPr>
          <w:trHeight w:val="285" w:hRule="atLeast"/>
        </w:trPr>
        <w:tc>
          <w:tcPr>
            <w:tcW w:w="9197" w:type="dxa"/>
            <w:tcBorders>
              <w:bottom w:val="single" w:color="000000" w:sz="4" w:space="0"/>
            </w:tcBorders>
            <w:vAlign w:val="bottom"/>
          </w:tcPr>
          <w:tbl>
            <w:tblPr>
              <w:tblStyle w:val="11"/>
              <w:tblW w:w="8979" w:type="dxa"/>
              <w:jc w:val="center"/>
              <w:tblLayout w:type="fixed"/>
              <w:tblCellMar>
                <w:top w:w="15" w:type="dxa"/>
                <w:left w:w="108" w:type="dxa"/>
                <w:bottom w:w="15" w:type="dxa"/>
                <w:right w:w="108" w:type="dxa"/>
              </w:tblCellMar>
            </w:tblPr>
            <w:tblGrid>
              <w:gridCol w:w="849"/>
              <w:gridCol w:w="913"/>
              <w:gridCol w:w="1406"/>
              <w:gridCol w:w="3656"/>
              <w:gridCol w:w="591"/>
              <w:gridCol w:w="969"/>
              <w:gridCol w:w="595"/>
            </w:tblGrid>
            <w:tr w14:paraId="207EE4AE">
              <w:tblPrEx>
                <w:tblCellMar>
                  <w:top w:w="15" w:type="dxa"/>
                  <w:left w:w="108" w:type="dxa"/>
                  <w:bottom w:w="15" w:type="dxa"/>
                  <w:right w:w="108" w:type="dxa"/>
                </w:tblCellMar>
              </w:tblPrEx>
              <w:trPr>
                <w:trHeight w:val="705" w:hRule="atLeast"/>
                <w:jc w:val="center"/>
              </w:trPr>
              <w:tc>
                <w:tcPr>
                  <w:tcW w:w="8979" w:type="dxa"/>
                  <w:gridSpan w:val="7"/>
                  <w:vAlign w:val="center"/>
                </w:tcPr>
                <w:p w14:paraId="714D6246">
                  <w:pPr>
                    <w:spacing w:line="560" w:lineRule="exact"/>
                    <w:contextualSpacing/>
                    <w:jc w:val="center"/>
                    <w:rPr>
                      <w:rFonts w:ascii="仿宋_GB2312" w:hAnsi="仿宋_GB2312" w:eastAsia="仿宋_GB2312" w:cs="仿宋_GB2312"/>
                      <w:sz w:val="24"/>
                      <w:szCs w:val="24"/>
                    </w:rPr>
                  </w:pPr>
                  <w:r>
                    <w:rPr>
                      <w:rFonts w:hint="eastAsia" w:ascii="方正小标宋简体" w:hAnsi="方正小标宋简体" w:eastAsia="方正小标宋简体" w:cs="方正小标宋简体"/>
                      <w:sz w:val="24"/>
                      <w:szCs w:val="24"/>
                    </w:rPr>
                    <w:t>服务质量月度考评表</w:t>
                  </w:r>
                </w:p>
              </w:tc>
            </w:tr>
            <w:tr w14:paraId="586FB6D4">
              <w:tblPrEx>
                <w:tblCellMar>
                  <w:top w:w="15" w:type="dxa"/>
                  <w:left w:w="108" w:type="dxa"/>
                  <w:bottom w:w="15" w:type="dxa"/>
                  <w:right w:w="108" w:type="dxa"/>
                </w:tblCellMar>
              </w:tblPrEx>
              <w:trPr>
                <w:trHeight w:val="495" w:hRule="atLeast"/>
                <w:jc w:val="center"/>
              </w:trPr>
              <w:tc>
                <w:tcPr>
                  <w:tcW w:w="8979" w:type="dxa"/>
                  <w:gridSpan w:val="7"/>
                  <w:tcBorders>
                    <w:bottom w:val="single" w:color="000000" w:sz="12" w:space="0"/>
                  </w:tcBorders>
                </w:tcPr>
                <w:p w14:paraId="3D06B1B5">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（满分100分）</w:t>
                  </w:r>
                </w:p>
              </w:tc>
            </w:tr>
            <w:tr w14:paraId="165C6DE7">
              <w:tblPrEx>
                <w:tblCellMar>
                  <w:top w:w="15" w:type="dxa"/>
                  <w:left w:w="108" w:type="dxa"/>
                  <w:bottom w:w="15" w:type="dxa"/>
                  <w:right w:w="108" w:type="dxa"/>
                </w:tblCellMar>
              </w:tblPrEx>
              <w:trPr>
                <w:trHeight w:val="825" w:hRule="atLeast"/>
                <w:jc w:val="center"/>
              </w:trPr>
              <w:tc>
                <w:tcPr>
                  <w:tcW w:w="849" w:type="dxa"/>
                  <w:tcBorders>
                    <w:top w:val="single" w:color="000000" w:sz="12" w:space="0"/>
                    <w:left w:val="single" w:color="000000" w:sz="12" w:space="0"/>
                    <w:bottom w:val="single" w:color="000000" w:sz="12" w:space="0"/>
                    <w:right w:val="single" w:color="000000" w:sz="4" w:space="0"/>
                  </w:tcBorders>
                  <w:vAlign w:val="center"/>
                </w:tcPr>
                <w:p w14:paraId="2D8EB257">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913" w:type="dxa"/>
                  <w:tcBorders>
                    <w:top w:val="single" w:color="000000" w:sz="12" w:space="0"/>
                    <w:left w:val="single" w:color="000000" w:sz="4" w:space="0"/>
                    <w:bottom w:val="single" w:color="000000" w:sz="12" w:space="0"/>
                    <w:right w:val="single" w:color="000000" w:sz="4" w:space="0"/>
                  </w:tcBorders>
                  <w:vAlign w:val="center"/>
                </w:tcPr>
                <w:p w14:paraId="569932FE">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考核点</w:t>
                  </w:r>
                </w:p>
              </w:tc>
              <w:tc>
                <w:tcPr>
                  <w:tcW w:w="1406" w:type="dxa"/>
                  <w:tcBorders>
                    <w:top w:val="single" w:color="000000" w:sz="12" w:space="0"/>
                    <w:left w:val="single" w:color="000000" w:sz="4" w:space="0"/>
                    <w:bottom w:val="single" w:color="000000" w:sz="12" w:space="0"/>
                    <w:right w:val="single" w:color="000000" w:sz="4" w:space="0"/>
                  </w:tcBorders>
                  <w:vAlign w:val="center"/>
                </w:tcPr>
                <w:p w14:paraId="1B54EB39">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分项考核内容及基准</w:t>
                  </w:r>
                </w:p>
              </w:tc>
              <w:tc>
                <w:tcPr>
                  <w:tcW w:w="3656" w:type="dxa"/>
                  <w:tcBorders>
                    <w:top w:val="single" w:color="000000" w:sz="12" w:space="0"/>
                    <w:left w:val="single" w:color="000000" w:sz="4" w:space="0"/>
                    <w:bottom w:val="single" w:color="000000" w:sz="12" w:space="0"/>
                    <w:right w:val="single" w:color="000000" w:sz="4" w:space="0"/>
                  </w:tcBorders>
                  <w:vAlign w:val="center"/>
                </w:tcPr>
                <w:p w14:paraId="3A950BE8">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考评明细</w:t>
                  </w:r>
                </w:p>
              </w:tc>
              <w:tc>
                <w:tcPr>
                  <w:tcW w:w="591" w:type="dxa"/>
                  <w:tcBorders>
                    <w:top w:val="single" w:color="000000" w:sz="12" w:space="0"/>
                    <w:left w:val="single" w:color="000000" w:sz="4" w:space="0"/>
                    <w:bottom w:val="single" w:color="000000" w:sz="12" w:space="0"/>
                    <w:right w:val="single" w:color="000000" w:sz="4" w:space="0"/>
                  </w:tcBorders>
                  <w:vAlign w:val="center"/>
                </w:tcPr>
                <w:p w14:paraId="35B396F0">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总分</w:t>
                  </w:r>
                </w:p>
              </w:tc>
              <w:tc>
                <w:tcPr>
                  <w:tcW w:w="969" w:type="dxa"/>
                  <w:tcBorders>
                    <w:top w:val="single" w:color="000000" w:sz="12" w:space="0"/>
                    <w:left w:val="single" w:color="000000" w:sz="4" w:space="0"/>
                    <w:bottom w:val="single" w:color="000000" w:sz="12" w:space="0"/>
                  </w:tcBorders>
                  <w:vAlign w:val="center"/>
                </w:tcPr>
                <w:p w14:paraId="4AD0989F">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考评情况</w:t>
                  </w:r>
                </w:p>
              </w:tc>
              <w:tc>
                <w:tcPr>
                  <w:tcW w:w="595" w:type="dxa"/>
                  <w:tcBorders>
                    <w:top w:val="single" w:color="000000" w:sz="12" w:space="0"/>
                    <w:left w:val="single" w:color="000000" w:sz="12" w:space="0"/>
                    <w:bottom w:val="single" w:color="000000" w:sz="12" w:space="0"/>
                    <w:right w:val="single" w:color="000000" w:sz="12" w:space="0"/>
                  </w:tcBorders>
                  <w:vAlign w:val="center"/>
                </w:tcPr>
                <w:p w14:paraId="11970BF3">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14:paraId="3E624CD4">
              <w:tblPrEx>
                <w:tblCellMar>
                  <w:top w:w="15" w:type="dxa"/>
                  <w:left w:w="108" w:type="dxa"/>
                  <w:bottom w:w="15" w:type="dxa"/>
                  <w:right w:w="108" w:type="dxa"/>
                </w:tblCellMar>
              </w:tblPrEx>
              <w:trPr>
                <w:trHeight w:val="885" w:hRule="atLeast"/>
                <w:jc w:val="center"/>
              </w:trPr>
              <w:tc>
                <w:tcPr>
                  <w:tcW w:w="849" w:type="dxa"/>
                  <w:vMerge w:val="restart"/>
                  <w:tcBorders>
                    <w:top w:val="single" w:color="000000" w:sz="4" w:space="0"/>
                    <w:left w:val="single" w:color="000000" w:sz="12" w:space="0"/>
                    <w:right w:val="single" w:color="000000" w:sz="4" w:space="0"/>
                  </w:tcBorders>
                  <w:vAlign w:val="center"/>
                </w:tcPr>
                <w:p w14:paraId="7B762DC4">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（一）</w:t>
                  </w:r>
                </w:p>
              </w:tc>
              <w:tc>
                <w:tcPr>
                  <w:tcW w:w="913" w:type="dxa"/>
                  <w:vMerge w:val="restart"/>
                  <w:tcBorders>
                    <w:top w:val="single" w:color="000000" w:sz="4" w:space="0"/>
                    <w:left w:val="single" w:color="000000" w:sz="4" w:space="0"/>
                    <w:right w:val="single" w:color="000000" w:sz="4" w:space="0"/>
                  </w:tcBorders>
                  <w:vAlign w:val="center"/>
                </w:tcPr>
                <w:p w14:paraId="06B5BD60">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物业 管理</w:t>
                  </w:r>
                </w:p>
              </w:tc>
              <w:tc>
                <w:tcPr>
                  <w:tcW w:w="1406" w:type="dxa"/>
                  <w:tcBorders>
                    <w:top w:val="single" w:color="000000" w:sz="4" w:space="0"/>
                    <w:left w:val="single" w:color="000000" w:sz="4" w:space="0"/>
                    <w:bottom w:val="single" w:color="000000" w:sz="4" w:space="0"/>
                    <w:right w:val="single" w:color="000000" w:sz="4" w:space="0"/>
                  </w:tcBorders>
                  <w:vAlign w:val="center"/>
                </w:tcPr>
                <w:p w14:paraId="39A4663F">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1．台账</w:t>
                  </w:r>
                </w:p>
              </w:tc>
              <w:tc>
                <w:tcPr>
                  <w:tcW w:w="3656" w:type="dxa"/>
                  <w:tcBorders>
                    <w:top w:val="single" w:color="000000" w:sz="4" w:space="0"/>
                    <w:left w:val="single" w:color="000000" w:sz="4" w:space="0"/>
                    <w:bottom w:val="single" w:color="000000" w:sz="4" w:space="0"/>
                    <w:right w:val="single" w:color="000000" w:sz="4" w:space="0"/>
                  </w:tcBorders>
                  <w:vAlign w:val="center"/>
                </w:tcPr>
                <w:p w14:paraId="3E3D9D9D">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是否有各职能部门的月工作计划1-10分，各部门执行完成情况1-10分，自我月度点评1-5分</w:t>
                  </w:r>
                </w:p>
              </w:tc>
              <w:tc>
                <w:tcPr>
                  <w:tcW w:w="591" w:type="dxa"/>
                  <w:tcBorders>
                    <w:top w:val="single" w:color="000000" w:sz="4" w:space="0"/>
                    <w:left w:val="single" w:color="000000" w:sz="4" w:space="0"/>
                    <w:bottom w:val="single" w:color="000000" w:sz="4" w:space="0"/>
                    <w:right w:val="single" w:color="000000" w:sz="4" w:space="0"/>
                  </w:tcBorders>
                  <w:vAlign w:val="center"/>
                </w:tcPr>
                <w:p w14:paraId="5F49798D">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25分</w:t>
                  </w:r>
                </w:p>
              </w:tc>
              <w:tc>
                <w:tcPr>
                  <w:tcW w:w="969" w:type="dxa"/>
                  <w:tcBorders>
                    <w:top w:val="single" w:color="000000" w:sz="4" w:space="0"/>
                    <w:left w:val="single" w:color="000000" w:sz="4" w:space="0"/>
                    <w:bottom w:val="single" w:color="000000" w:sz="4" w:space="0"/>
                    <w:right w:val="single" w:color="000000" w:sz="4" w:space="0"/>
                  </w:tcBorders>
                  <w:vAlign w:val="center"/>
                </w:tcPr>
                <w:p w14:paraId="1FB93C09">
                  <w:pPr>
                    <w:spacing w:line="560" w:lineRule="exact"/>
                    <w:contextualSpacing/>
                    <w:rPr>
                      <w:rFonts w:ascii="仿宋_GB2312" w:hAnsi="仿宋_GB2312" w:eastAsia="仿宋_GB2312" w:cs="仿宋_GB2312"/>
                      <w:sz w:val="24"/>
                      <w:szCs w:val="24"/>
                    </w:rPr>
                  </w:pPr>
                </w:p>
              </w:tc>
              <w:tc>
                <w:tcPr>
                  <w:tcW w:w="595" w:type="dxa"/>
                  <w:tcBorders>
                    <w:top w:val="single" w:color="000000" w:sz="4" w:space="0"/>
                    <w:left w:val="single" w:color="000000" w:sz="4" w:space="0"/>
                    <w:bottom w:val="single" w:color="000000" w:sz="4" w:space="0"/>
                    <w:right w:val="single" w:color="000000" w:sz="12" w:space="0"/>
                  </w:tcBorders>
                  <w:vAlign w:val="center"/>
                </w:tcPr>
                <w:p w14:paraId="13E8DA22">
                  <w:pPr>
                    <w:spacing w:line="560" w:lineRule="exact"/>
                    <w:contextualSpacing/>
                    <w:rPr>
                      <w:rFonts w:ascii="仿宋_GB2312" w:hAnsi="仿宋_GB2312" w:eastAsia="仿宋_GB2312" w:cs="仿宋_GB2312"/>
                      <w:sz w:val="24"/>
                      <w:szCs w:val="24"/>
                    </w:rPr>
                  </w:pPr>
                </w:p>
              </w:tc>
            </w:tr>
            <w:tr w14:paraId="2D55FC30">
              <w:tblPrEx>
                <w:tblCellMar>
                  <w:top w:w="15" w:type="dxa"/>
                  <w:left w:w="108" w:type="dxa"/>
                  <w:bottom w:w="15" w:type="dxa"/>
                  <w:right w:w="108" w:type="dxa"/>
                </w:tblCellMar>
              </w:tblPrEx>
              <w:trPr>
                <w:trHeight w:val="885" w:hRule="atLeast"/>
                <w:jc w:val="center"/>
              </w:trPr>
              <w:tc>
                <w:tcPr>
                  <w:tcW w:w="849" w:type="dxa"/>
                  <w:vMerge w:val="continue"/>
                  <w:tcBorders>
                    <w:left w:val="single" w:color="000000" w:sz="12" w:space="0"/>
                    <w:right w:val="single" w:color="000000" w:sz="4" w:space="0"/>
                  </w:tcBorders>
                  <w:vAlign w:val="center"/>
                </w:tcPr>
                <w:p w14:paraId="23DA5FCE">
                  <w:pPr>
                    <w:spacing w:line="560" w:lineRule="exact"/>
                    <w:contextualSpacing/>
                    <w:rPr>
                      <w:rFonts w:ascii="仿宋_GB2312" w:hAnsi="仿宋_GB2312" w:eastAsia="仿宋_GB2312" w:cs="仿宋_GB2312"/>
                      <w:sz w:val="24"/>
                      <w:szCs w:val="24"/>
                    </w:rPr>
                  </w:pPr>
                </w:p>
              </w:tc>
              <w:tc>
                <w:tcPr>
                  <w:tcW w:w="913" w:type="dxa"/>
                  <w:vMerge w:val="continue"/>
                  <w:tcBorders>
                    <w:left w:val="single" w:color="000000" w:sz="4" w:space="0"/>
                    <w:right w:val="single" w:color="000000" w:sz="4" w:space="0"/>
                  </w:tcBorders>
                  <w:vAlign w:val="center"/>
                </w:tcPr>
                <w:p w14:paraId="5EF269F8">
                  <w:pPr>
                    <w:spacing w:line="560" w:lineRule="exact"/>
                    <w:contextualSpacing/>
                    <w:rPr>
                      <w:rFonts w:ascii="仿宋_GB2312" w:hAnsi="仿宋_GB2312" w:eastAsia="仿宋_GB2312" w:cs="仿宋_GB2312"/>
                      <w:sz w:val="24"/>
                      <w:szCs w:val="24"/>
                    </w:rPr>
                  </w:pPr>
                </w:p>
              </w:tc>
              <w:tc>
                <w:tcPr>
                  <w:tcW w:w="1406" w:type="dxa"/>
                  <w:tcBorders>
                    <w:top w:val="single" w:color="000000" w:sz="4" w:space="0"/>
                    <w:left w:val="single" w:color="000000" w:sz="4" w:space="0"/>
                    <w:bottom w:val="single" w:color="000000" w:sz="4" w:space="0"/>
                    <w:right w:val="single" w:color="000000" w:sz="4" w:space="0"/>
                  </w:tcBorders>
                  <w:vAlign w:val="center"/>
                </w:tcPr>
                <w:p w14:paraId="66AF41EF">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2. 仪容仪表</w:t>
                  </w:r>
                </w:p>
              </w:tc>
              <w:tc>
                <w:tcPr>
                  <w:tcW w:w="3656" w:type="dxa"/>
                  <w:tcBorders>
                    <w:top w:val="single" w:color="000000" w:sz="4" w:space="0"/>
                    <w:left w:val="single" w:color="000000" w:sz="4" w:space="0"/>
                    <w:bottom w:val="single" w:color="000000" w:sz="4" w:space="0"/>
                    <w:right w:val="single" w:color="000000" w:sz="4" w:space="0"/>
                  </w:tcBorders>
                  <w:vAlign w:val="center"/>
                </w:tcPr>
                <w:p w14:paraId="1ABD72CF">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是否衣帽整齐、合体1-3分；是否有良好的精神面貌1-4分；装束是否整洁1-3分。</w:t>
                  </w:r>
                </w:p>
              </w:tc>
              <w:tc>
                <w:tcPr>
                  <w:tcW w:w="591" w:type="dxa"/>
                  <w:tcBorders>
                    <w:top w:val="single" w:color="000000" w:sz="4" w:space="0"/>
                    <w:left w:val="single" w:color="000000" w:sz="4" w:space="0"/>
                    <w:bottom w:val="single" w:color="000000" w:sz="4" w:space="0"/>
                    <w:right w:val="single" w:color="000000" w:sz="4" w:space="0"/>
                  </w:tcBorders>
                  <w:vAlign w:val="center"/>
                </w:tcPr>
                <w:p w14:paraId="67A88320">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10分</w:t>
                  </w:r>
                </w:p>
              </w:tc>
              <w:tc>
                <w:tcPr>
                  <w:tcW w:w="969" w:type="dxa"/>
                  <w:tcBorders>
                    <w:top w:val="single" w:color="000000" w:sz="4" w:space="0"/>
                    <w:left w:val="single" w:color="000000" w:sz="4" w:space="0"/>
                    <w:bottom w:val="single" w:color="000000" w:sz="4" w:space="0"/>
                    <w:right w:val="single" w:color="000000" w:sz="4" w:space="0"/>
                  </w:tcBorders>
                  <w:vAlign w:val="center"/>
                </w:tcPr>
                <w:p w14:paraId="1249D1F7">
                  <w:pPr>
                    <w:spacing w:line="560" w:lineRule="exact"/>
                    <w:contextualSpacing/>
                    <w:rPr>
                      <w:rFonts w:ascii="仿宋_GB2312" w:hAnsi="仿宋_GB2312" w:eastAsia="仿宋_GB2312" w:cs="仿宋_GB2312"/>
                      <w:sz w:val="24"/>
                      <w:szCs w:val="24"/>
                    </w:rPr>
                  </w:pPr>
                </w:p>
              </w:tc>
              <w:tc>
                <w:tcPr>
                  <w:tcW w:w="595" w:type="dxa"/>
                  <w:tcBorders>
                    <w:top w:val="single" w:color="000000" w:sz="4" w:space="0"/>
                    <w:left w:val="single" w:color="000000" w:sz="4" w:space="0"/>
                    <w:bottom w:val="single" w:color="000000" w:sz="4" w:space="0"/>
                    <w:right w:val="single" w:color="000000" w:sz="12" w:space="0"/>
                  </w:tcBorders>
                  <w:vAlign w:val="center"/>
                </w:tcPr>
                <w:p w14:paraId="4E5C03AF">
                  <w:pPr>
                    <w:spacing w:line="560" w:lineRule="exact"/>
                    <w:contextualSpacing/>
                    <w:rPr>
                      <w:rFonts w:ascii="仿宋_GB2312" w:hAnsi="仿宋_GB2312" w:eastAsia="仿宋_GB2312" w:cs="仿宋_GB2312"/>
                      <w:sz w:val="24"/>
                      <w:szCs w:val="24"/>
                    </w:rPr>
                  </w:pPr>
                </w:p>
              </w:tc>
            </w:tr>
            <w:tr w14:paraId="2767E6DA">
              <w:tblPrEx>
                <w:tblCellMar>
                  <w:top w:w="15" w:type="dxa"/>
                  <w:left w:w="108" w:type="dxa"/>
                  <w:bottom w:w="15" w:type="dxa"/>
                  <w:right w:w="108" w:type="dxa"/>
                </w:tblCellMar>
              </w:tblPrEx>
              <w:trPr>
                <w:trHeight w:val="960" w:hRule="atLeast"/>
                <w:jc w:val="center"/>
              </w:trPr>
              <w:tc>
                <w:tcPr>
                  <w:tcW w:w="849" w:type="dxa"/>
                  <w:vMerge w:val="continue"/>
                  <w:tcBorders>
                    <w:left w:val="single" w:color="000000" w:sz="12" w:space="0"/>
                    <w:right w:val="single" w:color="000000" w:sz="4" w:space="0"/>
                  </w:tcBorders>
                  <w:vAlign w:val="center"/>
                </w:tcPr>
                <w:p w14:paraId="166EF8C6">
                  <w:pPr>
                    <w:spacing w:line="560" w:lineRule="exact"/>
                    <w:contextualSpacing/>
                    <w:rPr>
                      <w:rFonts w:ascii="仿宋_GB2312" w:hAnsi="仿宋_GB2312" w:eastAsia="仿宋_GB2312" w:cs="仿宋_GB2312"/>
                      <w:sz w:val="24"/>
                      <w:szCs w:val="24"/>
                    </w:rPr>
                  </w:pPr>
                </w:p>
              </w:tc>
              <w:tc>
                <w:tcPr>
                  <w:tcW w:w="913" w:type="dxa"/>
                  <w:vMerge w:val="continue"/>
                  <w:tcBorders>
                    <w:left w:val="single" w:color="000000" w:sz="4" w:space="0"/>
                    <w:right w:val="single" w:color="000000" w:sz="4" w:space="0"/>
                  </w:tcBorders>
                  <w:vAlign w:val="center"/>
                </w:tcPr>
                <w:p w14:paraId="2E7B5630">
                  <w:pPr>
                    <w:spacing w:line="560" w:lineRule="exact"/>
                    <w:contextualSpacing/>
                    <w:rPr>
                      <w:rFonts w:ascii="仿宋_GB2312" w:hAnsi="仿宋_GB2312" w:eastAsia="仿宋_GB2312" w:cs="仿宋_GB2312"/>
                      <w:sz w:val="24"/>
                      <w:szCs w:val="24"/>
                    </w:rPr>
                  </w:pPr>
                </w:p>
              </w:tc>
              <w:tc>
                <w:tcPr>
                  <w:tcW w:w="1406" w:type="dxa"/>
                  <w:tcBorders>
                    <w:top w:val="single" w:color="000000" w:sz="4" w:space="0"/>
                    <w:left w:val="single" w:color="000000" w:sz="4" w:space="0"/>
                    <w:bottom w:val="single" w:color="000000" w:sz="4" w:space="0"/>
                    <w:right w:val="single" w:color="000000" w:sz="4" w:space="0"/>
                  </w:tcBorders>
                  <w:vAlign w:val="center"/>
                </w:tcPr>
                <w:p w14:paraId="57A2B21F">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3. 工作纪律</w:t>
                  </w:r>
                </w:p>
              </w:tc>
              <w:tc>
                <w:tcPr>
                  <w:tcW w:w="3656" w:type="dxa"/>
                  <w:tcBorders>
                    <w:top w:val="single" w:color="000000" w:sz="4" w:space="0"/>
                    <w:left w:val="single" w:color="000000" w:sz="4" w:space="0"/>
                    <w:bottom w:val="single" w:color="000000" w:sz="4" w:space="0"/>
                    <w:right w:val="single" w:color="000000" w:sz="4" w:space="0"/>
                  </w:tcBorders>
                  <w:vAlign w:val="center"/>
                </w:tcPr>
                <w:p w14:paraId="2BBFA67F">
                  <w:pPr>
                    <w:spacing w:line="560" w:lineRule="exact"/>
                    <w:contextualSpacing/>
                    <w:rPr>
                      <w:rFonts w:ascii="仿宋_GB2312" w:hAnsi="仿宋_GB2312" w:eastAsia="仿宋_GB2312" w:cs="仿宋_GB2312"/>
                      <w:sz w:val="24"/>
                      <w:szCs w:val="24"/>
                    </w:rPr>
                  </w:pPr>
                  <w:r>
                    <w:rPr>
                      <w:rFonts w:ascii="仿宋_GB2312" w:hAnsi="仿宋_GB2312" w:eastAsia="仿宋_GB2312" w:cs="仿宋_GB2312"/>
                      <w:sz w:val="24"/>
                      <w:szCs w:val="24"/>
                    </w:rPr>
                    <w:t>是否</w:t>
                  </w:r>
                  <w:r>
                    <w:rPr>
                      <w:rFonts w:hint="eastAsia" w:ascii="仿宋_GB2312" w:hAnsi="仿宋_GB2312" w:eastAsia="仿宋_GB2312" w:cs="仿宋_GB2312"/>
                      <w:sz w:val="24"/>
                      <w:szCs w:val="24"/>
                    </w:rPr>
                    <w:t>出现迟到或早退现象1-5分；是否吃零食1-3分；是否闲聊1-3分；是否做与工作无关的事情1-4分。</w:t>
                  </w:r>
                </w:p>
              </w:tc>
              <w:tc>
                <w:tcPr>
                  <w:tcW w:w="591" w:type="dxa"/>
                  <w:tcBorders>
                    <w:top w:val="single" w:color="000000" w:sz="4" w:space="0"/>
                    <w:left w:val="single" w:color="000000" w:sz="4" w:space="0"/>
                    <w:bottom w:val="single" w:color="000000" w:sz="4" w:space="0"/>
                    <w:right w:val="single" w:color="000000" w:sz="4" w:space="0"/>
                  </w:tcBorders>
                  <w:vAlign w:val="center"/>
                </w:tcPr>
                <w:p w14:paraId="553EF7E7">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15分</w:t>
                  </w:r>
                </w:p>
              </w:tc>
              <w:tc>
                <w:tcPr>
                  <w:tcW w:w="969" w:type="dxa"/>
                  <w:tcBorders>
                    <w:top w:val="single" w:color="000000" w:sz="4" w:space="0"/>
                    <w:left w:val="single" w:color="000000" w:sz="4" w:space="0"/>
                    <w:bottom w:val="single" w:color="000000" w:sz="4" w:space="0"/>
                    <w:right w:val="single" w:color="000000" w:sz="4" w:space="0"/>
                  </w:tcBorders>
                  <w:vAlign w:val="center"/>
                </w:tcPr>
                <w:p w14:paraId="3F469040">
                  <w:pPr>
                    <w:spacing w:line="560" w:lineRule="exact"/>
                    <w:contextualSpacing/>
                    <w:rPr>
                      <w:rFonts w:ascii="仿宋_GB2312" w:hAnsi="仿宋_GB2312" w:eastAsia="仿宋_GB2312" w:cs="仿宋_GB2312"/>
                      <w:sz w:val="24"/>
                      <w:szCs w:val="24"/>
                    </w:rPr>
                  </w:pPr>
                </w:p>
              </w:tc>
              <w:tc>
                <w:tcPr>
                  <w:tcW w:w="595" w:type="dxa"/>
                  <w:tcBorders>
                    <w:top w:val="single" w:color="000000" w:sz="4" w:space="0"/>
                    <w:left w:val="single" w:color="000000" w:sz="4" w:space="0"/>
                    <w:bottom w:val="single" w:color="000000" w:sz="4" w:space="0"/>
                    <w:right w:val="single" w:color="000000" w:sz="12" w:space="0"/>
                  </w:tcBorders>
                  <w:vAlign w:val="center"/>
                </w:tcPr>
                <w:p w14:paraId="47633028">
                  <w:pPr>
                    <w:spacing w:line="560" w:lineRule="exact"/>
                    <w:contextualSpacing/>
                    <w:rPr>
                      <w:rFonts w:ascii="仿宋_GB2312" w:hAnsi="仿宋_GB2312" w:eastAsia="仿宋_GB2312" w:cs="仿宋_GB2312"/>
                      <w:sz w:val="24"/>
                      <w:szCs w:val="24"/>
                    </w:rPr>
                  </w:pPr>
                </w:p>
              </w:tc>
            </w:tr>
            <w:tr w14:paraId="6BCF4C4F">
              <w:tblPrEx>
                <w:tblCellMar>
                  <w:top w:w="15" w:type="dxa"/>
                  <w:left w:w="108" w:type="dxa"/>
                  <w:bottom w:w="15" w:type="dxa"/>
                  <w:right w:w="108" w:type="dxa"/>
                </w:tblCellMar>
              </w:tblPrEx>
              <w:trPr>
                <w:trHeight w:val="991" w:hRule="atLeast"/>
                <w:jc w:val="center"/>
              </w:trPr>
              <w:tc>
                <w:tcPr>
                  <w:tcW w:w="849" w:type="dxa"/>
                  <w:vMerge w:val="continue"/>
                  <w:tcBorders>
                    <w:left w:val="single" w:color="000000" w:sz="12" w:space="0"/>
                    <w:right w:val="single" w:color="000000" w:sz="4" w:space="0"/>
                  </w:tcBorders>
                  <w:vAlign w:val="center"/>
                </w:tcPr>
                <w:p w14:paraId="762E7C2E">
                  <w:pPr>
                    <w:spacing w:line="560" w:lineRule="exact"/>
                    <w:contextualSpacing/>
                    <w:rPr>
                      <w:rFonts w:ascii="仿宋_GB2312" w:hAnsi="仿宋_GB2312" w:eastAsia="仿宋_GB2312" w:cs="仿宋_GB2312"/>
                      <w:sz w:val="24"/>
                      <w:szCs w:val="24"/>
                    </w:rPr>
                  </w:pPr>
                </w:p>
              </w:tc>
              <w:tc>
                <w:tcPr>
                  <w:tcW w:w="913" w:type="dxa"/>
                  <w:vMerge w:val="continue"/>
                  <w:tcBorders>
                    <w:left w:val="single" w:color="000000" w:sz="4" w:space="0"/>
                    <w:right w:val="single" w:color="000000" w:sz="4" w:space="0"/>
                  </w:tcBorders>
                  <w:vAlign w:val="center"/>
                </w:tcPr>
                <w:p w14:paraId="76E1AD77">
                  <w:pPr>
                    <w:spacing w:line="560" w:lineRule="exact"/>
                    <w:contextualSpacing/>
                    <w:rPr>
                      <w:rFonts w:ascii="仿宋_GB2312" w:hAnsi="仿宋_GB2312" w:eastAsia="仿宋_GB2312" w:cs="仿宋_GB2312"/>
                      <w:sz w:val="24"/>
                      <w:szCs w:val="24"/>
                    </w:rPr>
                  </w:pPr>
                </w:p>
              </w:tc>
              <w:tc>
                <w:tcPr>
                  <w:tcW w:w="1406" w:type="dxa"/>
                  <w:tcBorders>
                    <w:top w:val="single" w:color="000000" w:sz="4" w:space="0"/>
                    <w:left w:val="single" w:color="000000" w:sz="4" w:space="0"/>
                    <w:bottom w:val="single" w:color="000000" w:sz="4" w:space="0"/>
                    <w:right w:val="single" w:color="000000" w:sz="4" w:space="0"/>
                  </w:tcBorders>
                  <w:vAlign w:val="center"/>
                </w:tcPr>
                <w:p w14:paraId="520BD014">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4. 工作职责</w:t>
                  </w:r>
                </w:p>
              </w:tc>
              <w:tc>
                <w:tcPr>
                  <w:tcW w:w="3656" w:type="dxa"/>
                  <w:tcBorders>
                    <w:top w:val="single" w:color="000000" w:sz="4" w:space="0"/>
                    <w:left w:val="single" w:color="000000" w:sz="4" w:space="0"/>
                    <w:bottom w:val="single" w:color="000000" w:sz="4" w:space="0"/>
                    <w:right w:val="single" w:color="000000" w:sz="4" w:space="0"/>
                  </w:tcBorders>
                  <w:vAlign w:val="center"/>
                </w:tcPr>
                <w:p w14:paraId="5A7E75DB">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是否严格按照工作职责和工作内容履行职责，违规一次扣2分，5次以上每次扣3分</w:t>
                  </w:r>
                </w:p>
              </w:tc>
              <w:tc>
                <w:tcPr>
                  <w:tcW w:w="591" w:type="dxa"/>
                  <w:tcBorders>
                    <w:top w:val="single" w:color="000000" w:sz="4" w:space="0"/>
                    <w:left w:val="single" w:color="000000" w:sz="4" w:space="0"/>
                    <w:bottom w:val="single" w:color="000000" w:sz="4" w:space="0"/>
                    <w:right w:val="single" w:color="000000" w:sz="4" w:space="0"/>
                  </w:tcBorders>
                  <w:vAlign w:val="center"/>
                </w:tcPr>
                <w:p w14:paraId="267735E4">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15分</w:t>
                  </w:r>
                </w:p>
              </w:tc>
              <w:tc>
                <w:tcPr>
                  <w:tcW w:w="969" w:type="dxa"/>
                  <w:tcBorders>
                    <w:top w:val="single" w:color="000000" w:sz="4" w:space="0"/>
                    <w:left w:val="single" w:color="000000" w:sz="4" w:space="0"/>
                    <w:bottom w:val="single" w:color="000000" w:sz="4" w:space="0"/>
                    <w:right w:val="single" w:color="000000" w:sz="4" w:space="0"/>
                  </w:tcBorders>
                  <w:vAlign w:val="center"/>
                </w:tcPr>
                <w:p w14:paraId="0316C86F">
                  <w:pPr>
                    <w:spacing w:line="560" w:lineRule="exact"/>
                    <w:contextualSpacing/>
                    <w:rPr>
                      <w:rFonts w:ascii="仿宋_GB2312" w:hAnsi="仿宋_GB2312" w:eastAsia="仿宋_GB2312" w:cs="仿宋_GB2312"/>
                      <w:sz w:val="24"/>
                      <w:szCs w:val="24"/>
                    </w:rPr>
                  </w:pPr>
                </w:p>
              </w:tc>
              <w:tc>
                <w:tcPr>
                  <w:tcW w:w="595" w:type="dxa"/>
                  <w:tcBorders>
                    <w:top w:val="single" w:color="000000" w:sz="4" w:space="0"/>
                    <w:left w:val="single" w:color="000000" w:sz="4" w:space="0"/>
                    <w:bottom w:val="single" w:color="000000" w:sz="4" w:space="0"/>
                    <w:right w:val="single" w:color="000000" w:sz="12" w:space="0"/>
                  </w:tcBorders>
                  <w:vAlign w:val="center"/>
                </w:tcPr>
                <w:p w14:paraId="405055EC">
                  <w:pPr>
                    <w:spacing w:line="560" w:lineRule="exact"/>
                    <w:contextualSpacing/>
                    <w:rPr>
                      <w:rFonts w:ascii="仿宋_GB2312" w:hAnsi="仿宋_GB2312" w:eastAsia="仿宋_GB2312" w:cs="仿宋_GB2312"/>
                      <w:sz w:val="24"/>
                      <w:szCs w:val="24"/>
                    </w:rPr>
                  </w:pPr>
                </w:p>
              </w:tc>
            </w:tr>
            <w:tr w14:paraId="3172C990">
              <w:tblPrEx>
                <w:tblCellMar>
                  <w:top w:w="15" w:type="dxa"/>
                  <w:left w:w="108" w:type="dxa"/>
                  <w:bottom w:w="15" w:type="dxa"/>
                  <w:right w:w="108" w:type="dxa"/>
                </w:tblCellMar>
              </w:tblPrEx>
              <w:trPr>
                <w:trHeight w:val="662" w:hRule="atLeast"/>
                <w:jc w:val="center"/>
              </w:trPr>
              <w:tc>
                <w:tcPr>
                  <w:tcW w:w="849" w:type="dxa"/>
                  <w:vMerge w:val="continue"/>
                  <w:tcBorders>
                    <w:left w:val="single" w:color="000000" w:sz="12" w:space="0"/>
                    <w:right w:val="single" w:color="000000" w:sz="4" w:space="0"/>
                  </w:tcBorders>
                  <w:vAlign w:val="center"/>
                </w:tcPr>
                <w:p w14:paraId="1DE36C2A">
                  <w:pPr>
                    <w:spacing w:line="560" w:lineRule="exact"/>
                    <w:contextualSpacing/>
                    <w:rPr>
                      <w:rFonts w:ascii="仿宋_GB2312" w:hAnsi="仿宋_GB2312" w:eastAsia="仿宋_GB2312" w:cs="仿宋_GB2312"/>
                      <w:sz w:val="24"/>
                      <w:szCs w:val="24"/>
                    </w:rPr>
                  </w:pPr>
                </w:p>
              </w:tc>
              <w:tc>
                <w:tcPr>
                  <w:tcW w:w="913" w:type="dxa"/>
                  <w:vMerge w:val="continue"/>
                  <w:tcBorders>
                    <w:left w:val="single" w:color="000000" w:sz="4" w:space="0"/>
                    <w:right w:val="single" w:color="000000" w:sz="4" w:space="0"/>
                  </w:tcBorders>
                  <w:vAlign w:val="center"/>
                </w:tcPr>
                <w:p w14:paraId="29A996B5">
                  <w:pPr>
                    <w:spacing w:line="560" w:lineRule="exact"/>
                    <w:contextualSpacing/>
                    <w:rPr>
                      <w:rFonts w:ascii="仿宋_GB2312" w:hAnsi="仿宋_GB2312" w:eastAsia="仿宋_GB2312" w:cs="仿宋_GB2312"/>
                      <w:sz w:val="24"/>
                      <w:szCs w:val="24"/>
                    </w:rPr>
                  </w:pPr>
                </w:p>
              </w:tc>
              <w:tc>
                <w:tcPr>
                  <w:tcW w:w="1406" w:type="dxa"/>
                  <w:tcBorders>
                    <w:top w:val="single" w:color="000000" w:sz="4" w:space="0"/>
                    <w:left w:val="single" w:color="000000" w:sz="4" w:space="0"/>
                    <w:bottom w:val="single" w:color="000000" w:sz="4" w:space="0"/>
                    <w:right w:val="single" w:color="000000" w:sz="4" w:space="0"/>
                  </w:tcBorders>
                  <w:vAlign w:val="center"/>
                </w:tcPr>
                <w:p w14:paraId="514722FC">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5. 工作效率</w:t>
                  </w:r>
                </w:p>
              </w:tc>
              <w:tc>
                <w:tcPr>
                  <w:tcW w:w="3656" w:type="dxa"/>
                  <w:tcBorders>
                    <w:top w:val="single" w:color="000000" w:sz="4" w:space="0"/>
                    <w:left w:val="single" w:color="000000" w:sz="4" w:space="0"/>
                    <w:bottom w:val="single" w:color="000000" w:sz="4" w:space="0"/>
                    <w:right w:val="single" w:color="000000" w:sz="4" w:space="0"/>
                  </w:tcBorders>
                  <w:vAlign w:val="center"/>
                </w:tcPr>
                <w:p w14:paraId="3CFD0968">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是否执行力强1-5分。</w:t>
                  </w:r>
                </w:p>
              </w:tc>
              <w:tc>
                <w:tcPr>
                  <w:tcW w:w="591" w:type="dxa"/>
                  <w:tcBorders>
                    <w:top w:val="single" w:color="000000" w:sz="4" w:space="0"/>
                    <w:left w:val="single" w:color="000000" w:sz="4" w:space="0"/>
                    <w:bottom w:val="single" w:color="000000" w:sz="4" w:space="0"/>
                    <w:right w:val="single" w:color="000000" w:sz="4" w:space="0"/>
                  </w:tcBorders>
                  <w:vAlign w:val="center"/>
                </w:tcPr>
                <w:p w14:paraId="2C7D5C50">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5分</w:t>
                  </w:r>
                </w:p>
              </w:tc>
              <w:tc>
                <w:tcPr>
                  <w:tcW w:w="969" w:type="dxa"/>
                  <w:tcBorders>
                    <w:top w:val="single" w:color="000000" w:sz="4" w:space="0"/>
                    <w:left w:val="single" w:color="000000" w:sz="4" w:space="0"/>
                    <w:bottom w:val="single" w:color="000000" w:sz="4" w:space="0"/>
                    <w:right w:val="single" w:color="000000" w:sz="4" w:space="0"/>
                  </w:tcBorders>
                  <w:vAlign w:val="center"/>
                </w:tcPr>
                <w:p w14:paraId="3A5C60EA">
                  <w:pPr>
                    <w:spacing w:line="560" w:lineRule="exact"/>
                    <w:contextualSpacing/>
                    <w:rPr>
                      <w:rFonts w:ascii="仿宋_GB2312" w:hAnsi="仿宋_GB2312" w:eastAsia="仿宋_GB2312" w:cs="仿宋_GB2312"/>
                      <w:sz w:val="24"/>
                      <w:szCs w:val="24"/>
                    </w:rPr>
                  </w:pPr>
                </w:p>
              </w:tc>
              <w:tc>
                <w:tcPr>
                  <w:tcW w:w="595" w:type="dxa"/>
                  <w:tcBorders>
                    <w:top w:val="single" w:color="000000" w:sz="4" w:space="0"/>
                    <w:left w:val="single" w:color="000000" w:sz="4" w:space="0"/>
                    <w:bottom w:val="single" w:color="000000" w:sz="4" w:space="0"/>
                    <w:right w:val="single" w:color="000000" w:sz="12" w:space="0"/>
                  </w:tcBorders>
                  <w:vAlign w:val="center"/>
                </w:tcPr>
                <w:p w14:paraId="5B9EE466">
                  <w:pPr>
                    <w:spacing w:line="560" w:lineRule="exact"/>
                    <w:contextualSpacing/>
                    <w:rPr>
                      <w:rFonts w:ascii="仿宋_GB2312" w:hAnsi="仿宋_GB2312" w:eastAsia="仿宋_GB2312" w:cs="仿宋_GB2312"/>
                      <w:sz w:val="24"/>
                      <w:szCs w:val="24"/>
                    </w:rPr>
                  </w:pPr>
                </w:p>
              </w:tc>
            </w:tr>
            <w:tr w14:paraId="02E72D2E">
              <w:tblPrEx>
                <w:tblCellMar>
                  <w:top w:w="15" w:type="dxa"/>
                  <w:left w:w="108" w:type="dxa"/>
                  <w:bottom w:w="15" w:type="dxa"/>
                  <w:right w:w="108" w:type="dxa"/>
                </w:tblCellMar>
              </w:tblPrEx>
              <w:trPr>
                <w:trHeight w:val="810" w:hRule="atLeast"/>
                <w:jc w:val="center"/>
              </w:trPr>
              <w:tc>
                <w:tcPr>
                  <w:tcW w:w="849" w:type="dxa"/>
                  <w:vMerge w:val="continue"/>
                  <w:tcBorders>
                    <w:left w:val="single" w:color="000000" w:sz="12" w:space="0"/>
                    <w:right w:val="single" w:color="000000" w:sz="4" w:space="0"/>
                  </w:tcBorders>
                  <w:vAlign w:val="center"/>
                </w:tcPr>
                <w:p w14:paraId="64B09BA1">
                  <w:pPr>
                    <w:spacing w:line="560" w:lineRule="exact"/>
                    <w:contextualSpacing/>
                    <w:rPr>
                      <w:rFonts w:ascii="仿宋_GB2312" w:hAnsi="仿宋_GB2312" w:eastAsia="仿宋_GB2312" w:cs="仿宋_GB2312"/>
                      <w:sz w:val="24"/>
                      <w:szCs w:val="24"/>
                    </w:rPr>
                  </w:pPr>
                </w:p>
              </w:tc>
              <w:tc>
                <w:tcPr>
                  <w:tcW w:w="913" w:type="dxa"/>
                  <w:vMerge w:val="continue"/>
                  <w:tcBorders>
                    <w:left w:val="single" w:color="000000" w:sz="4" w:space="0"/>
                    <w:right w:val="single" w:color="000000" w:sz="4" w:space="0"/>
                  </w:tcBorders>
                  <w:vAlign w:val="center"/>
                </w:tcPr>
                <w:p w14:paraId="238670D4">
                  <w:pPr>
                    <w:spacing w:line="560" w:lineRule="exact"/>
                    <w:contextualSpacing/>
                    <w:rPr>
                      <w:rFonts w:ascii="仿宋_GB2312" w:hAnsi="仿宋_GB2312" w:eastAsia="仿宋_GB2312" w:cs="仿宋_GB2312"/>
                      <w:sz w:val="24"/>
                      <w:szCs w:val="24"/>
                    </w:rPr>
                  </w:pPr>
                </w:p>
              </w:tc>
              <w:tc>
                <w:tcPr>
                  <w:tcW w:w="1406" w:type="dxa"/>
                  <w:tcBorders>
                    <w:top w:val="single" w:color="000000" w:sz="4" w:space="0"/>
                    <w:left w:val="single" w:color="000000" w:sz="4" w:space="0"/>
                    <w:bottom w:val="single" w:color="000000" w:sz="4" w:space="0"/>
                    <w:right w:val="single" w:color="000000" w:sz="4" w:space="0"/>
                  </w:tcBorders>
                  <w:vAlign w:val="center"/>
                </w:tcPr>
                <w:p w14:paraId="113BA39C">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6. 日常维护</w:t>
                  </w:r>
                </w:p>
              </w:tc>
              <w:tc>
                <w:tcPr>
                  <w:tcW w:w="3656" w:type="dxa"/>
                  <w:tcBorders>
                    <w:top w:val="single" w:color="000000" w:sz="4" w:space="0"/>
                    <w:left w:val="single" w:color="000000" w:sz="4" w:space="0"/>
                    <w:bottom w:val="single" w:color="000000" w:sz="4" w:space="0"/>
                    <w:right w:val="single" w:color="000000" w:sz="4" w:space="0"/>
                  </w:tcBorders>
                  <w:vAlign w:val="center"/>
                </w:tcPr>
                <w:p w14:paraId="1A54DF8C">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是否按照要求对服务区域内设施进行日常维护，发现问题及时上报。发现未及时上报维护一次扣1分</w:t>
                  </w:r>
                </w:p>
              </w:tc>
              <w:tc>
                <w:tcPr>
                  <w:tcW w:w="591" w:type="dxa"/>
                  <w:tcBorders>
                    <w:top w:val="single" w:color="000000" w:sz="4" w:space="0"/>
                    <w:left w:val="single" w:color="000000" w:sz="4" w:space="0"/>
                    <w:bottom w:val="single" w:color="000000" w:sz="4" w:space="0"/>
                    <w:right w:val="single" w:color="000000" w:sz="4" w:space="0"/>
                  </w:tcBorders>
                  <w:vAlign w:val="center"/>
                </w:tcPr>
                <w:p w14:paraId="7AF5C8DE">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10分</w:t>
                  </w:r>
                </w:p>
              </w:tc>
              <w:tc>
                <w:tcPr>
                  <w:tcW w:w="969" w:type="dxa"/>
                  <w:tcBorders>
                    <w:top w:val="single" w:color="000000" w:sz="4" w:space="0"/>
                    <w:left w:val="single" w:color="000000" w:sz="4" w:space="0"/>
                    <w:bottom w:val="single" w:color="000000" w:sz="4" w:space="0"/>
                    <w:right w:val="single" w:color="000000" w:sz="4" w:space="0"/>
                  </w:tcBorders>
                  <w:vAlign w:val="center"/>
                </w:tcPr>
                <w:p w14:paraId="51140F13">
                  <w:pPr>
                    <w:spacing w:line="560" w:lineRule="exact"/>
                    <w:contextualSpacing/>
                    <w:rPr>
                      <w:rFonts w:ascii="仿宋_GB2312" w:hAnsi="仿宋_GB2312" w:eastAsia="仿宋_GB2312" w:cs="仿宋_GB2312"/>
                      <w:sz w:val="24"/>
                      <w:szCs w:val="24"/>
                    </w:rPr>
                  </w:pPr>
                </w:p>
              </w:tc>
              <w:tc>
                <w:tcPr>
                  <w:tcW w:w="595" w:type="dxa"/>
                  <w:tcBorders>
                    <w:top w:val="single" w:color="000000" w:sz="4" w:space="0"/>
                    <w:left w:val="single" w:color="000000" w:sz="4" w:space="0"/>
                    <w:bottom w:val="single" w:color="000000" w:sz="4" w:space="0"/>
                    <w:right w:val="single" w:color="000000" w:sz="12" w:space="0"/>
                  </w:tcBorders>
                  <w:vAlign w:val="center"/>
                </w:tcPr>
                <w:p w14:paraId="6BCA2B54">
                  <w:pPr>
                    <w:spacing w:line="560" w:lineRule="exact"/>
                    <w:contextualSpacing/>
                    <w:rPr>
                      <w:rFonts w:ascii="仿宋_GB2312" w:hAnsi="仿宋_GB2312" w:eastAsia="仿宋_GB2312" w:cs="仿宋_GB2312"/>
                      <w:sz w:val="24"/>
                      <w:szCs w:val="24"/>
                    </w:rPr>
                  </w:pPr>
                </w:p>
              </w:tc>
            </w:tr>
            <w:tr w14:paraId="31B518F6">
              <w:tblPrEx>
                <w:tblCellMar>
                  <w:top w:w="15" w:type="dxa"/>
                  <w:left w:w="108" w:type="dxa"/>
                  <w:bottom w:w="15" w:type="dxa"/>
                  <w:right w:w="108" w:type="dxa"/>
                </w:tblCellMar>
              </w:tblPrEx>
              <w:trPr>
                <w:trHeight w:val="540" w:hRule="atLeast"/>
                <w:jc w:val="center"/>
              </w:trPr>
              <w:tc>
                <w:tcPr>
                  <w:tcW w:w="849" w:type="dxa"/>
                  <w:vMerge w:val="continue"/>
                  <w:tcBorders>
                    <w:left w:val="single" w:color="000000" w:sz="12" w:space="0"/>
                    <w:right w:val="single" w:color="000000" w:sz="4" w:space="0"/>
                  </w:tcBorders>
                  <w:vAlign w:val="center"/>
                </w:tcPr>
                <w:p w14:paraId="3BA8900A">
                  <w:pPr>
                    <w:spacing w:line="560" w:lineRule="exact"/>
                    <w:contextualSpacing/>
                    <w:rPr>
                      <w:rFonts w:ascii="仿宋_GB2312" w:hAnsi="仿宋_GB2312" w:eastAsia="仿宋_GB2312" w:cs="仿宋_GB2312"/>
                      <w:sz w:val="24"/>
                      <w:szCs w:val="24"/>
                    </w:rPr>
                  </w:pPr>
                </w:p>
              </w:tc>
              <w:tc>
                <w:tcPr>
                  <w:tcW w:w="913" w:type="dxa"/>
                  <w:vMerge w:val="continue"/>
                  <w:tcBorders>
                    <w:left w:val="single" w:color="000000" w:sz="4" w:space="0"/>
                    <w:right w:val="single" w:color="000000" w:sz="4" w:space="0"/>
                  </w:tcBorders>
                  <w:vAlign w:val="center"/>
                </w:tcPr>
                <w:p w14:paraId="527286C2">
                  <w:pPr>
                    <w:spacing w:line="560" w:lineRule="exact"/>
                    <w:contextualSpacing/>
                    <w:rPr>
                      <w:rFonts w:ascii="仿宋_GB2312" w:hAnsi="仿宋_GB2312" w:eastAsia="仿宋_GB2312" w:cs="仿宋_GB2312"/>
                      <w:sz w:val="24"/>
                      <w:szCs w:val="24"/>
                    </w:rPr>
                  </w:pPr>
                </w:p>
              </w:tc>
              <w:tc>
                <w:tcPr>
                  <w:tcW w:w="1406" w:type="dxa"/>
                  <w:tcBorders>
                    <w:top w:val="single" w:color="000000" w:sz="4" w:space="0"/>
                    <w:left w:val="single" w:color="000000" w:sz="4" w:space="0"/>
                    <w:bottom w:val="single" w:color="000000" w:sz="4" w:space="0"/>
                    <w:right w:val="single" w:color="000000" w:sz="4" w:space="0"/>
                  </w:tcBorders>
                  <w:vAlign w:val="center"/>
                </w:tcPr>
                <w:p w14:paraId="5E5B21D4">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7. 社会影响</w:t>
                  </w:r>
                </w:p>
              </w:tc>
              <w:tc>
                <w:tcPr>
                  <w:tcW w:w="3656" w:type="dxa"/>
                  <w:tcBorders>
                    <w:top w:val="single" w:color="000000" w:sz="4" w:space="0"/>
                    <w:left w:val="single" w:color="000000" w:sz="4" w:space="0"/>
                    <w:bottom w:val="single" w:color="000000" w:sz="4" w:space="0"/>
                    <w:right w:val="single" w:color="000000" w:sz="4" w:space="0"/>
                  </w:tcBorders>
                  <w:vAlign w:val="center"/>
                </w:tcPr>
                <w:p w14:paraId="3A9BFA10">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是否收到其他单位、社会人员对服务不满的意见信</w:t>
                  </w:r>
                  <w:r>
                    <w:rPr>
                      <w:rFonts w:ascii="仿宋_GB2312" w:hAnsi="仿宋_GB2312" w:eastAsia="仿宋_GB2312" w:cs="仿宋_GB2312"/>
                      <w:sz w:val="24"/>
                      <w:szCs w:val="24"/>
                    </w:rPr>
                    <w:t>或热线投诉</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视情予以</w:t>
                  </w:r>
                  <w:r>
                    <w:rPr>
                      <w:rFonts w:hint="eastAsia" w:ascii="仿宋_GB2312" w:hAnsi="仿宋_GB2312" w:eastAsia="仿宋_GB2312" w:cs="仿宋_GB2312"/>
                      <w:sz w:val="24"/>
                      <w:szCs w:val="24"/>
                    </w:rPr>
                    <w:t>扣分</w:t>
                  </w:r>
                </w:p>
              </w:tc>
              <w:tc>
                <w:tcPr>
                  <w:tcW w:w="591" w:type="dxa"/>
                  <w:tcBorders>
                    <w:top w:val="single" w:color="000000" w:sz="4" w:space="0"/>
                    <w:left w:val="single" w:color="000000" w:sz="4" w:space="0"/>
                    <w:bottom w:val="single" w:color="000000" w:sz="4" w:space="0"/>
                    <w:right w:val="single" w:color="000000" w:sz="4" w:space="0"/>
                  </w:tcBorders>
                  <w:vAlign w:val="center"/>
                </w:tcPr>
                <w:p w14:paraId="081AB4A0">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20分</w:t>
                  </w:r>
                </w:p>
              </w:tc>
              <w:tc>
                <w:tcPr>
                  <w:tcW w:w="969" w:type="dxa"/>
                  <w:tcBorders>
                    <w:top w:val="single" w:color="000000" w:sz="4" w:space="0"/>
                    <w:left w:val="single" w:color="000000" w:sz="4" w:space="0"/>
                    <w:bottom w:val="single" w:color="000000" w:sz="4" w:space="0"/>
                    <w:right w:val="single" w:color="000000" w:sz="4" w:space="0"/>
                  </w:tcBorders>
                  <w:vAlign w:val="center"/>
                </w:tcPr>
                <w:p w14:paraId="3AFE4DC3">
                  <w:pPr>
                    <w:spacing w:line="560" w:lineRule="exact"/>
                    <w:contextualSpacing/>
                    <w:rPr>
                      <w:rFonts w:ascii="仿宋_GB2312" w:hAnsi="仿宋_GB2312" w:eastAsia="仿宋_GB2312" w:cs="仿宋_GB2312"/>
                      <w:sz w:val="24"/>
                      <w:szCs w:val="24"/>
                    </w:rPr>
                  </w:pPr>
                </w:p>
              </w:tc>
              <w:tc>
                <w:tcPr>
                  <w:tcW w:w="595" w:type="dxa"/>
                  <w:tcBorders>
                    <w:top w:val="single" w:color="000000" w:sz="4" w:space="0"/>
                    <w:left w:val="single" w:color="000000" w:sz="4" w:space="0"/>
                    <w:bottom w:val="single" w:color="000000" w:sz="4" w:space="0"/>
                    <w:right w:val="single" w:color="000000" w:sz="12" w:space="0"/>
                  </w:tcBorders>
                  <w:vAlign w:val="center"/>
                </w:tcPr>
                <w:p w14:paraId="2DAA6551">
                  <w:pPr>
                    <w:spacing w:line="560" w:lineRule="exact"/>
                    <w:contextualSpacing/>
                    <w:rPr>
                      <w:rFonts w:ascii="仿宋_GB2312" w:hAnsi="仿宋_GB2312" w:eastAsia="仿宋_GB2312" w:cs="仿宋_GB2312"/>
                      <w:sz w:val="24"/>
                      <w:szCs w:val="24"/>
                    </w:rPr>
                  </w:pPr>
                </w:p>
              </w:tc>
            </w:tr>
            <w:tr w14:paraId="7A18A5CB">
              <w:tblPrEx>
                <w:tblCellMar>
                  <w:top w:w="15" w:type="dxa"/>
                  <w:left w:w="108" w:type="dxa"/>
                  <w:bottom w:w="15" w:type="dxa"/>
                  <w:right w:w="108" w:type="dxa"/>
                </w:tblCellMar>
              </w:tblPrEx>
              <w:trPr>
                <w:trHeight w:val="572" w:hRule="atLeast"/>
                <w:jc w:val="center"/>
              </w:trPr>
              <w:tc>
                <w:tcPr>
                  <w:tcW w:w="6824" w:type="dxa"/>
                  <w:gridSpan w:val="4"/>
                  <w:tcBorders>
                    <w:top w:val="single" w:color="000000" w:sz="4" w:space="0"/>
                    <w:left w:val="single" w:color="000000" w:sz="12" w:space="0"/>
                    <w:bottom w:val="single" w:color="000000" w:sz="4" w:space="0"/>
                  </w:tcBorders>
                  <w:vAlign w:val="center"/>
                </w:tcPr>
                <w:p w14:paraId="7FA119A2">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总计分值：</w:t>
                  </w:r>
                </w:p>
              </w:tc>
              <w:tc>
                <w:tcPr>
                  <w:tcW w:w="2155" w:type="dxa"/>
                  <w:gridSpan w:val="3"/>
                  <w:tcBorders>
                    <w:top w:val="single" w:color="000000" w:sz="4" w:space="0"/>
                    <w:left w:val="single" w:color="000000" w:sz="4" w:space="0"/>
                    <w:bottom w:val="single" w:color="000000" w:sz="4" w:space="0"/>
                    <w:right w:val="single" w:color="000000" w:sz="12" w:space="0"/>
                  </w:tcBorders>
                  <w:vAlign w:val="center"/>
                </w:tcPr>
                <w:p w14:paraId="48B7D7A4">
                  <w:pPr>
                    <w:spacing w:line="560" w:lineRule="exact"/>
                    <w:contextualSpacing/>
                    <w:rPr>
                      <w:rFonts w:ascii="仿宋_GB2312" w:hAnsi="仿宋_GB2312" w:eastAsia="仿宋_GB2312" w:cs="仿宋_GB2312"/>
                      <w:sz w:val="24"/>
                      <w:szCs w:val="24"/>
                    </w:rPr>
                  </w:pPr>
                </w:p>
              </w:tc>
            </w:tr>
            <w:tr w14:paraId="509ECE0C">
              <w:tblPrEx>
                <w:tblCellMar>
                  <w:top w:w="15" w:type="dxa"/>
                  <w:left w:w="108" w:type="dxa"/>
                  <w:bottom w:w="15" w:type="dxa"/>
                  <w:right w:w="108" w:type="dxa"/>
                </w:tblCellMar>
              </w:tblPrEx>
              <w:trPr>
                <w:trHeight w:val="525" w:hRule="atLeast"/>
                <w:jc w:val="center"/>
              </w:trPr>
              <w:tc>
                <w:tcPr>
                  <w:tcW w:w="8979" w:type="dxa"/>
                  <w:gridSpan w:val="7"/>
                  <w:tcBorders>
                    <w:top w:val="single" w:color="000000" w:sz="4" w:space="0"/>
                    <w:left w:val="single" w:color="000000" w:sz="12" w:space="0"/>
                    <w:bottom w:val="single" w:color="000000" w:sz="12" w:space="0"/>
                    <w:right w:val="single" w:color="000000" w:sz="12" w:space="0"/>
                  </w:tcBorders>
                  <w:vAlign w:val="center"/>
                </w:tcPr>
                <w:p w14:paraId="65BDD391">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被考核人：                               考核人：</w:t>
                  </w:r>
                </w:p>
              </w:tc>
            </w:tr>
          </w:tbl>
          <w:p w14:paraId="1E3187AC">
            <w:pPr>
              <w:spacing w:line="560" w:lineRule="exact"/>
              <w:contextualSpacing/>
              <w:rPr>
                <w:rFonts w:ascii="仿宋_GB2312" w:hAnsi="仿宋_GB2312" w:eastAsia="仿宋_GB2312" w:cs="仿宋_GB2312"/>
                <w:sz w:val="24"/>
                <w:szCs w:val="24"/>
              </w:rPr>
            </w:pPr>
          </w:p>
        </w:tc>
      </w:tr>
    </w:tbl>
    <w:p w14:paraId="2D698C95">
      <w:pPr>
        <w:spacing w:line="56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注：乙方派驻人员须为甲方确认备案人员，如非备案人员上岗的发现一次扣3分。</w:t>
      </w:r>
    </w:p>
    <w:p w14:paraId="3933E346">
      <w:pPr>
        <w:spacing w:line="560" w:lineRule="exact"/>
        <w:contextualSpacing/>
        <w:rPr>
          <w:rFonts w:ascii="仿宋_GB2312" w:hAnsi="仿宋_GB2312" w:eastAsia="仿宋_GB2312" w:cs="仿宋_GB2312"/>
          <w:sz w:val="24"/>
          <w:szCs w:val="24"/>
        </w:rPr>
      </w:pPr>
    </w:p>
    <w:p w14:paraId="53B3A448">
      <w:pPr>
        <w:spacing w:line="560" w:lineRule="exact"/>
        <w:contextualSpacing/>
        <w:rPr>
          <w:rFonts w:ascii="仿宋_GB2312" w:hAnsi="仿宋_GB2312" w:eastAsia="仿宋_GB2312" w:cs="仿宋_GB2312"/>
          <w:sz w:val="24"/>
          <w:szCs w:val="24"/>
        </w:rPr>
      </w:pPr>
    </w:p>
    <w:p w14:paraId="76D77468">
      <w:pPr>
        <w:spacing w:line="560" w:lineRule="exact"/>
        <w:contextualSpacing/>
        <w:rPr>
          <w:rFonts w:ascii="仿宋_GB2312" w:hAnsi="仿宋_GB2312" w:eastAsia="仿宋_GB2312" w:cs="仿宋_GB2312"/>
          <w:sz w:val="24"/>
          <w:szCs w:val="24"/>
        </w:rPr>
      </w:pPr>
    </w:p>
    <w:p w14:paraId="49C4CA44">
      <w:pPr>
        <w:spacing w:line="560" w:lineRule="exact"/>
        <w:contextualSpacing/>
        <w:rPr>
          <w:rFonts w:ascii="黑体" w:hAnsi="黑体" w:eastAsia="黑体"/>
          <w:sz w:val="24"/>
          <w:szCs w:val="24"/>
        </w:rPr>
      </w:pPr>
    </w:p>
    <w:p w14:paraId="7D694034">
      <w:pPr>
        <w:spacing w:line="560" w:lineRule="exact"/>
        <w:contextualSpacing/>
        <w:rPr>
          <w:rFonts w:ascii="黑体" w:hAnsi="黑体" w:eastAsia="黑体"/>
          <w:sz w:val="24"/>
          <w:szCs w:val="24"/>
        </w:rPr>
      </w:pPr>
    </w:p>
    <w:p w14:paraId="2EF60BFC">
      <w:pPr>
        <w:spacing w:line="560" w:lineRule="exact"/>
        <w:contextualSpacing/>
        <w:rPr>
          <w:rFonts w:ascii="黑体" w:hAnsi="黑体" w:eastAsia="黑体"/>
          <w:sz w:val="24"/>
          <w:szCs w:val="24"/>
        </w:rPr>
      </w:pPr>
    </w:p>
    <w:p w14:paraId="4516A4FF">
      <w:pPr>
        <w:spacing w:line="560" w:lineRule="exact"/>
        <w:contextualSpacing/>
        <w:rPr>
          <w:rFonts w:ascii="黑体" w:hAnsi="黑体" w:eastAsia="黑体"/>
          <w:sz w:val="24"/>
          <w:szCs w:val="24"/>
        </w:rPr>
      </w:pPr>
    </w:p>
    <w:p w14:paraId="1EB37241">
      <w:pPr>
        <w:spacing w:line="560" w:lineRule="exact"/>
        <w:contextualSpacing/>
        <w:rPr>
          <w:rFonts w:ascii="黑体" w:hAnsi="黑体" w:eastAsia="黑体"/>
          <w:sz w:val="24"/>
          <w:szCs w:val="24"/>
        </w:rPr>
      </w:pPr>
    </w:p>
    <w:p w14:paraId="4FE7C660">
      <w:pPr>
        <w:spacing w:line="560" w:lineRule="exact"/>
        <w:contextualSpacing/>
        <w:rPr>
          <w:rFonts w:ascii="黑体" w:hAnsi="黑体" w:eastAsia="黑体"/>
          <w:sz w:val="24"/>
          <w:szCs w:val="24"/>
        </w:rPr>
      </w:pPr>
    </w:p>
    <w:p w14:paraId="28BE13A6">
      <w:pPr>
        <w:spacing w:line="560" w:lineRule="exact"/>
        <w:contextualSpacing/>
        <w:rPr>
          <w:rFonts w:ascii="黑体" w:hAnsi="黑体" w:eastAsia="黑体"/>
          <w:sz w:val="24"/>
          <w:szCs w:val="24"/>
        </w:rPr>
      </w:pPr>
    </w:p>
    <w:p w14:paraId="6CAA6FED">
      <w:pPr>
        <w:spacing w:line="560" w:lineRule="exact"/>
        <w:contextualSpacing/>
        <w:rPr>
          <w:rFonts w:ascii="黑体" w:hAnsi="黑体" w:eastAsia="黑体"/>
          <w:sz w:val="24"/>
          <w:szCs w:val="24"/>
        </w:rPr>
      </w:pPr>
    </w:p>
    <w:p w14:paraId="4A1319E4">
      <w:pPr>
        <w:spacing w:line="560" w:lineRule="exact"/>
        <w:contextualSpacing/>
        <w:rPr>
          <w:rFonts w:ascii="黑体" w:hAnsi="黑体" w:eastAsia="黑体"/>
          <w:sz w:val="24"/>
          <w:szCs w:val="24"/>
        </w:rPr>
      </w:pPr>
    </w:p>
    <w:p w14:paraId="3FDEBB58">
      <w:pPr>
        <w:spacing w:line="560" w:lineRule="exact"/>
        <w:contextualSpacing/>
        <w:rPr>
          <w:rFonts w:ascii="黑体" w:hAnsi="黑体" w:eastAsia="黑体"/>
          <w:sz w:val="24"/>
          <w:szCs w:val="24"/>
        </w:rPr>
      </w:pPr>
    </w:p>
    <w:p w14:paraId="05D06DA0">
      <w:pPr>
        <w:spacing w:line="560" w:lineRule="exact"/>
        <w:contextualSpacing/>
        <w:rPr>
          <w:rFonts w:ascii="黑体" w:hAnsi="黑体" w:eastAsia="黑体"/>
          <w:sz w:val="24"/>
          <w:szCs w:val="24"/>
        </w:rPr>
      </w:pPr>
    </w:p>
    <w:p w14:paraId="21E8A987">
      <w:pPr>
        <w:pStyle w:val="4"/>
        <w:rPr>
          <w:rFonts w:ascii="黑体" w:hAnsi="黑体" w:eastAsia="黑体"/>
          <w:sz w:val="24"/>
          <w:szCs w:val="24"/>
        </w:rPr>
      </w:pPr>
    </w:p>
    <w:p w14:paraId="6739F32A">
      <w:pPr>
        <w:pStyle w:val="5"/>
      </w:pPr>
    </w:p>
    <w:p w14:paraId="3D9933AF">
      <w:pPr>
        <w:spacing w:line="560" w:lineRule="exact"/>
        <w:contextualSpacing/>
        <w:rPr>
          <w:rFonts w:ascii="黑体" w:hAnsi="黑体" w:eastAsia="黑体"/>
          <w:sz w:val="24"/>
          <w:szCs w:val="24"/>
        </w:rPr>
      </w:pPr>
      <w:r>
        <w:rPr>
          <w:rFonts w:hint="eastAsia" w:ascii="黑体" w:hAnsi="黑体" w:eastAsia="黑体"/>
          <w:sz w:val="24"/>
          <w:szCs w:val="24"/>
        </w:rPr>
        <w:t>附件2</w:t>
      </w:r>
    </w:p>
    <w:p w14:paraId="46A45214">
      <w:pPr>
        <w:spacing w:line="560" w:lineRule="exact"/>
        <w:contextualSpacing/>
        <w:jc w:val="center"/>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处罚方法</w:t>
      </w:r>
    </w:p>
    <w:p w14:paraId="0FCD3592">
      <w:pPr>
        <w:spacing w:line="560" w:lineRule="exact"/>
        <w:contextualSpacing/>
        <w:jc w:val="center"/>
        <w:rPr>
          <w:rFonts w:ascii="方正小标宋简体" w:hAnsi="方正小标宋简体" w:eastAsia="方正小标宋简体" w:cs="方正小标宋简体"/>
          <w:sz w:val="24"/>
          <w:szCs w:val="24"/>
        </w:rPr>
      </w:pPr>
    </w:p>
    <w:tbl>
      <w:tblPr>
        <w:tblStyle w:val="11"/>
        <w:tblW w:w="10129" w:type="dxa"/>
        <w:jc w:val="center"/>
        <w:tblLayout w:type="fixed"/>
        <w:tblCellMar>
          <w:top w:w="0" w:type="dxa"/>
          <w:left w:w="108" w:type="dxa"/>
          <w:bottom w:w="0" w:type="dxa"/>
          <w:right w:w="108" w:type="dxa"/>
        </w:tblCellMar>
      </w:tblPr>
      <w:tblGrid>
        <w:gridCol w:w="2177"/>
        <w:gridCol w:w="2860"/>
        <w:gridCol w:w="5092"/>
      </w:tblGrid>
      <w:tr w14:paraId="5AC81200">
        <w:tblPrEx>
          <w:tblCellMar>
            <w:top w:w="0" w:type="dxa"/>
            <w:left w:w="108" w:type="dxa"/>
            <w:bottom w:w="0" w:type="dxa"/>
            <w:right w:w="108" w:type="dxa"/>
          </w:tblCellMar>
        </w:tblPrEx>
        <w:trPr>
          <w:jc w:val="center"/>
        </w:trPr>
        <w:tc>
          <w:tcPr>
            <w:tcW w:w="2177" w:type="dxa"/>
            <w:tcBorders>
              <w:top w:val="single" w:color="auto" w:sz="12" w:space="0"/>
              <w:left w:val="single" w:color="auto" w:sz="12" w:space="0"/>
              <w:bottom w:val="single" w:color="auto" w:sz="4" w:space="0"/>
              <w:right w:val="single" w:color="auto" w:sz="4" w:space="0"/>
            </w:tcBorders>
          </w:tcPr>
          <w:p w14:paraId="691646C7">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每月平均得分</w:t>
            </w:r>
          </w:p>
        </w:tc>
        <w:tc>
          <w:tcPr>
            <w:tcW w:w="2860" w:type="dxa"/>
            <w:tcBorders>
              <w:top w:val="single" w:color="auto" w:sz="12" w:space="0"/>
              <w:left w:val="single" w:color="auto" w:sz="4" w:space="0"/>
              <w:bottom w:val="single" w:color="auto" w:sz="4" w:space="0"/>
              <w:right w:val="single" w:color="auto" w:sz="4" w:space="0"/>
            </w:tcBorders>
          </w:tcPr>
          <w:p w14:paraId="3B9CE91E">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处罚标准</w:t>
            </w:r>
          </w:p>
        </w:tc>
        <w:tc>
          <w:tcPr>
            <w:tcW w:w="5092" w:type="dxa"/>
            <w:tcBorders>
              <w:top w:val="single" w:color="auto" w:sz="12" w:space="0"/>
              <w:left w:val="single" w:color="auto" w:sz="4" w:space="0"/>
              <w:bottom w:val="single" w:color="auto" w:sz="4" w:space="0"/>
              <w:right w:val="single" w:color="auto" w:sz="12" w:space="0"/>
            </w:tcBorders>
          </w:tcPr>
          <w:p w14:paraId="3D1123DD">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14:paraId="200DBD17">
        <w:tblPrEx>
          <w:tblCellMar>
            <w:top w:w="0" w:type="dxa"/>
            <w:left w:w="108" w:type="dxa"/>
            <w:bottom w:w="0" w:type="dxa"/>
            <w:right w:w="108" w:type="dxa"/>
          </w:tblCellMar>
        </w:tblPrEx>
        <w:trPr>
          <w:jc w:val="center"/>
        </w:trPr>
        <w:tc>
          <w:tcPr>
            <w:tcW w:w="2177" w:type="dxa"/>
            <w:tcBorders>
              <w:top w:val="single" w:color="auto" w:sz="4" w:space="0"/>
              <w:left w:val="single" w:color="auto" w:sz="12" w:space="0"/>
              <w:bottom w:val="single" w:color="auto" w:sz="4" w:space="0"/>
              <w:right w:val="single" w:color="auto" w:sz="4" w:space="0"/>
            </w:tcBorders>
            <w:vAlign w:val="center"/>
          </w:tcPr>
          <w:p w14:paraId="3BB55152">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84分</w:t>
            </w:r>
          </w:p>
        </w:tc>
        <w:tc>
          <w:tcPr>
            <w:tcW w:w="2860" w:type="dxa"/>
            <w:tcBorders>
              <w:top w:val="single" w:color="auto" w:sz="4" w:space="0"/>
              <w:left w:val="single" w:color="auto" w:sz="4" w:space="0"/>
              <w:bottom w:val="single" w:color="auto" w:sz="4" w:space="0"/>
              <w:right w:val="single" w:color="auto" w:sz="4" w:space="0"/>
            </w:tcBorders>
            <w:vAlign w:val="center"/>
          </w:tcPr>
          <w:p w14:paraId="69ADDC27">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扣除300元/当月</w:t>
            </w:r>
          </w:p>
        </w:tc>
        <w:tc>
          <w:tcPr>
            <w:tcW w:w="5092" w:type="dxa"/>
            <w:vMerge w:val="restart"/>
            <w:tcBorders>
              <w:top w:val="single" w:color="auto" w:sz="4" w:space="0"/>
              <w:left w:val="single" w:color="auto" w:sz="4" w:space="0"/>
              <w:bottom w:val="single" w:color="auto" w:sz="4" w:space="0"/>
              <w:right w:val="single" w:color="auto" w:sz="12" w:space="0"/>
            </w:tcBorders>
            <w:vAlign w:val="center"/>
          </w:tcPr>
          <w:p w14:paraId="408A4CF9">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连续3个月低于75分或评分累计4个月低于75分，则甲方从当月支付给乙方的费用中扣除2万元人民币作为惩罚并与乙方终止承包合同。</w:t>
            </w:r>
          </w:p>
        </w:tc>
      </w:tr>
      <w:tr w14:paraId="0E813994">
        <w:tblPrEx>
          <w:tblCellMar>
            <w:top w:w="0" w:type="dxa"/>
            <w:left w:w="108" w:type="dxa"/>
            <w:bottom w:w="0" w:type="dxa"/>
            <w:right w:w="108" w:type="dxa"/>
          </w:tblCellMar>
        </w:tblPrEx>
        <w:trPr>
          <w:jc w:val="center"/>
        </w:trPr>
        <w:tc>
          <w:tcPr>
            <w:tcW w:w="2177" w:type="dxa"/>
            <w:tcBorders>
              <w:top w:val="single" w:color="auto" w:sz="4" w:space="0"/>
              <w:left w:val="single" w:color="auto" w:sz="12" w:space="0"/>
              <w:bottom w:val="single" w:color="auto" w:sz="4" w:space="0"/>
              <w:right w:val="single" w:color="auto" w:sz="4" w:space="0"/>
            </w:tcBorders>
            <w:vAlign w:val="center"/>
          </w:tcPr>
          <w:p w14:paraId="632CC7AF">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83分</w:t>
            </w:r>
          </w:p>
        </w:tc>
        <w:tc>
          <w:tcPr>
            <w:tcW w:w="2860" w:type="dxa"/>
            <w:tcBorders>
              <w:top w:val="single" w:color="auto" w:sz="4" w:space="0"/>
              <w:left w:val="single" w:color="auto" w:sz="4" w:space="0"/>
              <w:bottom w:val="single" w:color="auto" w:sz="4" w:space="0"/>
              <w:right w:val="single" w:color="auto" w:sz="4" w:space="0"/>
            </w:tcBorders>
            <w:vAlign w:val="center"/>
          </w:tcPr>
          <w:p w14:paraId="5383F58F">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扣除600元/当月</w:t>
            </w:r>
          </w:p>
        </w:tc>
        <w:tc>
          <w:tcPr>
            <w:tcW w:w="5092" w:type="dxa"/>
            <w:vMerge w:val="continue"/>
            <w:tcBorders>
              <w:top w:val="single" w:color="auto" w:sz="4" w:space="0"/>
              <w:left w:val="single" w:color="auto" w:sz="4" w:space="0"/>
              <w:bottom w:val="single" w:color="auto" w:sz="4" w:space="0"/>
              <w:right w:val="single" w:color="auto" w:sz="12" w:space="0"/>
            </w:tcBorders>
            <w:vAlign w:val="center"/>
          </w:tcPr>
          <w:p w14:paraId="01423318">
            <w:pPr>
              <w:spacing w:line="560" w:lineRule="exact"/>
              <w:contextualSpacing/>
              <w:jc w:val="center"/>
              <w:rPr>
                <w:rFonts w:ascii="仿宋_GB2312" w:hAnsi="仿宋_GB2312" w:eastAsia="仿宋_GB2312" w:cs="仿宋_GB2312"/>
                <w:sz w:val="24"/>
                <w:szCs w:val="24"/>
              </w:rPr>
            </w:pPr>
          </w:p>
        </w:tc>
      </w:tr>
      <w:tr w14:paraId="10472107">
        <w:tblPrEx>
          <w:tblCellMar>
            <w:top w:w="0" w:type="dxa"/>
            <w:left w:w="108" w:type="dxa"/>
            <w:bottom w:w="0" w:type="dxa"/>
            <w:right w:w="108" w:type="dxa"/>
          </w:tblCellMar>
        </w:tblPrEx>
        <w:trPr>
          <w:jc w:val="center"/>
        </w:trPr>
        <w:tc>
          <w:tcPr>
            <w:tcW w:w="2177" w:type="dxa"/>
            <w:tcBorders>
              <w:top w:val="single" w:color="auto" w:sz="4" w:space="0"/>
              <w:left w:val="single" w:color="auto" w:sz="12" w:space="0"/>
              <w:bottom w:val="single" w:color="auto" w:sz="4" w:space="0"/>
              <w:right w:val="single" w:color="auto" w:sz="4" w:space="0"/>
            </w:tcBorders>
            <w:vAlign w:val="center"/>
          </w:tcPr>
          <w:p w14:paraId="2A980E75">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82分</w:t>
            </w:r>
          </w:p>
        </w:tc>
        <w:tc>
          <w:tcPr>
            <w:tcW w:w="2860" w:type="dxa"/>
            <w:tcBorders>
              <w:top w:val="single" w:color="auto" w:sz="4" w:space="0"/>
              <w:left w:val="single" w:color="auto" w:sz="4" w:space="0"/>
              <w:bottom w:val="single" w:color="auto" w:sz="4" w:space="0"/>
              <w:right w:val="single" w:color="auto" w:sz="4" w:space="0"/>
            </w:tcBorders>
            <w:vAlign w:val="center"/>
          </w:tcPr>
          <w:p w14:paraId="4FBDEB4C">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扣除900元/当月</w:t>
            </w:r>
          </w:p>
        </w:tc>
        <w:tc>
          <w:tcPr>
            <w:tcW w:w="5092" w:type="dxa"/>
            <w:vMerge w:val="continue"/>
            <w:tcBorders>
              <w:top w:val="single" w:color="auto" w:sz="4" w:space="0"/>
              <w:left w:val="single" w:color="auto" w:sz="4" w:space="0"/>
              <w:bottom w:val="single" w:color="auto" w:sz="4" w:space="0"/>
              <w:right w:val="single" w:color="auto" w:sz="12" w:space="0"/>
            </w:tcBorders>
            <w:vAlign w:val="center"/>
          </w:tcPr>
          <w:p w14:paraId="5DB54054">
            <w:pPr>
              <w:spacing w:line="560" w:lineRule="exact"/>
              <w:contextualSpacing/>
              <w:jc w:val="center"/>
              <w:rPr>
                <w:rFonts w:ascii="仿宋_GB2312" w:hAnsi="仿宋_GB2312" w:eastAsia="仿宋_GB2312" w:cs="仿宋_GB2312"/>
                <w:sz w:val="24"/>
                <w:szCs w:val="24"/>
              </w:rPr>
            </w:pPr>
          </w:p>
        </w:tc>
      </w:tr>
      <w:tr w14:paraId="2C22F94E">
        <w:tblPrEx>
          <w:tblCellMar>
            <w:top w:w="0" w:type="dxa"/>
            <w:left w:w="108" w:type="dxa"/>
            <w:bottom w:w="0" w:type="dxa"/>
            <w:right w:w="108" w:type="dxa"/>
          </w:tblCellMar>
        </w:tblPrEx>
        <w:trPr>
          <w:jc w:val="center"/>
        </w:trPr>
        <w:tc>
          <w:tcPr>
            <w:tcW w:w="2177" w:type="dxa"/>
            <w:tcBorders>
              <w:top w:val="single" w:color="auto" w:sz="4" w:space="0"/>
              <w:left w:val="single" w:color="auto" w:sz="12" w:space="0"/>
              <w:bottom w:val="single" w:color="auto" w:sz="4" w:space="0"/>
              <w:right w:val="single" w:color="auto" w:sz="4" w:space="0"/>
            </w:tcBorders>
            <w:vAlign w:val="center"/>
          </w:tcPr>
          <w:p w14:paraId="383D986C">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81分</w:t>
            </w:r>
          </w:p>
        </w:tc>
        <w:tc>
          <w:tcPr>
            <w:tcW w:w="2860" w:type="dxa"/>
            <w:tcBorders>
              <w:top w:val="single" w:color="auto" w:sz="4" w:space="0"/>
              <w:left w:val="single" w:color="auto" w:sz="4" w:space="0"/>
              <w:bottom w:val="single" w:color="auto" w:sz="4" w:space="0"/>
              <w:right w:val="single" w:color="auto" w:sz="4" w:space="0"/>
            </w:tcBorders>
            <w:vAlign w:val="center"/>
          </w:tcPr>
          <w:p w14:paraId="3FA02031">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扣除1500元/当月</w:t>
            </w:r>
          </w:p>
        </w:tc>
        <w:tc>
          <w:tcPr>
            <w:tcW w:w="5092" w:type="dxa"/>
            <w:vMerge w:val="continue"/>
            <w:tcBorders>
              <w:top w:val="single" w:color="auto" w:sz="4" w:space="0"/>
              <w:left w:val="single" w:color="auto" w:sz="4" w:space="0"/>
              <w:bottom w:val="single" w:color="auto" w:sz="4" w:space="0"/>
              <w:right w:val="single" w:color="auto" w:sz="12" w:space="0"/>
            </w:tcBorders>
            <w:vAlign w:val="center"/>
          </w:tcPr>
          <w:p w14:paraId="435B0039">
            <w:pPr>
              <w:spacing w:line="560" w:lineRule="exact"/>
              <w:contextualSpacing/>
              <w:jc w:val="center"/>
              <w:rPr>
                <w:rFonts w:ascii="仿宋_GB2312" w:hAnsi="仿宋_GB2312" w:eastAsia="仿宋_GB2312" w:cs="仿宋_GB2312"/>
                <w:sz w:val="24"/>
                <w:szCs w:val="24"/>
              </w:rPr>
            </w:pPr>
          </w:p>
        </w:tc>
      </w:tr>
      <w:tr w14:paraId="7726B50D">
        <w:tblPrEx>
          <w:tblCellMar>
            <w:top w:w="0" w:type="dxa"/>
            <w:left w:w="108" w:type="dxa"/>
            <w:bottom w:w="0" w:type="dxa"/>
            <w:right w:w="108" w:type="dxa"/>
          </w:tblCellMar>
        </w:tblPrEx>
        <w:trPr>
          <w:jc w:val="center"/>
        </w:trPr>
        <w:tc>
          <w:tcPr>
            <w:tcW w:w="2177" w:type="dxa"/>
            <w:tcBorders>
              <w:top w:val="single" w:color="auto" w:sz="4" w:space="0"/>
              <w:left w:val="single" w:color="auto" w:sz="12" w:space="0"/>
              <w:bottom w:val="single" w:color="auto" w:sz="4" w:space="0"/>
              <w:right w:val="single" w:color="auto" w:sz="4" w:space="0"/>
            </w:tcBorders>
            <w:vAlign w:val="center"/>
          </w:tcPr>
          <w:p w14:paraId="15EF2A69">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80分</w:t>
            </w:r>
          </w:p>
        </w:tc>
        <w:tc>
          <w:tcPr>
            <w:tcW w:w="2860" w:type="dxa"/>
            <w:tcBorders>
              <w:top w:val="single" w:color="auto" w:sz="4" w:space="0"/>
              <w:left w:val="single" w:color="auto" w:sz="4" w:space="0"/>
              <w:bottom w:val="single" w:color="auto" w:sz="4" w:space="0"/>
              <w:right w:val="single" w:color="auto" w:sz="4" w:space="0"/>
            </w:tcBorders>
            <w:vAlign w:val="center"/>
          </w:tcPr>
          <w:p w14:paraId="5C8A2036">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扣除2100元/当月</w:t>
            </w:r>
          </w:p>
        </w:tc>
        <w:tc>
          <w:tcPr>
            <w:tcW w:w="5092" w:type="dxa"/>
            <w:vMerge w:val="continue"/>
            <w:tcBorders>
              <w:top w:val="single" w:color="auto" w:sz="4" w:space="0"/>
              <w:left w:val="single" w:color="auto" w:sz="4" w:space="0"/>
              <w:bottom w:val="single" w:color="auto" w:sz="4" w:space="0"/>
              <w:right w:val="single" w:color="auto" w:sz="12" w:space="0"/>
            </w:tcBorders>
            <w:vAlign w:val="center"/>
          </w:tcPr>
          <w:p w14:paraId="5929E77F">
            <w:pPr>
              <w:spacing w:line="560" w:lineRule="exact"/>
              <w:contextualSpacing/>
              <w:jc w:val="center"/>
              <w:rPr>
                <w:rFonts w:ascii="仿宋_GB2312" w:hAnsi="仿宋_GB2312" w:eastAsia="仿宋_GB2312" w:cs="仿宋_GB2312"/>
                <w:sz w:val="24"/>
                <w:szCs w:val="24"/>
              </w:rPr>
            </w:pPr>
          </w:p>
        </w:tc>
      </w:tr>
      <w:tr w14:paraId="1C9E1798">
        <w:tblPrEx>
          <w:tblCellMar>
            <w:top w:w="0" w:type="dxa"/>
            <w:left w:w="108" w:type="dxa"/>
            <w:bottom w:w="0" w:type="dxa"/>
            <w:right w:w="108" w:type="dxa"/>
          </w:tblCellMar>
        </w:tblPrEx>
        <w:trPr>
          <w:jc w:val="center"/>
        </w:trPr>
        <w:tc>
          <w:tcPr>
            <w:tcW w:w="2177" w:type="dxa"/>
            <w:tcBorders>
              <w:top w:val="single" w:color="auto" w:sz="4" w:space="0"/>
              <w:left w:val="single" w:color="auto" w:sz="12" w:space="0"/>
              <w:bottom w:val="single" w:color="auto" w:sz="4" w:space="0"/>
              <w:right w:val="single" w:color="auto" w:sz="4" w:space="0"/>
            </w:tcBorders>
            <w:vAlign w:val="center"/>
          </w:tcPr>
          <w:p w14:paraId="07617EAE">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79分</w:t>
            </w:r>
          </w:p>
        </w:tc>
        <w:tc>
          <w:tcPr>
            <w:tcW w:w="2860" w:type="dxa"/>
            <w:tcBorders>
              <w:top w:val="single" w:color="auto" w:sz="4" w:space="0"/>
              <w:left w:val="single" w:color="auto" w:sz="4" w:space="0"/>
              <w:bottom w:val="single" w:color="auto" w:sz="4" w:space="0"/>
              <w:right w:val="single" w:color="auto" w:sz="4" w:space="0"/>
            </w:tcBorders>
            <w:vAlign w:val="center"/>
          </w:tcPr>
          <w:p w14:paraId="78663367">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扣除2700元/当月</w:t>
            </w:r>
          </w:p>
        </w:tc>
        <w:tc>
          <w:tcPr>
            <w:tcW w:w="5092" w:type="dxa"/>
            <w:vMerge w:val="continue"/>
            <w:tcBorders>
              <w:top w:val="single" w:color="auto" w:sz="4" w:space="0"/>
              <w:left w:val="single" w:color="auto" w:sz="4" w:space="0"/>
              <w:bottom w:val="single" w:color="auto" w:sz="4" w:space="0"/>
              <w:right w:val="single" w:color="auto" w:sz="12" w:space="0"/>
            </w:tcBorders>
            <w:vAlign w:val="center"/>
          </w:tcPr>
          <w:p w14:paraId="17F5B24F">
            <w:pPr>
              <w:spacing w:line="560" w:lineRule="exact"/>
              <w:contextualSpacing/>
              <w:jc w:val="center"/>
              <w:rPr>
                <w:rFonts w:ascii="仿宋_GB2312" w:hAnsi="仿宋_GB2312" w:eastAsia="仿宋_GB2312" w:cs="仿宋_GB2312"/>
                <w:sz w:val="24"/>
                <w:szCs w:val="24"/>
              </w:rPr>
            </w:pPr>
          </w:p>
        </w:tc>
      </w:tr>
      <w:tr w14:paraId="636BFFDA">
        <w:tblPrEx>
          <w:tblCellMar>
            <w:top w:w="0" w:type="dxa"/>
            <w:left w:w="108" w:type="dxa"/>
            <w:bottom w:w="0" w:type="dxa"/>
            <w:right w:w="108" w:type="dxa"/>
          </w:tblCellMar>
        </w:tblPrEx>
        <w:trPr>
          <w:jc w:val="center"/>
        </w:trPr>
        <w:tc>
          <w:tcPr>
            <w:tcW w:w="2177" w:type="dxa"/>
            <w:tcBorders>
              <w:top w:val="single" w:color="auto" w:sz="4" w:space="0"/>
              <w:left w:val="single" w:color="auto" w:sz="12" w:space="0"/>
              <w:bottom w:val="single" w:color="auto" w:sz="4" w:space="0"/>
              <w:right w:val="single" w:color="auto" w:sz="4" w:space="0"/>
            </w:tcBorders>
            <w:vAlign w:val="center"/>
          </w:tcPr>
          <w:p w14:paraId="7B79DF58">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78分</w:t>
            </w:r>
          </w:p>
        </w:tc>
        <w:tc>
          <w:tcPr>
            <w:tcW w:w="2860" w:type="dxa"/>
            <w:tcBorders>
              <w:top w:val="single" w:color="auto" w:sz="4" w:space="0"/>
              <w:left w:val="single" w:color="auto" w:sz="4" w:space="0"/>
              <w:bottom w:val="single" w:color="auto" w:sz="4" w:space="0"/>
              <w:right w:val="single" w:color="auto" w:sz="4" w:space="0"/>
            </w:tcBorders>
            <w:vAlign w:val="center"/>
          </w:tcPr>
          <w:p w14:paraId="3FBB1240">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扣除3300元/当月</w:t>
            </w:r>
          </w:p>
        </w:tc>
        <w:tc>
          <w:tcPr>
            <w:tcW w:w="5092" w:type="dxa"/>
            <w:vMerge w:val="continue"/>
            <w:tcBorders>
              <w:top w:val="single" w:color="auto" w:sz="4" w:space="0"/>
              <w:left w:val="single" w:color="auto" w:sz="4" w:space="0"/>
              <w:bottom w:val="single" w:color="auto" w:sz="4" w:space="0"/>
              <w:right w:val="single" w:color="auto" w:sz="12" w:space="0"/>
            </w:tcBorders>
            <w:vAlign w:val="center"/>
          </w:tcPr>
          <w:p w14:paraId="537F032B">
            <w:pPr>
              <w:spacing w:line="560" w:lineRule="exact"/>
              <w:contextualSpacing/>
              <w:jc w:val="center"/>
              <w:rPr>
                <w:rFonts w:ascii="仿宋_GB2312" w:hAnsi="仿宋_GB2312" w:eastAsia="仿宋_GB2312" w:cs="仿宋_GB2312"/>
                <w:sz w:val="24"/>
                <w:szCs w:val="24"/>
              </w:rPr>
            </w:pPr>
          </w:p>
        </w:tc>
      </w:tr>
      <w:tr w14:paraId="23EB0B4F">
        <w:tblPrEx>
          <w:tblCellMar>
            <w:top w:w="0" w:type="dxa"/>
            <w:left w:w="108" w:type="dxa"/>
            <w:bottom w:w="0" w:type="dxa"/>
            <w:right w:w="108" w:type="dxa"/>
          </w:tblCellMar>
        </w:tblPrEx>
        <w:trPr>
          <w:trHeight w:val="70" w:hRule="atLeast"/>
          <w:jc w:val="center"/>
        </w:trPr>
        <w:tc>
          <w:tcPr>
            <w:tcW w:w="2177" w:type="dxa"/>
            <w:tcBorders>
              <w:top w:val="single" w:color="auto" w:sz="4" w:space="0"/>
              <w:left w:val="single" w:color="auto" w:sz="12" w:space="0"/>
              <w:bottom w:val="single" w:color="auto" w:sz="4" w:space="0"/>
              <w:right w:val="single" w:color="auto" w:sz="4" w:space="0"/>
            </w:tcBorders>
            <w:vAlign w:val="center"/>
          </w:tcPr>
          <w:p w14:paraId="2FD57021">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77分</w:t>
            </w:r>
          </w:p>
        </w:tc>
        <w:tc>
          <w:tcPr>
            <w:tcW w:w="2860" w:type="dxa"/>
            <w:tcBorders>
              <w:top w:val="single" w:color="auto" w:sz="4" w:space="0"/>
              <w:left w:val="single" w:color="auto" w:sz="4" w:space="0"/>
              <w:bottom w:val="single" w:color="auto" w:sz="4" w:space="0"/>
              <w:right w:val="single" w:color="auto" w:sz="4" w:space="0"/>
            </w:tcBorders>
            <w:vAlign w:val="center"/>
          </w:tcPr>
          <w:p w14:paraId="6DCC8F33">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扣除4200元/当月</w:t>
            </w:r>
          </w:p>
        </w:tc>
        <w:tc>
          <w:tcPr>
            <w:tcW w:w="5092" w:type="dxa"/>
            <w:vMerge w:val="continue"/>
            <w:tcBorders>
              <w:top w:val="single" w:color="auto" w:sz="4" w:space="0"/>
              <w:left w:val="single" w:color="auto" w:sz="4" w:space="0"/>
              <w:bottom w:val="single" w:color="auto" w:sz="4" w:space="0"/>
              <w:right w:val="single" w:color="auto" w:sz="12" w:space="0"/>
            </w:tcBorders>
            <w:vAlign w:val="center"/>
          </w:tcPr>
          <w:p w14:paraId="099B11D1">
            <w:pPr>
              <w:spacing w:line="560" w:lineRule="exact"/>
              <w:contextualSpacing/>
              <w:jc w:val="center"/>
              <w:rPr>
                <w:rFonts w:ascii="仿宋_GB2312" w:hAnsi="仿宋_GB2312" w:eastAsia="仿宋_GB2312" w:cs="仿宋_GB2312"/>
                <w:sz w:val="24"/>
                <w:szCs w:val="24"/>
              </w:rPr>
            </w:pPr>
          </w:p>
        </w:tc>
      </w:tr>
      <w:tr w14:paraId="1E173CCB">
        <w:tblPrEx>
          <w:tblCellMar>
            <w:top w:w="0" w:type="dxa"/>
            <w:left w:w="108" w:type="dxa"/>
            <w:bottom w:w="0" w:type="dxa"/>
            <w:right w:w="108" w:type="dxa"/>
          </w:tblCellMar>
        </w:tblPrEx>
        <w:trPr>
          <w:jc w:val="center"/>
        </w:trPr>
        <w:tc>
          <w:tcPr>
            <w:tcW w:w="2177" w:type="dxa"/>
            <w:tcBorders>
              <w:top w:val="single" w:color="auto" w:sz="4" w:space="0"/>
              <w:left w:val="single" w:color="auto" w:sz="12" w:space="0"/>
              <w:bottom w:val="single" w:color="auto" w:sz="4" w:space="0"/>
              <w:right w:val="single" w:color="auto" w:sz="4" w:space="0"/>
            </w:tcBorders>
            <w:vAlign w:val="center"/>
          </w:tcPr>
          <w:p w14:paraId="78A9929A">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76分</w:t>
            </w:r>
          </w:p>
        </w:tc>
        <w:tc>
          <w:tcPr>
            <w:tcW w:w="2860" w:type="dxa"/>
            <w:tcBorders>
              <w:top w:val="single" w:color="auto" w:sz="4" w:space="0"/>
              <w:left w:val="single" w:color="auto" w:sz="4" w:space="0"/>
              <w:bottom w:val="single" w:color="auto" w:sz="4" w:space="0"/>
              <w:right w:val="single" w:color="auto" w:sz="4" w:space="0"/>
            </w:tcBorders>
            <w:vAlign w:val="center"/>
          </w:tcPr>
          <w:p w14:paraId="042B801A">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扣除5100元/当月</w:t>
            </w:r>
          </w:p>
        </w:tc>
        <w:tc>
          <w:tcPr>
            <w:tcW w:w="5092" w:type="dxa"/>
            <w:vMerge w:val="continue"/>
            <w:tcBorders>
              <w:top w:val="single" w:color="auto" w:sz="4" w:space="0"/>
              <w:left w:val="single" w:color="auto" w:sz="4" w:space="0"/>
              <w:bottom w:val="single" w:color="auto" w:sz="4" w:space="0"/>
              <w:right w:val="single" w:color="auto" w:sz="12" w:space="0"/>
            </w:tcBorders>
            <w:vAlign w:val="center"/>
          </w:tcPr>
          <w:p w14:paraId="60C028DF">
            <w:pPr>
              <w:spacing w:line="560" w:lineRule="exact"/>
              <w:contextualSpacing/>
              <w:jc w:val="center"/>
              <w:rPr>
                <w:rFonts w:ascii="仿宋_GB2312" w:hAnsi="仿宋_GB2312" w:eastAsia="仿宋_GB2312" w:cs="仿宋_GB2312"/>
                <w:sz w:val="24"/>
                <w:szCs w:val="24"/>
              </w:rPr>
            </w:pPr>
          </w:p>
        </w:tc>
      </w:tr>
      <w:tr w14:paraId="5EB28D0E">
        <w:tblPrEx>
          <w:tblCellMar>
            <w:top w:w="0" w:type="dxa"/>
            <w:left w:w="108" w:type="dxa"/>
            <w:bottom w:w="0" w:type="dxa"/>
            <w:right w:w="108" w:type="dxa"/>
          </w:tblCellMar>
        </w:tblPrEx>
        <w:trPr>
          <w:jc w:val="center"/>
        </w:trPr>
        <w:tc>
          <w:tcPr>
            <w:tcW w:w="2177" w:type="dxa"/>
            <w:tcBorders>
              <w:top w:val="single" w:color="auto" w:sz="4" w:space="0"/>
              <w:left w:val="single" w:color="auto" w:sz="12" w:space="0"/>
              <w:bottom w:val="single" w:color="auto" w:sz="4" w:space="0"/>
              <w:right w:val="single" w:color="auto" w:sz="4" w:space="0"/>
            </w:tcBorders>
            <w:vAlign w:val="center"/>
          </w:tcPr>
          <w:p w14:paraId="2EB4FAA8">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75分</w:t>
            </w:r>
          </w:p>
        </w:tc>
        <w:tc>
          <w:tcPr>
            <w:tcW w:w="2860" w:type="dxa"/>
            <w:tcBorders>
              <w:top w:val="single" w:color="auto" w:sz="4" w:space="0"/>
              <w:left w:val="single" w:color="auto" w:sz="4" w:space="0"/>
              <w:bottom w:val="single" w:color="auto" w:sz="4" w:space="0"/>
              <w:right w:val="single" w:color="auto" w:sz="4" w:space="0"/>
            </w:tcBorders>
            <w:vAlign w:val="center"/>
          </w:tcPr>
          <w:p w14:paraId="7084130A">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扣除6000元/当月</w:t>
            </w:r>
          </w:p>
        </w:tc>
        <w:tc>
          <w:tcPr>
            <w:tcW w:w="5092" w:type="dxa"/>
            <w:vMerge w:val="continue"/>
            <w:tcBorders>
              <w:top w:val="single" w:color="auto" w:sz="4" w:space="0"/>
              <w:left w:val="single" w:color="auto" w:sz="4" w:space="0"/>
              <w:bottom w:val="single" w:color="auto" w:sz="4" w:space="0"/>
              <w:right w:val="single" w:color="auto" w:sz="12" w:space="0"/>
            </w:tcBorders>
            <w:vAlign w:val="center"/>
          </w:tcPr>
          <w:p w14:paraId="27C9B869">
            <w:pPr>
              <w:spacing w:line="560" w:lineRule="exact"/>
              <w:contextualSpacing/>
              <w:jc w:val="center"/>
              <w:rPr>
                <w:rFonts w:ascii="仿宋_GB2312" w:hAnsi="仿宋_GB2312" w:eastAsia="仿宋_GB2312" w:cs="仿宋_GB2312"/>
                <w:sz w:val="24"/>
                <w:szCs w:val="24"/>
              </w:rPr>
            </w:pPr>
          </w:p>
        </w:tc>
      </w:tr>
      <w:tr w14:paraId="1E6E191A">
        <w:tblPrEx>
          <w:tblCellMar>
            <w:top w:w="0" w:type="dxa"/>
            <w:left w:w="108" w:type="dxa"/>
            <w:bottom w:w="0" w:type="dxa"/>
            <w:right w:w="108" w:type="dxa"/>
          </w:tblCellMar>
        </w:tblPrEx>
        <w:trPr>
          <w:jc w:val="center"/>
        </w:trPr>
        <w:tc>
          <w:tcPr>
            <w:tcW w:w="2177" w:type="dxa"/>
            <w:tcBorders>
              <w:top w:val="single" w:color="auto" w:sz="4" w:space="0"/>
              <w:left w:val="single" w:color="auto" w:sz="12" w:space="0"/>
              <w:bottom w:val="single" w:color="auto" w:sz="12" w:space="0"/>
              <w:right w:val="single" w:color="auto" w:sz="4" w:space="0"/>
            </w:tcBorders>
            <w:vAlign w:val="center"/>
          </w:tcPr>
          <w:p w14:paraId="3BAB09D6">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低于75分</w:t>
            </w:r>
          </w:p>
        </w:tc>
        <w:tc>
          <w:tcPr>
            <w:tcW w:w="2860" w:type="dxa"/>
            <w:tcBorders>
              <w:top w:val="single" w:color="auto" w:sz="4" w:space="0"/>
              <w:left w:val="single" w:color="auto" w:sz="4" w:space="0"/>
              <w:bottom w:val="single" w:color="auto" w:sz="12" w:space="0"/>
              <w:right w:val="single" w:color="auto" w:sz="4" w:space="0"/>
            </w:tcBorders>
            <w:vAlign w:val="center"/>
          </w:tcPr>
          <w:p w14:paraId="693BAB92">
            <w:pPr>
              <w:spacing w:line="56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扣除7200元/当月</w:t>
            </w:r>
          </w:p>
        </w:tc>
        <w:tc>
          <w:tcPr>
            <w:tcW w:w="5092" w:type="dxa"/>
            <w:vMerge w:val="continue"/>
            <w:tcBorders>
              <w:top w:val="single" w:color="auto" w:sz="4" w:space="0"/>
              <w:left w:val="single" w:color="auto" w:sz="4" w:space="0"/>
              <w:bottom w:val="single" w:color="auto" w:sz="4" w:space="0"/>
              <w:right w:val="single" w:color="auto" w:sz="12" w:space="0"/>
            </w:tcBorders>
            <w:vAlign w:val="center"/>
          </w:tcPr>
          <w:p w14:paraId="2C80D434">
            <w:pPr>
              <w:spacing w:line="560" w:lineRule="exact"/>
              <w:contextualSpacing/>
              <w:jc w:val="center"/>
              <w:rPr>
                <w:rFonts w:ascii="仿宋_GB2312" w:hAnsi="仿宋_GB2312" w:eastAsia="仿宋_GB2312" w:cs="仿宋_GB2312"/>
                <w:sz w:val="24"/>
                <w:szCs w:val="24"/>
              </w:rPr>
            </w:pPr>
          </w:p>
        </w:tc>
      </w:tr>
    </w:tbl>
    <w:p w14:paraId="6956200A">
      <w:pPr>
        <w:spacing w:line="560" w:lineRule="exact"/>
        <w:contextualSpacing/>
        <w:jc w:val="center"/>
        <w:rPr>
          <w:rFonts w:ascii="仿宋_GB2312" w:hAnsi="仿宋_GB2312" w:eastAsia="仿宋_GB2312" w:cs="仿宋_GB2312"/>
          <w:sz w:val="24"/>
          <w:szCs w:val="24"/>
        </w:rPr>
      </w:pPr>
    </w:p>
    <w:p w14:paraId="20877B3D">
      <w:pPr>
        <w:spacing w:line="560" w:lineRule="exact"/>
        <w:contextualSpacing/>
        <w:jc w:val="center"/>
        <w:rPr>
          <w:rFonts w:ascii="仿宋_GB2312" w:hAnsi="仿宋_GB2312" w:eastAsia="仿宋_GB2312" w:cs="仿宋_GB2312"/>
          <w:sz w:val="24"/>
          <w:szCs w:val="24"/>
        </w:rPr>
      </w:pPr>
    </w:p>
    <w:p w14:paraId="0DE3B715">
      <w:pPr>
        <w:spacing w:line="560" w:lineRule="exact"/>
        <w:contextualSpacing/>
        <w:jc w:val="center"/>
        <w:rPr>
          <w:rFonts w:ascii="仿宋_GB2312" w:hAnsi="仿宋_GB2312" w:eastAsia="仿宋_GB2312" w:cs="仿宋_GB2312"/>
          <w:sz w:val="24"/>
          <w:szCs w:val="24"/>
        </w:rPr>
      </w:pPr>
    </w:p>
    <w:p w14:paraId="6C000997">
      <w:pPr>
        <w:spacing w:line="560" w:lineRule="exact"/>
        <w:contextualSpacing/>
        <w:jc w:val="center"/>
        <w:rPr>
          <w:rFonts w:ascii="仿宋_GB2312" w:hAnsi="仿宋_GB2312" w:eastAsia="仿宋_GB2312" w:cs="仿宋_GB2312"/>
          <w:sz w:val="24"/>
          <w:szCs w:val="24"/>
        </w:rPr>
      </w:pPr>
    </w:p>
    <w:p w14:paraId="3975898A">
      <w:pPr>
        <w:pStyle w:val="4"/>
        <w:rPr>
          <w:rFonts w:ascii="仿宋_GB2312" w:hAnsi="仿宋_GB2312" w:eastAsia="仿宋_GB2312" w:cs="仿宋_GB2312"/>
          <w:sz w:val="24"/>
          <w:szCs w:val="24"/>
        </w:rPr>
      </w:pPr>
    </w:p>
    <w:p w14:paraId="2543B15B">
      <w:pPr>
        <w:pStyle w:val="5"/>
      </w:pPr>
    </w:p>
    <w:p w14:paraId="7C569754">
      <w:pPr>
        <w:spacing w:line="560" w:lineRule="exact"/>
        <w:contextualSpacing/>
        <w:jc w:val="center"/>
        <w:rPr>
          <w:rFonts w:ascii="仿宋_GB2312" w:hAnsi="仿宋_GB2312" w:eastAsia="仿宋_GB2312" w:cs="仿宋_GB2312"/>
          <w:sz w:val="24"/>
          <w:szCs w:val="24"/>
        </w:rPr>
      </w:pPr>
    </w:p>
    <w:p w14:paraId="24A973C4">
      <w:pPr>
        <w:spacing w:line="560" w:lineRule="exact"/>
        <w:contextualSpacing/>
        <w:jc w:val="center"/>
        <w:rPr>
          <w:rFonts w:ascii="仿宋_GB2312" w:hAnsi="仿宋_GB2312" w:eastAsia="仿宋_GB2312" w:cs="仿宋_GB2312"/>
          <w:sz w:val="24"/>
          <w:szCs w:val="24"/>
        </w:rPr>
      </w:pPr>
    </w:p>
    <w:p w14:paraId="7F56DC6A">
      <w:pPr>
        <w:spacing w:line="560" w:lineRule="exact"/>
        <w:contextualSpacing/>
        <w:jc w:val="center"/>
        <w:rPr>
          <w:rFonts w:ascii="仿宋_GB2312" w:hAnsi="仿宋_GB2312" w:eastAsia="仿宋_GB2312" w:cs="仿宋_GB2312"/>
          <w:sz w:val="24"/>
          <w:szCs w:val="24"/>
        </w:rPr>
      </w:pPr>
    </w:p>
    <w:bookmarkEnd w:id="26"/>
    <w:bookmarkEnd w:id="27"/>
    <w:p w14:paraId="6C10D8F1">
      <w:pPr>
        <w:numPr>
          <w:ilvl w:val="0"/>
          <w:numId w:val="1"/>
        </w:numPr>
        <w:jc w:val="center"/>
        <w:rPr>
          <w:rFonts w:ascii="仿宋_GB2312" w:eastAsia="仿宋_GB2312"/>
          <w:b/>
          <w:sz w:val="28"/>
          <w:szCs w:val="28"/>
        </w:rPr>
      </w:pPr>
      <w:bookmarkStart w:id="32" w:name="_Toc184310274"/>
      <w:bookmarkEnd w:id="32"/>
      <w:bookmarkStart w:id="33" w:name="_Toc184314448"/>
      <w:bookmarkEnd w:id="33"/>
      <w:bookmarkStart w:id="34" w:name="_Toc184312138"/>
      <w:bookmarkEnd w:id="34"/>
      <w:bookmarkStart w:id="35" w:name="_Toc184312074"/>
      <w:bookmarkEnd w:id="35"/>
      <w:bookmarkStart w:id="36" w:name="_Toc184313302"/>
      <w:bookmarkEnd w:id="36"/>
      <w:bookmarkStart w:id="37" w:name="_Toc184314427"/>
      <w:bookmarkEnd w:id="37"/>
      <w:bookmarkStart w:id="38" w:name="_Toc184312122"/>
      <w:bookmarkEnd w:id="38"/>
      <w:bookmarkStart w:id="39" w:name="_Toc184312117"/>
      <w:bookmarkEnd w:id="39"/>
      <w:bookmarkStart w:id="40" w:name="_Toc184314425"/>
      <w:bookmarkEnd w:id="40"/>
      <w:bookmarkStart w:id="41" w:name="_Toc184313283"/>
      <w:bookmarkEnd w:id="41"/>
      <w:bookmarkStart w:id="42" w:name="_Toc184314453"/>
      <w:bookmarkEnd w:id="42"/>
      <w:bookmarkStart w:id="43" w:name="_Toc184313282"/>
      <w:bookmarkEnd w:id="43"/>
      <w:bookmarkStart w:id="44" w:name="_Toc184308069"/>
      <w:bookmarkEnd w:id="44"/>
      <w:bookmarkStart w:id="45" w:name="_Toc184308074"/>
      <w:bookmarkEnd w:id="45"/>
      <w:bookmarkStart w:id="46" w:name="_Toc184310275"/>
      <w:bookmarkEnd w:id="46"/>
      <w:bookmarkStart w:id="47" w:name="_Toc184308090"/>
      <w:bookmarkEnd w:id="47"/>
      <w:bookmarkStart w:id="48" w:name="_Toc184312114"/>
      <w:bookmarkEnd w:id="48"/>
      <w:bookmarkStart w:id="49" w:name="_Toc184313268"/>
      <w:bookmarkEnd w:id="49"/>
      <w:bookmarkStart w:id="50" w:name="_Toc184314451"/>
      <w:bookmarkEnd w:id="50"/>
      <w:bookmarkStart w:id="51" w:name="_Toc184312087"/>
      <w:bookmarkEnd w:id="51"/>
      <w:bookmarkStart w:id="52" w:name="_Toc184310273"/>
      <w:bookmarkEnd w:id="52"/>
      <w:bookmarkStart w:id="53" w:name="_Toc184313306"/>
      <w:bookmarkEnd w:id="53"/>
      <w:bookmarkStart w:id="54" w:name="_Toc184314464"/>
      <w:bookmarkEnd w:id="54"/>
      <w:bookmarkStart w:id="55" w:name="_Toc184313246"/>
      <w:bookmarkEnd w:id="55"/>
      <w:bookmarkStart w:id="56" w:name="_Toc184314416"/>
      <w:bookmarkEnd w:id="56"/>
      <w:bookmarkStart w:id="57" w:name="_Toc184314461"/>
      <w:bookmarkEnd w:id="57"/>
      <w:bookmarkStart w:id="58" w:name="_Toc184312099"/>
      <w:bookmarkEnd w:id="58"/>
      <w:bookmarkStart w:id="59" w:name="_Toc184313286"/>
      <w:bookmarkEnd w:id="59"/>
      <w:bookmarkStart w:id="60" w:name="_Toc184312070"/>
      <w:bookmarkEnd w:id="60"/>
      <w:bookmarkStart w:id="61" w:name="_Toc184313240"/>
      <w:bookmarkEnd w:id="61"/>
      <w:bookmarkStart w:id="62" w:name="_Toc184314437"/>
      <w:bookmarkEnd w:id="62"/>
      <w:bookmarkStart w:id="63" w:name="_Toc184310328"/>
      <w:bookmarkEnd w:id="63"/>
      <w:bookmarkStart w:id="64" w:name="_Toc184312119"/>
      <w:bookmarkEnd w:id="64"/>
      <w:bookmarkStart w:id="65" w:name="_Toc184314426"/>
      <w:bookmarkEnd w:id="65"/>
      <w:bookmarkStart w:id="66" w:name="_Toc184312128"/>
      <w:bookmarkEnd w:id="66"/>
      <w:bookmarkStart w:id="67" w:name="_Toc184314418"/>
      <w:bookmarkEnd w:id="67"/>
      <w:bookmarkStart w:id="68" w:name="_Toc184313273"/>
      <w:bookmarkEnd w:id="68"/>
      <w:bookmarkStart w:id="69" w:name="_Toc184308088"/>
      <w:bookmarkEnd w:id="69"/>
      <w:bookmarkStart w:id="70" w:name="_Toc184314436"/>
      <w:bookmarkEnd w:id="70"/>
      <w:bookmarkStart w:id="71" w:name="_Toc184308043"/>
      <w:bookmarkEnd w:id="71"/>
      <w:bookmarkStart w:id="72" w:name="_Toc184313249"/>
      <w:bookmarkEnd w:id="72"/>
      <w:bookmarkStart w:id="73" w:name="_Toc184313299"/>
      <w:bookmarkEnd w:id="73"/>
      <w:bookmarkStart w:id="74" w:name="_Toc184313290"/>
      <w:bookmarkEnd w:id="74"/>
      <w:bookmarkStart w:id="75" w:name="_Toc184314481"/>
      <w:bookmarkEnd w:id="75"/>
      <w:bookmarkStart w:id="76" w:name="_Toc184308055"/>
      <w:bookmarkEnd w:id="76"/>
      <w:bookmarkStart w:id="77" w:name="_Toc184313251"/>
      <w:bookmarkEnd w:id="77"/>
      <w:bookmarkStart w:id="78" w:name="_Toc184308048"/>
      <w:bookmarkEnd w:id="78"/>
      <w:bookmarkStart w:id="79" w:name="_Toc184313247"/>
      <w:bookmarkEnd w:id="79"/>
      <w:bookmarkStart w:id="80" w:name="_Toc184310316"/>
      <w:bookmarkEnd w:id="80"/>
      <w:bookmarkStart w:id="81" w:name="_Toc184313271"/>
      <w:bookmarkEnd w:id="81"/>
      <w:bookmarkStart w:id="82" w:name="_Toc184310344"/>
      <w:bookmarkEnd w:id="82"/>
      <w:bookmarkStart w:id="83" w:name="_Toc184312094"/>
      <w:bookmarkEnd w:id="83"/>
      <w:bookmarkStart w:id="84" w:name="_Toc184308085"/>
      <w:bookmarkEnd w:id="84"/>
      <w:bookmarkStart w:id="85" w:name="_Toc184308059"/>
      <w:bookmarkEnd w:id="85"/>
      <w:bookmarkStart w:id="86" w:name="_Toc184312127"/>
      <w:bookmarkEnd w:id="86"/>
      <w:bookmarkStart w:id="87" w:name="_Toc184308098"/>
      <w:bookmarkEnd w:id="87"/>
      <w:bookmarkStart w:id="88" w:name="_Toc184314410"/>
      <w:bookmarkEnd w:id="88"/>
      <w:bookmarkStart w:id="89" w:name="_Toc184308104"/>
      <w:bookmarkEnd w:id="89"/>
      <w:bookmarkStart w:id="90" w:name="_Toc184310306"/>
      <w:bookmarkEnd w:id="90"/>
      <w:bookmarkStart w:id="91" w:name="_Toc184312093"/>
      <w:bookmarkEnd w:id="91"/>
      <w:bookmarkStart w:id="92" w:name="_Toc184312136"/>
      <w:bookmarkEnd w:id="92"/>
      <w:bookmarkStart w:id="93" w:name="_Toc184308073"/>
      <w:bookmarkEnd w:id="93"/>
      <w:bookmarkStart w:id="94" w:name="_Toc184313250"/>
      <w:bookmarkEnd w:id="94"/>
      <w:bookmarkStart w:id="95" w:name="_Toc184310299"/>
      <w:bookmarkEnd w:id="95"/>
      <w:bookmarkStart w:id="96" w:name="_Toc184308091"/>
      <w:bookmarkEnd w:id="96"/>
      <w:bookmarkStart w:id="97" w:name="_Toc184312090"/>
      <w:bookmarkEnd w:id="97"/>
      <w:bookmarkStart w:id="98" w:name="_Toc184310324"/>
      <w:bookmarkEnd w:id="98"/>
      <w:bookmarkStart w:id="99" w:name="_Toc184313285"/>
      <w:bookmarkEnd w:id="99"/>
      <w:bookmarkStart w:id="100" w:name="_Toc184310341"/>
      <w:bookmarkEnd w:id="100"/>
      <w:bookmarkStart w:id="101" w:name="_Toc184310283"/>
      <w:bookmarkEnd w:id="101"/>
      <w:bookmarkStart w:id="102" w:name="_Toc184312089"/>
      <w:bookmarkEnd w:id="102"/>
      <w:bookmarkStart w:id="103" w:name="_Toc184308077"/>
      <w:bookmarkEnd w:id="103"/>
      <w:bookmarkStart w:id="104" w:name="_Toc184310292"/>
      <w:bookmarkEnd w:id="104"/>
      <w:bookmarkStart w:id="105" w:name="_Toc184310325"/>
      <w:bookmarkEnd w:id="105"/>
      <w:bookmarkStart w:id="106" w:name="_Toc184310272"/>
      <w:bookmarkEnd w:id="106"/>
      <w:bookmarkStart w:id="107" w:name="_Toc184308049"/>
      <w:bookmarkEnd w:id="107"/>
      <w:bookmarkStart w:id="108" w:name="_Toc184314428"/>
      <w:bookmarkEnd w:id="108"/>
      <w:bookmarkStart w:id="109" w:name="_Toc184310331"/>
      <w:bookmarkEnd w:id="109"/>
      <w:bookmarkStart w:id="110" w:name="_Toc184313264"/>
      <w:bookmarkEnd w:id="110"/>
      <w:bookmarkStart w:id="111" w:name="_Toc184313245"/>
      <w:bookmarkEnd w:id="111"/>
      <w:bookmarkStart w:id="112" w:name="_Toc184308096"/>
      <w:bookmarkEnd w:id="112"/>
      <w:bookmarkStart w:id="113" w:name="_Toc184312100"/>
      <w:bookmarkEnd w:id="113"/>
      <w:bookmarkStart w:id="114" w:name="_Toc184308081"/>
      <w:bookmarkEnd w:id="114"/>
      <w:bookmarkStart w:id="115" w:name="_Toc184308060"/>
      <w:bookmarkEnd w:id="115"/>
      <w:bookmarkStart w:id="116" w:name="_Toc184308092"/>
      <w:bookmarkEnd w:id="116"/>
      <w:bookmarkStart w:id="117" w:name="_Toc184314474"/>
      <w:bookmarkEnd w:id="117"/>
      <w:bookmarkStart w:id="118" w:name="_Toc184310288"/>
      <w:bookmarkEnd w:id="118"/>
      <w:bookmarkStart w:id="119" w:name="_Toc184308057"/>
      <w:bookmarkEnd w:id="119"/>
      <w:bookmarkStart w:id="120" w:name="_Toc184310284"/>
      <w:bookmarkEnd w:id="120"/>
      <w:bookmarkStart w:id="121" w:name="_Toc184310327"/>
      <w:bookmarkEnd w:id="121"/>
      <w:bookmarkStart w:id="122" w:name="_Toc184314420"/>
      <w:bookmarkEnd w:id="122"/>
      <w:bookmarkStart w:id="123" w:name="_Toc184314465"/>
      <w:bookmarkEnd w:id="123"/>
      <w:bookmarkStart w:id="124" w:name="_Toc184314472"/>
      <w:bookmarkEnd w:id="124"/>
      <w:bookmarkStart w:id="125" w:name="_Toc184310305"/>
      <w:bookmarkEnd w:id="125"/>
      <w:bookmarkStart w:id="126" w:name="_Toc184313284"/>
      <w:bookmarkEnd w:id="126"/>
      <w:bookmarkStart w:id="127" w:name="_Toc184314460"/>
      <w:bookmarkEnd w:id="127"/>
      <w:bookmarkStart w:id="128" w:name="_Toc184313263"/>
      <w:bookmarkEnd w:id="128"/>
      <w:bookmarkStart w:id="129" w:name="_Toc184313276"/>
      <w:bookmarkEnd w:id="129"/>
      <w:bookmarkStart w:id="130" w:name="_Toc184312131"/>
      <w:bookmarkEnd w:id="130"/>
      <w:bookmarkStart w:id="131" w:name="_Toc184312080"/>
      <w:bookmarkEnd w:id="131"/>
      <w:bookmarkStart w:id="132" w:name="_Toc184312123"/>
      <w:bookmarkEnd w:id="132"/>
      <w:bookmarkStart w:id="133" w:name="_Toc184313254"/>
      <w:bookmarkEnd w:id="133"/>
      <w:bookmarkStart w:id="134" w:name="_Toc184312095"/>
      <w:bookmarkEnd w:id="134"/>
      <w:bookmarkStart w:id="135" w:name="_Toc184313267"/>
      <w:bookmarkEnd w:id="135"/>
      <w:bookmarkStart w:id="136" w:name="_Toc184310297"/>
      <w:bookmarkEnd w:id="136"/>
      <w:bookmarkStart w:id="137" w:name="_Toc184308039"/>
      <w:bookmarkEnd w:id="137"/>
      <w:bookmarkStart w:id="138" w:name="_Toc184308063"/>
      <w:bookmarkEnd w:id="138"/>
      <w:bookmarkStart w:id="139" w:name="_Toc184312109"/>
      <w:bookmarkEnd w:id="139"/>
      <w:bookmarkStart w:id="140" w:name="_Toc184308046"/>
      <w:bookmarkEnd w:id="140"/>
      <w:bookmarkStart w:id="141" w:name="_Toc184314439"/>
      <w:bookmarkEnd w:id="141"/>
      <w:bookmarkStart w:id="142" w:name="_Toc184314434"/>
      <w:bookmarkEnd w:id="142"/>
      <w:bookmarkStart w:id="143" w:name="_Toc184314463"/>
      <w:bookmarkEnd w:id="143"/>
      <w:bookmarkStart w:id="144" w:name="_Toc184308082"/>
      <w:bookmarkEnd w:id="144"/>
      <w:bookmarkStart w:id="145" w:name="_Toc184314441"/>
      <w:bookmarkEnd w:id="145"/>
      <w:bookmarkStart w:id="146" w:name="_Toc184313295"/>
      <w:bookmarkEnd w:id="146"/>
      <w:bookmarkStart w:id="147" w:name="_Toc184313281"/>
      <w:bookmarkEnd w:id="147"/>
      <w:bookmarkStart w:id="148" w:name="_Toc184310335"/>
      <w:bookmarkEnd w:id="148"/>
      <w:bookmarkStart w:id="149" w:name="_Toc184310298"/>
      <w:bookmarkEnd w:id="149"/>
      <w:bookmarkStart w:id="150" w:name="_Toc184313269"/>
      <w:bookmarkEnd w:id="150"/>
      <w:bookmarkStart w:id="151" w:name="_Toc184308038"/>
      <w:bookmarkEnd w:id="151"/>
      <w:bookmarkStart w:id="152" w:name="_Toc184313279"/>
      <w:bookmarkEnd w:id="152"/>
      <w:bookmarkStart w:id="153" w:name="_Toc184314424"/>
      <w:bookmarkEnd w:id="153"/>
      <w:bookmarkStart w:id="154" w:name="_Toc184312139"/>
      <w:bookmarkEnd w:id="154"/>
      <w:bookmarkStart w:id="155" w:name="_Toc184312121"/>
      <w:bookmarkEnd w:id="155"/>
      <w:bookmarkStart w:id="156" w:name="_Toc184310312"/>
      <w:bookmarkEnd w:id="156"/>
      <w:bookmarkStart w:id="157" w:name="_Toc184312101"/>
      <w:bookmarkEnd w:id="157"/>
      <w:bookmarkStart w:id="158" w:name="_Toc184314462"/>
      <w:bookmarkEnd w:id="158"/>
      <w:bookmarkStart w:id="159" w:name="_Toc184314412"/>
      <w:bookmarkEnd w:id="159"/>
      <w:bookmarkStart w:id="160" w:name="_Toc184310302"/>
      <w:bookmarkEnd w:id="160"/>
      <w:bookmarkStart w:id="161" w:name="_Toc184310317"/>
      <w:bookmarkEnd w:id="161"/>
      <w:bookmarkStart w:id="162" w:name="_Toc184312133"/>
      <w:bookmarkEnd w:id="162"/>
      <w:bookmarkStart w:id="163" w:name="_Toc184312124"/>
      <w:bookmarkEnd w:id="163"/>
      <w:bookmarkStart w:id="164" w:name="_Toc184310300"/>
      <w:bookmarkEnd w:id="164"/>
      <w:bookmarkStart w:id="165" w:name="_Toc184310280"/>
      <w:bookmarkEnd w:id="165"/>
      <w:bookmarkStart w:id="166" w:name="_Toc184310293"/>
      <w:bookmarkEnd w:id="166"/>
      <w:bookmarkStart w:id="167" w:name="_Toc184312077"/>
      <w:bookmarkEnd w:id="167"/>
      <w:bookmarkStart w:id="168" w:name="_Toc184313256"/>
      <w:bookmarkEnd w:id="168"/>
      <w:bookmarkStart w:id="169" w:name="_Toc184312084"/>
      <w:bookmarkEnd w:id="169"/>
      <w:bookmarkStart w:id="170" w:name="_Toc184313265"/>
      <w:bookmarkEnd w:id="170"/>
      <w:bookmarkStart w:id="171" w:name="_Toc184310311"/>
      <w:bookmarkEnd w:id="171"/>
      <w:bookmarkStart w:id="172" w:name="_Toc184310301"/>
      <w:bookmarkEnd w:id="172"/>
      <w:bookmarkStart w:id="173" w:name="_Toc184314446"/>
      <w:bookmarkEnd w:id="173"/>
      <w:bookmarkStart w:id="174" w:name="_Toc184308087"/>
      <w:bookmarkEnd w:id="174"/>
      <w:bookmarkStart w:id="175" w:name="_Toc184308072"/>
      <w:bookmarkEnd w:id="175"/>
      <w:bookmarkStart w:id="176" w:name="_Toc184314432"/>
      <w:bookmarkEnd w:id="176"/>
      <w:bookmarkStart w:id="177" w:name="_Toc184310339"/>
      <w:bookmarkEnd w:id="177"/>
      <w:bookmarkStart w:id="178" w:name="_Toc184312107"/>
      <w:bookmarkEnd w:id="178"/>
      <w:bookmarkStart w:id="179" w:name="_Toc184308070"/>
      <w:bookmarkEnd w:id="179"/>
      <w:bookmarkStart w:id="180" w:name="_Toc184310338"/>
      <w:bookmarkEnd w:id="180"/>
      <w:bookmarkStart w:id="181" w:name="_Toc184308037"/>
      <w:bookmarkEnd w:id="181"/>
      <w:bookmarkStart w:id="182" w:name="_Toc184312086"/>
      <w:bookmarkEnd w:id="182"/>
      <w:bookmarkStart w:id="183" w:name="_Toc184313307"/>
      <w:bookmarkEnd w:id="183"/>
      <w:bookmarkStart w:id="184" w:name="_Toc184310304"/>
      <w:bookmarkEnd w:id="184"/>
      <w:bookmarkStart w:id="185" w:name="_Toc184314447"/>
      <w:bookmarkEnd w:id="185"/>
      <w:bookmarkStart w:id="186" w:name="_Toc184313277"/>
      <w:bookmarkEnd w:id="186"/>
      <w:bookmarkStart w:id="187" w:name="_Toc184310322"/>
      <w:bookmarkEnd w:id="187"/>
      <w:bookmarkStart w:id="188" w:name="_Toc184310308"/>
      <w:bookmarkEnd w:id="188"/>
      <w:bookmarkStart w:id="189" w:name="_Toc184312097"/>
      <w:bookmarkEnd w:id="189"/>
      <w:bookmarkStart w:id="190" w:name="_Toc184308071"/>
      <w:bookmarkEnd w:id="190"/>
      <w:bookmarkStart w:id="191" w:name="_Toc184314419"/>
      <w:bookmarkEnd w:id="191"/>
      <w:bookmarkStart w:id="192" w:name="_Toc184308084"/>
      <w:bookmarkEnd w:id="192"/>
      <w:bookmarkStart w:id="193" w:name="_Toc184314455"/>
      <w:bookmarkEnd w:id="193"/>
      <w:bookmarkStart w:id="194" w:name="_Toc184313278"/>
      <w:bookmarkEnd w:id="194"/>
      <w:bookmarkStart w:id="195" w:name="_Toc184314435"/>
      <w:bookmarkEnd w:id="195"/>
      <w:bookmarkStart w:id="196" w:name="_Toc184314479"/>
      <w:bookmarkEnd w:id="196"/>
      <w:bookmarkStart w:id="197" w:name="_Toc184308078"/>
      <w:bookmarkEnd w:id="197"/>
      <w:bookmarkStart w:id="198" w:name="_Toc184308099"/>
      <w:bookmarkEnd w:id="198"/>
      <w:bookmarkStart w:id="199" w:name="_Toc184310294"/>
      <w:bookmarkEnd w:id="199"/>
      <w:bookmarkStart w:id="200" w:name="_Toc184313259"/>
      <w:bookmarkEnd w:id="200"/>
      <w:bookmarkStart w:id="201" w:name="_Toc184313297"/>
      <w:bookmarkEnd w:id="201"/>
      <w:bookmarkStart w:id="202" w:name="_Toc184312111"/>
      <w:bookmarkEnd w:id="202"/>
      <w:bookmarkStart w:id="203" w:name="_Toc184314468"/>
      <w:bookmarkEnd w:id="203"/>
      <w:bookmarkStart w:id="204" w:name="_Toc184308040"/>
      <w:bookmarkEnd w:id="204"/>
      <w:bookmarkStart w:id="205" w:name="_Toc184310326"/>
      <w:bookmarkEnd w:id="205"/>
      <w:bookmarkStart w:id="206" w:name="_Toc184314475"/>
      <w:bookmarkEnd w:id="206"/>
      <w:bookmarkStart w:id="207" w:name="_Toc184308047"/>
      <w:bookmarkEnd w:id="207"/>
      <w:bookmarkStart w:id="208" w:name="_Toc184310296"/>
      <w:bookmarkEnd w:id="208"/>
      <w:bookmarkStart w:id="209" w:name="_Toc184313303"/>
      <w:bookmarkEnd w:id="209"/>
      <w:bookmarkStart w:id="210" w:name="_Toc184313280"/>
      <w:bookmarkEnd w:id="210"/>
      <w:bookmarkStart w:id="211" w:name="_Toc184312115"/>
      <w:bookmarkEnd w:id="211"/>
      <w:bookmarkStart w:id="212" w:name="_Toc184314445"/>
      <w:bookmarkEnd w:id="212"/>
      <w:bookmarkStart w:id="213" w:name="_Toc184310334"/>
      <w:bookmarkEnd w:id="213"/>
      <w:bookmarkStart w:id="214" w:name="_Toc184312075"/>
      <w:bookmarkEnd w:id="214"/>
      <w:bookmarkStart w:id="215" w:name="_Toc184313304"/>
      <w:bookmarkEnd w:id="215"/>
      <w:bookmarkStart w:id="216" w:name="_Toc184312125"/>
      <w:bookmarkEnd w:id="216"/>
      <w:bookmarkStart w:id="217" w:name="_Toc184314423"/>
      <w:bookmarkEnd w:id="217"/>
      <w:bookmarkStart w:id="218" w:name="_Toc184310310"/>
      <w:bookmarkEnd w:id="218"/>
      <w:bookmarkStart w:id="219" w:name="_Toc184313291"/>
      <w:bookmarkEnd w:id="219"/>
      <w:bookmarkStart w:id="220" w:name="_Toc184312081"/>
      <w:bookmarkEnd w:id="220"/>
      <w:bookmarkStart w:id="221" w:name="_Toc184314457"/>
      <w:bookmarkEnd w:id="221"/>
      <w:bookmarkStart w:id="222" w:name="_Toc184312120"/>
      <w:bookmarkEnd w:id="222"/>
      <w:bookmarkStart w:id="223" w:name="_Toc184313310"/>
      <w:bookmarkEnd w:id="223"/>
      <w:bookmarkStart w:id="224" w:name="_Toc184314450"/>
      <w:bookmarkEnd w:id="224"/>
      <w:bookmarkStart w:id="225" w:name="_Toc184310289"/>
      <w:bookmarkEnd w:id="225"/>
      <w:bookmarkStart w:id="226" w:name="_Toc184313287"/>
      <w:bookmarkEnd w:id="226"/>
      <w:bookmarkStart w:id="227" w:name="_Toc184312098"/>
      <w:bookmarkEnd w:id="227"/>
      <w:bookmarkStart w:id="228" w:name="_Toc184310320"/>
      <w:bookmarkEnd w:id="228"/>
      <w:bookmarkStart w:id="229" w:name="_Toc184312108"/>
      <w:bookmarkEnd w:id="229"/>
      <w:bookmarkStart w:id="230" w:name="_Toc184314414"/>
      <w:bookmarkEnd w:id="230"/>
      <w:bookmarkStart w:id="231" w:name="_Toc184313272"/>
      <w:bookmarkEnd w:id="231"/>
      <w:bookmarkStart w:id="232" w:name="_Toc184308076"/>
      <w:bookmarkEnd w:id="232"/>
      <w:bookmarkStart w:id="233" w:name="_Toc184313270"/>
      <w:bookmarkEnd w:id="233"/>
      <w:bookmarkStart w:id="234" w:name="_Toc184310286"/>
      <w:bookmarkEnd w:id="234"/>
      <w:bookmarkStart w:id="235" w:name="_Toc184308066"/>
      <w:bookmarkEnd w:id="235"/>
      <w:bookmarkStart w:id="236" w:name="_Toc184308036"/>
      <w:bookmarkEnd w:id="236"/>
      <w:bookmarkStart w:id="237" w:name="_Toc184312082"/>
      <w:bookmarkEnd w:id="237"/>
      <w:bookmarkStart w:id="238" w:name="_Toc184312113"/>
      <w:bookmarkEnd w:id="238"/>
      <w:bookmarkStart w:id="239" w:name="_Toc184308068"/>
      <w:bookmarkEnd w:id="239"/>
      <w:bookmarkStart w:id="240" w:name="_Toc184314459"/>
      <w:bookmarkEnd w:id="240"/>
      <w:bookmarkStart w:id="241" w:name="_Toc184308097"/>
      <w:bookmarkEnd w:id="241"/>
      <w:bookmarkStart w:id="242" w:name="_Toc184312102"/>
      <w:bookmarkEnd w:id="242"/>
      <w:bookmarkStart w:id="243" w:name="_Toc184308061"/>
      <w:bookmarkEnd w:id="243"/>
      <w:bookmarkStart w:id="244" w:name="_Toc184314415"/>
      <w:bookmarkEnd w:id="244"/>
      <w:bookmarkStart w:id="245" w:name="_Toc184312091"/>
      <w:bookmarkEnd w:id="245"/>
      <w:bookmarkStart w:id="246" w:name="_Toc184308051"/>
      <w:bookmarkEnd w:id="246"/>
      <w:bookmarkStart w:id="247" w:name="_Toc184310278"/>
      <w:bookmarkEnd w:id="247"/>
      <w:bookmarkStart w:id="248" w:name="_Toc184314417"/>
      <w:bookmarkEnd w:id="248"/>
      <w:bookmarkStart w:id="249" w:name="_Toc184314456"/>
      <w:bookmarkEnd w:id="249"/>
      <w:bookmarkStart w:id="250" w:name="_Toc184314411"/>
      <w:bookmarkEnd w:id="250"/>
      <w:bookmarkStart w:id="251" w:name="_Toc184308053"/>
      <w:bookmarkEnd w:id="251"/>
      <w:bookmarkStart w:id="252" w:name="_Toc184313255"/>
      <w:bookmarkEnd w:id="252"/>
      <w:bookmarkStart w:id="253" w:name="_Toc184312103"/>
      <w:bookmarkEnd w:id="253"/>
      <w:bookmarkStart w:id="254" w:name="_Toc184313292"/>
      <w:bookmarkEnd w:id="254"/>
      <w:bookmarkStart w:id="255" w:name="_Toc184312134"/>
      <w:bookmarkEnd w:id="255"/>
      <w:bookmarkStart w:id="256" w:name="_Toc184308094"/>
      <w:bookmarkEnd w:id="256"/>
      <w:bookmarkStart w:id="257" w:name="_Toc184308095"/>
      <w:bookmarkEnd w:id="257"/>
      <w:bookmarkStart w:id="258" w:name="_Toc184313257"/>
      <w:bookmarkEnd w:id="258"/>
      <w:bookmarkStart w:id="259" w:name="_Toc184312110"/>
      <w:bookmarkEnd w:id="259"/>
      <w:bookmarkStart w:id="260" w:name="_Toc184312078"/>
      <w:bookmarkEnd w:id="260"/>
      <w:bookmarkStart w:id="261" w:name="_Toc184314429"/>
      <w:bookmarkEnd w:id="261"/>
      <w:bookmarkStart w:id="262" w:name="_Toc184313258"/>
      <w:bookmarkEnd w:id="262"/>
      <w:bookmarkStart w:id="263" w:name="_Toc184310315"/>
      <w:bookmarkEnd w:id="263"/>
      <w:bookmarkStart w:id="264" w:name="_Toc184314452"/>
      <w:bookmarkEnd w:id="264"/>
      <w:bookmarkStart w:id="265" w:name="_Toc184310318"/>
      <w:bookmarkEnd w:id="265"/>
      <w:bookmarkStart w:id="266" w:name="_Toc184314430"/>
      <w:bookmarkEnd w:id="266"/>
      <w:bookmarkStart w:id="267" w:name="_Toc184313252"/>
      <w:bookmarkEnd w:id="267"/>
      <w:bookmarkStart w:id="268" w:name="_Toc184308054"/>
      <w:bookmarkEnd w:id="268"/>
      <w:bookmarkStart w:id="269" w:name="_Toc184310313"/>
      <w:bookmarkEnd w:id="269"/>
      <w:bookmarkStart w:id="270" w:name="_Toc184308042"/>
      <w:bookmarkEnd w:id="270"/>
      <w:bookmarkStart w:id="271" w:name="_Toc184310340"/>
      <w:bookmarkEnd w:id="271"/>
      <w:bookmarkStart w:id="272" w:name="_Toc184313242"/>
      <w:bookmarkEnd w:id="272"/>
      <w:bookmarkStart w:id="273" w:name="_Toc184313248"/>
      <w:bookmarkEnd w:id="273"/>
      <w:bookmarkStart w:id="274" w:name="_Toc184313241"/>
      <w:bookmarkEnd w:id="274"/>
      <w:bookmarkStart w:id="275" w:name="_Toc184313288"/>
      <w:bookmarkEnd w:id="275"/>
      <w:bookmarkStart w:id="276" w:name="_Toc184310285"/>
      <w:bookmarkEnd w:id="276"/>
      <w:bookmarkStart w:id="277" w:name="_Toc184310323"/>
      <w:bookmarkEnd w:id="277"/>
      <w:bookmarkStart w:id="278" w:name="_Toc184308106"/>
      <w:bookmarkEnd w:id="278"/>
      <w:bookmarkStart w:id="279" w:name="_Toc184308102"/>
      <w:bookmarkEnd w:id="279"/>
      <w:bookmarkStart w:id="280" w:name="_Toc184308080"/>
      <w:bookmarkEnd w:id="280"/>
      <w:bookmarkStart w:id="281" w:name="_Toc184310307"/>
      <w:bookmarkEnd w:id="281"/>
      <w:bookmarkStart w:id="282" w:name="_Toc184312068"/>
      <w:bookmarkEnd w:id="282"/>
      <w:bookmarkStart w:id="283" w:name="_Toc184308101"/>
      <w:bookmarkEnd w:id="283"/>
      <w:bookmarkStart w:id="284" w:name="_Toc184312071"/>
      <w:bookmarkEnd w:id="284"/>
      <w:bookmarkStart w:id="285" w:name="_Toc184308041"/>
      <w:bookmarkEnd w:id="285"/>
      <w:bookmarkStart w:id="286" w:name="_Toc184314413"/>
      <w:bookmarkEnd w:id="286"/>
      <w:bookmarkStart w:id="287" w:name="_Toc184312130"/>
      <w:bookmarkEnd w:id="287"/>
      <w:bookmarkStart w:id="288" w:name="_Toc184314422"/>
      <w:bookmarkEnd w:id="288"/>
      <w:bookmarkStart w:id="289" w:name="_Toc184313293"/>
      <w:bookmarkEnd w:id="289"/>
      <w:bookmarkStart w:id="290" w:name="_Toc184312135"/>
      <w:bookmarkEnd w:id="290"/>
      <w:bookmarkStart w:id="291" w:name="_Toc184308107"/>
      <w:bookmarkEnd w:id="291"/>
      <w:bookmarkStart w:id="292" w:name="_Toc184314466"/>
      <w:bookmarkEnd w:id="292"/>
      <w:bookmarkStart w:id="293" w:name="_Toc184310343"/>
      <w:bookmarkEnd w:id="293"/>
      <w:bookmarkStart w:id="294" w:name="_Toc184308075"/>
      <w:bookmarkEnd w:id="294"/>
      <w:bookmarkStart w:id="295" w:name="_Toc184314471"/>
      <w:bookmarkEnd w:id="295"/>
      <w:bookmarkStart w:id="296" w:name="_Toc184312105"/>
      <w:bookmarkEnd w:id="296"/>
      <w:bookmarkStart w:id="297" w:name="_Toc184312069"/>
      <w:bookmarkEnd w:id="297"/>
      <w:bookmarkStart w:id="298" w:name="_Toc184313275"/>
      <w:bookmarkEnd w:id="298"/>
      <w:bookmarkStart w:id="299" w:name="_Toc184308100"/>
      <w:bookmarkEnd w:id="299"/>
      <w:bookmarkStart w:id="300" w:name="_Toc184312088"/>
      <w:bookmarkEnd w:id="300"/>
      <w:bookmarkStart w:id="301" w:name="_Toc184313308"/>
      <w:bookmarkEnd w:id="301"/>
      <w:bookmarkStart w:id="302" w:name="_Toc184310279"/>
      <w:bookmarkEnd w:id="302"/>
      <w:bookmarkStart w:id="303" w:name="_Toc184308058"/>
      <w:bookmarkEnd w:id="303"/>
      <w:bookmarkStart w:id="304" w:name="_Toc184313274"/>
      <w:bookmarkEnd w:id="304"/>
      <w:bookmarkStart w:id="305" w:name="_Toc184314443"/>
      <w:bookmarkEnd w:id="305"/>
      <w:bookmarkStart w:id="306" w:name="_Toc184314477"/>
      <w:bookmarkEnd w:id="306"/>
      <w:bookmarkStart w:id="307" w:name="_Toc184308086"/>
      <w:bookmarkEnd w:id="307"/>
      <w:bookmarkStart w:id="308" w:name="_Toc184313243"/>
      <w:bookmarkEnd w:id="308"/>
      <w:bookmarkStart w:id="309" w:name="_Toc184313244"/>
      <w:bookmarkEnd w:id="309"/>
      <w:bookmarkStart w:id="310" w:name="_Toc184312083"/>
      <w:bookmarkEnd w:id="310"/>
      <w:bookmarkStart w:id="311" w:name="_Toc184313309"/>
      <w:bookmarkEnd w:id="311"/>
      <w:bookmarkStart w:id="312" w:name="_Toc184314480"/>
      <w:bookmarkEnd w:id="312"/>
      <w:bookmarkStart w:id="313" w:name="_Toc184312085"/>
      <w:bookmarkEnd w:id="313"/>
      <w:bookmarkStart w:id="314" w:name="_Toc184310291"/>
      <w:bookmarkEnd w:id="314"/>
      <w:bookmarkStart w:id="315" w:name="_Toc184313239"/>
      <w:bookmarkEnd w:id="315"/>
      <w:bookmarkStart w:id="316" w:name="_Toc184313261"/>
      <w:bookmarkEnd w:id="316"/>
      <w:bookmarkStart w:id="317" w:name="_Toc184314482"/>
      <w:bookmarkEnd w:id="317"/>
      <w:bookmarkStart w:id="318" w:name="_Toc184314431"/>
      <w:bookmarkEnd w:id="318"/>
      <w:bookmarkStart w:id="319" w:name="_Toc184312106"/>
      <w:bookmarkEnd w:id="319"/>
      <w:bookmarkStart w:id="320" w:name="_Toc184314467"/>
      <w:bookmarkEnd w:id="320"/>
      <w:bookmarkStart w:id="321" w:name="_Toc184312116"/>
      <w:bookmarkEnd w:id="321"/>
      <w:bookmarkStart w:id="322" w:name="_Toc184314470"/>
      <w:bookmarkEnd w:id="322"/>
      <w:bookmarkStart w:id="323" w:name="_Toc184314433"/>
      <w:bookmarkEnd w:id="323"/>
      <w:bookmarkStart w:id="324" w:name="_Toc184314444"/>
      <w:bookmarkEnd w:id="324"/>
      <w:bookmarkStart w:id="325" w:name="_Toc184314449"/>
      <w:bookmarkEnd w:id="325"/>
      <w:bookmarkStart w:id="326" w:name="_Toc184310342"/>
      <w:bookmarkEnd w:id="326"/>
      <w:bookmarkStart w:id="327" w:name="_Toc184313253"/>
      <w:bookmarkEnd w:id="327"/>
      <w:bookmarkStart w:id="328" w:name="_Toc184312118"/>
      <w:bookmarkEnd w:id="328"/>
      <w:bookmarkStart w:id="329" w:name="_Toc184313300"/>
      <w:bookmarkEnd w:id="329"/>
      <w:bookmarkStart w:id="330" w:name="_Toc184308065"/>
      <w:bookmarkEnd w:id="330"/>
      <w:bookmarkStart w:id="331" w:name="_Toc184314469"/>
      <w:bookmarkEnd w:id="331"/>
      <w:bookmarkStart w:id="332" w:name="_Toc184308079"/>
      <w:bookmarkEnd w:id="332"/>
      <w:bookmarkStart w:id="333" w:name="_Toc184308050"/>
      <w:bookmarkEnd w:id="333"/>
      <w:bookmarkStart w:id="334" w:name="_Toc184310319"/>
      <w:bookmarkEnd w:id="334"/>
      <w:bookmarkStart w:id="335" w:name="_Toc184308064"/>
      <w:bookmarkEnd w:id="335"/>
      <w:bookmarkStart w:id="336" w:name="_Toc184310332"/>
      <w:bookmarkEnd w:id="336"/>
      <w:bookmarkStart w:id="337" w:name="_Toc184314473"/>
      <w:bookmarkEnd w:id="337"/>
      <w:bookmarkStart w:id="338" w:name="_Toc184314478"/>
      <w:bookmarkEnd w:id="338"/>
      <w:bookmarkStart w:id="339" w:name="_Toc184308056"/>
      <w:bookmarkEnd w:id="339"/>
      <w:bookmarkStart w:id="340" w:name="_Toc184312137"/>
      <w:bookmarkEnd w:id="340"/>
      <w:bookmarkStart w:id="341" w:name="_Toc184308067"/>
      <w:bookmarkEnd w:id="341"/>
      <w:bookmarkStart w:id="342" w:name="_Toc184310281"/>
      <w:bookmarkEnd w:id="342"/>
      <w:bookmarkStart w:id="343" w:name="_Toc184312126"/>
      <w:bookmarkEnd w:id="343"/>
      <w:bookmarkStart w:id="344" w:name="_Toc184308103"/>
      <w:bookmarkEnd w:id="344"/>
      <w:bookmarkStart w:id="345" w:name="_Toc184310329"/>
      <w:bookmarkEnd w:id="345"/>
      <w:bookmarkStart w:id="346" w:name="_Toc184310321"/>
      <w:bookmarkEnd w:id="346"/>
      <w:bookmarkStart w:id="347" w:name="_Toc184310290"/>
      <w:bookmarkEnd w:id="347"/>
      <w:bookmarkStart w:id="348" w:name="_Toc184310314"/>
      <w:bookmarkEnd w:id="348"/>
      <w:bookmarkStart w:id="349" w:name="_Toc184310295"/>
      <w:bookmarkEnd w:id="349"/>
      <w:bookmarkStart w:id="350" w:name="_Toc184313305"/>
      <w:bookmarkEnd w:id="350"/>
      <w:bookmarkStart w:id="351" w:name="_Toc184314421"/>
      <w:bookmarkEnd w:id="351"/>
      <w:bookmarkStart w:id="352" w:name="_Toc184314440"/>
      <w:bookmarkEnd w:id="352"/>
      <w:bookmarkStart w:id="353" w:name="_Toc184308105"/>
      <w:bookmarkEnd w:id="353"/>
      <w:bookmarkStart w:id="354" w:name="_Toc184310303"/>
      <w:bookmarkEnd w:id="354"/>
      <w:bookmarkStart w:id="355" w:name="_Toc184308089"/>
      <w:bookmarkEnd w:id="355"/>
      <w:bookmarkStart w:id="356" w:name="_Toc184312112"/>
      <w:bookmarkEnd w:id="356"/>
      <w:bookmarkStart w:id="357" w:name="_Toc184310330"/>
      <w:bookmarkEnd w:id="357"/>
      <w:bookmarkStart w:id="358" w:name="_Toc184312076"/>
      <w:bookmarkEnd w:id="358"/>
      <w:bookmarkStart w:id="359" w:name="_Toc184313296"/>
      <w:bookmarkEnd w:id="359"/>
      <w:bookmarkStart w:id="360" w:name="_Toc184313301"/>
      <w:bookmarkEnd w:id="360"/>
      <w:bookmarkStart w:id="361" w:name="_Toc184313260"/>
      <w:bookmarkEnd w:id="361"/>
      <w:bookmarkStart w:id="362" w:name="_Toc184313294"/>
      <w:bookmarkEnd w:id="362"/>
      <w:bookmarkStart w:id="363" w:name="_Toc184308083"/>
      <w:bookmarkEnd w:id="363"/>
      <w:bookmarkStart w:id="364" w:name="_Toc184310336"/>
      <w:bookmarkEnd w:id="364"/>
      <w:bookmarkStart w:id="365" w:name="_Toc184314458"/>
      <w:bookmarkEnd w:id="365"/>
      <w:bookmarkStart w:id="366" w:name="_Toc184312072"/>
      <w:bookmarkEnd w:id="366"/>
      <w:bookmarkStart w:id="367" w:name="_Toc184310277"/>
      <w:bookmarkEnd w:id="367"/>
      <w:bookmarkStart w:id="368" w:name="_Toc184313238"/>
      <w:bookmarkEnd w:id="368"/>
      <w:bookmarkStart w:id="369" w:name="_Toc184310309"/>
      <w:bookmarkEnd w:id="369"/>
      <w:bookmarkStart w:id="370" w:name="_Toc184308062"/>
      <w:bookmarkEnd w:id="370"/>
      <w:bookmarkStart w:id="371" w:name="_Toc184308093"/>
      <w:bookmarkEnd w:id="371"/>
      <w:bookmarkStart w:id="372" w:name="_Toc184313262"/>
      <w:bookmarkEnd w:id="372"/>
      <w:bookmarkStart w:id="373" w:name="_Toc184310276"/>
      <w:bookmarkEnd w:id="373"/>
      <w:bookmarkStart w:id="374" w:name="_Toc184310287"/>
      <w:bookmarkEnd w:id="374"/>
      <w:bookmarkStart w:id="375" w:name="_Toc184312073"/>
      <w:bookmarkEnd w:id="375"/>
      <w:bookmarkStart w:id="376" w:name="_Toc184312067"/>
      <w:bookmarkEnd w:id="376"/>
      <w:bookmarkStart w:id="377" w:name="_Toc184313298"/>
      <w:bookmarkEnd w:id="377"/>
      <w:bookmarkStart w:id="378" w:name="_Toc184312092"/>
      <w:bookmarkEnd w:id="378"/>
      <w:bookmarkStart w:id="379" w:name="_Toc184310282"/>
      <w:bookmarkEnd w:id="379"/>
      <w:bookmarkStart w:id="380" w:name="_Toc184314476"/>
      <w:bookmarkEnd w:id="380"/>
      <w:bookmarkStart w:id="381" w:name="_Toc184312129"/>
      <w:bookmarkEnd w:id="381"/>
      <w:bookmarkStart w:id="382" w:name="_Toc184310333"/>
      <w:bookmarkEnd w:id="382"/>
      <w:bookmarkStart w:id="383" w:name="_Toc184314438"/>
      <w:bookmarkEnd w:id="383"/>
      <w:bookmarkStart w:id="384" w:name="_Toc184313266"/>
      <w:bookmarkEnd w:id="384"/>
      <w:bookmarkStart w:id="385" w:name="_Toc184314442"/>
      <w:bookmarkEnd w:id="385"/>
      <w:bookmarkStart w:id="386" w:name="_Toc184314454"/>
      <w:bookmarkEnd w:id="386"/>
      <w:bookmarkStart w:id="387" w:name="_Toc184310337"/>
      <w:bookmarkEnd w:id="387"/>
      <w:bookmarkStart w:id="388" w:name="_Toc184312104"/>
      <w:bookmarkEnd w:id="388"/>
      <w:bookmarkStart w:id="389" w:name="_Toc184308108"/>
      <w:bookmarkEnd w:id="389"/>
      <w:bookmarkStart w:id="390" w:name="_Toc184308045"/>
      <w:bookmarkEnd w:id="390"/>
      <w:bookmarkStart w:id="391" w:name="_Toc184312079"/>
      <w:bookmarkEnd w:id="391"/>
      <w:bookmarkStart w:id="392" w:name="_Toc184312132"/>
      <w:bookmarkEnd w:id="392"/>
      <w:bookmarkStart w:id="393" w:name="_Toc184308052"/>
      <w:bookmarkEnd w:id="393"/>
      <w:bookmarkStart w:id="394" w:name="_Toc184313289"/>
      <w:bookmarkEnd w:id="394"/>
      <w:bookmarkStart w:id="395" w:name="_Toc184308044"/>
      <w:bookmarkEnd w:id="395"/>
      <w:bookmarkStart w:id="396" w:name="_Toc184312096"/>
      <w:bookmarkEnd w:id="396"/>
      <w:r>
        <w:rPr>
          <w:rFonts w:hint="eastAsia" w:ascii="仿宋_GB2312" w:eastAsia="仿宋_GB2312"/>
          <w:b/>
          <w:sz w:val="28"/>
          <w:szCs w:val="28"/>
        </w:rPr>
        <w:t>评标办法</w:t>
      </w:r>
    </w:p>
    <w:p w14:paraId="5E4B757C">
      <w:pPr>
        <w:contextualSpacing/>
        <w:jc w:val="center"/>
        <w:rPr>
          <w:rFonts w:ascii="仿宋_GB2312" w:hAnsi="仿宋_GB2312" w:eastAsia="仿宋_GB2312" w:cs="仿宋_GB2312"/>
          <w:b/>
          <w:sz w:val="28"/>
          <w:szCs w:val="28"/>
        </w:rPr>
      </w:pPr>
    </w:p>
    <w:p w14:paraId="6851D2B1">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评标办法前附表</w:t>
      </w:r>
    </w:p>
    <w:tbl>
      <w:tblPr>
        <w:tblStyle w:val="11"/>
        <w:tblpPr w:leftFromText="180" w:rightFromText="180" w:vertAnchor="text" w:horzAnchor="page" w:tblpX="1031" w:tblpY="126"/>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546"/>
        <w:gridCol w:w="4967"/>
        <w:gridCol w:w="761"/>
        <w:gridCol w:w="997"/>
        <w:gridCol w:w="1552"/>
      </w:tblGrid>
      <w:tr w14:paraId="3485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696" w:type="dxa"/>
            <w:tcBorders>
              <w:top w:val="single" w:color="auto" w:sz="4" w:space="0"/>
              <w:left w:val="single" w:color="auto" w:sz="4" w:space="0"/>
              <w:bottom w:val="single" w:color="auto" w:sz="4" w:space="0"/>
              <w:right w:val="single" w:color="auto" w:sz="4" w:space="0"/>
            </w:tcBorders>
            <w:vAlign w:val="center"/>
          </w:tcPr>
          <w:p w14:paraId="03F2C18E">
            <w:pPr>
              <w:topLinePunct/>
              <w:spacing w:line="400" w:lineRule="exact"/>
              <w:contextualSpacing/>
              <w:jc w:val="center"/>
              <w:rPr>
                <w:rFonts w:ascii="仿宋" w:hAnsi="仿宋" w:eastAsia="仿宋" w:cs="仿宋"/>
                <w:color w:val="auto"/>
                <w:sz w:val="24"/>
              </w:rPr>
            </w:pPr>
            <w:r>
              <w:rPr>
                <w:rFonts w:hint="eastAsia" w:ascii="仿宋" w:hAnsi="仿宋" w:eastAsia="仿宋" w:cs="仿宋"/>
                <w:color w:val="auto"/>
                <w:sz w:val="24"/>
              </w:rPr>
              <w:t>类</w:t>
            </w:r>
          </w:p>
          <w:p w14:paraId="315C53EF">
            <w:pPr>
              <w:topLinePunct/>
              <w:spacing w:line="400" w:lineRule="exact"/>
              <w:contextualSpacing/>
              <w:jc w:val="center"/>
              <w:rPr>
                <w:rFonts w:ascii="仿宋" w:hAnsi="仿宋" w:eastAsia="仿宋" w:cs="仿宋"/>
                <w:color w:val="auto"/>
                <w:sz w:val="24"/>
              </w:rPr>
            </w:pPr>
            <w:r>
              <w:rPr>
                <w:rFonts w:hint="eastAsia" w:ascii="仿宋" w:hAnsi="仿宋" w:eastAsia="仿宋" w:cs="仿宋"/>
                <w:color w:val="auto"/>
                <w:sz w:val="24"/>
              </w:rPr>
              <w:t>目</w:t>
            </w:r>
          </w:p>
        </w:tc>
        <w:tc>
          <w:tcPr>
            <w:tcW w:w="546" w:type="dxa"/>
            <w:tcBorders>
              <w:top w:val="single" w:color="auto" w:sz="4" w:space="0"/>
              <w:left w:val="single" w:color="auto" w:sz="4" w:space="0"/>
              <w:bottom w:val="single" w:color="auto" w:sz="4" w:space="0"/>
              <w:right w:val="single" w:color="auto" w:sz="4" w:space="0"/>
            </w:tcBorders>
            <w:vAlign w:val="center"/>
          </w:tcPr>
          <w:p w14:paraId="0E58B230">
            <w:pPr>
              <w:topLinePunct/>
              <w:spacing w:line="400" w:lineRule="exact"/>
              <w:contextualSpacing/>
              <w:rPr>
                <w:rFonts w:ascii="仿宋" w:hAnsi="仿宋" w:eastAsia="仿宋" w:cs="仿宋"/>
                <w:color w:val="auto"/>
                <w:sz w:val="24"/>
              </w:rPr>
            </w:pPr>
            <w:r>
              <w:rPr>
                <w:rFonts w:hint="eastAsia" w:ascii="仿宋" w:hAnsi="仿宋" w:eastAsia="仿宋" w:cs="仿宋"/>
                <w:color w:val="auto"/>
                <w:sz w:val="24"/>
              </w:rPr>
              <w:t>序</w:t>
            </w:r>
          </w:p>
          <w:p w14:paraId="6082F7CB">
            <w:pPr>
              <w:topLinePunct/>
              <w:spacing w:line="400" w:lineRule="exact"/>
              <w:contextualSpacing/>
              <w:rPr>
                <w:rFonts w:ascii="仿宋" w:hAnsi="仿宋" w:eastAsia="仿宋" w:cs="仿宋"/>
                <w:color w:val="auto"/>
                <w:sz w:val="24"/>
              </w:rPr>
            </w:pPr>
            <w:r>
              <w:rPr>
                <w:rFonts w:hint="eastAsia" w:ascii="仿宋" w:hAnsi="仿宋" w:eastAsia="仿宋" w:cs="仿宋"/>
                <w:color w:val="auto"/>
                <w:sz w:val="24"/>
              </w:rPr>
              <w:t>号</w:t>
            </w:r>
          </w:p>
        </w:tc>
        <w:tc>
          <w:tcPr>
            <w:tcW w:w="4967" w:type="dxa"/>
            <w:tcBorders>
              <w:top w:val="single" w:color="auto" w:sz="4" w:space="0"/>
              <w:left w:val="single" w:color="auto" w:sz="4" w:space="0"/>
              <w:bottom w:val="single" w:color="auto" w:sz="4" w:space="0"/>
              <w:right w:val="single" w:color="auto" w:sz="4" w:space="0"/>
            </w:tcBorders>
            <w:vAlign w:val="center"/>
          </w:tcPr>
          <w:p w14:paraId="0B7A3584">
            <w:pPr>
              <w:topLinePunct/>
              <w:spacing w:line="400" w:lineRule="exact"/>
              <w:contextualSpacing/>
              <w:jc w:val="center"/>
              <w:rPr>
                <w:rFonts w:ascii="仿宋" w:hAnsi="仿宋" w:eastAsia="仿宋" w:cs="仿宋"/>
                <w:color w:val="auto"/>
                <w:sz w:val="24"/>
              </w:rPr>
            </w:pPr>
            <w:r>
              <w:rPr>
                <w:rFonts w:hint="eastAsia" w:ascii="仿宋" w:hAnsi="仿宋" w:eastAsia="仿宋" w:cs="仿宋"/>
                <w:color w:val="auto"/>
                <w:sz w:val="24"/>
              </w:rPr>
              <w:t>评标标准</w:t>
            </w:r>
          </w:p>
        </w:tc>
        <w:tc>
          <w:tcPr>
            <w:tcW w:w="761" w:type="dxa"/>
            <w:tcBorders>
              <w:top w:val="single" w:color="auto" w:sz="4" w:space="0"/>
              <w:left w:val="single" w:color="auto" w:sz="4" w:space="0"/>
              <w:bottom w:val="single" w:color="auto" w:sz="4" w:space="0"/>
              <w:right w:val="single" w:color="auto" w:sz="4" w:space="0"/>
            </w:tcBorders>
            <w:vAlign w:val="center"/>
          </w:tcPr>
          <w:p w14:paraId="48144FA8">
            <w:pPr>
              <w:topLinePunct/>
              <w:spacing w:line="400" w:lineRule="exact"/>
              <w:contextualSpacing/>
              <w:jc w:val="center"/>
              <w:rPr>
                <w:rFonts w:ascii="仿宋" w:hAnsi="仿宋" w:eastAsia="仿宋" w:cs="仿宋"/>
                <w:color w:val="auto"/>
                <w:sz w:val="24"/>
              </w:rPr>
            </w:pPr>
            <w:r>
              <w:rPr>
                <w:rFonts w:hint="eastAsia" w:ascii="仿宋" w:hAnsi="仿宋" w:eastAsia="仿宋" w:cs="仿宋"/>
                <w:color w:val="auto"/>
                <w:sz w:val="24"/>
              </w:rPr>
              <w:t>权重</w:t>
            </w:r>
          </w:p>
        </w:tc>
        <w:tc>
          <w:tcPr>
            <w:tcW w:w="997" w:type="dxa"/>
            <w:tcBorders>
              <w:top w:val="single" w:color="auto" w:sz="4" w:space="0"/>
              <w:left w:val="single" w:color="auto" w:sz="4" w:space="0"/>
              <w:bottom w:val="single" w:color="auto" w:sz="4" w:space="0"/>
              <w:right w:val="single" w:color="auto" w:sz="4" w:space="0"/>
            </w:tcBorders>
            <w:vAlign w:val="center"/>
          </w:tcPr>
          <w:p w14:paraId="0A1BAB2E">
            <w:pPr>
              <w:topLinePunct/>
              <w:spacing w:line="400" w:lineRule="exact"/>
              <w:contextualSpacing/>
              <w:rPr>
                <w:rFonts w:ascii="仿宋" w:hAnsi="仿宋" w:eastAsia="仿宋" w:cs="仿宋"/>
                <w:color w:val="auto"/>
                <w:szCs w:val="21"/>
              </w:rPr>
            </w:pPr>
            <w:r>
              <w:rPr>
                <w:rFonts w:hint="eastAsia" w:ascii="仿宋_GB2312" w:hAnsi="仿宋_GB2312" w:eastAsia="仿宋_GB2312" w:cs="仿宋_GB2312"/>
                <w:b/>
                <w:color w:val="auto"/>
                <w:spacing w:val="4"/>
                <w:sz w:val="24"/>
                <w:szCs w:val="24"/>
              </w:rPr>
              <w:t>主观分/客观分属性</w:t>
            </w:r>
          </w:p>
        </w:tc>
        <w:tc>
          <w:tcPr>
            <w:tcW w:w="1552" w:type="dxa"/>
            <w:tcBorders>
              <w:top w:val="single" w:color="auto" w:sz="4" w:space="0"/>
              <w:left w:val="single" w:color="auto" w:sz="4" w:space="0"/>
              <w:bottom w:val="single" w:color="auto" w:sz="4" w:space="0"/>
              <w:right w:val="single" w:color="auto" w:sz="4" w:space="0"/>
            </w:tcBorders>
            <w:vAlign w:val="center"/>
          </w:tcPr>
          <w:p w14:paraId="0982EFFC">
            <w:pPr>
              <w:topLinePunct/>
              <w:spacing w:line="400" w:lineRule="exact"/>
              <w:contextualSpacing/>
              <w:rPr>
                <w:rFonts w:ascii="仿宋" w:hAnsi="仿宋" w:eastAsia="仿宋" w:cs="仿宋"/>
                <w:color w:val="auto"/>
                <w:szCs w:val="21"/>
              </w:rPr>
            </w:pPr>
            <w:r>
              <w:rPr>
                <w:rFonts w:hint="eastAsia" w:ascii="仿宋" w:hAnsi="仿宋" w:eastAsia="仿宋" w:cs="仿宋"/>
                <w:color w:val="auto"/>
                <w:szCs w:val="21"/>
              </w:rPr>
              <w:t>投标文件中评标标准相应的商务技术资料目录 </w:t>
            </w:r>
            <w:r>
              <w:rPr>
                <w:rFonts w:hint="eastAsia" w:ascii="仿宋" w:hAnsi="仿宋" w:eastAsia="仿宋" w:cs="仿宋"/>
                <w:color w:val="auto"/>
                <w:sz w:val="28"/>
                <w:szCs w:val="28"/>
              </w:rPr>
              <w:t> *</w:t>
            </w:r>
          </w:p>
        </w:tc>
      </w:tr>
      <w:tr w14:paraId="0F32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trPr>
        <w:tc>
          <w:tcPr>
            <w:tcW w:w="696" w:type="dxa"/>
            <w:vMerge w:val="restart"/>
            <w:tcBorders>
              <w:top w:val="single" w:color="auto" w:sz="4" w:space="0"/>
              <w:left w:val="single" w:color="auto" w:sz="4" w:space="0"/>
              <w:right w:val="single" w:color="auto" w:sz="4" w:space="0"/>
            </w:tcBorders>
            <w:vAlign w:val="center"/>
          </w:tcPr>
          <w:p w14:paraId="6217A684">
            <w:pPr>
              <w:keepNext w:val="0"/>
              <w:keepLines w:val="0"/>
              <w:pageBreakBefore w:val="0"/>
              <w:widowControl w:val="0"/>
              <w:kinsoku/>
              <w:wordWrap/>
              <w:overflowPunct/>
              <w:topLinePunct/>
              <w:autoSpaceDE/>
              <w:autoSpaceDN/>
              <w:bidi w:val="0"/>
              <w:adjustRightInd/>
              <w:snapToGrid/>
              <w:spacing w:line="400" w:lineRule="exact"/>
              <w:contextualSpacing/>
              <w:jc w:val="center"/>
              <w:textAlignment w:val="auto"/>
              <w:rPr>
                <w:rFonts w:ascii="仿宋" w:hAnsi="仿宋" w:eastAsia="仿宋" w:cs="仿宋"/>
                <w:color w:val="auto"/>
                <w:sz w:val="24"/>
              </w:rPr>
            </w:pPr>
            <w:r>
              <w:rPr>
                <w:rFonts w:hint="eastAsia" w:ascii="仿宋" w:hAnsi="仿宋" w:eastAsia="仿宋" w:cs="仿宋"/>
                <w:color w:val="auto"/>
                <w:sz w:val="24"/>
              </w:rPr>
              <w:t>商</w:t>
            </w:r>
          </w:p>
          <w:p w14:paraId="363702B5">
            <w:pPr>
              <w:keepNext w:val="0"/>
              <w:keepLines w:val="0"/>
              <w:pageBreakBefore w:val="0"/>
              <w:widowControl w:val="0"/>
              <w:kinsoku/>
              <w:wordWrap/>
              <w:overflowPunct/>
              <w:topLinePunct/>
              <w:autoSpaceDE/>
              <w:autoSpaceDN/>
              <w:bidi w:val="0"/>
              <w:adjustRightInd/>
              <w:snapToGrid/>
              <w:spacing w:line="400" w:lineRule="exact"/>
              <w:contextualSpacing/>
              <w:jc w:val="center"/>
              <w:textAlignment w:val="auto"/>
              <w:rPr>
                <w:rFonts w:ascii="仿宋" w:hAnsi="仿宋" w:eastAsia="仿宋" w:cs="仿宋"/>
                <w:color w:val="auto"/>
                <w:sz w:val="24"/>
              </w:rPr>
            </w:pPr>
            <w:r>
              <w:rPr>
                <w:rFonts w:hint="eastAsia" w:ascii="仿宋" w:hAnsi="仿宋" w:eastAsia="仿宋" w:cs="仿宋"/>
                <w:color w:val="auto"/>
                <w:sz w:val="24"/>
              </w:rPr>
              <w:t>务</w:t>
            </w:r>
          </w:p>
          <w:p w14:paraId="0CC3C76F">
            <w:pPr>
              <w:keepNext w:val="0"/>
              <w:keepLines w:val="0"/>
              <w:pageBreakBefore w:val="0"/>
              <w:widowControl w:val="0"/>
              <w:kinsoku/>
              <w:wordWrap/>
              <w:overflowPunct/>
              <w:topLinePunct/>
              <w:autoSpaceDE/>
              <w:autoSpaceDN/>
              <w:bidi w:val="0"/>
              <w:adjustRightInd/>
              <w:snapToGrid/>
              <w:spacing w:line="400" w:lineRule="exact"/>
              <w:contextualSpacing/>
              <w:jc w:val="center"/>
              <w:textAlignment w:val="auto"/>
              <w:rPr>
                <w:rFonts w:ascii="仿宋" w:hAnsi="仿宋" w:eastAsia="仿宋" w:cs="仿宋"/>
                <w:color w:val="auto"/>
                <w:sz w:val="24"/>
              </w:rPr>
            </w:pPr>
            <w:r>
              <w:rPr>
                <w:rFonts w:hint="eastAsia" w:ascii="仿宋" w:hAnsi="仿宋" w:eastAsia="仿宋" w:cs="仿宋"/>
                <w:color w:val="auto"/>
                <w:sz w:val="24"/>
              </w:rPr>
              <w:t>部</w:t>
            </w:r>
          </w:p>
          <w:p w14:paraId="5253D06E">
            <w:pPr>
              <w:keepNext w:val="0"/>
              <w:keepLines w:val="0"/>
              <w:pageBreakBefore w:val="0"/>
              <w:widowControl w:val="0"/>
              <w:kinsoku/>
              <w:wordWrap/>
              <w:overflowPunct/>
              <w:topLinePunct/>
              <w:autoSpaceDE/>
              <w:autoSpaceDN/>
              <w:bidi w:val="0"/>
              <w:adjustRightInd/>
              <w:snapToGrid/>
              <w:spacing w:line="400" w:lineRule="exact"/>
              <w:contextualSpacing/>
              <w:jc w:val="center"/>
              <w:textAlignment w:val="auto"/>
              <w:rPr>
                <w:rFonts w:ascii="仿宋" w:hAnsi="仿宋" w:eastAsia="仿宋" w:cs="仿宋"/>
                <w:color w:val="auto"/>
                <w:sz w:val="24"/>
              </w:rPr>
            </w:pPr>
            <w:r>
              <w:rPr>
                <w:rFonts w:hint="eastAsia" w:ascii="仿宋" w:hAnsi="仿宋" w:eastAsia="仿宋" w:cs="仿宋"/>
                <w:color w:val="auto"/>
                <w:sz w:val="24"/>
              </w:rPr>
              <w:t>分</w:t>
            </w:r>
          </w:p>
          <w:p w14:paraId="0AEED3E0">
            <w:pPr>
              <w:keepNext w:val="0"/>
              <w:keepLines w:val="0"/>
              <w:pageBreakBefore w:val="0"/>
              <w:widowControl w:val="0"/>
              <w:kinsoku/>
              <w:wordWrap/>
              <w:overflowPunct/>
              <w:topLinePunct/>
              <w:autoSpaceDE/>
              <w:autoSpaceDN/>
              <w:bidi w:val="0"/>
              <w:adjustRightInd/>
              <w:snapToGrid/>
              <w:spacing w:line="400" w:lineRule="exact"/>
              <w:contextualSpacing/>
              <w:jc w:val="center"/>
              <w:textAlignment w:val="auto"/>
              <w:rPr>
                <w:rFonts w:ascii="仿宋" w:hAnsi="仿宋" w:eastAsia="仿宋" w:cs="仿宋"/>
                <w:color w:val="auto"/>
                <w:sz w:val="24"/>
              </w:rPr>
            </w:pPr>
            <w:r>
              <w:rPr>
                <w:rFonts w:hint="eastAsia" w:ascii="仿宋" w:hAnsi="仿宋" w:eastAsia="仿宋" w:cs="仿宋"/>
                <w:b w:val="0"/>
                <w:bCs w:val="0"/>
                <w:color w:val="auto"/>
                <w:sz w:val="24"/>
              </w:rPr>
              <w:t>（2</w:t>
            </w:r>
            <w:r>
              <w:rPr>
                <w:rFonts w:hint="eastAsia" w:ascii="仿宋" w:hAnsi="仿宋" w:eastAsia="仿宋" w:cs="仿宋"/>
                <w:b w:val="0"/>
                <w:bCs w:val="0"/>
                <w:color w:val="auto"/>
                <w:sz w:val="24"/>
                <w:lang w:val="en-US" w:eastAsia="zh-CN"/>
              </w:rPr>
              <w:t>6</w:t>
            </w:r>
            <w:r>
              <w:rPr>
                <w:rFonts w:hint="eastAsia" w:ascii="仿宋" w:hAnsi="仿宋" w:eastAsia="仿宋" w:cs="仿宋"/>
                <w:color w:val="auto"/>
                <w:sz w:val="24"/>
              </w:rPr>
              <w:t>分）</w:t>
            </w:r>
          </w:p>
        </w:tc>
        <w:tc>
          <w:tcPr>
            <w:tcW w:w="546" w:type="dxa"/>
            <w:tcBorders>
              <w:top w:val="single" w:color="auto" w:sz="4" w:space="0"/>
              <w:left w:val="single" w:color="auto" w:sz="4" w:space="0"/>
              <w:bottom w:val="single" w:color="auto" w:sz="4" w:space="0"/>
              <w:right w:val="single" w:color="auto" w:sz="4" w:space="0"/>
            </w:tcBorders>
            <w:vAlign w:val="center"/>
          </w:tcPr>
          <w:p w14:paraId="4BE31DFD">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rPr>
              <w:t>1</w:t>
            </w:r>
          </w:p>
        </w:tc>
        <w:tc>
          <w:tcPr>
            <w:tcW w:w="4967" w:type="dxa"/>
            <w:tcBorders>
              <w:top w:val="single" w:color="auto" w:sz="4" w:space="0"/>
              <w:left w:val="single" w:color="auto" w:sz="4" w:space="0"/>
              <w:bottom w:val="single" w:color="auto" w:sz="4" w:space="0"/>
              <w:right w:val="single" w:color="auto" w:sz="4" w:space="0"/>
            </w:tcBorders>
            <w:vAlign w:val="center"/>
          </w:tcPr>
          <w:p w14:paraId="287A11F2">
            <w:pPr>
              <w:keepNext w:val="0"/>
              <w:keepLines w:val="0"/>
              <w:pageBreakBefore w:val="0"/>
              <w:widowControl w:val="0"/>
              <w:kinsoku/>
              <w:wordWrap/>
              <w:overflowPunct/>
              <w:autoSpaceDE/>
              <w:autoSpaceDN/>
              <w:bidi w:val="0"/>
              <w:adjustRightInd/>
              <w:snapToGrid/>
              <w:spacing w:line="400" w:lineRule="exact"/>
              <w:textAlignment w:val="auto"/>
              <w:rPr>
                <w:rFonts w:ascii="仿宋_GB2312" w:hAnsi="宋体" w:eastAsia="仿宋_GB2312" w:cs="宋体"/>
                <w:color w:val="auto"/>
                <w:sz w:val="24"/>
                <w:szCs w:val="24"/>
              </w:rPr>
            </w:pPr>
            <w:r>
              <w:rPr>
                <w:rFonts w:hint="eastAsia" w:ascii="仿宋_GB2312" w:hAnsi="宋体" w:eastAsia="仿宋_GB2312" w:cs="宋体"/>
                <w:color w:val="auto"/>
                <w:sz w:val="24"/>
                <w:szCs w:val="24"/>
              </w:rPr>
              <w:t>投标人具有类似物业管理成功案例业绩（不包括前期物业管理、住宅小区物业管理及单项物业管理），每提供一份服务合同，得0.</w:t>
            </w:r>
            <w:r>
              <w:rPr>
                <w:rFonts w:hint="eastAsia" w:ascii="仿宋_GB2312" w:hAnsi="宋体" w:eastAsia="仿宋_GB2312" w:cs="宋体"/>
                <w:color w:val="auto"/>
                <w:sz w:val="24"/>
                <w:szCs w:val="24"/>
                <w:lang w:val="en-US" w:eastAsia="zh-CN"/>
              </w:rPr>
              <w:t>7</w:t>
            </w:r>
            <w:r>
              <w:rPr>
                <w:rFonts w:hint="eastAsia" w:ascii="仿宋_GB2312" w:hAnsi="宋体" w:eastAsia="仿宋_GB2312" w:cs="宋体"/>
                <w:color w:val="auto"/>
                <w:sz w:val="24"/>
                <w:szCs w:val="24"/>
              </w:rPr>
              <w:t>5分，最多得1</w:t>
            </w:r>
            <w:r>
              <w:rPr>
                <w:rFonts w:hint="eastAsia" w:ascii="仿宋_GB2312" w:hAnsi="宋体" w:eastAsia="仿宋_GB2312" w:cs="宋体"/>
                <w:color w:val="auto"/>
                <w:sz w:val="24"/>
                <w:szCs w:val="24"/>
                <w:lang w:val="en-US" w:eastAsia="zh-CN"/>
              </w:rPr>
              <w:t>.5</w:t>
            </w:r>
            <w:r>
              <w:rPr>
                <w:rFonts w:hint="eastAsia" w:ascii="仿宋_GB2312" w:hAnsi="宋体" w:eastAsia="仿宋_GB2312" w:cs="宋体"/>
                <w:color w:val="auto"/>
                <w:sz w:val="24"/>
                <w:szCs w:val="24"/>
              </w:rPr>
              <w:t>分。</w:t>
            </w:r>
          </w:p>
          <w:p w14:paraId="60BA85D9">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_GB2312" w:hAnsi="宋体" w:eastAsia="仿宋_GB2312" w:cs="宋体"/>
                <w:b/>
                <w:color w:val="auto"/>
                <w:sz w:val="24"/>
                <w:szCs w:val="24"/>
              </w:rPr>
            </w:pPr>
            <w:r>
              <w:rPr>
                <w:rFonts w:hint="eastAsia" w:ascii="仿宋_GB2312" w:hAnsi="宋体" w:eastAsia="仿宋_GB2312" w:cs="宋体"/>
                <w:b/>
                <w:color w:val="auto"/>
                <w:sz w:val="24"/>
                <w:szCs w:val="24"/>
              </w:rPr>
              <w:t>注：</w:t>
            </w:r>
            <w:r>
              <w:rPr>
                <w:rFonts w:hint="eastAsia" w:ascii="仿宋_GB2312" w:hAnsi="宋体" w:eastAsia="仿宋_GB2312" w:cs="宋体"/>
                <w:b/>
                <w:color w:val="auto"/>
                <w:sz w:val="24"/>
                <w:szCs w:val="24"/>
                <w:lang w:val="en-US" w:eastAsia="zh-CN"/>
              </w:rPr>
              <w:t>1、</w:t>
            </w:r>
            <w:r>
              <w:rPr>
                <w:rFonts w:hint="eastAsia" w:ascii="仿宋_GB2312" w:hAnsi="宋体" w:eastAsia="仿宋_GB2312" w:cs="宋体"/>
                <w:b/>
                <w:color w:val="auto"/>
                <w:sz w:val="24"/>
                <w:szCs w:val="24"/>
              </w:rPr>
              <w:t>合同签订时间为 202</w:t>
            </w:r>
            <w:r>
              <w:rPr>
                <w:rFonts w:hint="eastAsia" w:ascii="仿宋_GB2312" w:hAnsi="宋体" w:eastAsia="仿宋_GB2312" w:cs="宋体"/>
                <w:b/>
                <w:color w:val="auto"/>
                <w:sz w:val="24"/>
                <w:szCs w:val="24"/>
                <w:lang w:val="en-US" w:eastAsia="zh-CN"/>
              </w:rPr>
              <w:t>2</w:t>
            </w:r>
            <w:r>
              <w:rPr>
                <w:rFonts w:hint="eastAsia" w:ascii="仿宋_GB2312" w:hAnsi="宋体" w:eastAsia="仿宋_GB2312" w:cs="宋体"/>
                <w:b/>
                <w:color w:val="auto"/>
                <w:sz w:val="24"/>
                <w:szCs w:val="24"/>
              </w:rPr>
              <w:t>年1月1日（含）至开标截止时间的时间段内，合同由投标人签订，否则该项不得分。同一个项目不同年份的合同只计分一次。</w:t>
            </w:r>
          </w:p>
          <w:p w14:paraId="7B1163CE">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b/>
                <w:color w:val="auto"/>
                <w:sz w:val="24"/>
                <w:szCs w:val="24"/>
                <w:lang w:eastAsia="zh-CN"/>
              </w:rPr>
            </w:pPr>
            <w:r>
              <w:rPr>
                <w:rFonts w:hint="eastAsia" w:ascii="仿宋_GB2312" w:hAnsi="宋体" w:eastAsia="仿宋_GB2312" w:cs="宋体"/>
                <w:b/>
                <w:color w:val="auto"/>
                <w:sz w:val="24"/>
                <w:szCs w:val="24"/>
                <w:lang w:val="en-US" w:eastAsia="zh-CN"/>
              </w:rPr>
              <w:t>2、</w:t>
            </w:r>
            <w:r>
              <w:rPr>
                <w:rFonts w:hint="eastAsia" w:ascii="仿宋_GB2312" w:hAnsi="宋体" w:eastAsia="仿宋_GB2312" w:cs="宋体"/>
                <w:b/>
                <w:color w:val="auto"/>
                <w:sz w:val="24"/>
                <w:szCs w:val="24"/>
                <w:highlight w:val="none"/>
              </w:rPr>
              <w:t>合同服务内容</w:t>
            </w:r>
            <w:r>
              <w:rPr>
                <w:rFonts w:hint="eastAsia" w:ascii="仿宋" w:hAnsi="仿宋" w:eastAsia="仿宋" w:cs="仿宋"/>
                <w:b/>
                <w:bCs/>
                <w:color w:val="auto"/>
                <w:sz w:val="24"/>
                <w:szCs w:val="24"/>
                <w:lang w:eastAsia="zh-CN"/>
              </w:rPr>
              <w:t>必须</w:t>
            </w:r>
            <w:r>
              <w:rPr>
                <w:rFonts w:hint="eastAsia" w:ascii="仿宋" w:hAnsi="仿宋" w:eastAsia="仿宋" w:cs="仿宋"/>
                <w:b/>
                <w:bCs/>
                <w:color w:val="auto"/>
                <w:sz w:val="24"/>
                <w:szCs w:val="24"/>
              </w:rPr>
              <w:t>包含体育场馆或训练场馆服务内容</w:t>
            </w:r>
            <w:r>
              <w:rPr>
                <w:rFonts w:hint="eastAsia" w:ascii="仿宋" w:hAnsi="仿宋" w:eastAsia="仿宋" w:cs="仿宋"/>
                <w:b/>
                <w:bCs/>
                <w:color w:val="auto"/>
                <w:sz w:val="24"/>
                <w:szCs w:val="24"/>
                <w:lang w:eastAsia="zh-CN"/>
              </w:rPr>
              <w:t>，否则不得分。</w:t>
            </w:r>
          </w:p>
        </w:tc>
        <w:tc>
          <w:tcPr>
            <w:tcW w:w="761" w:type="dxa"/>
            <w:tcBorders>
              <w:top w:val="single" w:color="auto" w:sz="4" w:space="0"/>
              <w:left w:val="single" w:color="auto" w:sz="4" w:space="0"/>
              <w:bottom w:val="single" w:color="auto" w:sz="4" w:space="0"/>
              <w:right w:val="single" w:color="auto" w:sz="4" w:space="0"/>
            </w:tcBorders>
            <w:vAlign w:val="center"/>
          </w:tcPr>
          <w:p w14:paraId="6CC79326">
            <w:pPr>
              <w:keepNext w:val="0"/>
              <w:keepLines w:val="0"/>
              <w:pageBreakBefore w:val="0"/>
              <w:widowControl w:val="0"/>
              <w:kinsoku/>
              <w:wordWrap/>
              <w:overflowPunct/>
              <w:topLinePunct/>
              <w:autoSpaceDE/>
              <w:autoSpaceDN/>
              <w:bidi w:val="0"/>
              <w:adjustRightInd/>
              <w:snapToGrid/>
              <w:spacing w:line="400" w:lineRule="exact"/>
              <w:contextualSpacing/>
              <w:jc w:val="center"/>
              <w:textAlignment w:val="auto"/>
              <w:rPr>
                <w:rFonts w:ascii="仿宋" w:hAnsi="仿宋" w:eastAsia="仿宋" w:cs="仿宋"/>
                <w:color w:val="auto"/>
                <w:sz w:val="24"/>
              </w:rPr>
            </w:pPr>
            <w:r>
              <w:rPr>
                <w:rFonts w:hint="eastAsia" w:ascii="仿宋" w:hAnsi="仿宋" w:eastAsia="仿宋" w:cs="仿宋"/>
                <w:color w:val="auto"/>
                <w:sz w:val="24"/>
              </w:rPr>
              <w:t>1.5</w:t>
            </w:r>
          </w:p>
        </w:tc>
        <w:tc>
          <w:tcPr>
            <w:tcW w:w="997" w:type="dxa"/>
            <w:tcBorders>
              <w:top w:val="single" w:color="auto" w:sz="4" w:space="0"/>
              <w:left w:val="single" w:color="auto" w:sz="4" w:space="0"/>
              <w:bottom w:val="single" w:color="auto" w:sz="4" w:space="0"/>
              <w:right w:val="single" w:color="auto" w:sz="4" w:space="0"/>
            </w:tcBorders>
            <w:vAlign w:val="center"/>
          </w:tcPr>
          <w:p w14:paraId="098E9B85">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客观分</w:t>
            </w:r>
          </w:p>
        </w:tc>
        <w:tc>
          <w:tcPr>
            <w:tcW w:w="1552" w:type="dxa"/>
            <w:tcBorders>
              <w:top w:val="single" w:color="auto" w:sz="4" w:space="0"/>
              <w:left w:val="single" w:color="auto" w:sz="4" w:space="0"/>
              <w:bottom w:val="single" w:color="auto" w:sz="4" w:space="0"/>
              <w:right w:val="single" w:color="auto" w:sz="4" w:space="0"/>
            </w:tcBorders>
            <w:vAlign w:val="center"/>
          </w:tcPr>
          <w:p w14:paraId="149BC8AD">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r>
      <w:tr w14:paraId="3E2E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Merge w:val="continue"/>
            <w:tcBorders>
              <w:left w:val="single" w:color="auto" w:sz="4" w:space="0"/>
              <w:right w:val="single" w:color="auto" w:sz="4" w:space="0"/>
            </w:tcBorders>
            <w:vAlign w:val="center"/>
          </w:tcPr>
          <w:p w14:paraId="659C1956">
            <w:pPr>
              <w:keepNext w:val="0"/>
              <w:keepLines w:val="0"/>
              <w:pageBreakBefore w:val="0"/>
              <w:widowControl w:val="0"/>
              <w:kinsoku/>
              <w:wordWrap/>
              <w:overflowPunct/>
              <w:topLinePunct/>
              <w:autoSpaceDE/>
              <w:autoSpaceDN/>
              <w:bidi w:val="0"/>
              <w:adjustRightInd/>
              <w:snapToGrid/>
              <w:spacing w:line="400" w:lineRule="exact"/>
              <w:contextualSpacing/>
              <w:jc w:val="center"/>
              <w:textAlignment w:val="auto"/>
              <w:rPr>
                <w:rFonts w:ascii="仿宋" w:hAnsi="仿宋" w:eastAsia="仿宋" w:cs="仿宋"/>
                <w:color w:val="auto"/>
                <w:sz w:val="24"/>
              </w:rPr>
            </w:pPr>
          </w:p>
        </w:tc>
        <w:tc>
          <w:tcPr>
            <w:tcW w:w="546" w:type="dxa"/>
            <w:tcBorders>
              <w:top w:val="single" w:color="auto" w:sz="4" w:space="0"/>
              <w:left w:val="single" w:color="auto" w:sz="4" w:space="0"/>
              <w:bottom w:val="single" w:color="auto" w:sz="4" w:space="0"/>
              <w:right w:val="single" w:color="auto" w:sz="4" w:space="0"/>
            </w:tcBorders>
            <w:vAlign w:val="center"/>
          </w:tcPr>
          <w:p w14:paraId="08DD9D1D">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rPr>
              <w:t>2</w:t>
            </w:r>
          </w:p>
        </w:tc>
        <w:tc>
          <w:tcPr>
            <w:tcW w:w="4967" w:type="dxa"/>
            <w:tcBorders>
              <w:top w:val="single" w:color="auto" w:sz="4" w:space="0"/>
              <w:left w:val="single" w:color="auto" w:sz="4" w:space="0"/>
              <w:bottom w:val="single" w:color="auto" w:sz="4" w:space="0"/>
              <w:right w:val="single" w:color="auto" w:sz="4" w:space="0"/>
            </w:tcBorders>
            <w:vAlign w:val="center"/>
          </w:tcPr>
          <w:p w14:paraId="4E6DD9AF">
            <w:pPr>
              <w:keepNext w:val="0"/>
              <w:keepLines w:val="0"/>
              <w:pageBreakBefore w:val="0"/>
              <w:widowControl w:val="0"/>
              <w:kinsoku/>
              <w:wordWrap/>
              <w:overflowPunct/>
              <w:topLinePunct/>
              <w:autoSpaceDE/>
              <w:autoSpaceDN/>
              <w:bidi w:val="0"/>
              <w:adjustRightInd/>
              <w:snapToGrid/>
              <w:spacing w:line="400" w:lineRule="exact"/>
              <w:contextualSpacing/>
              <w:textAlignment w:val="auto"/>
              <w:rPr>
                <w:color w:val="auto"/>
              </w:rPr>
            </w:pPr>
            <w:r>
              <w:rPr>
                <w:rFonts w:hint="eastAsia" w:ascii="仿宋" w:hAnsi="仿宋" w:eastAsia="仿宋" w:cs="仿宋"/>
                <w:color w:val="auto"/>
                <w:sz w:val="24"/>
              </w:rPr>
              <w:t>投标人拟派的项目经理（1名）综合素质情况打分。</w:t>
            </w:r>
          </w:p>
          <w:p w14:paraId="61C1ECCB">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szCs w:val="24"/>
              </w:rPr>
              <w:t>1、</w:t>
            </w:r>
            <w:r>
              <w:rPr>
                <w:rFonts w:hint="eastAsia" w:ascii="仿宋_GB2312" w:hAnsi="宋体" w:eastAsia="仿宋_GB2312" w:cs="宋体"/>
                <w:color w:val="auto"/>
                <w:sz w:val="24"/>
                <w:szCs w:val="24"/>
                <w:highlight w:val="none"/>
                <w:lang w:val="en-US" w:eastAsia="zh-CN"/>
              </w:rPr>
              <w:t>具有有效期内的</w:t>
            </w:r>
            <w:r>
              <w:rPr>
                <w:rFonts w:hint="default" w:ascii="仿宋_GB2312" w:hAnsi="宋体" w:eastAsia="仿宋_GB2312" w:cs="宋体"/>
                <w:color w:val="auto"/>
                <w:sz w:val="24"/>
                <w:szCs w:val="24"/>
                <w:highlight w:val="none"/>
                <w:lang w:val="en-US" w:eastAsia="zh-CN"/>
              </w:rPr>
              <w:t>智能楼宇管理员</w:t>
            </w:r>
            <w:r>
              <w:rPr>
                <w:rFonts w:hint="eastAsia" w:ascii="仿宋_GB2312" w:hAnsi="宋体" w:eastAsia="仿宋_GB2312" w:cs="宋体"/>
                <w:color w:val="auto"/>
                <w:sz w:val="24"/>
                <w:szCs w:val="24"/>
                <w:highlight w:val="none"/>
                <w:lang w:val="en-US" w:eastAsia="zh-CN"/>
              </w:rPr>
              <w:t>（师）证书的，得2分；</w:t>
            </w:r>
          </w:p>
          <w:p w14:paraId="5BB6D8D8">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rPr>
              <w:t>2、具有</w:t>
            </w:r>
            <w:r>
              <w:rPr>
                <w:rFonts w:hint="eastAsia" w:ascii="仿宋" w:hAnsi="仿宋" w:eastAsia="仿宋" w:cs="仿宋"/>
                <w:color w:val="auto"/>
                <w:sz w:val="24"/>
                <w:lang w:eastAsia="zh-CN"/>
              </w:rPr>
              <w:t>有效期内的</w:t>
            </w:r>
            <w:r>
              <w:rPr>
                <w:rFonts w:hint="eastAsia" w:ascii="仿宋" w:hAnsi="仿宋" w:eastAsia="仿宋" w:cs="仿宋"/>
                <w:color w:val="auto"/>
                <w:sz w:val="24"/>
              </w:rPr>
              <w:t>特种设备安全管理和作业人员证的</w:t>
            </w:r>
            <w:r>
              <w:rPr>
                <w:rFonts w:hint="eastAsia" w:ascii="仿宋" w:hAnsi="仿宋" w:eastAsia="仿宋" w:cs="仿宋"/>
                <w:color w:val="auto"/>
                <w:sz w:val="24"/>
                <w:szCs w:val="24"/>
              </w:rPr>
              <w:t>，得2分</w:t>
            </w:r>
            <w:r>
              <w:rPr>
                <w:rFonts w:hint="eastAsia" w:ascii="仿宋" w:hAnsi="仿宋" w:eastAsia="仿宋" w:cs="仿宋"/>
                <w:color w:val="auto"/>
                <w:sz w:val="24"/>
                <w:szCs w:val="24"/>
                <w:lang w:eastAsia="zh-CN"/>
              </w:rPr>
              <w:t>。</w:t>
            </w:r>
          </w:p>
          <w:p w14:paraId="1881332A">
            <w:pPr>
              <w:pStyle w:val="2"/>
              <w:keepNext w:val="0"/>
              <w:keepLines w:val="0"/>
              <w:pageBreakBefore w:val="0"/>
              <w:widowControl w:val="0"/>
              <w:kinsoku/>
              <w:wordWrap/>
              <w:overflowPunct/>
              <w:autoSpaceDE/>
              <w:autoSpaceDN/>
              <w:bidi w:val="0"/>
              <w:adjustRightInd/>
              <w:snapToGrid/>
              <w:spacing w:before="0" w:after="0" w:line="400" w:lineRule="exact"/>
              <w:textAlignment w:val="auto"/>
              <w:rPr>
                <w:rFonts w:ascii="仿宋" w:hAnsi="仿宋" w:eastAsia="仿宋" w:cs="仿宋"/>
                <w:b/>
                <w:color w:val="auto"/>
                <w:szCs w:val="21"/>
              </w:rPr>
            </w:pPr>
            <w:r>
              <w:rPr>
                <w:rFonts w:hint="eastAsia" w:ascii="仿宋_GB2312" w:hAnsi="宋体" w:eastAsia="仿宋_GB2312" w:cs="宋体"/>
                <w:color w:val="auto"/>
                <w:sz w:val="24"/>
                <w:szCs w:val="24"/>
                <w:highlight w:val="none"/>
                <w:lang w:val="en-US" w:eastAsia="zh-CN"/>
              </w:rPr>
              <w:t>注：1.须提供上述证书或职业技能鉴定中心出具的关于上述证书的证明材料及</w:t>
            </w:r>
            <w:r>
              <w:rPr>
                <w:rFonts w:hint="eastAsia" w:ascii="仿宋" w:hAnsi="仿宋" w:eastAsia="仿宋" w:cs="仿宋"/>
                <w:b/>
                <w:color w:val="auto"/>
                <w:sz w:val="24"/>
              </w:rPr>
              <w:t>上述人员在本单位的社保证明</w:t>
            </w:r>
            <w:r>
              <w:rPr>
                <w:rFonts w:hint="eastAsia" w:ascii="仿宋_GB2312" w:hAnsi="宋体" w:eastAsia="仿宋_GB2312" w:cs="宋体"/>
                <w:color w:val="auto"/>
                <w:sz w:val="24"/>
                <w:szCs w:val="24"/>
                <w:highlight w:val="none"/>
                <w:lang w:val="en-US" w:eastAsia="zh-CN"/>
              </w:rPr>
              <w:t>（</w:t>
            </w:r>
            <w:r>
              <w:rPr>
                <w:rFonts w:hint="eastAsia" w:ascii="仿宋_GB2312" w:hAnsi="宋体" w:eastAsia="仿宋_GB2312" w:cs="宋体"/>
                <w:b/>
                <w:color w:val="auto"/>
                <w:sz w:val="24"/>
                <w:szCs w:val="24"/>
                <w:highlight w:val="none"/>
                <w:lang w:val="en-US" w:eastAsia="zh-CN"/>
              </w:rPr>
              <w:t>2025年4月、5月、6月、7月中的</w:t>
            </w:r>
            <w:r>
              <w:rPr>
                <w:rFonts w:hint="eastAsia" w:ascii="仿宋_GB2312" w:hAnsi="宋体" w:eastAsia="仿宋_GB2312" w:cs="宋体"/>
                <w:color w:val="auto"/>
                <w:sz w:val="24"/>
                <w:szCs w:val="24"/>
                <w:highlight w:val="none"/>
                <w:lang w:val="en-US" w:eastAsia="zh-CN"/>
              </w:rPr>
              <w:t>任意一个月），否则不得分。</w:t>
            </w:r>
          </w:p>
        </w:tc>
        <w:tc>
          <w:tcPr>
            <w:tcW w:w="761" w:type="dxa"/>
            <w:tcBorders>
              <w:top w:val="single" w:color="auto" w:sz="4" w:space="0"/>
              <w:left w:val="single" w:color="auto" w:sz="4" w:space="0"/>
              <w:bottom w:val="single" w:color="auto" w:sz="4" w:space="0"/>
              <w:right w:val="single" w:color="auto" w:sz="4" w:space="0"/>
            </w:tcBorders>
            <w:vAlign w:val="center"/>
          </w:tcPr>
          <w:p w14:paraId="08628F1A">
            <w:pPr>
              <w:keepNext w:val="0"/>
              <w:keepLines w:val="0"/>
              <w:pageBreakBefore w:val="0"/>
              <w:widowControl w:val="0"/>
              <w:kinsoku/>
              <w:wordWrap/>
              <w:overflowPunct/>
              <w:topLinePunct/>
              <w:autoSpaceDE/>
              <w:autoSpaceDN/>
              <w:bidi w:val="0"/>
              <w:adjustRightInd/>
              <w:snapToGrid/>
              <w:spacing w:line="400" w:lineRule="exact"/>
              <w:contextualSpacing/>
              <w:jc w:val="center"/>
              <w:textAlignment w:val="auto"/>
              <w:rPr>
                <w:rFonts w:ascii="仿宋" w:hAnsi="仿宋" w:eastAsia="仿宋" w:cs="仿宋"/>
                <w:color w:val="auto"/>
                <w:sz w:val="24"/>
              </w:rPr>
            </w:pPr>
            <w:r>
              <w:rPr>
                <w:rFonts w:hint="eastAsia" w:ascii="仿宋" w:hAnsi="仿宋" w:eastAsia="仿宋" w:cs="仿宋"/>
                <w:color w:val="auto"/>
                <w:sz w:val="24"/>
              </w:rPr>
              <w:t>4</w:t>
            </w:r>
          </w:p>
        </w:tc>
        <w:tc>
          <w:tcPr>
            <w:tcW w:w="997" w:type="dxa"/>
            <w:tcBorders>
              <w:top w:val="single" w:color="auto" w:sz="4" w:space="0"/>
              <w:left w:val="single" w:color="auto" w:sz="4" w:space="0"/>
              <w:bottom w:val="single" w:color="auto" w:sz="4" w:space="0"/>
              <w:right w:val="single" w:color="auto" w:sz="4" w:space="0"/>
            </w:tcBorders>
            <w:vAlign w:val="center"/>
          </w:tcPr>
          <w:p w14:paraId="552958B5">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lang w:eastAsia="zh-CN"/>
              </w:rPr>
              <w:t>客观分</w:t>
            </w:r>
          </w:p>
        </w:tc>
        <w:tc>
          <w:tcPr>
            <w:tcW w:w="1552" w:type="dxa"/>
            <w:tcBorders>
              <w:top w:val="single" w:color="auto" w:sz="4" w:space="0"/>
              <w:left w:val="single" w:color="auto" w:sz="4" w:space="0"/>
              <w:bottom w:val="single" w:color="auto" w:sz="4" w:space="0"/>
              <w:right w:val="single" w:color="auto" w:sz="4" w:space="0"/>
            </w:tcBorders>
            <w:vAlign w:val="center"/>
          </w:tcPr>
          <w:p w14:paraId="26BE333E">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r>
      <w:tr w14:paraId="7495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96" w:type="dxa"/>
            <w:vMerge w:val="continue"/>
            <w:tcBorders>
              <w:left w:val="single" w:color="auto" w:sz="4" w:space="0"/>
              <w:right w:val="single" w:color="auto" w:sz="4" w:space="0"/>
            </w:tcBorders>
            <w:vAlign w:val="center"/>
          </w:tcPr>
          <w:p w14:paraId="73CB65EB">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c>
          <w:tcPr>
            <w:tcW w:w="546" w:type="dxa"/>
            <w:tcBorders>
              <w:top w:val="single" w:color="auto" w:sz="4" w:space="0"/>
              <w:left w:val="single" w:color="auto" w:sz="4" w:space="0"/>
              <w:right w:val="single" w:color="auto" w:sz="4" w:space="0"/>
            </w:tcBorders>
            <w:vAlign w:val="center"/>
          </w:tcPr>
          <w:p w14:paraId="19E24258">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rPr>
              <w:t>3</w:t>
            </w:r>
          </w:p>
        </w:tc>
        <w:tc>
          <w:tcPr>
            <w:tcW w:w="4967" w:type="dxa"/>
            <w:tcBorders>
              <w:top w:val="single" w:color="auto" w:sz="4" w:space="0"/>
              <w:left w:val="single" w:color="auto" w:sz="4" w:space="0"/>
              <w:right w:val="single" w:color="auto" w:sz="4" w:space="0"/>
            </w:tcBorders>
            <w:vAlign w:val="center"/>
          </w:tcPr>
          <w:p w14:paraId="5A0EEEC5">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r>
              <w:rPr>
                <w:rFonts w:hint="eastAsia" w:ascii="仿宋" w:hAnsi="仿宋" w:eastAsia="仿宋" w:cs="仿宋"/>
                <w:color w:val="auto"/>
                <w:sz w:val="24"/>
              </w:rPr>
              <w:t>投标人拟派的工程主管（</w:t>
            </w:r>
            <w:r>
              <w:rPr>
                <w:rFonts w:ascii="仿宋" w:hAnsi="仿宋" w:eastAsia="仿宋" w:cs="仿宋"/>
                <w:color w:val="auto"/>
                <w:sz w:val="24"/>
              </w:rPr>
              <w:t>1</w:t>
            </w:r>
            <w:r>
              <w:rPr>
                <w:rFonts w:hint="eastAsia" w:ascii="仿宋" w:hAnsi="仿宋" w:eastAsia="仿宋" w:cs="仿宋"/>
                <w:color w:val="auto"/>
                <w:sz w:val="24"/>
              </w:rPr>
              <w:t>名）素质情况打分</w:t>
            </w:r>
            <w:r>
              <w:rPr>
                <w:rFonts w:hint="eastAsia" w:ascii="仿宋" w:hAnsi="仿宋" w:eastAsia="仿宋" w:cs="仿宋"/>
                <w:color w:val="auto"/>
                <w:sz w:val="24"/>
                <w:lang w:eastAsia="zh-CN"/>
              </w:rPr>
              <w:t>。</w:t>
            </w:r>
          </w:p>
          <w:p w14:paraId="28C7527E">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highlight w:val="none"/>
              </w:rPr>
            </w:pPr>
            <w:r>
              <w:rPr>
                <w:rFonts w:hint="eastAsia" w:ascii="仿宋" w:hAnsi="仿宋" w:eastAsia="仿宋" w:cs="仿宋"/>
                <w:color w:val="auto"/>
                <w:sz w:val="24"/>
              </w:rPr>
              <w:t>1、具有</w:t>
            </w:r>
            <w:r>
              <w:rPr>
                <w:rFonts w:hint="eastAsia" w:ascii="仿宋" w:hAnsi="仿宋" w:eastAsia="仿宋" w:cs="仿宋"/>
                <w:color w:val="auto"/>
                <w:sz w:val="24"/>
                <w:lang w:eastAsia="zh-CN"/>
              </w:rPr>
              <w:t>有效期内的</w:t>
            </w:r>
            <w:r>
              <w:rPr>
                <w:rFonts w:hint="eastAsia" w:ascii="仿宋" w:hAnsi="仿宋" w:eastAsia="仿宋" w:cs="仿宋"/>
                <w:color w:val="auto"/>
                <w:sz w:val="24"/>
                <w:highlight w:val="none"/>
              </w:rPr>
              <w:t>维修电工</w:t>
            </w:r>
            <w:r>
              <w:rPr>
                <w:rFonts w:hint="eastAsia" w:ascii="仿宋" w:hAnsi="仿宋" w:eastAsia="仿宋" w:cs="仿宋"/>
                <w:color w:val="auto"/>
                <w:sz w:val="24"/>
                <w:highlight w:val="none"/>
                <w:lang w:eastAsia="zh-CN"/>
              </w:rPr>
              <w:t>或电工</w:t>
            </w:r>
            <w:r>
              <w:rPr>
                <w:rFonts w:hint="eastAsia" w:ascii="仿宋" w:hAnsi="仿宋" w:eastAsia="仿宋" w:cs="仿宋"/>
                <w:color w:val="auto"/>
                <w:sz w:val="24"/>
                <w:highlight w:val="none"/>
              </w:rPr>
              <w:t>高级及以上职业技能等级证书的，得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14:paraId="111F80C9">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2、具有</w:t>
            </w:r>
            <w:r>
              <w:rPr>
                <w:rFonts w:hint="eastAsia" w:ascii="仿宋" w:hAnsi="仿宋" w:eastAsia="仿宋" w:cs="仿宋"/>
                <w:color w:val="auto"/>
                <w:sz w:val="24"/>
                <w:highlight w:val="none"/>
                <w:lang w:eastAsia="zh-CN"/>
              </w:rPr>
              <w:t>有效期内的</w:t>
            </w:r>
            <w:r>
              <w:rPr>
                <w:rFonts w:hint="eastAsia" w:ascii="仿宋" w:hAnsi="仿宋" w:eastAsia="仿宋" w:cs="仿宋"/>
                <w:color w:val="auto"/>
                <w:sz w:val="24"/>
                <w:highlight w:val="none"/>
              </w:rPr>
              <w:t>高压电工作业证的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14:paraId="55D12037">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rPr>
              <w:t>具有</w:t>
            </w:r>
            <w:r>
              <w:rPr>
                <w:rFonts w:hint="eastAsia" w:ascii="仿宋" w:hAnsi="仿宋" w:eastAsia="仿宋" w:cs="仿宋"/>
                <w:color w:val="auto"/>
                <w:sz w:val="24"/>
                <w:lang w:eastAsia="zh-CN"/>
              </w:rPr>
              <w:t>有效期内的</w:t>
            </w:r>
            <w:r>
              <w:rPr>
                <w:rFonts w:hint="default" w:ascii="仿宋_GB2312" w:hAnsi="宋体" w:eastAsia="仿宋_GB2312" w:cs="宋体"/>
                <w:color w:val="auto"/>
                <w:sz w:val="24"/>
                <w:szCs w:val="24"/>
                <w:highlight w:val="none"/>
                <w:lang w:val="en-US" w:eastAsia="zh-CN"/>
              </w:rPr>
              <w:t>智能楼宇管理员</w:t>
            </w:r>
            <w:r>
              <w:rPr>
                <w:rFonts w:hint="eastAsia" w:ascii="仿宋_GB2312" w:hAnsi="宋体" w:eastAsia="仿宋_GB2312" w:cs="宋体"/>
                <w:color w:val="auto"/>
                <w:sz w:val="24"/>
                <w:szCs w:val="24"/>
                <w:highlight w:val="none"/>
                <w:lang w:val="en-US" w:eastAsia="zh-CN"/>
              </w:rPr>
              <w:t>（师）证书的</w:t>
            </w:r>
            <w:r>
              <w:rPr>
                <w:rFonts w:hint="eastAsia" w:ascii="仿宋" w:hAnsi="仿宋" w:eastAsia="仿宋" w:cs="仿宋"/>
                <w:color w:val="auto"/>
                <w:sz w:val="24"/>
              </w:rPr>
              <w:t>，得1分;</w:t>
            </w:r>
          </w:p>
          <w:p w14:paraId="655D1B9F">
            <w:pPr>
              <w:pStyle w:val="2"/>
              <w:keepNext w:val="0"/>
              <w:keepLines w:val="0"/>
              <w:pageBreakBefore w:val="0"/>
              <w:widowControl w:val="0"/>
              <w:kinsoku/>
              <w:wordWrap/>
              <w:overflowPunct/>
              <w:autoSpaceDE/>
              <w:autoSpaceDN/>
              <w:bidi w:val="0"/>
              <w:adjustRightInd/>
              <w:snapToGrid/>
              <w:spacing w:before="0" w:after="0" w:line="400" w:lineRule="exact"/>
              <w:textAlignment w:val="auto"/>
              <w:rPr>
                <w:rFonts w:ascii="仿宋" w:hAnsi="仿宋" w:eastAsia="仿宋" w:cs="仿宋"/>
                <w:color w:val="auto"/>
                <w:sz w:val="24"/>
                <w:szCs w:val="24"/>
              </w:rPr>
            </w:pPr>
            <w:r>
              <w:rPr>
                <w:rFonts w:hint="eastAsia" w:ascii="仿宋" w:hAnsi="仿宋" w:eastAsia="仿宋" w:cs="仿宋"/>
                <w:b/>
                <w:color w:val="auto"/>
                <w:sz w:val="24"/>
              </w:rPr>
              <w:t>注：</w:t>
            </w:r>
            <w:r>
              <w:rPr>
                <w:rFonts w:hint="eastAsia" w:ascii="仿宋_GB2312" w:hAnsi="宋体" w:eastAsia="仿宋_GB2312" w:cs="宋体"/>
                <w:color w:val="auto"/>
                <w:sz w:val="24"/>
                <w:szCs w:val="24"/>
                <w:highlight w:val="none"/>
                <w:lang w:val="en-US" w:eastAsia="zh-CN"/>
              </w:rPr>
              <w:t>须提供上述证书或职业技能鉴定中心出具的关于上述证书的证明材料及</w:t>
            </w:r>
            <w:r>
              <w:rPr>
                <w:rFonts w:hint="eastAsia" w:ascii="仿宋" w:hAnsi="仿宋" w:eastAsia="仿宋" w:cs="仿宋"/>
                <w:b/>
                <w:color w:val="auto"/>
                <w:sz w:val="24"/>
              </w:rPr>
              <w:t>上述人员在本单位的社保证明</w:t>
            </w:r>
            <w:r>
              <w:rPr>
                <w:rFonts w:hint="eastAsia" w:ascii="仿宋_GB2312" w:hAnsi="宋体" w:eastAsia="仿宋_GB2312" w:cs="宋体"/>
                <w:color w:val="auto"/>
                <w:sz w:val="24"/>
                <w:szCs w:val="24"/>
                <w:highlight w:val="none"/>
                <w:lang w:val="en-US" w:eastAsia="zh-CN"/>
              </w:rPr>
              <w:t>（</w:t>
            </w:r>
            <w:r>
              <w:rPr>
                <w:rFonts w:hint="eastAsia" w:ascii="仿宋_GB2312" w:hAnsi="宋体" w:eastAsia="仿宋_GB2312" w:cs="宋体"/>
                <w:b/>
                <w:color w:val="auto"/>
                <w:sz w:val="24"/>
                <w:szCs w:val="24"/>
                <w:highlight w:val="none"/>
                <w:lang w:val="en-US" w:eastAsia="zh-CN"/>
              </w:rPr>
              <w:t>2025年4月、5月、6月、7月中的</w:t>
            </w:r>
            <w:r>
              <w:rPr>
                <w:rFonts w:hint="eastAsia" w:ascii="仿宋_GB2312" w:hAnsi="宋体" w:eastAsia="仿宋_GB2312" w:cs="宋体"/>
                <w:color w:val="auto"/>
                <w:sz w:val="24"/>
                <w:szCs w:val="24"/>
                <w:highlight w:val="none"/>
                <w:lang w:val="en-US" w:eastAsia="zh-CN"/>
              </w:rPr>
              <w:t>任意一个月），否则不得分。</w:t>
            </w:r>
          </w:p>
        </w:tc>
        <w:tc>
          <w:tcPr>
            <w:tcW w:w="761" w:type="dxa"/>
            <w:tcBorders>
              <w:top w:val="single" w:color="auto" w:sz="4" w:space="0"/>
              <w:left w:val="single" w:color="auto" w:sz="4" w:space="0"/>
              <w:right w:val="single" w:color="auto" w:sz="4" w:space="0"/>
            </w:tcBorders>
            <w:vAlign w:val="center"/>
          </w:tcPr>
          <w:p w14:paraId="1E97EAD9">
            <w:pPr>
              <w:keepNext w:val="0"/>
              <w:keepLines w:val="0"/>
              <w:pageBreakBefore w:val="0"/>
              <w:widowControl w:val="0"/>
              <w:kinsoku/>
              <w:wordWrap/>
              <w:overflowPunct/>
              <w:topLinePunct/>
              <w:autoSpaceDE/>
              <w:autoSpaceDN/>
              <w:bidi w:val="0"/>
              <w:adjustRightInd/>
              <w:snapToGrid/>
              <w:spacing w:line="400" w:lineRule="exact"/>
              <w:contextualSpacing/>
              <w:jc w:val="center"/>
              <w:textAlignment w:val="auto"/>
              <w:rPr>
                <w:rFonts w:ascii="仿宋" w:hAnsi="仿宋" w:eastAsia="仿宋" w:cs="仿宋"/>
                <w:color w:val="auto"/>
                <w:sz w:val="24"/>
              </w:rPr>
            </w:pPr>
            <w:r>
              <w:rPr>
                <w:rFonts w:hint="eastAsia" w:ascii="仿宋" w:hAnsi="仿宋" w:eastAsia="仿宋" w:cs="仿宋"/>
                <w:color w:val="auto"/>
                <w:sz w:val="24"/>
              </w:rPr>
              <w:t>5</w:t>
            </w:r>
          </w:p>
        </w:tc>
        <w:tc>
          <w:tcPr>
            <w:tcW w:w="997" w:type="dxa"/>
            <w:tcBorders>
              <w:top w:val="single" w:color="auto" w:sz="4" w:space="0"/>
              <w:left w:val="single" w:color="auto" w:sz="4" w:space="0"/>
              <w:right w:val="single" w:color="auto" w:sz="4" w:space="0"/>
            </w:tcBorders>
          </w:tcPr>
          <w:p w14:paraId="38DA1865">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4266D207">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1DD89F09">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1AD3F731">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4BAF9811">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694D53BB">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04735982">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7A65147B">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0CA682F0">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5FE37DDB">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lang w:eastAsia="zh-CN"/>
              </w:rPr>
              <w:t>客观分</w:t>
            </w:r>
          </w:p>
        </w:tc>
        <w:tc>
          <w:tcPr>
            <w:tcW w:w="1552" w:type="dxa"/>
            <w:tcBorders>
              <w:top w:val="single" w:color="auto" w:sz="4" w:space="0"/>
              <w:left w:val="single" w:color="auto" w:sz="4" w:space="0"/>
              <w:right w:val="single" w:color="auto" w:sz="4" w:space="0"/>
            </w:tcBorders>
          </w:tcPr>
          <w:p w14:paraId="4476C603">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r>
      <w:tr w14:paraId="1F50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96" w:type="dxa"/>
            <w:vMerge w:val="continue"/>
            <w:tcBorders>
              <w:left w:val="single" w:color="auto" w:sz="4" w:space="0"/>
              <w:right w:val="single" w:color="auto" w:sz="4" w:space="0"/>
            </w:tcBorders>
            <w:vAlign w:val="center"/>
          </w:tcPr>
          <w:p w14:paraId="089C7756">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c>
          <w:tcPr>
            <w:tcW w:w="546" w:type="dxa"/>
            <w:tcBorders>
              <w:top w:val="single" w:color="auto" w:sz="4" w:space="0"/>
              <w:left w:val="single" w:color="auto" w:sz="4" w:space="0"/>
              <w:bottom w:val="single" w:color="auto" w:sz="4" w:space="0"/>
              <w:right w:val="single" w:color="auto" w:sz="4" w:space="0"/>
            </w:tcBorders>
            <w:vAlign w:val="center"/>
          </w:tcPr>
          <w:p w14:paraId="75908FC7">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rPr>
              <w:t>4</w:t>
            </w:r>
          </w:p>
        </w:tc>
        <w:tc>
          <w:tcPr>
            <w:tcW w:w="4967" w:type="dxa"/>
            <w:tcBorders>
              <w:top w:val="single" w:color="auto" w:sz="4" w:space="0"/>
              <w:left w:val="single" w:color="auto" w:sz="4" w:space="0"/>
              <w:bottom w:val="single" w:color="auto" w:sz="4" w:space="0"/>
              <w:right w:val="single" w:color="auto" w:sz="4" w:space="0"/>
            </w:tcBorders>
            <w:vAlign w:val="center"/>
          </w:tcPr>
          <w:p w14:paraId="6BB67176">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rPr>
              <w:t>投标人拟派的其他物业服务人员</w:t>
            </w:r>
            <w:r>
              <w:rPr>
                <w:rFonts w:hint="eastAsia" w:ascii="仿宋" w:hAnsi="仿宋" w:eastAsia="仿宋" w:cs="仿宋"/>
                <w:color w:val="auto"/>
                <w:sz w:val="24"/>
                <w:lang w:val="en-US" w:eastAsia="zh-CN"/>
              </w:rPr>
              <w:t>(不含工程主管、项目经理）</w:t>
            </w:r>
            <w:r>
              <w:rPr>
                <w:rFonts w:hint="eastAsia" w:ascii="仿宋" w:hAnsi="仿宋" w:eastAsia="仿宋" w:cs="仿宋"/>
                <w:color w:val="auto"/>
                <w:sz w:val="24"/>
              </w:rPr>
              <w:t>综合素质情况打分</w:t>
            </w:r>
            <w:r>
              <w:rPr>
                <w:rFonts w:hint="eastAsia" w:ascii="仿宋" w:hAnsi="仿宋" w:eastAsia="仿宋" w:cs="仿宋"/>
                <w:color w:val="auto"/>
                <w:sz w:val="24"/>
                <w:lang w:eastAsia="zh-CN"/>
              </w:rPr>
              <w:t>。</w:t>
            </w:r>
          </w:p>
          <w:p w14:paraId="6588711D">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1、具有</w:t>
            </w:r>
            <w:r>
              <w:rPr>
                <w:rFonts w:hint="eastAsia" w:ascii="仿宋" w:hAnsi="仿宋" w:eastAsia="仿宋" w:cs="仿宋"/>
                <w:color w:val="auto"/>
                <w:sz w:val="24"/>
                <w:highlight w:val="none"/>
                <w:lang w:eastAsia="zh-CN"/>
              </w:rPr>
              <w:t>有效期内的</w:t>
            </w:r>
            <w:r>
              <w:rPr>
                <w:rFonts w:hint="eastAsia" w:ascii="仿宋" w:hAnsi="仿宋" w:eastAsia="仿宋" w:cs="仿宋"/>
                <w:color w:val="auto"/>
                <w:sz w:val="24"/>
                <w:szCs w:val="24"/>
                <w:highlight w:val="none"/>
              </w:rPr>
              <w:t>安全生产管理人员证书的，</w:t>
            </w:r>
            <w:r>
              <w:rPr>
                <w:rFonts w:hint="eastAsia" w:ascii="仿宋" w:hAnsi="仿宋" w:eastAsia="仿宋" w:cs="仿宋"/>
                <w:color w:val="auto"/>
                <w:sz w:val="24"/>
                <w:highlight w:val="none"/>
              </w:rPr>
              <w:t>每提供1本得</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分，最多得</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分。</w:t>
            </w:r>
          </w:p>
          <w:p w14:paraId="44D0325A">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2、具有</w:t>
            </w:r>
            <w:r>
              <w:rPr>
                <w:rFonts w:hint="eastAsia" w:ascii="仿宋" w:hAnsi="仿宋" w:eastAsia="仿宋" w:cs="仿宋"/>
                <w:color w:val="auto"/>
                <w:sz w:val="24"/>
                <w:highlight w:val="none"/>
                <w:lang w:eastAsia="zh-CN"/>
              </w:rPr>
              <w:t>有效期内的</w:t>
            </w:r>
            <w:r>
              <w:rPr>
                <w:rFonts w:hint="eastAsia" w:ascii="仿宋" w:hAnsi="仿宋" w:eastAsia="仿宋" w:cs="仿宋"/>
                <w:color w:val="auto"/>
                <w:sz w:val="24"/>
                <w:highlight w:val="none"/>
              </w:rPr>
              <w:t>高压电工作业证的，每提供1本得1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分，最多得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14:paraId="05F14CF4">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3、具有</w:t>
            </w:r>
            <w:r>
              <w:rPr>
                <w:rFonts w:hint="eastAsia" w:ascii="仿宋" w:hAnsi="仿宋" w:eastAsia="仿宋" w:cs="仿宋"/>
                <w:color w:val="auto"/>
                <w:sz w:val="24"/>
                <w:highlight w:val="none"/>
                <w:lang w:eastAsia="zh-CN"/>
              </w:rPr>
              <w:t>有效期内的</w:t>
            </w:r>
            <w:r>
              <w:rPr>
                <w:rFonts w:hint="eastAsia" w:ascii="仿宋" w:hAnsi="仿宋" w:eastAsia="仿宋" w:cs="仿宋"/>
                <w:color w:val="auto"/>
                <w:sz w:val="24"/>
                <w:highlight w:val="none"/>
              </w:rPr>
              <w:t>低压电工作业证的，每提供1本得1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分，最多得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14:paraId="3F6F55BE">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4、具有</w:t>
            </w:r>
            <w:r>
              <w:rPr>
                <w:rFonts w:hint="eastAsia" w:ascii="仿宋" w:hAnsi="仿宋" w:eastAsia="仿宋" w:cs="仿宋"/>
                <w:color w:val="auto"/>
                <w:sz w:val="24"/>
                <w:highlight w:val="none"/>
                <w:lang w:eastAsia="zh-CN"/>
              </w:rPr>
              <w:t>有效期内的</w:t>
            </w:r>
            <w:r>
              <w:rPr>
                <w:rFonts w:hint="eastAsia" w:ascii="仿宋" w:hAnsi="仿宋" w:eastAsia="仿宋" w:cs="仿宋"/>
                <w:color w:val="auto"/>
                <w:sz w:val="24"/>
                <w:highlight w:val="none"/>
              </w:rPr>
              <w:t>维修电工或电工证书的，每提供1本得1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分，最多得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14:paraId="3DBD02D0">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highlight w:val="none"/>
              </w:rPr>
            </w:pPr>
            <w:r>
              <w:rPr>
                <w:rFonts w:hint="eastAsia" w:ascii="仿宋" w:hAnsi="仿宋" w:eastAsia="仿宋" w:cs="仿宋"/>
                <w:color w:val="auto"/>
                <w:sz w:val="24"/>
              </w:rPr>
              <w:t>5、具有</w:t>
            </w:r>
            <w:r>
              <w:rPr>
                <w:rFonts w:hint="eastAsia" w:ascii="仿宋" w:hAnsi="仿宋" w:eastAsia="仿宋" w:cs="仿宋"/>
                <w:color w:val="auto"/>
                <w:sz w:val="24"/>
                <w:lang w:eastAsia="zh-CN"/>
              </w:rPr>
              <w:t>有效期内的</w:t>
            </w:r>
            <w:r>
              <w:rPr>
                <w:rFonts w:hint="eastAsia" w:ascii="仿宋" w:hAnsi="仿宋" w:eastAsia="仿宋" w:cs="仿宋"/>
                <w:color w:val="auto"/>
                <w:sz w:val="24"/>
              </w:rPr>
              <w:t>特种设备安全管理和作业人员证的证书的，每提供1本得</w:t>
            </w:r>
            <w:r>
              <w:rPr>
                <w:rFonts w:hint="eastAsia" w:ascii="仿宋" w:hAnsi="仿宋" w:eastAsia="仿宋" w:cs="仿宋"/>
                <w:color w:val="auto"/>
                <w:sz w:val="24"/>
                <w:highlight w:val="none"/>
              </w:rPr>
              <w:t>1分，最多得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14:paraId="729346E0">
            <w:pPr>
              <w:pStyle w:val="2"/>
              <w:keepNext w:val="0"/>
              <w:keepLines w:val="0"/>
              <w:pageBreakBefore w:val="0"/>
              <w:widowControl w:val="0"/>
              <w:kinsoku/>
              <w:wordWrap/>
              <w:overflowPunct/>
              <w:autoSpaceDE/>
              <w:autoSpaceDN/>
              <w:bidi w:val="0"/>
              <w:adjustRightInd/>
              <w:snapToGrid/>
              <w:spacing w:before="0" w:after="0" w:line="4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color w:val="auto"/>
                <w:sz w:val="24"/>
                <w:szCs w:val="24"/>
              </w:rPr>
              <w:t>注：</w:t>
            </w:r>
            <w:r>
              <w:rPr>
                <w:rFonts w:hint="eastAsia" w:ascii="仿宋_GB2312" w:hAnsi="仿宋_GB2312" w:eastAsia="仿宋_GB2312" w:cs="仿宋_GB2312"/>
                <w:b/>
                <w:color w:val="auto"/>
                <w:sz w:val="24"/>
                <w:szCs w:val="24"/>
                <w:lang w:val="en-US" w:eastAsia="zh-CN"/>
              </w:rPr>
              <w:t>1、</w:t>
            </w:r>
            <w:r>
              <w:rPr>
                <w:rFonts w:hint="eastAsia" w:ascii="仿宋_GB2312" w:hAnsi="仿宋_GB2312" w:eastAsia="仿宋_GB2312" w:cs="仿宋_GB2312"/>
                <w:color w:val="auto"/>
                <w:sz w:val="24"/>
                <w:szCs w:val="24"/>
                <w:highlight w:val="none"/>
                <w:lang w:val="en-US" w:eastAsia="zh-CN"/>
              </w:rPr>
              <w:t>须提供上述证书或职业技能鉴定中心出具的关于上述证书的证明材料及</w:t>
            </w:r>
            <w:r>
              <w:rPr>
                <w:rFonts w:hint="eastAsia" w:ascii="仿宋_GB2312" w:hAnsi="仿宋_GB2312" w:eastAsia="仿宋_GB2312" w:cs="仿宋_GB2312"/>
                <w:b/>
                <w:color w:val="auto"/>
                <w:sz w:val="24"/>
                <w:szCs w:val="24"/>
              </w:rPr>
              <w:t>上述人员在本单位的社保证明</w:t>
            </w:r>
            <w:r>
              <w:rPr>
                <w:rFonts w:hint="eastAsia" w:ascii="仿宋_GB2312" w:hAnsi="仿宋_GB2312" w:eastAsia="仿宋_GB2312" w:cs="仿宋_GB2312"/>
                <w:color w:val="auto"/>
                <w:sz w:val="24"/>
                <w:szCs w:val="24"/>
                <w:highlight w:val="none"/>
                <w:lang w:val="en-US" w:eastAsia="zh-CN"/>
              </w:rPr>
              <w:t>（</w:t>
            </w:r>
            <w:r>
              <w:rPr>
                <w:rFonts w:hint="eastAsia" w:ascii="仿宋_GB2312" w:hAnsi="宋体" w:eastAsia="仿宋_GB2312" w:cs="宋体"/>
                <w:b/>
                <w:color w:val="auto"/>
                <w:sz w:val="24"/>
                <w:szCs w:val="24"/>
                <w:highlight w:val="none"/>
                <w:lang w:val="en-US" w:eastAsia="zh-CN"/>
              </w:rPr>
              <w:t>2025年4月、5月、6月、7月中的</w:t>
            </w:r>
            <w:r>
              <w:rPr>
                <w:rFonts w:hint="eastAsia" w:ascii="仿宋_GB2312" w:hAnsi="宋体" w:eastAsia="仿宋_GB2312" w:cs="宋体"/>
                <w:color w:val="auto"/>
                <w:sz w:val="24"/>
                <w:szCs w:val="24"/>
                <w:highlight w:val="none"/>
                <w:lang w:val="en-US" w:eastAsia="zh-CN"/>
              </w:rPr>
              <w:t>任意一个月</w:t>
            </w:r>
            <w:r>
              <w:rPr>
                <w:rFonts w:hint="eastAsia" w:ascii="仿宋_GB2312" w:hAnsi="仿宋_GB2312" w:eastAsia="仿宋_GB2312" w:cs="仿宋_GB2312"/>
                <w:color w:val="auto"/>
                <w:sz w:val="24"/>
                <w:szCs w:val="24"/>
                <w:highlight w:val="none"/>
                <w:lang w:val="en-US" w:eastAsia="zh-CN"/>
              </w:rPr>
              <w:t>），否则不得分。</w:t>
            </w:r>
          </w:p>
          <w:p w14:paraId="012BCB47">
            <w:pPr>
              <w:rPr>
                <w:rFonts w:hint="eastAsia" w:eastAsiaTheme="minorEastAsia"/>
                <w:lang w:val="en-US" w:eastAsia="zh-CN"/>
              </w:rPr>
            </w:pPr>
            <w:r>
              <w:rPr>
                <w:rFonts w:hint="eastAsia" w:ascii="仿宋_GB2312" w:hAnsi="仿宋_GB2312" w:eastAsia="仿宋_GB2312" w:cs="仿宋_GB2312"/>
                <w:b/>
                <w:bCs/>
                <w:color w:val="auto"/>
                <w:sz w:val="24"/>
                <w:szCs w:val="24"/>
                <w:lang w:val="en-US" w:eastAsia="zh-CN"/>
              </w:rPr>
              <w:t>2、一人多证，只计分一次，就高计取。</w:t>
            </w:r>
          </w:p>
        </w:tc>
        <w:tc>
          <w:tcPr>
            <w:tcW w:w="761" w:type="dxa"/>
            <w:tcBorders>
              <w:top w:val="single" w:color="auto" w:sz="4" w:space="0"/>
              <w:left w:val="single" w:color="auto" w:sz="4" w:space="0"/>
              <w:bottom w:val="single" w:color="auto" w:sz="4" w:space="0"/>
              <w:right w:val="single" w:color="auto" w:sz="4" w:space="0"/>
            </w:tcBorders>
            <w:vAlign w:val="center"/>
          </w:tcPr>
          <w:p w14:paraId="079762F3">
            <w:pPr>
              <w:keepNext w:val="0"/>
              <w:keepLines w:val="0"/>
              <w:pageBreakBefore w:val="0"/>
              <w:widowControl w:val="0"/>
              <w:kinsoku/>
              <w:wordWrap/>
              <w:overflowPunct/>
              <w:topLinePunct/>
              <w:autoSpaceDE/>
              <w:autoSpaceDN/>
              <w:bidi w:val="0"/>
              <w:adjustRightInd/>
              <w:snapToGrid/>
              <w:spacing w:line="400" w:lineRule="exact"/>
              <w:contextualSpacing/>
              <w:jc w:val="center"/>
              <w:textAlignment w:val="auto"/>
              <w:rPr>
                <w:rFonts w:hint="default" w:ascii="仿宋" w:hAnsi="仿宋" w:eastAsia="仿宋" w:cs="仿宋"/>
                <w:color w:val="auto"/>
                <w:sz w:val="24"/>
                <w:lang w:val="en-US" w:eastAsia="zh-CN"/>
              </w:rPr>
            </w:pPr>
            <w:r>
              <w:rPr>
                <w:rFonts w:hint="eastAsia" w:ascii="仿宋" w:hAnsi="仿宋" w:eastAsia="仿宋" w:cs="仿宋"/>
                <w:b w:val="0"/>
                <w:bCs w:val="0"/>
                <w:color w:val="auto"/>
                <w:sz w:val="24"/>
              </w:rPr>
              <w:t>15</w:t>
            </w:r>
            <w:r>
              <w:rPr>
                <w:rFonts w:hint="eastAsia" w:ascii="仿宋" w:hAnsi="仿宋" w:eastAsia="仿宋" w:cs="仿宋"/>
                <w:b w:val="0"/>
                <w:bCs w:val="0"/>
                <w:color w:val="auto"/>
                <w:sz w:val="24"/>
                <w:lang w:val="en-US" w:eastAsia="zh-CN"/>
              </w:rPr>
              <w:t>.5</w:t>
            </w:r>
          </w:p>
        </w:tc>
        <w:tc>
          <w:tcPr>
            <w:tcW w:w="997" w:type="dxa"/>
            <w:tcBorders>
              <w:top w:val="single" w:color="auto" w:sz="4" w:space="0"/>
              <w:left w:val="single" w:color="auto" w:sz="4" w:space="0"/>
              <w:bottom w:val="single" w:color="auto" w:sz="4" w:space="0"/>
              <w:right w:val="single" w:color="auto" w:sz="4" w:space="0"/>
            </w:tcBorders>
          </w:tcPr>
          <w:p w14:paraId="26035D7C">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167126D1">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299D79DA">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25AF050C">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64238000">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508091DB">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0AED122F">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06AF96F7">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lang w:eastAsia="zh-CN"/>
              </w:rPr>
              <w:t>客观分</w:t>
            </w:r>
          </w:p>
        </w:tc>
        <w:tc>
          <w:tcPr>
            <w:tcW w:w="1552" w:type="dxa"/>
            <w:tcBorders>
              <w:top w:val="single" w:color="auto" w:sz="4" w:space="0"/>
              <w:left w:val="single" w:color="auto" w:sz="4" w:space="0"/>
              <w:bottom w:val="single" w:color="auto" w:sz="4" w:space="0"/>
              <w:right w:val="single" w:color="auto" w:sz="4" w:space="0"/>
            </w:tcBorders>
          </w:tcPr>
          <w:p w14:paraId="0F13C121">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r>
      <w:tr w14:paraId="4AD1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696" w:type="dxa"/>
            <w:vMerge w:val="restart"/>
            <w:tcBorders>
              <w:top w:val="single" w:color="auto" w:sz="4" w:space="0"/>
              <w:left w:val="single" w:color="auto" w:sz="4" w:space="0"/>
              <w:right w:val="single" w:color="auto" w:sz="4" w:space="0"/>
            </w:tcBorders>
            <w:vAlign w:val="center"/>
          </w:tcPr>
          <w:p w14:paraId="6C62D26A">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rPr>
              <w:t>技术</w:t>
            </w:r>
          </w:p>
          <w:p w14:paraId="3C21161A">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rPr>
              <w:t>部分</w:t>
            </w:r>
          </w:p>
          <w:p w14:paraId="4B343A8B">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bCs/>
                <w:color w:val="auto"/>
                <w:sz w:val="24"/>
              </w:rPr>
              <w:t>59</w:t>
            </w:r>
            <w:r>
              <w:rPr>
                <w:rFonts w:hint="eastAsia" w:ascii="仿宋" w:hAnsi="仿宋" w:eastAsia="仿宋" w:cs="仿宋"/>
                <w:color w:val="auto"/>
                <w:sz w:val="24"/>
              </w:rPr>
              <w:t>分）</w:t>
            </w:r>
          </w:p>
        </w:tc>
        <w:tc>
          <w:tcPr>
            <w:tcW w:w="546" w:type="dxa"/>
            <w:tcBorders>
              <w:top w:val="single" w:color="auto" w:sz="4" w:space="0"/>
              <w:left w:val="single" w:color="auto" w:sz="4" w:space="0"/>
              <w:bottom w:val="single" w:color="auto" w:sz="4" w:space="0"/>
              <w:right w:val="single" w:color="auto" w:sz="4" w:space="0"/>
            </w:tcBorders>
            <w:vAlign w:val="center"/>
          </w:tcPr>
          <w:p w14:paraId="235B3E92">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rPr>
              <w:t>5</w:t>
            </w:r>
          </w:p>
        </w:tc>
        <w:tc>
          <w:tcPr>
            <w:tcW w:w="4967" w:type="dxa"/>
            <w:tcBorders>
              <w:top w:val="single" w:color="auto" w:sz="4" w:space="0"/>
              <w:left w:val="single" w:color="auto" w:sz="4" w:space="0"/>
              <w:bottom w:val="single" w:color="auto" w:sz="4" w:space="0"/>
              <w:right w:val="single" w:color="auto" w:sz="4" w:space="0"/>
            </w:tcBorders>
            <w:vAlign w:val="center"/>
          </w:tcPr>
          <w:p w14:paraId="5890CC85">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rPr>
            </w:pPr>
            <w:r>
              <w:rPr>
                <w:rFonts w:hint="eastAsia" w:ascii="仿宋" w:hAnsi="仿宋" w:eastAsia="仿宋" w:cs="仿宋"/>
                <w:color w:val="auto"/>
                <w:sz w:val="24"/>
              </w:rPr>
              <w:t>根据投标人提供的</w:t>
            </w:r>
            <w:r>
              <w:rPr>
                <w:rFonts w:hint="eastAsia" w:ascii="仿宋" w:hAnsi="仿宋" w:eastAsia="仿宋" w:cs="仿宋"/>
                <w:color w:val="auto"/>
                <w:sz w:val="24"/>
                <w:szCs w:val="24"/>
              </w:rPr>
              <w:t>整体管理方案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包括服务理念</w:t>
            </w:r>
            <w:r>
              <w:rPr>
                <w:rFonts w:hint="eastAsia" w:ascii="仿宋" w:hAnsi="仿宋" w:eastAsia="仿宋" w:cs="仿宋"/>
                <w:color w:val="auto"/>
                <w:sz w:val="24"/>
                <w:szCs w:val="24"/>
                <w:lang w:eastAsia="zh-CN"/>
              </w:rPr>
              <w:t>和</w:t>
            </w:r>
            <w:r>
              <w:rPr>
                <w:rFonts w:hint="eastAsia" w:ascii="仿宋" w:hAnsi="仿宋" w:eastAsia="仿宋" w:cs="仿宋"/>
                <w:color w:val="auto"/>
                <w:sz w:val="24"/>
                <w:szCs w:val="24"/>
              </w:rPr>
              <w:t>定位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管理服务组织机构设置（附组织机构图）、运作流程（运作流程图）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管理机制</w:t>
            </w:r>
            <w:r>
              <w:rPr>
                <w:rFonts w:hint="eastAsia" w:ascii="仿宋" w:hAnsi="仿宋" w:eastAsia="仿宋" w:cs="仿宋"/>
                <w:color w:val="auto"/>
                <w:sz w:val="24"/>
                <w:szCs w:val="24"/>
                <w:lang w:eastAsia="zh-CN"/>
              </w:rPr>
              <w:t>情况打分，最多得</w:t>
            </w:r>
            <w:r>
              <w:rPr>
                <w:rFonts w:hint="eastAsia" w:ascii="仿宋" w:hAnsi="仿宋" w:eastAsia="仿宋" w:cs="仿宋"/>
                <w:color w:val="auto"/>
                <w:sz w:val="24"/>
                <w:szCs w:val="24"/>
                <w:lang w:val="en-US" w:eastAsia="zh-CN"/>
              </w:rPr>
              <w:t>8分。</w:t>
            </w:r>
          </w:p>
          <w:p w14:paraId="6D236FF5">
            <w:pPr>
              <w:keepNext w:val="0"/>
              <w:keepLines w:val="0"/>
              <w:pageBreakBefore w:val="0"/>
              <w:widowControl w:val="0"/>
              <w:kinsoku/>
              <w:wordWrap/>
              <w:overflowPunct/>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以上每点，描述完整详细且与采购人实际需求完全契合的，得2分；</w:t>
            </w:r>
          </w:p>
          <w:p w14:paraId="7BE3C564">
            <w:pPr>
              <w:keepNext w:val="0"/>
              <w:keepLines w:val="0"/>
              <w:pageBreakBefore w:val="0"/>
              <w:widowControl w:val="0"/>
              <w:kinsoku/>
              <w:wordWrap/>
              <w:overflowPunct/>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描述较详细完整或与采购人实际需求部分符合的，得1分；</w:t>
            </w:r>
          </w:p>
          <w:p w14:paraId="0E2943EC">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rPr>
            </w:pPr>
            <w:r>
              <w:rPr>
                <w:rFonts w:hint="eastAsia" w:ascii="仿宋_GB2312" w:hAnsi="仿宋_GB2312" w:eastAsia="仿宋_GB2312" w:cs="仿宋_GB2312"/>
                <w:sz w:val="24"/>
                <w:szCs w:val="24"/>
                <w:highlight w:val="none"/>
              </w:rPr>
              <w:t>未提供或完全不符合采购人需求的，得0分。</w:t>
            </w:r>
          </w:p>
        </w:tc>
        <w:tc>
          <w:tcPr>
            <w:tcW w:w="761" w:type="dxa"/>
            <w:tcBorders>
              <w:top w:val="single" w:color="auto" w:sz="4" w:space="0"/>
              <w:left w:val="single" w:color="auto" w:sz="4" w:space="0"/>
              <w:bottom w:val="single" w:color="auto" w:sz="4" w:space="0"/>
              <w:right w:val="single" w:color="auto" w:sz="4" w:space="0"/>
            </w:tcBorders>
            <w:vAlign w:val="center"/>
          </w:tcPr>
          <w:p w14:paraId="634065C8">
            <w:pPr>
              <w:keepNext w:val="0"/>
              <w:keepLines w:val="0"/>
              <w:pageBreakBefore w:val="0"/>
              <w:widowControl w:val="0"/>
              <w:kinsoku/>
              <w:wordWrap/>
              <w:overflowPunct/>
              <w:topLinePunct/>
              <w:autoSpaceDE/>
              <w:autoSpaceDN/>
              <w:bidi w:val="0"/>
              <w:adjustRightInd/>
              <w:snapToGrid/>
              <w:spacing w:line="400" w:lineRule="exact"/>
              <w:contextualSpacing/>
              <w:jc w:val="center"/>
              <w:textAlignment w:val="auto"/>
              <w:rPr>
                <w:rFonts w:ascii="仿宋" w:hAnsi="仿宋" w:eastAsia="仿宋" w:cs="仿宋"/>
                <w:color w:val="auto"/>
                <w:sz w:val="24"/>
              </w:rPr>
            </w:pPr>
            <w:r>
              <w:rPr>
                <w:rFonts w:hint="eastAsia" w:ascii="仿宋" w:hAnsi="仿宋" w:eastAsia="仿宋" w:cs="仿宋"/>
                <w:color w:val="auto"/>
                <w:sz w:val="24"/>
              </w:rPr>
              <w:t>8</w:t>
            </w:r>
          </w:p>
        </w:tc>
        <w:tc>
          <w:tcPr>
            <w:tcW w:w="997" w:type="dxa"/>
            <w:tcBorders>
              <w:top w:val="single" w:color="auto" w:sz="4" w:space="0"/>
              <w:left w:val="single" w:color="auto" w:sz="4" w:space="0"/>
              <w:bottom w:val="single" w:color="auto" w:sz="4" w:space="0"/>
              <w:right w:val="single" w:color="auto" w:sz="4" w:space="0"/>
            </w:tcBorders>
          </w:tcPr>
          <w:p w14:paraId="6E3A7ED2">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1C28238C">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13D04696">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125691A8">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126022B1">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主观分</w:t>
            </w:r>
          </w:p>
        </w:tc>
        <w:tc>
          <w:tcPr>
            <w:tcW w:w="1552" w:type="dxa"/>
            <w:tcBorders>
              <w:top w:val="single" w:color="auto" w:sz="4" w:space="0"/>
              <w:left w:val="single" w:color="auto" w:sz="4" w:space="0"/>
              <w:bottom w:val="single" w:color="auto" w:sz="4" w:space="0"/>
              <w:right w:val="single" w:color="auto" w:sz="4" w:space="0"/>
            </w:tcBorders>
          </w:tcPr>
          <w:p w14:paraId="5F97C19F">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r>
      <w:tr w14:paraId="6EEE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696" w:type="dxa"/>
            <w:vMerge w:val="continue"/>
            <w:tcBorders>
              <w:top w:val="nil"/>
              <w:left w:val="single" w:color="auto" w:sz="4" w:space="0"/>
              <w:right w:val="single" w:color="auto" w:sz="4" w:space="0"/>
            </w:tcBorders>
            <w:vAlign w:val="center"/>
          </w:tcPr>
          <w:p w14:paraId="489DC819">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c>
          <w:tcPr>
            <w:tcW w:w="546" w:type="dxa"/>
            <w:tcBorders>
              <w:top w:val="single" w:color="auto" w:sz="4" w:space="0"/>
              <w:left w:val="single" w:color="auto" w:sz="4" w:space="0"/>
              <w:bottom w:val="single" w:color="auto" w:sz="4" w:space="0"/>
              <w:right w:val="single" w:color="auto" w:sz="4" w:space="0"/>
            </w:tcBorders>
            <w:vAlign w:val="center"/>
          </w:tcPr>
          <w:p w14:paraId="21986683">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rPr>
              <w:t>6</w:t>
            </w:r>
          </w:p>
        </w:tc>
        <w:tc>
          <w:tcPr>
            <w:tcW w:w="4967" w:type="dxa"/>
            <w:tcBorders>
              <w:top w:val="single" w:color="auto" w:sz="4" w:space="0"/>
              <w:left w:val="single" w:color="auto" w:sz="4" w:space="0"/>
              <w:bottom w:val="single" w:color="auto" w:sz="4" w:space="0"/>
              <w:right w:val="single" w:color="auto" w:sz="4" w:space="0"/>
            </w:tcBorders>
            <w:vAlign w:val="center"/>
          </w:tcPr>
          <w:p w14:paraId="4C953EE1">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rPr>
            </w:pPr>
            <w:r>
              <w:rPr>
                <w:rFonts w:hint="eastAsia" w:ascii="仿宋" w:hAnsi="仿宋" w:eastAsia="仿宋" w:cs="仿宋"/>
                <w:color w:val="auto"/>
                <w:sz w:val="24"/>
              </w:rPr>
              <w:t>根据投标人提供的</w:t>
            </w:r>
            <w:r>
              <w:rPr>
                <w:rFonts w:hint="eastAsia" w:ascii="仿宋" w:hAnsi="仿宋" w:eastAsia="仿宋" w:cs="仿宋"/>
                <w:color w:val="auto"/>
                <w:sz w:val="24"/>
                <w:lang w:eastAsia="zh-CN"/>
              </w:rPr>
              <w:t>保洁服务方案，包括</w:t>
            </w:r>
            <w:r>
              <w:rPr>
                <w:rFonts w:hint="eastAsia" w:ascii="仿宋" w:hAnsi="仿宋" w:eastAsia="仿宋" w:cs="仿宋"/>
                <w:color w:val="auto"/>
                <w:sz w:val="24"/>
              </w:rPr>
              <w:t>保洁服务管理目标、</w:t>
            </w:r>
            <w:r>
              <w:rPr>
                <w:rFonts w:hint="eastAsia" w:ascii="仿宋" w:hAnsi="仿宋" w:eastAsia="仿宋" w:cs="仿宋"/>
                <w:color w:val="auto"/>
                <w:sz w:val="24"/>
                <w:lang w:eastAsia="zh-CN"/>
              </w:rPr>
              <w:t>管理</w:t>
            </w:r>
            <w:r>
              <w:rPr>
                <w:rFonts w:hint="eastAsia" w:ascii="仿宋" w:hAnsi="仿宋" w:eastAsia="仿宋" w:cs="仿宋"/>
                <w:color w:val="auto"/>
                <w:sz w:val="24"/>
              </w:rPr>
              <w:t>制度</w:t>
            </w:r>
            <w:r>
              <w:rPr>
                <w:rFonts w:hint="eastAsia" w:ascii="仿宋" w:hAnsi="仿宋" w:eastAsia="仿宋" w:cs="仿宋"/>
                <w:color w:val="auto"/>
                <w:sz w:val="24"/>
                <w:lang w:eastAsia="zh-CN"/>
              </w:rPr>
              <w:t>、</w:t>
            </w:r>
            <w:r>
              <w:rPr>
                <w:rFonts w:hint="eastAsia" w:ascii="仿宋" w:hAnsi="仿宋" w:eastAsia="仿宋" w:cs="仿宋"/>
                <w:color w:val="auto"/>
                <w:sz w:val="24"/>
              </w:rPr>
              <w:t>服务措施情况</w:t>
            </w:r>
            <w:r>
              <w:rPr>
                <w:rFonts w:hint="eastAsia" w:ascii="仿宋" w:hAnsi="仿宋" w:eastAsia="仿宋" w:cs="仿宋"/>
                <w:color w:val="auto"/>
                <w:sz w:val="24"/>
                <w:lang w:eastAsia="zh-CN"/>
              </w:rPr>
              <w:t>打分，最多得</w:t>
            </w:r>
            <w:r>
              <w:rPr>
                <w:rFonts w:hint="eastAsia" w:ascii="仿宋" w:hAnsi="仿宋" w:eastAsia="仿宋" w:cs="仿宋"/>
                <w:color w:val="auto"/>
                <w:sz w:val="24"/>
                <w:lang w:val="en-US" w:eastAsia="zh-CN"/>
              </w:rPr>
              <w:t>6分。</w:t>
            </w:r>
          </w:p>
          <w:p w14:paraId="04FCE243">
            <w:pPr>
              <w:keepNext w:val="0"/>
              <w:keepLines w:val="0"/>
              <w:pageBreakBefore w:val="0"/>
              <w:widowControl w:val="0"/>
              <w:kinsoku/>
              <w:wordWrap/>
              <w:overflowPunct/>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以上每点，描述完整详细且与采购人实际需求完全契合的，得2分；</w:t>
            </w:r>
          </w:p>
          <w:p w14:paraId="7626BED3">
            <w:pPr>
              <w:keepNext w:val="0"/>
              <w:keepLines w:val="0"/>
              <w:pageBreakBefore w:val="0"/>
              <w:widowControl w:val="0"/>
              <w:kinsoku/>
              <w:wordWrap/>
              <w:overflowPunct/>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描述较详细完整或与采购人实际需求部分符合的，得1分；</w:t>
            </w:r>
          </w:p>
          <w:p w14:paraId="29BDB78B">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rPr>
            </w:pPr>
            <w:r>
              <w:rPr>
                <w:rFonts w:hint="eastAsia" w:ascii="仿宋_GB2312" w:hAnsi="仿宋_GB2312" w:eastAsia="仿宋_GB2312" w:cs="仿宋_GB2312"/>
                <w:sz w:val="24"/>
                <w:szCs w:val="24"/>
                <w:highlight w:val="none"/>
              </w:rPr>
              <w:t>未提供或完全不符合采购人需求的，得0分。</w:t>
            </w:r>
          </w:p>
        </w:tc>
        <w:tc>
          <w:tcPr>
            <w:tcW w:w="761" w:type="dxa"/>
            <w:tcBorders>
              <w:top w:val="single" w:color="auto" w:sz="4" w:space="0"/>
              <w:left w:val="single" w:color="auto" w:sz="4" w:space="0"/>
              <w:bottom w:val="single" w:color="auto" w:sz="4" w:space="0"/>
              <w:right w:val="single" w:color="auto" w:sz="4" w:space="0"/>
            </w:tcBorders>
            <w:vAlign w:val="center"/>
          </w:tcPr>
          <w:p w14:paraId="20DFB009">
            <w:pPr>
              <w:keepNext w:val="0"/>
              <w:keepLines w:val="0"/>
              <w:pageBreakBefore w:val="0"/>
              <w:widowControl w:val="0"/>
              <w:kinsoku/>
              <w:wordWrap/>
              <w:overflowPunct/>
              <w:topLinePunct/>
              <w:autoSpaceDE/>
              <w:autoSpaceDN/>
              <w:bidi w:val="0"/>
              <w:adjustRightInd/>
              <w:snapToGrid/>
              <w:spacing w:line="400" w:lineRule="exact"/>
              <w:contextualSpacing/>
              <w:jc w:val="center"/>
              <w:textAlignment w:val="auto"/>
              <w:rPr>
                <w:rFonts w:ascii="仿宋" w:hAnsi="仿宋" w:eastAsia="仿宋" w:cs="仿宋"/>
                <w:color w:val="auto"/>
                <w:sz w:val="24"/>
              </w:rPr>
            </w:pPr>
            <w:r>
              <w:rPr>
                <w:rFonts w:hint="eastAsia" w:ascii="仿宋" w:hAnsi="仿宋" w:eastAsia="仿宋" w:cs="仿宋"/>
                <w:color w:val="auto"/>
                <w:sz w:val="24"/>
              </w:rPr>
              <w:t>6</w:t>
            </w:r>
          </w:p>
        </w:tc>
        <w:tc>
          <w:tcPr>
            <w:tcW w:w="997" w:type="dxa"/>
            <w:tcBorders>
              <w:top w:val="single" w:color="auto" w:sz="4" w:space="0"/>
              <w:left w:val="single" w:color="auto" w:sz="4" w:space="0"/>
              <w:bottom w:val="single" w:color="auto" w:sz="4" w:space="0"/>
              <w:right w:val="single" w:color="auto" w:sz="4" w:space="0"/>
            </w:tcBorders>
          </w:tcPr>
          <w:p w14:paraId="39BC08B9">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16BE1BD2">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1C854347">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37D2814A">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14167AD0">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lang w:eastAsia="zh-CN"/>
              </w:rPr>
              <w:t>主观分</w:t>
            </w:r>
          </w:p>
        </w:tc>
        <w:tc>
          <w:tcPr>
            <w:tcW w:w="1552" w:type="dxa"/>
            <w:tcBorders>
              <w:top w:val="single" w:color="auto" w:sz="4" w:space="0"/>
              <w:left w:val="single" w:color="auto" w:sz="4" w:space="0"/>
              <w:bottom w:val="single" w:color="auto" w:sz="4" w:space="0"/>
              <w:right w:val="single" w:color="auto" w:sz="4" w:space="0"/>
            </w:tcBorders>
          </w:tcPr>
          <w:p w14:paraId="65E08C9B">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r>
      <w:tr w14:paraId="7688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96" w:type="dxa"/>
            <w:vMerge w:val="continue"/>
            <w:tcBorders>
              <w:top w:val="nil"/>
              <w:left w:val="single" w:color="auto" w:sz="4" w:space="0"/>
              <w:right w:val="single" w:color="auto" w:sz="4" w:space="0"/>
            </w:tcBorders>
            <w:vAlign w:val="center"/>
          </w:tcPr>
          <w:p w14:paraId="5A772F7F">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c>
          <w:tcPr>
            <w:tcW w:w="546" w:type="dxa"/>
            <w:tcBorders>
              <w:top w:val="single" w:color="auto" w:sz="4" w:space="0"/>
              <w:left w:val="single" w:color="auto" w:sz="4" w:space="0"/>
              <w:bottom w:val="single" w:color="auto" w:sz="4" w:space="0"/>
              <w:right w:val="single" w:color="auto" w:sz="4" w:space="0"/>
            </w:tcBorders>
            <w:vAlign w:val="center"/>
          </w:tcPr>
          <w:p w14:paraId="08F9E2A8">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rPr>
              <w:t>7</w:t>
            </w:r>
          </w:p>
        </w:tc>
        <w:tc>
          <w:tcPr>
            <w:tcW w:w="4967" w:type="dxa"/>
            <w:tcBorders>
              <w:top w:val="single" w:color="auto" w:sz="4" w:space="0"/>
              <w:left w:val="single" w:color="auto" w:sz="4" w:space="0"/>
              <w:bottom w:val="single" w:color="auto" w:sz="4" w:space="0"/>
              <w:right w:val="single" w:color="auto" w:sz="4" w:space="0"/>
            </w:tcBorders>
            <w:vAlign w:val="center"/>
          </w:tcPr>
          <w:p w14:paraId="7A3A0D84">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rPr>
            </w:pPr>
            <w:r>
              <w:rPr>
                <w:rFonts w:hint="eastAsia" w:ascii="仿宋" w:hAnsi="仿宋" w:eastAsia="仿宋" w:cs="仿宋"/>
                <w:color w:val="auto"/>
                <w:sz w:val="24"/>
              </w:rPr>
              <w:t>根据投标人提供的</w:t>
            </w:r>
            <w:r>
              <w:rPr>
                <w:rFonts w:hint="eastAsia" w:ascii="仿宋" w:hAnsi="仿宋" w:eastAsia="仿宋" w:cs="仿宋"/>
                <w:color w:val="auto"/>
                <w:sz w:val="24"/>
                <w:lang w:eastAsia="zh-CN"/>
              </w:rPr>
              <w:t>保安服务方案，包括</w:t>
            </w:r>
            <w:r>
              <w:rPr>
                <w:rFonts w:hint="eastAsia" w:ascii="仿宋" w:hAnsi="仿宋" w:eastAsia="仿宋" w:cs="仿宋"/>
                <w:color w:val="auto"/>
                <w:sz w:val="24"/>
              </w:rPr>
              <w:t>保安服务管理目标、</w:t>
            </w:r>
            <w:r>
              <w:rPr>
                <w:rFonts w:hint="eastAsia" w:ascii="仿宋" w:hAnsi="仿宋" w:eastAsia="仿宋" w:cs="仿宋"/>
                <w:color w:val="auto"/>
                <w:sz w:val="24"/>
                <w:lang w:eastAsia="zh-CN"/>
              </w:rPr>
              <w:t>管理</w:t>
            </w:r>
            <w:r>
              <w:rPr>
                <w:rFonts w:hint="eastAsia" w:ascii="仿宋" w:hAnsi="仿宋" w:eastAsia="仿宋" w:cs="仿宋"/>
                <w:color w:val="auto"/>
                <w:sz w:val="24"/>
              </w:rPr>
              <w:t>制度</w:t>
            </w:r>
            <w:r>
              <w:rPr>
                <w:rFonts w:hint="eastAsia" w:ascii="仿宋" w:hAnsi="仿宋" w:eastAsia="仿宋" w:cs="仿宋"/>
                <w:color w:val="auto"/>
                <w:sz w:val="24"/>
                <w:lang w:eastAsia="zh-CN"/>
              </w:rPr>
              <w:t>、</w:t>
            </w:r>
            <w:r>
              <w:rPr>
                <w:rFonts w:hint="eastAsia" w:ascii="仿宋" w:hAnsi="仿宋" w:eastAsia="仿宋" w:cs="仿宋"/>
                <w:color w:val="auto"/>
                <w:sz w:val="24"/>
              </w:rPr>
              <w:t>服务措施情况</w:t>
            </w:r>
            <w:r>
              <w:rPr>
                <w:rFonts w:hint="eastAsia" w:ascii="仿宋" w:hAnsi="仿宋" w:eastAsia="仿宋" w:cs="仿宋"/>
                <w:color w:val="auto"/>
                <w:sz w:val="24"/>
                <w:lang w:eastAsia="zh-CN"/>
              </w:rPr>
              <w:t>打分，最多得</w:t>
            </w:r>
            <w:r>
              <w:rPr>
                <w:rFonts w:hint="eastAsia" w:ascii="仿宋" w:hAnsi="仿宋" w:eastAsia="仿宋" w:cs="仿宋"/>
                <w:color w:val="auto"/>
                <w:sz w:val="24"/>
                <w:lang w:val="en-US" w:eastAsia="zh-CN"/>
              </w:rPr>
              <w:t>6分。</w:t>
            </w:r>
          </w:p>
          <w:p w14:paraId="0B444442">
            <w:pPr>
              <w:keepNext w:val="0"/>
              <w:keepLines w:val="0"/>
              <w:pageBreakBefore w:val="0"/>
              <w:widowControl w:val="0"/>
              <w:kinsoku/>
              <w:wordWrap/>
              <w:overflowPunct/>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以上每点，描述完整详细且与采购人实际需求完全契合的，得2分；</w:t>
            </w:r>
          </w:p>
          <w:p w14:paraId="5557914D">
            <w:pPr>
              <w:keepNext w:val="0"/>
              <w:keepLines w:val="0"/>
              <w:pageBreakBefore w:val="0"/>
              <w:widowControl w:val="0"/>
              <w:kinsoku/>
              <w:wordWrap/>
              <w:overflowPunct/>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描述较详细完整或与采购人实际需求部分符合的，得1分；</w:t>
            </w:r>
          </w:p>
          <w:p w14:paraId="4D5609C5">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rPr>
            </w:pPr>
            <w:r>
              <w:rPr>
                <w:rFonts w:hint="eastAsia" w:ascii="仿宋_GB2312" w:hAnsi="仿宋_GB2312" w:eastAsia="仿宋_GB2312" w:cs="仿宋_GB2312"/>
                <w:sz w:val="24"/>
                <w:szCs w:val="24"/>
                <w:highlight w:val="none"/>
              </w:rPr>
              <w:t>未提供或完全不符合采购人需求的，得0分。</w:t>
            </w:r>
          </w:p>
        </w:tc>
        <w:tc>
          <w:tcPr>
            <w:tcW w:w="761" w:type="dxa"/>
            <w:tcBorders>
              <w:top w:val="single" w:color="auto" w:sz="4" w:space="0"/>
              <w:left w:val="single" w:color="auto" w:sz="4" w:space="0"/>
              <w:bottom w:val="single" w:color="auto" w:sz="4" w:space="0"/>
              <w:right w:val="single" w:color="auto" w:sz="4" w:space="0"/>
            </w:tcBorders>
            <w:vAlign w:val="center"/>
          </w:tcPr>
          <w:p w14:paraId="28A4BA3A">
            <w:pPr>
              <w:keepNext w:val="0"/>
              <w:keepLines w:val="0"/>
              <w:pageBreakBefore w:val="0"/>
              <w:widowControl w:val="0"/>
              <w:kinsoku/>
              <w:wordWrap/>
              <w:overflowPunct/>
              <w:topLinePunct/>
              <w:autoSpaceDE/>
              <w:autoSpaceDN/>
              <w:bidi w:val="0"/>
              <w:adjustRightInd/>
              <w:snapToGrid/>
              <w:spacing w:line="400" w:lineRule="exact"/>
              <w:contextualSpacing/>
              <w:jc w:val="center"/>
              <w:textAlignment w:val="auto"/>
              <w:rPr>
                <w:rFonts w:ascii="仿宋" w:hAnsi="仿宋" w:eastAsia="仿宋" w:cs="仿宋"/>
                <w:color w:val="auto"/>
                <w:sz w:val="24"/>
              </w:rPr>
            </w:pPr>
            <w:r>
              <w:rPr>
                <w:rFonts w:hint="eastAsia" w:ascii="仿宋" w:hAnsi="仿宋" w:eastAsia="仿宋" w:cs="仿宋"/>
                <w:color w:val="auto"/>
                <w:sz w:val="24"/>
              </w:rPr>
              <w:t>6</w:t>
            </w:r>
          </w:p>
        </w:tc>
        <w:tc>
          <w:tcPr>
            <w:tcW w:w="997" w:type="dxa"/>
            <w:tcBorders>
              <w:top w:val="single" w:color="auto" w:sz="4" w:space="0"/>
              <w:left w:val="single" w:color="auto" w:sz="4" w:space="0"/>
              <w:bottom w:val="single" w:color="auto" w:sz="4" w:space="0"/>
              <w:right w:val="single" w:color="auto" w:sz="4" w:space="0"/>
            </w:tcBorders>
          </w:tcPr>
          <w:p w14:paraId="2BB71E73">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6FEDF027">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792C9B36">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7DC69DEE">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51B05908">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lang w:eastAsia="zh-CN"/>
              </w:rPr>
              <w:t>主观分</w:t>
            </w:r>
          </w:p>
        </w:tc>
        <w:tc>
          <w:tcPr>
            <w:tcW w:w="1552" w:type="dxa"/>
            <w:tcBorders>
              <w:top w:val="single" w:color="auto" w:sz="4" w:space="0"/>
              <w:left w:val="single" w:color="auto" w:sz="4" w:space="0"/>
              <w:bottom w:val="single" w:color="auto" w:sz="4" w:space="0"/>
              <w:right w:val="single" w:color="auto" w:sz="4" w:space="0"/>
            </w:tcBorders>
          </w:tcPr>
          <w:p w14:paraId="6E66D575">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r>
      <w:tr w14:paraId="25AE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696" w:type="dxa"/>
            <w:vMerge w:val="continue"/>
            <w:tcBorders>
              <w:top w:val="nil"/>
              <w:left w:val="single" w:color="auto" w:sz="4" w:space="0"/>
              <w:right w:val="single" w:color="auto" w:sz="4" w:space="0"/>
            </w:tcBorders>
            <w:vAlign w:val="center"/>
          </w:tcPr>
          <w:p w14:paraId="01433C36">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c>
          <w:tcPr>
            <w:tcW w:w="546" w:type="dxa"/>
            <w:tcBorders>
              <w:top w:val="single" w:color="auto" w:sz="4" w:space="0"/>
              <w:left w:val="single" w:color="auto" w:sz="4" w:space="0"/>
              <w:bottom w:val="single" w:color="auto" w:sz="4" w:space="0"/>
              <w:right w:val="single" w:color="auto" w:sz="4" w:space="0"/>
            </w:tcBorders>
            <w:vAlign w:val="center"/>
          </w:tcPr>
          <w:p w14:paraId="6226DF70">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rPr>
              <w:t>8</w:t>
            </w:r>
          </w:p>
        </w:tc>
        <w:tc>
          <w:tcPr>
            <w:tcW w:w="4967" w:type="dxa"/>
            <w:tcBorders>
              <w:top w:val="single" w:color="auto" w:sz="4" w:space="0"/>
              <w:left w:val="single" w:color="auto" w:sz="4" w:space="0"/>
              <w:bottom w:val="single" w:color="auto" w:sz="4" w:space="0"/>
              <w:right w:val="single" w:color="auto" w:sz="4" w:space="0"/>
            </w:tcBorders>
            <w:vAlign w:val="center"/>
          </w:tcPr>
          <w:p w14:paraId="1F4B8F1D">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根据投标人提供的</w:t>
            </w:r>
            <w:r>
              <w:rPr>
                <w:rFonts w:hint="eastAsia" w:ascii="仿宋" w:hAnsi="仿宋" w:eastAsia="仿宋" w:cs="仿宋"/>
                <w:color w:val="auto"/>
                <w:sz w:val="24"/>
                <w:szCs w:val="24"/>
                <w:lang w:eastAsia="zh-CN"/>
              </w:rPr>
              <w:t>设备管理方案，包括</w:t>
            </w:r>
            <w:r>
              <w:rPr>
                <w:rFonts w:hint="eastAsia" w:ascii="仿宋" w:hAnsi="仿宋" w:eastAsia="仿宋" w:cs="仿宋"/>
                <w:color w:val="auto"/>
                <w:sz w:val="24"/>
                <w:szCs w:val="24"/>
              </w:rPr>
              <w:t>设备管理目标、设备定期保养维护措施、正常运行巡视保证措施情况打分</w:t>
            </w:r>
            <w:r>
              <w:rPr>
                <w:rFonts w:hint="eastAsia" w:ascii="仿宋" w:hAnsi="仿宋" w:eastAsia="仿宋" w:cs="仿宋"/>
                <w:color w:val="auto"/>
                <w:sz w:val="24"/>
                <w:szCs w:val="24"/>
                <w:lang w:eastAsia="zh-CN"/>
              </w:rPr>
              <w:t>，最多得</w:t>
            </w:r>
            <w:r>
              <w:rPr>
                <w:rFonts w:hint="eastAsia" w:ascii="仿宋" w:hAnsi="仿宋" w:eastAsia="仿宋" w:cs="仿宋"/>
                <w:color w:val="auto"/>
                <w:sz w:val="24"/>
                <w:szCs w:val="24"/>
                <w:lang w:val="en-US" w:eastAsia="zh-CN"/>
              </w:rPr>
              <w:t>6分</w:t>
            </w:r>
            <w:r>
              <w:rPr>
                <w:rFonts w:hint="eastAsia" w:ascii="仿宋" w:hAnsi="仿宋" w:eastAsia="仿宋" w:cs="仿宋"/>
                <w:color w:val="auto"/>
                <w:sz w:val="24"/>
                <w:szCs w:val="24"/>
              </w:rPr>
              <w:t>。</w:t>
            </w:r>
          </w:p>
          <w:p w14:paraId="043CC7B7">
            <w:pPr>
              <w:keepNext w:val="0"/>
              <w:keepLines w:val="0"/>
              <w:pageBreakBefore w:val="0"/>
              <w:widowControl w:val="0"/>
              <w:kinsoku/>
              <w:wordWrap/>
              <w:overflowPunct/>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以上每点，描述完整详细且与采购人实际需求完全契合的，得2分；</w:t>
            </w:r>
          </w:p>
          <w:p w14:paraId="7753BF07">
            <w:pPr>
              <w:keepNext w:val="0"/>
              <w:keepLines w:val="0"/>
              <w:pageBreakBefore w:val="0"/>
              <w:widowControl w:val="0"/>
              <w:kinsoku/>
              <w:wordWrap/>
              <w:overflowPunct/>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描述较详细完整或与采购人实际需求部分符合的，得1分；</w:t>
            </w:r>
          </w:p>
          <w:p w14:paraId="1C591AE5">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szCs w:val="24"/>
              </w:rPr>
            </w:pPr>
            <w:r>
              <w:rPr>
                <w:rFonts w:hint="eastAsia" w:ascii="仿宋_GB2312" w:hAnsi="仿宋_GB2312" w:eastAsia="仿宋_GB2312" w:cs="仿宋_GB2312"/>
                <w:sz w:val="24"/>
                <w:szCs w:val="24"/>
                <w:highlight w:val="none"/>
              </w:rPr>
              <w:t>未提供或完全不符合采购人需求的，得0分。</w:t>
            </w:r>
          </w:p>
        </w:tc>
        <w:tc>
          <w:tcPr>
            <w:tcW w:w="761" w:type="dxa"/>
            <w:tcBorders>
              <w:top w:val="single" w:color="auto" w:sz="4" w:space="0"/>
              <w:left w:val="single" w:color="auto" w:sz="4" w:space="0"/>
              <w:bottom w:val="single" w:color="auto" w:sz="4" w:space="0"/>
              <w:right w:val="single" w:color="auto" w:sz="4" w:space="0"/>
            </w:tcBorders>
            <w:vAlign w:val="center"/>
          </w:tcPr>
          <w:p w14:paraId="6D3423EE">
            <w:pPr>
              <w:keepNext w:val="0"/>
              <w:keepLines w:val="0"/>
              <w:pageBreakBefore w:val="0"/>
              <w:widowControl w:val="0"/>
              <w:kinsoku/>
              <w:wordWrap/>
              <w:overflowPunct/>
              <w:topLinePunct/>
              <w:autoSpaceDE/>
              <w:autoSpaceDN/>
              <w:bidi w:val="0"/>
              <w:adjustRightInd/>
              <w:snapToGrid/>
              <w:spacing w:line="400" w:lineRule="exact"/>
              <w:contextualSpacing/>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w:t>
            </w:r>
          </w:p>
        </w:tc>
        <w:tc>
          <w:tcPr>
            <w:tcW w:w="997" w:type="dxa"/>
            <w:tcBorders>
              <w:top w:val="single" w:color="auto" w:sz="4" w:space="0"/>
              <w:left w:val="single" w:color="auto" w:sz="4" w:space="0"/>
              <w:bottom w:val="single" w:color="auto" w:sz="4" w:space="0"/>
              <w:right w:val="single" w:color="auto" w:sz="4" w:space="0"/>
            </w:tcBorders>
          </w:tcPr>
          <w:p w14:paraId="0E1A0B0A">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7FAA2366">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7CCE710B">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0AA9D7E8">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7A8BB4C7">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lang w:eastAsia="zh-CN"/>
              </w:rPr>
              <w:t>主观分</w:t>
            </w:r>
          </w:p>
        </w:tc>
        <w:tc>
          <w:tcPr>
            <w:tcW w:w="1552" w:type="dxa"/>
            <w:tcBorders>
              <w:top w:val="single" w:color="auto" w:sz="4" w:space="0"/>
              <w:left w:val="single" w:color="auto" w:sz="4" w:space="0"/>
              <w:bottom w:val="single" w:color="auto" w:sz="4" w:space="0"/>
              <w:right w:val="single" w:color="auto" w:sz="4" w:space="0"/>
            </w:tcBorders>
          </w:tcPr>
          <w:p w14:paraId="2AAFC1EF">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r>
      <w:tr w14:paraId="2D6E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96" w:type="dxa"/>
            <w:vMerge w:val="continue"/>
            <w:tcBorders>
              <w:top w:val="nil"/>
              <w:left w:val="single" w:color="auto" w:sz="4" w:space="0"/>
              <w:right w:val="single" w:color="auto" w:sz="4" w:space="0"/>
            </w:tcBorders>
            <w:vAlign w:val="center"/>
          </w:tcPr>
          <w:p w14:paraId="6DDC1D9C">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c>
          <w:tcPr>
            <w:tcW w:w="546" w:type="dxa"/>
            <w:tcBorders>
              <w:top w:val="single" w:color="auto" w:sz="4" w:space="0"/>
              <w:left w:val="single" w:color="auto" w:sz="4" w:space="0"/>
              <w:bottom w:val="single" w:color="auto" w:sz="4" w:space="0"/>
              <w:right w:val="single" w:color="auto" w:sz="4" w:space="0"/>
            </w:tcBorders>
            <w:vAlign w:val="center"/>
          </w:tcPr>
          <w:p w14:paraId="630F918F">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rPr>
              <w:t>9</w:t>
            </w:r>
          </w:p>
        </w:tc>
        <w:tc>
          <w:tcPr>
            <w:tcW w:w="4967" w:type="dxa"/>
            <w:tcBorders>
              <w:top w:val="single" w:color="auto" w:sz="4" w:space="0"/>
              <w:left w:val="single" w:color="auto" w:sz="4" w:space="0"/>
              <w:bottom w:val="single" w:color="auto" w:sz="4" w:space="0"/>
              <w:right w:val="single" w:color="auto" w:sz="4" w:space="0"/>
            </w:tcBorders>
            <w:vAlign w:val="center"/>
          </w:tcPr>
          <w:p w14:paraId="3976862F">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rPr>
            </w:pPr>
            <w:r>
              <w:rPr>
                <w:rFonts w:hint="eastAsia" w:ascii="仿宋" w:hAnsi="仿宋" w:eastAsia="仿宋" w:cs="仿宋"/>
                <w:color w:val="auto"/>
                <w:sz w:val="24"/>
              </w:rPr>
              <w:t>根据投标人提供的</w:t>
            </w:r>
            <w:r>
              <w:rPr>
                <w:rFonts w:hint="eastAsia" w:ascii="仿宋" w:hAnsi="仿宋" w:eastAsia="仿宋" w:cs="仿宋"/>
                <w:color w:val="auto"/>
                <w:sz w:val="24"/>
                <w:lang w:eastAsia="zh-CN"/>
              </w:rPr>
              <w:t>绿化方案，包括</w:t>
            </w:r>
            <w:r>
              <w:rPr>
                <w:rFonts w:hint="eastAsia" w:ascii="仿宋" w:hAnsi="仿宋" w:eastAsia="仿宋" w:cs="仿宋"/>
                <w:color w:val="auto"/>
                <w:sz w:val="24"/>
              </w:rPr>
              <w:t>绿化服务管理目标、</w:t>
            </w:r>
            <w:r>
              <w:rPr>
                <w:rFonts w:hint="eastAsia" w:ascii="仿宋" w:hAnsi="仿宋" w:eastAsia="仿宋" w:cs="仿宋"/>
                <w:color w:val="auto"/>
                <w:sz w:val="24"/>
                <w:lang w:eastAsia="zh-CN"/>
              </w:rPr>
              <w:t>管理</w:t>
            </w:r>
            <w:r>
              <w:rPr>
                <w:rFonts w:hint="eastAsia" w:ascii="仿宋" w:hAnsi="仿宋" w:eastAsia="仿宋" w:cs="仿宋"/>
                <w:color w:val="auto"/>
                <w:sz w:val="24"/>
              </w:rPr>
              <w:t>制度</w:t>
            </w:r>
            <w:r>
              <w:rPr>
                <w:rFonts w:hint="eastAsia" w:ascii="仿宋" w:hAnsi="仿宋" w:eastAsia="仿宋" w:cs="仿宋"/>
                <w:color w:val="auto"/>
                <w:sz w:val="24"/>
                <w:lang w:eastAsia="zh-CN"/>
              </w:rPr>
              <w:t>、</w:t>
            </w:r>
            <w:r>
              <w:rPr>
                <w:rFonts w:hint="eastAsia" w:ascii="仿宋" w:hAnsi="仿宋" w:eastAsia="仿宋" w:cs="仿宋"/>
                <w:color w:val="auto"/>
                <w:sz w:val="24"/>
              </w:rPr>
              <w:t>服务措施情况</w:t>
            </w:r>
            <w:r>
              <w:rPr>
                <w:rFonts w:hint="eastAsia" w:ascii="仿宋" w:hAnsi="仿宋" w:eastAsia="仿宋" w:cs="仿宋"/>
                <w:color w:val="auto"/>
                <w:sz w:val="24"/>
                <w:lang w:eastAsia="zh-CN"/>
              </w:rPr>
              <w:t>打分，最多得</w:t>
            </w:r>
            <w:r>
              <w:rPr>
                <w:rFonts w:hint="eastAsia" w:ascii="仿宋" w:hAnsi="仿宋" w:eastAsia="仿宋" w:cs="仿宋"/>
                <w:color w:val="auto"/>
                <w:sz w:val="24"/>
                <w:lang w:val="en-US" w:eastAsia="zh-CN"/>
              </w:rPr>
              <w:t>6分。</w:t>
            </w:r>
          </w:p>
          <w:p w14:paraId="09FD955E">
            <w:pPr>
              <w:keepNext w:val="0"/>
              <w:keepLines w:val="0"/>
              <w:pageBreakBefore w:val="0"/>
              <w:widowControl w:val="0"/>
              <w:kinsoku/>
              <w:wordWrap/>
              <w:overflowPunct/>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以上每点，描述完整详细且与采购人实际需求完全契合的，得2分；</w:t>
            </w:r>
          </w:p>
          <w:p w14:paraId="55B2337E">
            <w:pPr>
              <w:keepNext w:val="0"/>
              <w:keepLines w:val="0"/>
              <w:pageBreakBefore w:val="0"/>
              <w:widowControl w:val="0"/>
              <w:kinsoku/>
              <w:wordWrap/>
              <w:overflowPunct/>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描述较详细完整或与采购人实际需求部分符合的，得1分；</w:t>
            </w:r>
          </w:p>
          <w:p w14:paraId="31F6AE74">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rPr>
            </w:pPr>
            <w:r>
              <w:rPr>
                <w:rFonts w:hint="eastAsia" w:ascii="仿宋_GB2312" w:hAnsi="仿宋_GB2312" w:eastAsia="仿宋_GB2312" w:cs="仿宋_GB2312"/>
                <w:sz w:val="24"/>
                <w:szCs w:val="24"/>
                <w:highlight w:val="none"/>
              </w:rPr>
              <w:t>未提供或完全不符合采购人需求的，得0分。</w:t>
            </w:r>
          </w:p>
        </w:tc>
        <w:tc>
          <w:tcPr>
            <w:tcW w:w="761" w:type="dxa"/>
            <w:tcBorders>
              <w:top w:val="single" w:color="auto" w:sz="4" w:space="0"/>
              <w:left w:val="single" w:color="auto" w:sz="4" w:space="0"/>
              <w:bottom w:val="single" w:color="auto" w:sz="4" w:space="0"/>
              <w:right w:val="single" w:color="auto" w:sz="4" w:space="0"/>
            </w:tcBorders>
            <w:vAlign w:val="center"/>
          </w:tcPr>
          <w:p w14:paraId="15E973E1">
            <w:pPr>
              <w:keepNext w:val="0"/>
              <w:keepLines w:val="0"/>
              <w:pageBreakBefore w:val="0"/>
              <w:widowControl w:val="0"/>
              <w:kinsoku/>
              <w:wordWrap/>
              <w:overflowPunct/>
              <w:topLinePunct/>
              <w:autoSpaceDE/>
              <w:autoSpaceDN/>
              <w:bidi w:val="0"/>
              <w:adjustRightInd/>
              <w:snapToGrid/>
              <w:spacing w:line="400" w:lineRule="exact"/>
              <w:contextualSpacing/>
              <w:jc w:val="center"/>
              <w:textAlignment w:val="auto"/>
              <w:rPr>
                <w:rFonts w:ascii="仿宋" w:hAnsi="仿宋" w:eastAsia="仿宋" w:cs="仿宋"/>
                <w:color w:val="auto"/>
                <w:sz w:val="24"/>
              </w:rPr>
            </w:pPr>
            <w:r>
              <w:rPr>
                <w:rFonts w:hint="eastAsia" w:ascii="仿宋" w:hAnsi="仿宋" w:eastAsia="仿宋" w:cs="仿宋"/>
                <w:color w:val="auto"/>
                <w:sz w:val="24"/>
              </w:rPr>
              <w:t>6</w:t>
            </w:r>
          </w:p>
        </w:tc>
        <w:tc>
          <w:tcPr>
            <w:tcW w:w="997" w:type="dxa"/>
            <w:tcBorders>
              <w:top w:val="single" w:color="auto" w:sz="4" w:space="0"/>
              <w:left w:val="single" w:color="auto" w:sz="4" w:space="0"/>
              <w:bottom w:val="single" w:color="auto" w:sz="4" w:space="0"/>
              <w:right w:val="single" w:color="auto" w:sz="4" w:space="0"/>
            </w:tcBorders>
          </w:tcPr>
          <w:p w14:paraId="37E75F7A">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4E29AE11">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018DD844">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67E1DC70">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259CC981">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lang w:eastAsia="zh-CN"/>
              </w:rPr>
              <w:t>主观分</w:t>
            </w:r>
          </w:p>
        </w:tc>
        <w:tc>
          <w:tcPr>
            <w:tcW w:w="1552" w:type="dxa"/>
            <w:tcBorders>
              <w:top w:val="single" w:color="auto" w:sz="4" w:space="0"/>
              <w:left w:val="single" w:color="auto" w:sz="4" w:space="0"/>
              <w:bottom w:val="single" w:color="auto" w:sz="4" w:space="0"/>
              <w:right w:val="single" w:color="auto" w:sz="4" w:space="0"/>
            </w:tcBorders>
          </w:tcPr>
          <w:p w14:paraId="08AE1605">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r>
      <w:tr w14:paraId="05AD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696" w:type="dxa"/>
            <w:vMerge w:val="continue"/>
            <w:tcBorders>
              <w:top w:val="nil"/>
              <w:left w:val="single" w:color="auto" w:sz="4" w:space="0"/>
              <w:right w:val="single" w:color="auto" w:sz="4" w:space="0"/>
            </w:tcBorders>
            <w:vAlign w:val="center"/>
          </w:tcPr>
          <w:p w14:paraId="24932EA0">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c>
          <w:tcPr>
            <w:tcW w:w="546" w:type="dxa"/>
            <w:tcBorders>
              <w:top w:val="single" w:color="auto" w:sz="4" w:space="0"/>
              <w:left w:val="single" w:color="auto" w:sz="4" w:space="0"/>
              <w:bottom w:val="single" w:color="auto" w:sz="4" w:space="0"/>
              <w:right w:val="single" w:color="auto" w:sz="4" w:space="0"/>
            </w:tcBorders>
            <w:vAlign w:val="center"/>
          </w:tcPr>
          <w:p w14:paraId="119D164A">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rPr>
              <w:t>10</w:t>
            </w:r>
          </w:p>
        </w:tc>
        <w:tc>
          <w:tcPr>
            <w:tcW w:w="4967" w:type="dxa"/>
            <w:tcBorders>
              <w:top w:val="single" w:color="auto" w:sz="4" w:space="0"/>
              <w:left w:val="single" w:color="auto" w:sz="4" w:space="0"/>
              <w:bottom w:val="single" w:color="auto" w:sz="4" w:space="0"/>
              <w:right w:val="single" w:color="auto" w:sz="4" w:space="0"/>
            </w:tcBorders>
            <w:vAlign w:val="center"/>
          </w:tcPr>
          <w:p w14:paraId="004C8CEB">
            <w:pPr>
              <w:keepNext w:val="0"/>
              <w:keepLines w:val="0"/>
              <w:pageBreakBefore w:val="0"/>
              <w:widowControl w:val="0"/>
              <w:kinsoku/>
              <w:wordWrap/>
              <w:overflowPunct/>
              <w:autoSpaceDE/>
              <w:autoSpaceDN/>
              <w:bidi w:val="0"/>
              <w:adjustRightInd/>
              <w:snapToGrid/>
              <w:spacing w:line="40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根据投标人提供的物业管理应急方案，包括公共突发事件应急方案、恶劣天气应急方案、其他应急方案情况打分，最多得6分。</w:t>
            </w:r>
          </w:p>
          <w:p w14:paraId="2CCFA4CF">
            <w:pPr>
              <w:keepNext w:val="0"/>
              <w:keepLines w:val="0"/>
              <w:pageBreakBefore w:val="0"/>
              <w:widowControl w:val="0"/>
              <w:kinsoku/>
              <w:wordWrap/>
              <w:overflowPunct/>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以上每点，描述完整详细且与采购人实际需求完全契合的，得2分；</w:t>
            </w:r>
          </w:p>
          <w:p w14:paraId="6D5FE3D5">
            <w:pPr>
              <w:keepNext w:val="0"/>
              <w:keepLines w:val="0"/>
              <w:pageBreakBefore w:val="0"/>
              <w:widowControl w:val="0"/>
              <w:kinsoku/>
              <w:wordWrap/>
              <w:overflowPunct/>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描述较详细完整或与采购人实际需求部分符合的，得1分；</w:t>
            </w:r>
          </w:p>
          <w:p w14:paraId="78DF4E02">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rPr>
            </w:pPr>
            <w:r>
              <w:rPr>
                <w:rFonts w:hint="eastAsia" w:ascii="仿宋_GB2312" w:hAnsi="仿宋_GB2312" w:eastAsia="仿宋_GB2312" w:cs="仿宋_GB2312"/>
                <w:sz w:val="24"/>
                <w:szCs w:val="24"/>
                <w:highlight w:val="none"/>
              </w:rPr>
              <w:t>未提供或完全不符合采购人需求的，得0分。</w:t>
            </w:r>
          </w:p>
        </w:tc>
        <w:tc>
          <w:tcPr>
            <w:tcW w:w="761" w:type="dxa"/>
            <w:tcBorders>
              <w:top w:val="single" w:color="auto" w:sz="4" w:space="0"/>
              <w:left w:val="single" w:color="auto" w:sz="4" w:space="0"/>
              <w:bottom w:val="single" w:color="auto" w:sz="4" w:space="0"/>
              <w:right w:val="single" w:color="auto" w:sz="4" w:space="0"/>
            </w:tcBorders>
            <w:vAlign w:val="center"/>
          </w:tcPr>
          <w:p w14:paraId="6F9C2645">
            <w:pPr>
              <w:keepNext w:val="0"/>
              <w:keepLines w:val="0"/>
              <w:pageBreakBefore w:val="0"/>
              <w:widowControl w:val="0"/>
              <w:kinsoku/>
              <w:wordWrap/>
              <w:overflowPunct/>
              <w:topLinePunct/>
              <w:autoSpaceDE/>
              <w:autoSpaceDN/>
              <w:bidi w:val="0"/>
              <w:adjustRightInd/>
              <w:snapToGrid/>
              <w:spacing w:line="400" w:lineRule="exact"/>
              <w:contextualSpacing/>
              <w:jc w:val="center"/>
              <w:textAlignment w:val="auto"/>
              <w:rPr>
                <w:rFonts w:ascii="仿宋" w:hAnsi="仿宋" w:eastAsia="仿宋" w:cs="仿宋"/>
                <w:color w:val="auto"/>
                <w:sz w:val="24"/>
              </w:rPr>
            </w:pPr>
            <w:r>
              <w:rPr>
                <w:rFonts w:hint="eastAsia" w:ascii="仿宋" w:hAnsi="仿宋" w:eastAsia="仿宋" w:cs="仿宋"/>
                <w:color w:val="auto"/>
                <w:sz w:val="24"/>
              </w:rPr>
              <w:t>6</w:t>
            </w:r>
          </w:p>
        </w:tc>
        <w:tc>
          <w:tcPr>
            <w:tcW w:w="997" w:type="dxa"/>
            <w:tcBorders>
              <w:top w:val="single" w:color="auto" w:sz="4" w:space="0"/>
              <w:left w:val="single" w:color="auto" w:sz="4" w:space="0"/>
              <w:bottom w:val="single" w:color="auto" w:sz="4" w:space="0"/>
              <w:right w:val="single" w:color="auto" w:sz="4" w:space="0"/>
            </w:tcBorders>
          </w:tcPr>
          <w:p w14:paraId="425F90A1">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3B89F456">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42C9E43B">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3DBD0E88">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4D771B3B">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lang w:eastAsia="zh-CN"/>
              </w:rPr>
              <w:t>主观分</w:t>
            </w:r>
          </w:p>
        </w:tc>
        <w:tc>
          <w:tcPr>
            <w:tcW w:w="1552" w:type="dxa"/>
            <w:tcBorders>
              <w:top w:val="single" w:color="auto" w:sz="4" w:space="0"/>
              <w:left w:val="single" w:color="auto" w:sz="4" w:space="0"/>
              <w:bottom w:val="single" w:color="auto" w:sz="4" w:space="0"/>
              <w:right w:val="single" w:color="auto" w:sz="4" w:space="0"/>
            </w:tcBorders>
          </w:tcPr>
          <w:p w14:paraId="221D7D33">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r>
      <w:tr w14:paraId="5726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96" w:type="dxa"/>
            <w:vMerge w:val="continue"/>
            <w:tcBorders>
              <w:top w:val="nil"/>
              <w:left w:val="single" w:color="auto" w:sz="4" w:space="0"/>
              <w:right w:val="single" w:color="auto" w:sz="4" w:space="0"/>
            </w:tcBorders>
            <w:vAlign w:val="center"/>
          </w:tcPr>
          <w:p w14:paraId="536FF2F7">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c>
          <w:tcPr>
            <w:tcW w:w="546" w:type="dxa"/>
            <w:tcBorders>
              <w:top w:val="single" w:color="auto" w:sz="4" w:space="0"/>
              <w:left w:val="single" w:color="auto" w:sz="4" w:space="0"/>
              <w:bottom w:val="single" w:color="auto" w:sz="4" w:space="0"/>
              <w:right w:val="single" w:color="auto" w:sz="4" w:space="0"/>
            </w:tcBorders>
            <w:vAlign w:val="center"/>
          </w:tcPr>
          <w:p w14:paraId="75F6800F">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rPr>
              <w:t>11</w:t>
            </w:r>
          </w:p>
        </w:tc>
        <w:tc>
          <w:tcPr>
            <w:tcW w:w="4967" w:type="dxa"/>
            <w:tcBorders>
              <w:top w:val="single" w:color="auto" w:sz="4" w:space="0"/>
              <w:left w:val="single" w:color="auto" w:sz="4" w:space="0"/>
              <w:bottom w:val="single" w:color="auto" w:sz="4" w:space="0"/>
              <w:right w:val="single" w:color="auto" w:sz="4" w:space="0"/>
            </w:tcBorders>
            <w:vAlign w:val="center"/>
          </w:tcPr>
          <w:p w14:paraId="007201F0">
            <w:pPr>
              <w:keepNext w:val="0"/>
              <w:keepLines w:val="0"/>
              <w:pageBreakBefore w:val="0"/>
              <w:widowControl w:val="0"/>
              <w:kinsoku/>
              <w:wordWrap/>
              <w:overflowPunct/>
              <w:autoSpaceDE/>
              <w:autoSpaceDN/>
              <w:bidi w:val="0"/>
              <w:adjustRightInd/>
              <w:snapToGrid/>
              <w:spacing w:line="40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根据投标人对本项目制定的物业档案管理方案，包括物业档案建立</w:t>
            </w:r>
            <w:r>
              <w:rPr>
                <w:rFonts w:hint="eastAsia" w:ascii="仿宋_GB2312" w:hAnsi="仿宋_GB2312" w:eastAsia="仿宋_GB2312" w:cs="仿宋_GB2312"/>
                <w:sz w:val="24"/>
                <w:szCs w:val="24"/>
                <w:lang w:eastAsia="zh-CN"/>
              </w:rPr>
              <w:t>、档案</w:t>
            </w:r>
            <w:r>
              <w:rPr>
                <w:rFonts w:hint="eastAsia" w:ascii="仿宋_GB2312" w:hAnsi="仿宋_GB2312" w:eastAsia="仿宋_GB2312" w:cs="仿宋_GB2312"/>
                <w:sz w:val="24"/>
                <w:szCs w:val="24"/>
              </w:rPr>
              <w:t>保存、交接过渡方案打分，最</w:t>
            </w:r>
            <w:r>
              <w:rPr>
                <w:rFonts w:hint="eastAsia" w:ascii="仿宋_GB2312" w:hAnsi="仿宋_GB2312" w:eastAsia="仿宋_GB2312" w:cs="仿宋_GB2312"/>
                <w:sz w:val="24"/>
                <w:szCs w:val="24"/>
                <w:lang w:eastAsia="zh-CN"/>
              </w:rPr>
              <w:t>多得</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分。</w:t>
            </w:r>
          </w:p>
          <w:p w14:paraId="60902D71">
            <w:pPr>
              <w:keepNext w:val="0"/>
              <w:keepLines w:val="0"/>
              <w:pageBreakBefore w:val="0"/>
              <w:widowControl w:val="0"/>
              <w:kinsoku/>
              <w:wordWrap/>
              <w:overflowPunct/>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以上每点，描述完整详细且与采购人实际需求完全契合的，得2分；</w:t>
            </w:r>
          </w:p>
          <w:p w14:paraId="47D6A6FD">
            <w:pPr>
              <w:keepNext w:val="0"/>
              <w:keepLines w:val="0"/>
              <w:pageBreakBefore w:val="0"/>
              <w:widowControl w:val="0"/>
              <w:kinsoku/>
              <w:wordWrap/>
              <w:overflowPunct/>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描述较详细完整或与采购人实际需求部分符合的，得1分；</w:t>
            </w:r>
          </w:p>
          <w:p w14:paraId="2F6B174F">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rPr>
            </w:pPr>
            <w:r>
              <w:rPr>
                <w:rFonts w:hint="eastAsia" w:ascii="仿宋_GB2312" w:hAnsi="仿宋_GB2312" w:eastAsia="仿宋_GB2312" w:cs="仿宋_GB2312"/>
                <w:sz w:val="24"/>
                <w:szCs w:val="24"/>
                <w:highlight w:val="none"/>
              </w:rPr>
              <w:t>未提供或完全不符合采购人需求的，得0分。</w:t>
            </w:r>
          </w:p>
        </w:tc>
        <w:tc>
          <w:tcPr>
            <w:tcW w:w="761" w:type="dxa"/>
            <w:tcBorders>
              <w:top w:val="single" w:color="auto" w:sz="4" w:space="0"/>
              <w:left w:val="single" w:color="auto" w:sz="4" w:space="0"/>
              <w:bottom w:val="single" w:color="auto" w:sz="4" w:space="0"/>
              <w:right w:val="single" w:color="auto" w:sz="4" w:space="0"/>
            </w:tcBorders>
            <w:vAlign w:val="center"/>
          </w:tcPr>
          <w:p w14:paraId="78129470">
            <w:pPr>
              <w:keepNext w:val="0"/>
              <w:keepLines w:val="0"/>
              <w:pageBreakBefore w:val="0"/>
              <w:widowControl w:val="0"/>
              <w:kinsoku/>
              <w:wordWrap/>
              <w:overflowPunct/>
              <w:topLinePunct/>
              <w:autoSpaceDE/>
              <w:autoSpaceDN/>
              <w:bidi w:val="0"/>
              <w:adjustRightInd/>
              <w:snapToGrid/>
              <w:spacing w:line="400" w:lineRule="exact"/>
              <w:contextualSpacing/>
              <w:jc w:val="center"/>
              <w:textAlignment w:val="auto"/>
              <w:rPr>
                <w:rFonts w:ascii="仿宋" w:hAnsi="仿宋" w:eastAsia="仿宋" w:cs="仿宋"/>
                <w:color w:val="auto"/>
                <w:sz w:val="24"/>
              </w:rPr>
            </w:pPr>
            <w:r>
              <w:rPr>
                <w:rFonts w:hint="eastAsia" w:ascii="仿宋" w:hAnsi="仿宋" w:eastAsia="仿宋" w:cs="仿宋"/>
                <w:b w:val="0"/>
                <w:bCs w:val="0"/>
                <w:color w:val="auto"/>
                <w:sz w:val="24"/>
              </w:rPr>
              <w:t>6</w:t>
            </w:r>
          </w:p>
        </w:tc>
        <w:tc>
          <w:tcPr>
            <w:tcW w:w="997" w:type="dxa"/>
            <w:tcBorders>
              <w:top w:val="single" w:color="auto" w:sz="4" w:space="0"/>
              <w:left w:val="single" w:color="auto" w:sz="4" w:space="0"/>
              <w:bottom w:val="single" w:color="auto" w:sz="4" w:space="0"/>
              <w:right w:val="single" w:color="auto" w:sz="4" w:space="0"/>
            </w:tcBorders>
          </w:tcPr>
          <w:p w14:paraId="41D566FE">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p w14:paraId="0AF418D9">
            <w:pPr>
              <w:pStyle w:val="4"/>
              <w:keepNext w:val="0"/>
              <w:keepLines w:val="0"/>
              <w:pageBreakBefore w:val="0"/>
              <w:widowControl w:val="0"/>
              <w:kinsoku/>
              <w:wordWrap/>
              <w:overflowPunct/>
              <w:autoSpaceDE/>
              <w:autoSpaceDN/>
              <w:bidi w:val="0"/>
              <w:adjustRightInd/>
              <w:snapToGrid/>
              <w:spacing w:line="400" w:lineRule="exact"/>
              <w:textAlignment w:val="auto"/>
              <w:rPr>
                <w:rFonts w:ascii="仿宋" w:hAnsi="仿宋" w:eastAsia="仿宋" w:cs="仿宋"/>
                <w:color w:val="auto"/>
                <w:sz w:val="24"/>
              </w:rPr>
            </w:pPr>
          </w:p>
          <w:p w14:paraId="34476B75">
            <w:pPr>
              <w:keepNext w:val="0"/>
              <w:keepLines w:val="0"/>
              <w:pageBreakBefore w:val="0"/>
              <w:widowControl w:val="0"/>
              <w:kinsoku/>
              <w:wordWrap/>
              <w:overflowPunct/>
              <w:autoSpaceDE/>
              <w:autoSpaceDN/>
              <w:bidi w:val="0"/>
              <w:adjustRightInd/>
              <w:snapToGrid/>
              <w:spacing w:line="400" w:lineRule="exact"/>
              <w:textAlignment w:val="auto"/>
              <w:rPr>
                <w:rFonts w:hint="eastAsia" w:ascii="仿宋" w:hAnsi="仿宋" w:eastAsia="仿宋" w:cs="仿宋"/>
                <w:color w:val="auto"/>
                <w:sz w:val="24"/>
                <w:lang w:eastAsia="zh-CN"/>
              </w:rPr>
            </w:pPr>
          </w:p>
          <w:p w14:paraId="2763774C">
            <w:pPr>
              <w:keepNext w:val="0"/>
              <w:keepLines w:val="0"/>
              <w:pageBreakBefore w:val="0"/>
              <w:widowControl w:val="0"/>
              <w:kinsoku/>
              <w:wordWrap/>
              <w:overflowPunct/>
              <w:autoSpaceDE/>
              <w:autoSpaceDN/>
              <w:bidi w:val="0"/>
              <w:adjustRightInd/>
              <w:snapToGrid/>
              <w:spacing w:line="400" w:lineRule="exact"/>
              <w:textAlignment w:val="auto"/>
            </w:pPr>
            <w:r>
              <w:rPr>
                <w:rFonts w:hint="eastAsia" w:ascii="仿宋" w:hAnsi="仿宋" w:eastAsia="仿宋" w:cs="仿宋"/>
                <w:color w:val="auto"/>
                <w:sz w:val="24"/>
                <w:lang w:eastAsia="zh-CN"/>
              </w:rPr>
              <w:t>主观分</w:t>
            </w:r>
          </w:p>
        </w:tc>
        <w:tc>
          <w:tcPr>
            <w:tcW w:w="1552" w:type="dxa"/>
            <w:tcBorders>
              <w:top w:val="single" w:color="auto" w:sz="4" w:space="0"/>
              <w:left w:val="single" w:color="auto" w:sz="4" w:space="0"/>
              <w:bottom w:val="single" w:color="auto" w:sz="4" w:space="0"/>
              <w:right w:val="single" w:color="auto" w:sz="4" w:space="0"/>
            </w:tcBorders>
          </w:tcPr>
          <w:p w14:paraId="028D2326">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r>
      <w:tr w14:paraId="2D63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696" w:type="dxa"/>
            <w:vMerge w:val="continue"/>
            <w:tcBorders>
              <w:top w:val="nil"/>
              <w:left w:val="single" w:color="auto" w:sz="4" w:space="0"/>
              <w:right w:val="single" w:color="auto" w:sz="4" w:space="0"/>
            </w:tcBorders>
            <w:vAlign w:val="center"/>
          </w:tcPr>
          <w:p w14:paraId="0C80B61B">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c>
          <w:tcPr>
            <w:tcW w:w="546" w:type="dxa"/>
            <w:tcBorders>
              <w:top w:val="single" w:color="auto" w:sz="4" w:space="0"/>
              <w:left w:val="single" w:color="auto" w:sz="4" w:space="0"/>
              <w:bottom w:val="single" w:color="auto" w:sz="4" w:space="0"/>
              <w:right w:val="single" w:color="auto" w:sz="4" w:space="0"/>
            </w:tcBorders>
            <w:vAlign w:val="center"/>
          </w:tcPr>
          <w:p w14:paraId="68FD4082">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rPr>
              <w:t>12</w:t>
            </w:r>
          </w:p>
        </w:tc>
        <w:tc>
          <w:tcPr>
            <w:tcW w:w="4967" w:type="dxa"/>
            <w:tcBorders>
              <w:top w:val="single" w:color="auto" w:sz="4" w:space="0"/>
              <w:left w:val="single" w:color="auto" w:sz="4" w:space="0"/>
              <w:bottom w:val="single" w:color="auto" w:sz="4" w:space="0"/>
              <w:right w:val="single" w:color="auto" w:sz="4" w:space="0"/>
            </w:tcBorders>
            <w:vAlign w:val="center"/>
          </w:tcPr>
          <w:p w14:paraId="06EFA288">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rPr>
            </w:pPr>
            <w:r>
              <w:rPr>
                <w:rFonts w:hint="eastAsia" w:ascii="仿宋" w:hAnsi="仿宋" w:eastAsia="仿宋" w:cs="仿宋"/>
                <w:color w:val="auto"/>
                <w:sz w:val="24"/>
              </w:rPr>
              <w:t>根据投标人提供的</w:t>
            </w:r>
            <w:r>
              <w:rPr>
                <w:rFonts w:hint="eastAsia" w:ascii="仿宋" w:hAnsi="仿宋" w:eastAsia="仿宋" w:cs="仿宋"/>
                <w:color w:val="auto"/>
                <w:sz w:val="24"/>
                <w:lang w:eastAsia="zh-CN"/>
              </w:rPr>
              <w:t>员工培训方案，包括</w:t>
            </w:r>
            <w:r>
              <w:rPr>
                <w:rFonts w:hint="eastAsia" w:ascii="仿宋" w:hAnsi="仿宋" w:eastAsia="仿宋" w:cs="仿宋"/>
                <w:color w:val="auto"/>
                <w:sz w:val="24"/>
                <w:szCs w:val="24"/>
              </w:rPr>
              <w:t>培训方式、培训计划</w:t>
            </w:r>
            <w:r>
              <w:rPr>
                <w:rFonts w:hint="eastAsia" w:ascii="仿宋" w:hAnsi="仿宋" w:eastAsia="仿宋" w:cs="仿宋"/>
                <w:color w:val="auto"/>
                <w:sz w:val="24"/>
                <w:szCs w:val="24"/>
                <w:lang w:eastAsia="zh-CN"/>
              </w:rPr>
              <w:t>、培训</w:t>
            </w:r>
            <w:r>
              <w:rPr>
                <w:rFonts w:hint="eastAsia" w:ascii="仿宋" w:hAnsi="仿宋" w:eastAsia="仿宋" w:cs="仿宋"/>
                <w:color w:val="auto"/>
                <w:sz w:val="24"/>
                <w:szCs w:val="24"/>
              </w:rPr>
              <w:t>目标</w:t>
            </w:r>
            <w:r>
              <w:rPr>
                <w:rFonts w:hint="eastAsia" w:ascii="仿宋" w:hAnsi="仿宋" w:eastAsia="仿宋" w:cs="仿宋"/>
                <w:color w:val="auto"/>
                <w:sz w:val="24"/>
              </w:rPr>
              <w:t>打分，</w:t>
            </w:r>
            <w:r>
              <w:rPr>
                <w:rFonts w:hint="eastAsia" w:ascii="仿宋" w:hAnsi="仿宋" w:eastAsia="仿宋" w:cs="仿宋"/>
                <w:color w:val="auto"/>
                <w:sz w:val="24"/>
                <w:lang w:eastAsia="zh-CN"/>
              </w:rPr>
              <w:t>最多得</w:t>
            </w:r>
            <w:r>
              <w:rPr>
                <w:rFonts w:hint="eastAsia" w:ascii="仿宋" w:hAnsi="仿宋" w:eastAsia="仿宋" w:cs="仿宋"/>
                <w:color w:val="auto"/>
                <w:sz w:val="24"/>
              </w:rPr>
              <w:t>6分。</w:t>
            </w:r>
          </w:p>
          <w:p w14:paraId="698A00E8">
            <w:pPr>
              <w:keepNext w:val="0"/>
              <w:keepLines w:val="0"/>
              <w:pageBreakBefore w:val="0"/>
              <w:widowControl w:val="0"/>
              <w:kinsoku/>
              <w:wordWrap/>
              <w:overflowPunct/>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以上每点，描述完整详细且与采购人实际需求完全契合的，得2分；</w:t>
            </w:r>
          </w:p>
          <w:p w14:paraId="7AC71A9E">
            <w:pPr>
              <w:keepNext w:val="0"/>
              <w:keepLines w:val="0"/>
              <w:pageBreakBefore w:val="0"/>
              <w:widowControl w:val="0"/>
              <w:kinsoku/>
              <w:wordWrap/>
              <w:overflowPunct/>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描述较详细完整或与采购人实际需求部分符合的，得1分；</w:t>
            </w:r>
          </w:p>
          <w:p w14:paraId="04B53F09">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rPr>
            </w:pPr>
            <w:r>
              <w:rPr>
                <w:rFonts w:hint="eastAsia" w:ascii="仿宋_GB2312" w:hAnsi="仿宋_GB2312" w:eastAsia="仿宋_GB2312" w:cs="仿宋_GB2312"/>
                <w:sz w:val="24"/>
                <w:szCs w:val="24"/>
                <w:highlight w:val="none"/>
              </w:rPr>
              <w:t>未提供或完全不符合采购人需求的，得0分。</w:t>
            </w:r>
          </w:p>
        </w:tc>
        <w:tc>
          <w:tcPr>
            <w:tcW w:w="761" w:type="dxa"/>
            <w:tcBorders>
              <w:top w:val="single" w:color="auto" w:sz="4" w:space="0"/>
              <w:left w:val="single" w:color="auto" w:sz="4" w:space="0"/>
              <w:bottom w:val="single" w:color="auto" w:sz="4" w:space="0"/>
              <w:right w:val="single" w:color="auto" w:sz="4" w:space="0"/>
            </w:tcBorders>
            <w:vAlign w:val="center"/>
          </w:tcPr>
          <w:p w14:paraId="7757E4F2">
            <w:pPr>
              <w:keepNext w:val="0"/>
              <w:keepLines w:val="0"/>
              <w:pageBreakBefore w:val="0"/>
              <w:widowControl w:val="0"/>
              <w:kinsoku/>
              <w:wordWrap/>
              <w:overflowPunct/>
              <w:topLinePunct/>
              <w:autoSpaceDE/>
              <w:autoSpaceDN/>
              <w:bidi w:val="0"/>
              <w:adjustRightInd/>
              <w:snapToGrid/>
              <w:spacing w:line="400" w:lineRule="exact"/>
              <w:contextualSpacing/>
              <w:jc w:val="center"/>
              <w:textAlignment w:val="auto"/>
              <w:rPr>
                <w:rFonts w:ascii="仿宋" w:hAnsi="仿宋" w:eastAsia="仿宋" w:cs="仿宋"/>
                <w:color w:val="auto"/>
                <w:sz w:val="24"/>
              </w:rPr>
            </w:pPr>
            <w:r>
              <w:rPr>
                <w:rFonts w:hint="eastAsia" w:ascii="仿宋" w:hAnsi="仿宋" w:eastAsia="仿宋" w:cs="仿宋"/>
                <w:color w:val="auto"/>
                <w:sz w:val="24"/>
              </w:rPr>
              <w:t>6</w:t>
            </w:r>
          </w:p>
        </w:tc>
        <w:tc>
          <w:tcPr>
            <w:tcW w:w="997" w:type="dxa"/>
            <w:tcBorders>
              <w:top w:val="single" w:color="auto" w:sz="4" w:space="0"/>
              <w:left w:val="single" w:color="auto" w:sz="4" w:space="0"/>
              <w:bottom w:val="single" w:color="auto" w:sz="4" w:space="0"/>
              <w:right w:val="single" w:color="auto" w:sz="4" w:space="0"/>
            </w:tcBorders>
          </w:tcPr>
          <w:p w14:paraId="460A68F9">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p w14:paraId="04CE953B">
            <w:pPr>
              <w:pStyle w:val="4"/>
              <w:keepNext w:val="0"/>
              <w:keepLines w:val="0"/>
              <w:pageBreakBefore w:val="0"/>
              <w:widowControl w:val="0"/>
              <w:kinsoku/>
              <w:wordWrap/>
              <w:overflowPunct/>
              <w:autoSpaceDE/>
              <w:autoSpaceDN/>
              <w:bidi w:val="0"/>
              <w:adjustRightInd/>
              <w:snapToGrid/>
              <w:spacing w:line="400" w:lineRule="exact"/>
              <w:textAlignment w:val="auto"/>
              <w:rPr>
                <w:rFonts w:ascii="仿宋" w:hAnsi="仿宋" w:eastAsia="仿宋" w:cs="仿宋"/>
                <w:color w:val="auto"/>
                <w:sz w:val="24"/>
              </w:rPr>
            </w:pPr>
          </w:p>
          <w:p w14:paraId="7ABE8EC1">
            <w:pPr>
              <w:keepNext w:val="0"/>
              <w:keepLines w:val="0"/>
              <w:pageBreakBefore w:val="0"/>
              <w:widowControl w:val="0"/>
              <w:kinsoku/>
              <w:wordWrap/>
              <w:overflowPunct/>
              <w:autoSpaceDE/>
              <w:autoSpaceDN/>
              <w:bidi w:val="0"/>
              <w:adjustRightInd/>
              <w:snapToGrid/>
              <w:spacing w:line="400" w:lineRule="exact"/>
              <w:textAlignment w:val="auto"/>
            </w:pPr>
            <w:r>
              <w:rPr>
                <w:rFonts w:hint="eastAsia" w:ascii="仿宋" w:hAnsi="仿宋" w:eastAsia="仿宋" w:cs="仿宋"/>
                <w:color w:val="auto"/>
                <w:sz w:val="24"/>
                <w:lang w:eastAsia="zh-CN"/>
              </w:rPr>
              <w:t>主观分</w:t>
            </w:r>
          </w:p>
        </w:tc>
        <w:tc>
          <w:tcPr>
            <w:tcW w:w="1552" w:type="dxa"/>
            <w:tcBorders>
              <w:top w:val="single" w:color="auto" w:sz="4" w:space="0"/>
              <w:left w:val="single" w:color="auto" w:sz="4" w:space="0"/>
              <w:bottom w:val="single" w:color="auto" w:sz="4" w:space="0"/>
              <w:right w:val="single" w:color="auto" w:sz="4" w:space="0"/>
            </w:tcBorders>
          </w:tcPr>
          <w:p w14:paraId="751C2D37">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r>
      <w:tr w14:paraId="03E3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6" w:type="dxa"/>
            <w:vMerge w:val="continue"/>
            <w:tcBorders>
              <w:top w:val="nil"/>
              <w:left w:val="single" w:color="auto" w:sz="4" w:space="0"/>
              <w:right w:val="single" w:color="auto" w:sz="4" w:space="0"/>
            </w:tcBorders>
            <w:vAlign w:val="center"/>
          </w:tcPr>
          <w:p w14:paraId="53D2B137">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c>
          <w:tcPr>
            <w:tcW w:w="546" w:type="dxa"/>
            <w:tcBorders>
              <w:top w:val="single" w:color="auto" w:sz="4" w:space="0"/>
              <w:left w:val="single" w:color="auto" w:sz="4" w:space="0"/>
              <w:bottom w:val="single" w:color="auto" w:sz="4" w:space="0"/>
              <w:right w:val="single" w:color="auto" w:sz="4" w:space="0"/>
            </w:tcBorders>
            <w:vAlign w:val="center"/>
          </w:tcPr>
          <w:p w14:paraId="57C5E5CA">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13</w:t>
            </w:r>
          </w:p>
        </w:tc>
        <w:tc>
          <w:tcPr>
            <w:tcW w:w="4967" w:type="dxa"/>
            <w:tcBorders>
              <w:top w:val="single" w:color="auto" w:sz="4" w:space="0"/>
              <w:left w:val="single" w:color="auto" w:sz="4" w:space="0"/>
              <w:bottom w:val="single" w:color="auto" w:sz="4" w:space="0"/>
              <w:right w:val="single" w:color="auto" w:sz="4" w:space="0"/>
            </w:tcBorders>
            <w:vAlign w:val="center"/>
          </w:tcPr>
          <w:p w14:paraId="29A529AF">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eastAsia="zh-CN"/>
              </w:rPr>
              <w:t>根据投标人</w:t>
            </w:r>
            <w:r>
              <w:rPr>
                <w:rFonts w:hint="eastAsia" w:ascii="仿宋_GB2312" w:hAnsi="仿宋_GB2312" w:eastAsia="仿宋_GB2312" w:cs="仿宋_GB2312"/>
                <w:color w:val="auto"/>
                <w:kern w:val="0"/>
                <w:sz w:val="24"/>
                <w:szCs w:val="24"/>
                <w:lang w:val="en-US" w:eastAsia="zh-CN"/>
              </w:rPr>
              <w:t>拟</w:t>
            </w:r>
            <w:r>
              <w:rPr>
                <w:rFonts w:hint="eastAsia" w:ascii="仿宋_GB2312" w:hAnsi="仿宋_GB2312" w:eastAsia="仿宋_GB2312" w:cs="仿宋_GB2312"/>
                <w:color w:val="auto"/>
                <w:kern w:val="0"/>
                <w:sz w:val="24"/>
                <w:szCs w:val="24"/>
                <w:lang w:eastAsia="zh-CN"/>
              </w:rPr>
              <w:t>提供设备的齐备程度、实用情况、合理情况，包括大型保洁设备、绿化设备、</w:t>
            </w:r>
            <w:r>
              <w:rPr>
                <w:rFonts w:hint="eastAsia" w:ascii="仿宋_GB2312" w:hAnsi="仿宋_GB2312" w:eastAsia="仿宋_GB2312" w:cs="仿宋_GB2312"/>
                <w:color w:val="auto"/>
                <w:kern w:val="0"/>
                <w:sz w:val="24"/>
                <w:szCs w:val="24"/>
                <w:lang w:val="en-US" w:eastAsia="zh-CN"/>
              </w:rPr>
              <w:t>运输设备</w:t>
            </w:r>
            <w:r>
              <w:rPr>
                <w:rFonts w:hint="eastAsia" w:ascii="仿宋_GB2312" w:hAnsi="仿宋_GB2312" w:eastAsia="仿宋_GB2312" w:cs="仿宋_GB2312"/>
                <w:color w:val="auto"/>
                <w:kern w:val="0"/>
                <w:sz w:val="24"/>
                <w:szCs w:val="24"/>
                <w:lang w:eastAsia="zh-CN"/>
              </w:rPr>
              <w:t>打分，最高得</w:t>
            </w:r>
            <w:r>
              <w:rPr>
                <w:rFonts w:hint="eastAsia" w:ascii="仿宋_GB2312" w:hAnsi="仿宋_GB2312" w:eastAsia="仿宋_GB2312" w:cs="仿宋_GB2312"/>
                <w:color w:val="auto"/>
                <w:kern w:val="0"/>
                <w:sz w:val="24"/>
                <w:szCs w:val="24"/>
                <w:lang w:val="en-US" w:eastAsia="zh-CN"/>
              </w:rPr>
              <w:t>6分。</w:t>
            </w:r>
          </w:p>
          <w:p w14:paraId="5FD8D61F">
            <w:pPr>
              <w:pStyle w:val="16"/>
              <w:keepNext w:val="0"/>
              <w:keepLines w:val="0"/>
              <w:pageBreakBefore w:val="0"/>
              <w:widowControl w:val="0"/>
              <w:kinsoku/>
              <w:wordWrap/>
              <w:overflowPunct/>
              <w:autoSpaceDE/>
              <w:autoSpaceDN/>
              <w:bidi w:val="0"/>
              <w:adjustRightInd/>
              <w:snapToGrid/>
              <w:spacing w:line="400" w:lineRule="exact"/>
              <w:ind w:left="0" w:leftChars="0" w:firstLine="0" w:firstLineChars="0"/>
              <w:textAlignment w:val="auto"/>
              <w:rPr>
                <w:rFonts w:ascii="仿宋_GB2312" w:eastAsia="仿宋_GB2312"/>
                <w:color w:val="auto"/>
                <w:sz w:val="24"/>
                <w:highlight w:val="none"/>
              </w:rPr>
            </w:pPr>
            <w:r>
              <w:rPr>
                <w:rFonts w:hint="eastAsia" w:ascii="仿宋_GB2312" w:eastAsia="仿宋_GB2312"/>
                <w:color w:val="auto"/>
                <w:sz w:val="24"/>
                <w:highlight w:val="none"/>
              </w:rPr>
              <w:t>以上每点，描述完整详细且与采购人实际需求完全契合的</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得</w:t>
            </w: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rPr>
              <w:t>分；</w:t>
            </w:r>
          </w:p>
          <w:p w14:paraId="181E30D0">
            <w:pPr>
              <w:pStyle w:val="16"/>
              <w:keepNext w:val="0"/>
              <w:keepLines w:val="0"/>
              <w:pageBreakBefore w:val="0"/>
              <w:widowControl w:val="0"/>
              <w:kinsoku/>
              <w:wordWrap/>
              <w:overflowPunct/>
              <w:autoSpaceDE/>
              <w:autoSpaceDN/>
              <w:bidi w:val="0"/>
              <w:adjustRightInd/>
              <w:snapToGrid/>
              <w:spacing w:line="400" w:lineRule="exact"/>
              <w:ind w:left="0" w:leftChars="0" w:firstLine="0" w:firstLineChars="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描述较详细完整或与采购人实际需求部分符合的</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得1分；</w:t>
            </w:r>
          </w:p>
          <w:p w14:paraId="651DCBA4">
            <w:pPr>
              <w:pStyle w:val="16"/>
              <w:keepNext w:val="0"/>
              <w:keepLines w:val="0"/>
              <w:pageBreakBefore w:val="0"/>
              <w:widowControl w:val="0"/>
              <w:kinsoku/>
              <w:wordWrap/>
              <w:overflowPunct/>
              <w:autoSpaceDE/>
              <w:autoSpaceDN/>
              <w:bidi w:val="0"/>
              <w:adjustRightInd/>
              <w:snapToGrid/>
              <w:spacing w:line="400" w:lineRule="exact"/>
              <w:ind w:left="0" w:leftChars="0" w:firstLine="0" w:firstLineChars="0"/>
              <w:textAlignment w:val="auto"/>
              <w:rPr>
                <w:rFonts w:hint="eastAsia" w:ascii="仿宋_GB2312" w:eastAsia="仿宋_GB2312"/>
                <w:color w:val="auto"/>
                <w:sz w:val="24"/>
                <w:highlight w:val="none"/>
              </w:rPr>
            </w:pPr>
            <w:r>
              <w:rPr>
                <w:rFonts w:hint="eastAsia" w:ascii="仿宋_GB2312" w:eastAsia="仿宋_GB2312"/>
                <w:color w:val="auto"/>
                <w:sz w:val="24"/>
                <w:highlight w:val="none"/>
              </w:rPr>
              <w:t>未提供或完全不符合采购人需求的，得0分。</w:t>
            </w:r>
          </w:p>
          <w:p w14:paraId="20969B45">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_GB2312" w:hAnsi="仿宋_GB2312" w:eastAsia="仿宋_GB2312" w:cs="仿宋_GB2312"/>
                <w:sz w:val="24"/>
                <w:szCs w:val="24"/>
                <w:highlight w:val="none"/>
              </w:rPr>
            </w:pPr>
            <w:r>
              <w:rPr>
                <w:rFonts w:hint="eastAsia" w:ascii="仿宋_GB2312" w:hAnsi="宋体" w:eastAsia="仿宋_GB2312" w:cs="宋体"/>
                <w:b/>
                <w:kern w:val="2"/>
                <w:sz w:val="24"/>
                <w:szCs w:val="24"/>
                <w:highlight w:val="none"/>
                <w:lang w:val="en-US" w:eastAsia="zh-CN" w:bidi="ar-SA"/>
              </w:rPr>
              <w:t>注：截止开标日期，如所列设备已购置的，提供固定资产正规发票；</w:t>
            </w:r>
            <w:r>
              <w:rPr>
                <w:rFonts w:hint="eastAsia" w:ascii="仿宋_GB2312" w:hAnsi="宋体" w:eastAsia="仿宋_GB2312" w:cs="宋体"/>
                <w:b/>
                <w:color w:val="auto"/>
                <w:kern w:val="2"/>
                <w:sz w:val="24"/>
                <w:szCs w:val="24"/>
                <w:highlight w:val="none"/>
                <w:lang w:val="en-US" w:eastAsia="zh-CN" w:bidi="ar-SA"/>
              </w:rPr>
              <w:t>如所列设备已租赁的，提供租赁材料；如所列设备未购置且未租赁的，</w:t>
            </w:r>
            <w:r>
              <w:rPr>
                <w:rFonts w:hint="eastAsia" w:ascii="仿宋_GB2312" w:hAnsi="宋体" w:eastAsia="仿宋_GB2312" w:cs="宋体"/>
                <w:b/>
                <w:kern w:val="2"/>
                <w:sz w:val="24"/>
                <w:szCs w:val="24"/>
                <w:highlight w:val="none"/>
                <w:lang w:val="en-US" w:eastAsia="zh-CN" w:bidi="ar-SA"/>
              </w:rPr>
              <w:t>提供承诺书（格式自拟），承诺在履行合同前提供以上设备，未按承诺履行的，视作提供虚假材料谋取中标。</w:t>
            </w:r>
          </w:p>
        </w:tc>
        <w:tc>
          <w:tcPr>
            <w:tcW w:w="761" w:type="dxa"/>
            <w:tcBorders>
              <w:top w:val="single" w:color="auto" w:sz="4" w:space="0"/>
              <w:left w:val="single" w:color="auto" w:sz="4" w:space="0"/>
              <w:bottom w:val="single" w:color="auto" w:sz="4" w:space="0"/>
              <w:right w:val="single" w:color="auto" w:sz="4" w:space="0"/>
            </w:tcBorders>
            <w:vAlign w:val="center"/>
          </w:tcPr>
          <w:p w14:paraId="0DA8E1DA">
            <w:pPr>
              <w:keepNext w:val="0"/>
              <w:keepLines w:val="0"/>
              <w:pageBreakBefore w:val="0"/>
              <w:widowControl w:val="0"/>
              <w:kinsoku/>
              <w:wordWrap/>
              <w:overflowPunct/>
              <w:topLinePunct/>
              <w:autoSpaceDE/>
              <w:autoSpaceDN/>
              <w:bidi w:val="0"/>
              <w:adjustRightInd/>
              <w:snapToGrid/>
              <w:spacing w:line="400" w:lineRule="exact"/>
              <w:contextualSpacing/>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w:t>
            </w:r>
          </w:p>
        </w:tc>
        <w:tc>
          <w:tcPr>
            <w:tcW w:w="997" w:type="dxa"/>
            <w:tcBorders>
              <w:top w:val="single" w:color="auto" w:sz="4" w:space="0"/>
              <w:left w:val="single" w:color="auto" w:sz="4" w:space="0"/>
              <w:bottom w:val="single" w:color="auto" w:sz="4" w:space="0"/>
              <w:right w:val="single" w:color="auto" w:sz="4" w:space="0"/>
            </w:tcBorders>
          </w:tcPr>
          <w:p w14:paraId="5F77C24F">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124B0B18">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55299A0B">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794C1770">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1009AA90">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65FCA088">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16E9EEF8">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lang w:eastAsia="zh-CN"/>
              </w:rPr>
              <w:t>主观分</w:t>
            </w:r>
          </w:p>
        </w:tc>
        <w:tc>
          <w:tcPr>
            <w:tcW w:w="1552" w:type="dxa"/>
            <w:tcBorders>
              <w:top w:val="single" w:color="auto" w:sz="4" w:space="0"/>
              <w:left w:val="single" w:color="auto" w:sz="4" w:space="0"/>
              <w:bottom w:val="single" w:color="auto" w:sz="4" w:space="0"/>
              <w:right w:val="single" w:color="auto" w:sz="4" w:space="0"/>
            </w:tcBorders>
          </w:tcPr>
          <w:p w14:paraId="33C02E31">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r>
      <w:tr w14:paraId="3459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96" w:type="dxa"/>
            <w:vMerge w:val="continue"/>
            <w:tcBorders>
              <w:top w:val="nil"/>
              <w:left w:val="single" w:color="auto" w:sz="4" w:space="0"/>
              <w:right w:val="single" w:color="auto" w:sz="4" w:space="0"/>
            </w:tcBorders>
            <w:vAlign w:val="center"/>
          </w:tcPr>
          <w:p w14:paraId="34E3F67D">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c>
          <w:tcPr>
            <w:tcW w:w="546" w:type="dxa"/>
            <w:tcBorders>
              <w:top w:val="single" w:color="auto" w:sz="4" w:space="0"/>
              <w:left w:val="single" w:color="auto" w:sz="4" w:space="0"/>
              <w:bottom w:val="single" w:color="auto" w:sz="4" w:space="0"/>
              <w:right w:val="single" w:color="auto" w:sz="4" w:space="0"/>
            </w:tcBorders>
            <w:vAlign w:val="center"/>
          </w:tcPr>
          <w:p w14:paraId="5E6A936D">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4</w:t>
            </w:r>
          </w:p>
        </w:tc>
        <w:tc>
          <w:tcPr>
            <w:tcW w:w="4967" w:type="dxa"/>
            <w:tcBorders>
              <w:top w:val="single" w:color="auto" w:sz="4" w:space="0"/>
              <w:left w:val="single" w:color="auto" w:sz="4" w:space="0"/>
              <w:bottom w:val="single" w:color="auto" w:sz="4" w:space="0"/>
              <w:right w:val="single" w:color="auto" w:sz="4" w:space="0"/>
            </w:tcBorders>
            <w:vAlign w:val="center"/>
          </w:tcPr>
          <w:p w14:paraId="25AB451B">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rPr>
            </w:pPr>
            <w:r>
              <w:rPr>
                <w:rFonts w:hint="eastAsia" w:ascii="仿宋" w:hAnsi="仿宋" w:eastAsia="仿宋" w:cs="仿宋"/>
                <w:color w:val="auto"/>
                <w:sz w:val="24"/>
              </w:rPr>
              <w:t>根据投标人提供的</w:t>
            </w:r>
            <w:r>
              <w:rPr>
                <w:rFonts w:hint="eastAsia" w:ascii="仿宋" w:hAnsi="仿宋" w:eastAsia="仿宋" w:cs="仿宋"/>
                <w:color w:val="auto"/>
                <w:sz w:val="24"/>
                <w:lang w:eastAsia="zh-CN"/>
              </w:rPr>
              <w:t>节能方案，包括</w:t>
            </w:r>
            <w:r>
              <w:rPr>
                <w:rFonts w:hint="eastAsia" w:ascii="仿宋" w:hAnsi="仿宋" w:eastAsia="仿宋" w:cs="仿宋"/>
                <w:color w:val="auto"/>
                <w:sz w:val="24"/>
              </w:rPr>
              <w:t>节能</w:t>
            </w:r>
            <w:r>
              <w:rPr>
                <w:rFonts w:hint="eastAsia" w:ascii="仿宋" w:hAnsi="仿宋" w:eastAsia="仿宋" w:cs="仿宋"/>
                <w:color w:val="auto"/>
                <w:sz w:val="24"/>
                <w:lang w:eastAsia="zh-CN"/>
              </w:rPr>
              <w:t>措施、节能目标、节能合理化建议打分，最多得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p>
          <w:p w14:paraId="7811DBAB">
            <w:pPr>
              <w:keepNext w:val="0"/>
              <w:keepLines w:val="0"/>
              <w:pageBreakBefore w:val="0"/>
              <w:widowControl w:val="0"/>
              <w:kinsoku/>
              <w:wordWrap/>
              <w:overflowPunct/>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以上每点，描述完整详细且与采购人实际需求完全契合的，得</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分；</w:t>
            </w:r>
          </w:p>
          <w:p w14:paraId="096EA2EC">
            <w:pPr>
              <w:keepNext w:val="0"/>
              <w:keepLines w:val="0"/>
              <w:pageBreakBefore w:val="0"/>
              <w:widowControl w:val="0"/>
              <w:kinsoku/>
              <w:wordWrap/>
              <w:overflowPunct/>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描述较详细完整或与采购人实际需求部分符合的，得</w:t>
            </w:r>
            <w:r>
              <w:rPr>
                <w:rFonts w:hint="eastAsia" w:ascii="仿宋_GB2312" w:hAnsi="仿宋_GB2312" w:eastAsia="仿宋_GB2312" w:cs="仿宋_GB2312"/>
                <w:sz w:val="24"/>
                <w:szCs w:val="24"/>
                <w:highlight w:val="none"/>
                <w:lang w:val="en-US" w:eastAsia="zh-CN"/>
              </w:rPr>
              <w:t>0.5</w:t>
            </w:r>
            <w:r>
              <w:rPr>
                <w:rFonts w:hint="eastAsia" w:ascii="仿宋_GB2312" w:hAnsi="仿宋_GB2312" w:eastAsia="仿宋_GB2312" w:cs="仿宋_GB2312"/>
                <w:sz w:val="24"/>
                <w:szCs w:val="24"/>
                <w:highlight w:val="none"/>
              </w:rPr>
              <w:t>分；</w:t>
            </w:r>
          </w:p>
          <w:p w14:paraId="4D8680A0">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rPr>
            </w:pPr>
            <w:r>
              <w:rPr>
                <w:rFonts w:hint="eastAsia" w:ascii="仿宋_GB2312" w:hAnsi="仿宋_GB2312" w:eastAsia="仿宋_GB2312" w:cs="仿宋_GB2312"/>
                <w:sz w:val="24"/>
                <w:szCs w:val="24"/>
                <w:highlight w:val="none"/>
              </w:rPr>
              <w:t>未提供或完全不符合采购人需求的，得0分。</w:t>
            </w:r>
          </w:p>
        </w:tc>
        <w:tc>
          <w:tcPr>
            <w:tcW w:w="761" w:type="dxa"/>
            <w:tcBorders>
              <w:top w:val="single" w:color="auto" w:sz="4" w:space="0"/>
              <w:left w:val="single" w:color="auto" w:sz="4" w:space="0"/>
              <w:bottom w:val="single" w:color="auto" w:sz="4" w:space="0"/>
              <w:right w:val="single" w:color="auto" w:sz="4" w:space="0"/>
            </w:tcBorders>
            <w:vAlign w:val="center"/>
          </w:tcPr>
          <w:p w14:paraId="658ECD16">
            <w:pPr>
              <w:keepNext w:val="0"/>
              <w:keepLines w:val="0"/>
              <w:pageBreakBefore w:val="0"/>
              <w:widowControl w:val="0"/>
              <w:kinsoku/>
              <w:wordWrap/>
              <w:overflowPunct/>
              <w:topLinePunct/>
              <w:autoSpaceDE/>
              <w:autoSpaceDN/>
              <w:bidi w:val="0"/>
              <w:adjustRightInd/>
              <w:snapToGrid/>
              <w:spacing w:line="400" w:lineRule="exact"/>
              <w:contextualSpacing/>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997" w:type="dxa"/>
            <w:tcBorders>
              <w:top w:val="single" w:color="auto" w:sz="4" w:space="0"/>
              <w:left w:val="single" w:color="auto" w:sz="4" w:space="0"/>
              <w:bottom w:val="single" w:color="auto" w:sz="4" w:space="0"/>
              <w:right w:val="single" w:color="auto" w:sz="4" w:space="0"/>
            </w:tcBorders>
          </w:tcPr>
          <w:p w14:paraId="58DDE931">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5787DA9F">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7E3CACCC">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p>
          <w:p w14:paraId="40B98985">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lang w:eastAsia="zh-CN"/>
              </w:rPr>
              <w:t>主观分</w:t>
            </w:r>
          </w:p>
        </w:tc>
        <w:tc>
          <w:tcPr>
            <w:tcW w:w="1552" w:type="dxa"/>
            <w:tcBorders>
              <w:top w:val="single" w:color="auto" w:sz="4" w:space="0"/>
              <w:left w:val="single" w:color="auto" w:sz="4" w:space="0"/>
              <w:bottom w:val="single" w:color="auto" w:sz="4" w:space="0"/>
              <w:right w:val="single" w:color="auto" w:sz="4" w:space="0"/>
            </w:tcBorders>
          </w:tcPr>
          <w:p w14:paraId="7FA5F6D6">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r>
      <w:tr w14:paraId="472D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96" w:type="dxa"/>
            <w:tcBorders>
              <w:top w:val="single" w:color="auto" w:sz="4" w:space="0"/>
              <w:left w:val="single" w:color="auto" w:sz="4" w:space="0"/>
              <w:bottom w:val="single" w:color="auto" w:sz="4" w:space="0"/>
              <w:right w:val="single" w:color="auto" w:sz="4" w:space="0"/>
            </w:tcBorders>
            <w:vAlign w:val="center"/>
          </w:tcPr>
          <w:p w14:paraId="094795BF">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rPr>
              <w:t>报价</w:t>
            </w:r>
          </w:p>
          <w:p w14:paraId="60C6A01A">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val="0"/>
                <w:bCs w:val="0"/>
                <w:color w:val="auto"/>
                <w:sz w:val="24"/>
              </w:rPr>
              <w:t>15</w:t>
            </w:r>
            <w:r>
              <w:rPr>
                <w:rFonts w:hint="eastAsia" w:ascii="仿宋" w:hAnsi="仿宋" w:eastAsia="仿宋" w:cs="仿宋"/>
                <w:color w:val="auto"/>
                <w:sz w:val="24"/>
              </w:rPr>
              <w:t>分）</w:t>
            </w:r>
          </w:p>
        </w:tc>
        <w:tc>
          <w:tcPr>
            <w:tcW w:w="546" w:type="dxa"/>
            <w:tcBorders>
              <w:top w:val="single" w:color="auto" w:sz="4" w:space="0"/>
              <w:left w:val="single" w:color="auto" w:sz="4" w:space="0"/>
              <w:bottom w:val="single" w:color="auto" w:sz="4" w:space="0"/>
              <w:right w:val="single" w:color="auto" w:sz="4" w:space="0"/>
            </w:tcBorders>
            <w:vAlign w:val="center"/>
          </w:tcPr>
          <w:p w14:paraId="1B11A96D">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5</w:t>
            </w:r>
          </w:p>
        </w:tc>
        <w:tc>
          <w:tcPr>
            <w:tcW w:w="4967" w:type="dxa"/>
            <w:tcBorders>
              <w:top w:val="single" w:color="auto" w:sz="4" w:space="0"/>
              <w:left w:val="single" w:color="auto" w:sz="4" w:space="0"/>
              <w:bottom w:val="single" w:color="auto" w:sz="4" w:space="0"/>
              <w:right w:val="single" w:color="auto" w:sz="4" w:space="0"/>
            </w:tcBorders>
          </w:tcPr>
          <w:p w14:paraId="6390B9B8">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rPr>
              <w:t>有效投标报价的最低价作为评标基准价，其最低报价为满分；按［投标报价得分=（评标基准价/投标报价）*15］的计算公式计算。</w:t>
            </w:r>
          </w:p>
          <w:p w14:paraId="260BCC55">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rPr>
              <w:t>评标过程中，不得去掉报价中的最高报价和最低报价。</w:t>
            </w:r>
          </w:p>
          <w:p w14:paraId="1BE14EAD">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r>
              <w:rPr>
                <w:rFonts w:hint="eastAsia" w:ascii="仿宋" w:hAnsi="仿宋" w:eastAsia="仿宋" w:cs="仿宋"/>
                <w:color w:val="auto"/>
                <w:sz w:val="24"/>
              </w:rPr>
              <w:t>因落实政府采购政策需要进行价格调整的，以调整后的价格计算评标基准价和投标报价。</w:t>
            </w:r>
          </w:p>
        </w:tc>
        <w:tc>
          <w:tcPr>
            <w:tcW w:w="761" w:type="dxa"/>
            <w:tcBorders>
              <w:top w:val="single" w:color="auto" w:sz="4" w:space="0"/>
              <w:left w:val="single" w:color="auto" w:sz="4" w:space="0"/>
              <w:bottom w:val="single" w:color="auto" w:sz="4" w:space="0"/>
              <w:right w:val="single" w:color="auto" w:sz="4" w:space="0"/>
            </w:tcBorders>
            <w:vAlign w:val="center"/>
          </w:tcPr>
          <w:p w14:paraId="231B4D4F">
            <w:pPr>
              <w:keepNext w:val="0"/>
              <w:keepLines w:val="0"/>
              <w:pageBreakBefore w:val="0"/>
              <w:widowControl w:val="0"/>
              <w:kinsoku/>
              <w:wordWrap/>
              <w:overflowPunct/>
              <w:topLinePunct/>
              <w:autoSpaceDE/>
              <w:autoSpaceDN/>
              <w:bidi w:val="0"/>
              <w:adjustRightInd/>
              <w:snapToGrid/>
              <w:spacing w:line="400" w:lineRule="exact"/>
              <w:contextualSpacing/>
              <w:jc w:val="center"/>
              <w:textAlignment w:val="auto"/>
              <w:rPr>
                <w:rFonts w:ascii="仿宋" w:hAnsi="仿宋" w:eastAsia="仿宋" w:cs="仿宋"/>
                <w:color w:val="auto"/>
                <w:sz w:val="24"/>
              </w:rPr>
            </w:pPr>
            <w:r>
              <w:rPr>
                <w:rFonts w:hint="eastAsia" w:ascii="仿宋" w:hAnsi="仿宋" w:eastAsia="仿宋" w:cs="仿宋"/>
                <w:b/>
                <w:bCs/>
                <w:color w:val="auto"/>
                <w:sz w:val="24"/>
              </w:rPr>
              <w:t>15</w:t>
            </w:r>
          </w:p>
        </w:tc>
        <w:tc>
          <w:tcPr>
            <w:tcW w:w="997" w:type="dxa"/>
            <w:tcBorders>
              <w:top w:val="single" w:color="auto" w:sz="4" w:space="0"/>
              <w:left w:val="single" w:color="auto" w:sz="4" w:space="0"/>
              <w:bottom w:val="single" w:color="auto" w:sz="4" w:space="0"/>
              <w:right w:val="single" w:color="auto" w:sz="4" w:space="0"/>
            </w:tcBorders>
            <w:vAlign w:val="center"/>
          </w:tcPr>
          <w:p w14:paraId="3EF7EC9A">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价格分</w:t>
            </w:r>
          </w:p>
        </w:tc>
        <w:tc>
          <w:tcPr>
            <w:tcW w:w="1552" w:type="dxa"/>
            <w:tcBorders>
              <w:top w:val="single" w:color="auto" w:sz="4" w:space="0"/>
              <w:left w:val="single" w:color="auto" w:sz="4" w:space="0"/>
              <w:bottom w:val="single" w:color="auto" w:sz="4" w:space="0"/>
              <w:right w:val="single" w:color="auto" w:sz="4" w:space="0"/>
            </w:tcBorders>
            <w:vAlign w:val="center"/>
          </w:tcPr>
          <w:p w14:paraId="1FED3BF3">
            <w:pPr>
              <w:keepNext w:val="0"/>
              <w:keepLines w:val="0"/>
              <w:pageBreakBefore w:val="0"/>
              <w:widowControl w:val="0"/>
              <w:kinsoku/>
              <w:wordWrap/>
              <w:overflowPunct/>
              <w:topLinePunct/>
              <w:autoSpaceDE/>
              <w:autoSpaceDN/>
              <w:bidi w:val="0"/>
              <w:adjustRightInd/>
              <w:snapToGrid/>
              <w:spacing w:line="400" w:lineRule="exact"/>
              <w:contextualSpacing/>
              <w:textAlignment w:val="auto"/>
              <w:rPr>
                <w:rFonts w:ascii="仿宋" w:hAnsi="仿宋" w:eastAsia="仿宋" w:cs="仿宋"/>
                <w:color w:val="auto"/>
                <w:sz w:val="24"/>
              </w:rPr>
            </w:pPr>
          </w:p>
        </w:tc>
      </w:tr>
    </w:tbl>
    <w:p w14:paraId="63E1329B">
      <w:pPr>
        <w:keepNext w:val="0"/>
        <w:keepLines w:val="0"/>
        <w:pageBreakBefore w:val="0"/>
        <w:widowControl w:val="0"/>
        <w:kinsoku/>
        <w:wordWrap/>
        <w:overflowPunct/>
        <w:autoSpaceDE/>
        <w:autoSpaceDN/>
        <w:bidi w:val="0"/>
        <w:adjustRightInd/>
        <w:snapToGrid/>
        <w:spacing w:line="400" w:lineRule="exact"/>
        <w:textAlignment w:val="auto"/>
        <w:rPr>
          <w:rFonts w:ascii="仿宋_GB2312" w:hAnsi="仿宋_GB2312" w:eastAsia="仿宋_GB2312" w:cs="仿宋_GB2312"/>
        </w:rPr>
      </w:pPr>
    </w:p>
    <w:p w14:paraId="2448A12C">
      <w:pPr>
        <w:spacing w:line="420" w:lineRule="exact"/>
        <w:contextualSpacing/>
        <w:rPr>
          <w:rFonts w:ascii="仿宋_GB2312" w:hAnsi="宋体" w:eastAsia="仿宋_GB2312" w:cs="宋体"/>
          <w:b/>
          <w:sz w:val="24"/>
        </w:rPr>
      </w:pPr>
      <w:r>
        <w:rPr>
          <w:rFonts w:hint="eastAsia" w:ascii="仿宋_GB2312" w:hAnsi="宋体" w:eastAsia="仿宋_GB2312" w:cs="宋体"/>
          <w:b/>
          <w:sz w:val="24"/>
        </w:rPr>
        <w:t>*备注：投标人编制投标文件（商务技术文件部分）时，建议按此目录（序号和内容）提供评标标准相应的商务技术资料。</w:t>
      </w:r>
      <w:r>
        <w:rPr>
          <w:rFonts w:hint="eastAsia" w:ascii="宋体" w:hAnsi="宋体" w:eastAsia="仿宋_GB2312" w:cs="宋体"/>
          <w:b/>
          <w:sz w:val="24"/>
        </w:rPr>
        <w:t> </w:t>
      </w:r>
    </w:p>
    <w:p w14:paraId="0F11A80B">
      <w:pPr>
        <w:spacing w:line="420" w:lineRule="exact"/>
        <w:ind w:firstLine="482" w:firstLineChars="200"/>
        <w:contextualSpacing/>
        <w:rPr>
          <w:rFonts w:ascii="仿宋_GB2312" w:eastAsia="仿宋_GB2312"/>
          <w:sz w:val="24"/>
          <w:szCs w:val="24"/>
        </w:rPr>
      </w:pPr>
      <w:r>
        <w:rPr>
          <w:rFonts w:hint="eastAsia" w:ascii="仿宋_GB2312" w:eastAsia="仿宋_GB2312"/>
          <w:b/>
          <w:sz w:val="24"/>
          <w:szCs w:val="24"/>
        </w:rPr>
        <w:t>一、评标方法</w:t>
      </w:r>
    </w:p>
    <w:p w14:paraId="091E350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1.本项目采用综合评分法。综合评分法，是指投标文件满足招标文件全部实质性要求，且按照评审因素的量化指标评审得分最高的投标人为中标候选人的评标方法。评分过程中采用四舍五入法，并保留小数2位。</w:t>
      </w:r>
    </w:p>
    <w:p w14:paraId="5D036147">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二、评标标准</w:t>
      </w:r>
    </w:p>
    <w:p w14:paraId="4BD09A2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 评标标准：见评标办法前附表。</w:t>
      </w:r>
    </w:p>
    <w:p w14:paraId="5F209AD1">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三、评标程序</w:t>
      </w:r>
    </w:p>
    <w:p w14:paraId="05DD330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3.1符合性审查。评标委员会应当对符合资格的投标人的投标文件进行符合性审查，以确定其是否满足招标文件的实质性要求。不满足招标文件的实质性要求的，投标无效。</w:t>
      </w:r>
    </w:p>
    <w:p w14:paraId="47E0A96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 比较与评价。评标委员会应当按照招标文件中规定的评标方法和标准，对符合性审查合格的投标文件进行商务和技术评估，综合比较与评价。</w:t>
      </w:r>
    </w:p>
    <w:p w14:paraId="47DC28B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3.3汇总商务技术得分。评标委员会各成员应当独立对每个投标人的商务和技术文件进行评价，并汇总商务技术得分情况。</w:t>
      </w:r>
    </w:p>
    <w:p w14:paraId="02E5543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3.4报价评审。</w:t>
      </w:r>
    </w:p>
    <w:p w14:paraId="38E23ED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3.4.1投标文件报价出现前后不一致的，按照下列规定修正：</w:t>
      </w:r>
    </w:p>
    <w:p w14:paraId="4190F98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3.4.1.1投标文件中开标一览表(报价表)内容与投标文件中相应内容不一致的，以开标一览表(报价表)为准;</w:t>
      </w:r>
    </w:p>
    <w:p w14:paraId="2041493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3.4.1.2大写金额和小写金额不一致的，以大写金额为准;</w:t>
      </w:r>
    </w:p>
    <w:p w14:paraId="45370AF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3.4.1.3单价金额小数点或者百分比有明显错位的，以开标一览表的总价为准，并修改单价;</w:t>
      </w:r>
    </w:p>
    <w:p w14:paraId="71428A2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3.4.1.4总价金额与按单价汇总金额不一致的，以单价金额计算结果为准。</w:t>
      </w:r>
    </w:p>
    <w:p w14:paraId="2A698B2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3.4.1.5同时出现两种以上不一致的，按照3.4.1规定的顺序修正。修正后的报价按照财政部第87号令 《政府采购货物和服务招标投标管理办法》第五十一条第二款的规定经投标人确认后产生约束力。</w:t>
      </w:r>
    </w:p>
    <w:p w14:paraId="5292604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3.4.2投标文件出现不是唯一的、有选择性投标报价的，投标无效。</w:t>
      </w:r>
    </w:p>
    <w:p w14:paraId="776150C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3.4.3投标报价超过招标文件中规定的预算金额或者最高限价的，投标无效。</w:t>
      </w:r>
    </w:p>
    <w:p w14:paraId="6C3B353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F221B8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3.5排序与推荐。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E4C014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8B4238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3.6编写评标报告。评标委员会根据全体评标成员签字的原始评标记录和评标结果编写评标报告，由采购人委托评标委员会在评标报告确定的中标候选人名单中按顺序确定中标人。评标委员会成员对需要共同认定的事项存在争议的，应当按照少数服从多数的原则作出结论。持不同意见的评标委员会成员应当在评标报告上签署不同意见及理由，否则视为同意评标报告。</w:t>
      </w:r>
    </w:p>
    <w:p w14:paraId="6C778AD7">
      <w:pPr>
        <w:spacing w:line="420" w:lineRule="exact"/>
        <w:ind w:firstLine="602" w:firstLineChars="250"/>
        <w:contextualSpacing/>
        <w:rPr>
          <w:rFonts w:ascii="仿宋_GB2312" w:eastAsia="仿宋_GB2312"/>
          <w:b/>
          <w:sz w:val="24"/>
          <w:szCs w:val="24"/>
        </w:rPr>
      </w:pPr>
      <w:r>
        <w:rPr>
          <w:rFonts w:hint="eastAsia" w:ascii="仿宋_GB2312" w:eastAsia="仿宋_GB2312"/>
          <w:b/>
          <w:sz w:val="24"/>
          <w:szCs w:val="24"/>
        </w:rPr>
        <w:t>四、评标中的其他事项</w:t>
      </w:r>
    </w:p>
    <w:p w14:paraId="5B2C930F">
      <w:pPr>
        <w:spacing w:line="420" w:lineRule="exact"/>
        <w:ind w:firstLine="600" w:firstLineChars="250"/>
        <w:contextualSpacing/>
        <w:rPr>
          <w:rFonts w:ascii="仿宋_GB2312" w:eastAsia="仿宋_GB2312"/>
          <w:sz w:val="24"/>
          <w:szCs w:val="24"/>
        </w:rPr>
      </w:pPr>
      <w:r>
        <w:rPr>
          <w:rFonts w:hint="eastAsia" w:ascii="仿宋_GB2312" w:eastAsia="仿宋_GB2312"/>
          <w:sz w:val="24"/>
          <w:szCs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33FA81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4.2投标无效。有下列情况之一的，投标无效：</w:t>
      </w:r>
    </w:p>
    <w:p w14:paraId="05738D5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4.2.1单位负责人为同一人或者存在直接控股、管理关系的不同供应商参加同一合同项下的政府采购活动的（均无效）；</w:t>
      </w:r>
    </w:p>
    <w:p w14:paraId="1BBD7A4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4.2.2为采购项目提供整体设计、规范编制或者项目管理、监理、检测等服务的供应商再参加该采购项目的其他采购活动的； </w:t>
      </w:r>
    </w:p>
    <w:p w14:paraId="14FE2F3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4.2.3投标人不具备招标文件中规定的资格要求的（投标人未提供有效的资格证明文件的，视为投标人不具备招标文件中规定的资格要求）；</w:t>
      </w:r>
    </w:p>
    <w:p w14:paraId="107EF83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4.2.4如以联合体形式参加政府采购活动的，联合体协议不符合招标文件规定的联合体协议要求的；</w:t>
      </w:r>
    </w:p>
    <w:p w14:paraId="3AA16B4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4.2.5投标文件未按招标文件的澄清、修改的内容编制，又不符合实质性要求的；</w:t>
      </w:r>
    </w:p>
    <w:p w14:paraId="091C046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4.2.6投标文件组成不全或内容字迹模糊辨认不清的而导致评标无法正常进行（经评标委员会认定并允许其当场更正的笔误除外的）；</w:t>
      </w:r>
    </w:p>
    <w:p w14:paraId="23E57E8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w:t>
      </w:r>
      <w:r>
        <w:rPr>
          <w:rFonts w:hint="eastAsia" w:ascii="仿宋_GB2312" w:eastAsia="仿宋_GB2312"/>
          <w:sz w:val="24"/>
          <w:szCs w:val="24"/>
          <w:lang w:val="en-US" w:eastAsia="zh-CN"/>
        </w:rPr>
        <w:t>7</w:t>
      </w:r>
      <w:r>
        <w:rPr>
          <w:rFonts w:hint="eastAsia" w:ascii="仿宋_GB2312" w:eastAsia="仿宋_GB2312"/>
          <w:sz w:val="24"/>
          <w:szCs w:val="24"/>
        </w:rPr>
        <w:t>投标文件未按照招标文件要求签署、盖章的；</w:t>
      </w:r>
    </w:p>
    <w:p w14:paraId="50ABEC8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w:t>
      </w:r>
      <w:r>
        <w:rPr>
          <w:rFonts w:hint="eastAsia" w:ascii="仿宋_GB2312" w:eastAsia="仿宋_GB2312"/>
          <w:sz w:val="24"/>
          <w:szCs w:val="24"/>
          <w:lang w:val="en-US" w:eastAsia="zh-CN"/>
        </w:rPr>
        <w:t>8</w:t>
      </w:r>
      <w:r>
        <w:rPr>
          <w:rFonts w:hint="eastAsia" w:ascii="仿宋_GB2312" w:eastAsia="仿宋_GB2312"/>
          <w:sz w:val="24"/>
          <w:szCs w:val="24"/>
        </w:rPr>
        <w:t>采购人拟采购的产品属于政府强制采购的节能产品品目清单范围的，投标人未按招标文件要求提供国家确定的认证机构出具的、处于有效期之内的节能产品认证证书的；</w:t>
      </w:r>
    </w:p>
    <w:p w14:paraId="242C6B0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w:t>
      </w:r>
      <w:r>
        <w:rPr>
          <w:rFonts w:hint="eastAsia" w:ascii="仿宋_GB2312" w:eastAsia="仿宋_GB2312"/>
          <w:sz w:val="24"/>
          <w:szCs w:val="24"/>
          <w:lang w:val="en-US" w:eastAsia="zh-CN"/>
        </w:rPr>
        <w:t>9</w:t>
      </w:r>
      <w:r>
        <w:rPr>
          <w:rFonts w:hint="eastAsia" w:ascii="仿宋_GB2312" w:eastAsia="仿宋_GB2312"/>
          <w:sz w:val="24"/>
          <w:szCs w:val="24"/>
        </w:rPr>
        <w:t>投标文件含有采购人不能接受的附加条件的；</w:t>
      </w:r>
    </w:p>
    <w:p w14:paraId="586CBF3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0</w:t>
      </w:r>
      <w:r>
        <w:rPr>
          <w:rFonts w:hint="eastAsia" w:ascii="仿宋_GB2312" w:eastAsia="仿宋_GB2312"/>
          <w:sz w:val="24"/>
          <w:szCs w:val="24"/>
        </w:rPr>
        <w:t>投标文件中承诺的投标有效期少于招标文件中载明的投标有效期的；</w:t>
      </w:r>
    </w:p>
    <w:p w14:paraId="0110D6E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1</w:t>
      </w:r>
      <w:r>
        <w:rPr>
          <w:rFonts w:hint="eastAsia" w:ascii="仿宋_GB2312" w:eastAsia="仿宋_GB2312"/>
          <w:sz w:val="24"/>
          <w:szCs w:val="24"/>
        </w:rPr>
        <w:t>投标人所投内容不符合招标文件中实质性要求的；</w:t>
      </w:r>
    </w:p>
    <w:p w14:paraId="1144F3A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2</w:t>
      </w:r>
      <w:r>
        <w:rPr>
          <w:rFonts w:hint="eastAsia" w:ascii="仿宋_GB2312" w:eastAsia="仿宋_GB2312"/>
          <w:sz w:val="24"/>
          <w:szCs w:val="24"/>
        </w:rPr>
        <w:t>投标文件出现不是唯一的、有选择性投标报价的;</w:t>
      </w:r>
    </w:p>
    <w:p w14:paraId="678D98C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3</w:t>
      </w:r>
      <w:r>
        <w:rPr>
          <w:rFonts w:hint="eastAsia" w:ascii="仿宋_GB2312" w:eastAsia="仿宋_GB2312"/>
          <w:sz w:val="24"/>
          <w:szCs w:val="24"/>
        </w:rPr>
        <w:t>投标报价高于本项目采购预算或者最高限价的;</w:t>
      </w:r>
    </w:p>
    <w:p w14:paraId="70A268C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4</w:t>
      </w:r>
      <w:r>
        <w:rPr>
          <w:rFonts w:hint="eastAsia" w:ascii="仿宋_GB2312" w:eastAsia="仿宋_GB2312"/>
          <w:sz w:val="24"/>
          <w:szCs w:val="24"/>
        </w:rPr>
        <w:t>报价明显低于其他通过符合性审查投标人的报价，有可能影响产品质量或者不能诚信履约的，未能按要求提供书面说明或者提交相关证明材料，不能证明其报价合理性的;</w:t>
      </w:r>
    </w:p>
    <w:p w14:paraId="6EF3E1B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5</w:t>
      </w:r>
      <w:r>
        <w:rPr>
          <w:rFonts w:hint="eastAsia" w:ascii="仿宋_GB2312" w:eastAsia="仿宋_GB2312"/>
          <w:sz w:val="24"/>
          <w:szCs w:val="24"/>
        </w:rPr>
        <w:t>《开标一览表（报价表）》填写不完整或字迹不能辨认或有漏项的；</w:t>
      </w:r>
    </w:p>
    <w:p w14:paraId="417D58A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6</w:t>
      </w:r>
      <w:r>
        <w:rPr>
          <w:rFonts w:hint="eastAsia" w:ascii="仿宋_GB2312" w:eastAsia="仿宋_GB2312"/>
          <w:sz w:val="24"/>
          <w:szCs w:val="24"/>
        </w:rPr>
        <w:t>投标人对根据修正原则修正后的报价不确认的；</w:t>
      </w:r>
    </w:p>
    <w:p w14:paraId="35BC963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7</w:t>
      </w:r>
      <w:r>
        <w:rPr>
          <w:rFonts w:hint="eastAsia" w:ascii="仿宋_GB2312" w:eastAsia="仿宋_GB2312"/>
          <w:sz w:val="24"/>
          <w:szCs w:val="24"/>
        </w:rPr>
        <w:t>投标人提供虚假材料投标的（包括但不限于以下情节）；</w:t>
      </w:r>
    </w:p>
    <w:p w14:paraId="3C9740C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7</w:t>
      </w:r>
      <w:r>
        <w:rPr>
          <w:rFonts w:hint="eastAsia" w:ascii="仿宋_GB2312" w:eastAsia="仿宋_GB2312"/>
          <w:sz w:val="24"/>
          <w:szCs w:val="24"/>
        </w:rPr>
        <w:t>.1使用伪造、变造的许可证件；</w:t>
      </w:r>
    </w:p>
    <w:p w14:paraId="4070532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7</w:t>
      </w:r>
      <w:r>
        <w:rPr>
          <w:rFonts w:hint="eastAsia" w:ascii="仿宋_GB2312" w:eastAsia="仿宋_GB2312"/>
          <w:sz w:val="24"/>
          <w:szCs w:val="24"/>
        </w:rPr>
        <w:t>.2提供虚假的财务状况或者业绩；</w:t>
      </w:r>
    </w:p>
    <w:p w14:paraId="2129944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7</w:t>
      </w:r>
      <w:r>
        <w:rPr>
          <w:rFonts w:hint="eastAsia" w:ascii="仿宋_GB2312" w:eastAsia="仿宋_GB2312"/>
          <w:sz w:val="24"/>
          <w:szCs w:val="24"/>
        </w:rPr>
        <w:t>.3提供虚假的项目负责人或者主要技术人员简历、劳动关系证明；</w:t>
      </w:r>
    </w:p>
    <w:p w14:paraId="6B88F3B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7</w:t>
      </w:r>
      <w:r>
        <w:rPr>
          <w:rFonts w:hint="eastAsia" w:ascii="仿宋_GB2312" w:eastAsia="仿宋_GB2312"/>
          <w:sz w:val="24"/>
          <w:szCs w:val="24"/>
        </w:rPr>
        <w:t>.4提供虚假的信用状况；</w:t>
      </w:r>
    </w:p>
    <w:p w14:paraId="656FA65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7</w:t>
      </w:r>
      <w:r>
        <w:rPr>
          <w:rFonts w:hint="eastAsia" w:ascii="仿宋_GB2312" w:eastAsia="仿宋_GB2312"/>
          <w:sz w:val="24"/>
          <w:szCs w:val="24"/>
        </w:rPr>
        <w:t>.5其他弄虚作假的行为。</w:t>
      </w:r>
    </w:p>
    <w:p w14:paraId="4CBE548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8</w:t>
      </w:r>
      <w:r>
        <w:rPr>
          <w:rFonts w:hint="eastAsia" w:ascii="仿宋_GB2312" w:eastAsia="仿宋_GB2312"/>
          <w:sz w:val="24"/>
          <w:szCs w:val="24"/>
        </w:rPr>
        <w:t>投标人有恶意串通、妨碍其他投标人的竞争行为、损害采购人或者其他投标人的合法权益情形的；有下列情形之一的，属于或视为恶意串通，其投标无效：</w:t>
      </w:r>
    </w:p>
    <w:p w14:paraId="2DA4E22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8</w:t>
      </w:r>
      <w:r>
        <w:rPr>
          <w:rFonts w:hint="eastAsia" w:ascii="仿宋_GB2312" w:eastAsia="仿宋_GB2312"/>
          <w:sz w:val="24"/>
          <w:szCs w:val="24"/>
        </w:rPr>
        <w:t>.1供应商直接或者间接从采购人或者采购代理机构处获得其他供应商的相关情况并修改其投标文件或者响应文件；</w:t>
      </w:r>
    </w:p>
    <w:p w14:paraId="6DB4670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8</w:t>
      </w:r>
      <w:r>
        <w:rPr>
          <w:rFonts w:hint="eastAsia" w:ascii="仿宋_GB2312" w:eastAsia="仿宋_GB2312"/>
          <w:sz w:val="24"/>
          <w:szCs w:val="24"/>
        </w:rPr>
        <w:t>.2供应商按照采购人或者采购代理机构的授意撤换、修改投标文件或者响应文件；</w:t>
      </w:r>
    </w:p>
    <w:p w14:paraId="19DA6F9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8</w:t>
      </w:r>
      <w:r>
        <w:rPr>
          <w:rFonts w:hint="eastAsia" w:ascii="仿宋_GB2312" w:eastAsia="仿宋_GB2312"/>
          <w:sz w:val="24"/>
          <w:szCs w:val="24"/>
        </w:rPr>
        <w:t>.3供应商之间协商报价、技术方案等投标文件或者响应文件的实质性内容；</w:t>
      </w:r>
    </w:p>
    <w:p w14:paraId="54F272A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8</w:t>
      </w:r>
      <w:r>
        <w:rPr>
          <w:rFonts w:hint="eastAsia" w:ascii="仿宋_GB2312" w:eastAsia="仿宋_GB2312"/>
          <w:sz w:val="24"/>
          <w:szCs w:val="24"/>
        </w:rPr>
        <w:t>.4属于同一集团、协会、商会等组织成员的供应商按照该组织要求协同参加政府采购活动；</w:t>
      </w:r>
    </w:p>
    <w:p w14:paraId="647901B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8</w:t>
      </w:r>
      <w:r>
        <w:rPr>
          <w:rFonts w:hint="eastAsia" w:ascii="仿宋_GB2312" w:eastAsia="仿宋_GB2312"/>
          <w:sz w:val="24"/>
          <w:szCs w:val="24"/>
        </w:rPr>
        <w:t>.5供应商之间事先约定由某一特定供应商中标、成交；</w:t>
      </w:r>
    </w:p>
    <w:p w14:paraId="582C982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8</w:t>
      </w:r>
      <w:r>
        <w:rPr>
          <w:rFonts w:hint="eastAsia" w:ascii="仿宋_GB2312" w:eastAsia="仿宋_GB2312"/>
          <w:sz w:val="24"/>
          <w:szCs w:val="24"/>
        </w:rPr>
        <w:t>.6供应商之间商定部分供应商放弃参加政府采购活动或者放弃中标、成交；</w:t>
      </w:r>
    </w:p>
    <w:p w14:paraId="0841166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8</w:t>
      </w:r>
      <w:r>
        <w:rPr>
          <w:rFonts w:hint="eastAsia" w:ascii="仿宋_GB2312" w:eastAsia="仿宋_GB2312"/>
          <w:sz w:val="24"/>
          <w:szCs w:val="24"/>
        </w:rPr>
        <w:t>.7供应商与采购人或者采购代理机构之间、供应商相互之间，为谋求特定供应商中标、成交或者排斥其他供应商的其他串通行为。</w:t>
      </w:r>
    </w:p>
    <w:p w14:paraId="154DC15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8</w:t>
      </w:r>
      <w:r>
        <w:rPr>
          <w:rFonts w:hint="eastAsia" w:ascii="仿宋_GB2312" w:eastAsia="仿宋_GB2312"/>
          <w:sz w:val="24"/>
          <w:szCs w:val="24"/>
        </w:rPr>
        <w:t>.8不同投标人的投标文件由同一单位或者个人编制；</w:t>
      </w:r>
    </w:p>
    <w:p w14:paraId="5D551EE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8</w:t>
      </w:r>
      <w:r>
        <w:rPr>
          <w:rFonts w:hint="eastAsia" w:ascii="仿宋_GB2312" w:eastAsia="仿宋_GB2312"/>
          <w:sz w:val="24"/>
          <w:szCs w:val="24"/>
        </w:rPr>
        <w:t>.9不同投标人委托同一单位或者个人办理投标事宜；</w:t>
      </w:r>
    </w:p>
    <w:p w14:paraId="15A3A11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8</w:t>
      </w:r>
      <w:r>
        <w:rPr>
          <w:rFonts w:hint="eastAsia" w:ascii="仿宋_GB2312" w:eastAsia="仿宋_GB2312"/>
          <w:sz w:val="24"/>
          <w:szCs w:val="24"/>
        </w:rPr>
        <w:t>.10不同投标人的投标文件载明的项目管理成员或者联系人员为同一人；</w:t>
      </w:r>
    </w:p>
    <w:p w14:paraId="373AF39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8</w:t>
      </w:r>
      <w:r>
        <w:rPr>
          <w:rFonts w:hint="eastAsia" w:ascii="仿宋_GB2312" w:eastAsia="仿宋_GB2312"/>
          <w:sz w:val="24"/>
          <w:szCs w:val="24"/>
        </w:rPr>
        <w:t>.11不同投标人的投标文件异常一致或者投标报价呈规律性差异；</w:t>
      </w:r>
    </w:p>
    <w:p w14:paraId="28C66CC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w:t>
      </w:r>
      <w:r>
        <w:rPr>
          <w:rFonts w:hint="eastAsia" w:ascii="仿宋_GB2312" w:eastAsia="仿宋_GB2312"/>
          <w:sz w:val="24"/>
          <w:szCs w:val="24"/>
          <w:lang w:val="en-US" w:eastAsia="zh-CN"/>
        </w:rPr>
        <w:t>8</w:t>
      </w:r>
      <w:r>
        <w:rPr>
          <w:rFonts w:hint="eastAsia" w:ascii="仿宋_GB2312" w:eastAsia="仿宋_GB2312"/>
          <w:sz w:val="24"/>
          <w:szCs w:val="24"/>
        </w:rPr>
        <w:t>.12不同投标人的投标文件相互混装；</w:t>
      </w:r>
    </w:p>
    <w:p w14:paraId="26DD220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w:t>
      </w:r>
      <w:r>
        <w:rPr>
          <w:rFonts w:hint="eastAsia" w:ascii="仿宋_GB2312" w:eastAsia="仿宋_GB2312"/>
          <w:sz w:val="24"/>
          <w:szCs w:val="24"/>
          <w:lang w:val="en-US" w:eastAsia="zh-CN"/>
        </w:rPr>
        <w:t>19</w:t>
      </w:r>
      <w:r>
        <w:rPr>
          <w:rFonts w:hint="eastAsia" w:ascii="仿宋_GB2312" w:eastAsia="仿宋_GB2312"/>
          <w:sz w:val="24"/>
          <w:szCs w:val="24"/>
        </w:rPr>
        <w:t>投标人仅提交备份投标文件，没有在电子交易平台传输递交投标文件的，投标无效；</w:t>
      </w:r>
    </w:p>
    <w:p w14:paraId="2D82FF3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w:t>
      </w:r>
      <w:r>
        <w:rPr>
          <w:rFonts w:hint="eastAsia" w:ascii="仿宋_GB2312" w:eastAsia="仿宋_GB2312"/>
          <w:sz w:val="24"/>
          <w:szCs w:val="24"/>
          <w:lang w:val="en-US" w:eastAsia="zh-CN"/>
        </w:rPr>
        <w:t>0</w:t>
      </w:r>
      <w:r>
        <w:rPr>
          <w:rFonts w:hint="eastAsia" w:ascii="仿宋_GB2312" w:eastAsia="仿宋_GB2312"/>
          <w:sz w:val="24"/>
          <w:szCs w:val="24"/>
        </w:rPr>
        <w:t>以联合体形式投标的，在资格文件和商务技术文件中均未提供联合协议的，投标无效；</w:t>
      </w:r>
    </w:p>
    <w:p w14:paraId="20B629D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w:t>
      </w:r>
      <w:r>
        <w:rPr>
          <w:rFonts w:hint="eastAsia" w:ascii="仿宋_GB2312" w:eastAsia="仿宋_GB2312"/>
          <w:sz w:val="24"/>
          <w:szCs w:val="24"/>
          <w:lang w:val="en-US" w:eastAsia="zh-CN"/>
        </w:rPr>
        <w:t>1</w:t>
      </w:r>
      <w:r>
        <w:rPr>
          <w:rFonts w:hint="eastAsia" w:ascii="仿宋_GB2312" w:eastAsia="仿宋_GB2312"/>
          <w:sz w:val="24"/>
          <w:szCs w:val="24"/>
        </w:rPr>
        <w:t>以分包方式履行合同的，在资格文件和商务技术文件中均未提供分包意向协议的，投标无效；</w:t>
      </w:r>
    </w:p>
    <w:p w14:paraId="59E8761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w:t>
      </w:r>
      <w:r>
        <w:rPr>
          <w:rFonts w:hint="eastAsia" w:ascii="仿宋_GB2312" w:eastAsia="仿宋_GB2312"/>
          <w:sz w:val="24"/>
          <w:szCs w:val="24"/>
          <w:lang w:val="en-US" w:eastAsia="zh-CN"/>
        </w:rPr>
        <w:t>2</w:t>
      </w:r>
      <w:r>
        <w:rPr>
          <w:rFonts w:hint="eastAsia" w:ascii="仿宋_GB2312" w:eastAsia="仿宋_GB2312"/>
          <w:sz w:val="24"/>
          <w:szCs w:val="24"/>
        </w:rPr>
        <w:t xml:space="preserve"> 专门面向中小企业采购的，在资格文件和商务技术文件中均未提供中小企业声明函的，投标无效；</w:t>
      </w:r>
    </w:p>
    <w:p w14:paraId="365FC7A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w:t>
      </w:r>
      <w:r>
        <w:rPr>
          <w:rFonts w:hint="eastAsia" w:ascii="仿宋_GB2312" w:eastAsia="仿宋_GB2312"/>
          <w:sz w:val="24"/>
          <w:szCs w:val="24"/>
          <w:lang w:val="en-US" w:eastAsia="zh-CN"/>
        </w:rPr>
        <w:t>3</w:t>
      </w:r>
      <w:r>
        <w:rPr>
          <w:rFonts w:hint="eastAsia" w:ascii="仿宋_GB2312" w:eastAsia="仿宋_GB2312"/>
          <w:sz w:val="24"/>
          <w:szCs w:val="24"/>
        </w:rPr>
        <w:t>法律、法规、规章（适用本市的）及省级以上规范性文件（适用本市的）规定的其他无效情形；</w:t>
      </w:r>
    </w:p>
    <w:p w14:paraId="4D4619D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w:t>
      </w:r>
      <w:r>
        <w:rPr>
          <w:rFonts w:hint="eastAsia" w:ascii="仿宋_GB2312" w:eastAsia="仿宋_GB2312"/>
          <w:sz w:val="24"/>
          <w:szCs w:val="24"/>
          <w:lang w:val="en-US" w:eastAsia="zh-CN"/>
        </w:rPr>
        <w:t>4</w:t>
      </w:r>
      <w:r>
        <w:rPr>
          <w:rFonts w:hint="eastAsia" w:ascii="仿宋_GB2312" w:eastAsia="仿宋_GB2312"/>
          <w:sz w:val="24"/>
          <w:szCs w:val="24"/>
        </w:rPr>
        <w:t>参与同一个采购包（标项）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8B0AD4F">
      <w:pPr>
        <w:spacing w:line="420" w:lineRule="exact"/>
        <w:ind w:firstLine="480" w:firstLineChars="200"/>
        <w:contextualSpacing/>
        <w:rPr>
          <w:rFonts w:ascii="仿宋_GB2312" w:hAnsi="仿宋" w:eastAsia="仿宋_GB2312"/>
          <w:sz w:val="24"/>
          <w:szCs w:val="24"/>
        </w:rPr>
      </w:pPr>
      <w:r>
        <w:rPr>
          <w:rFonts w:hint="eastAsia" w:ascii="仿宋_GB2312" w:hAnsi="仿宋" w:eastAsia="仿宋_GB2312"/>
          <w:sz w:val="24"/>
          <w:szCs w:val="24"/>
        </w:rPr>
        <w:t>4.2.2</w:t>
      </w:r>
      <w:r>
        <w:rPr>
          <w:rFonts w:hint="eastAsia" w:ascii="仿宋_GB2312" w:hAnsi="仿宋" w:eastAsia="仿宋_GB2312"/>
          <w:sz w:val="24"/>
          <w:szCs w:val="24"/>
          <w:lang w:val="en-US" w:eastAsia="zh-CN"/>
        </w:rPr>
        <w:t>5</w:t>
      </w:r>
      <w:r>
        <w:rPr>
          <w:rFonts w:hint="eastAsia" w:ascii="仿宋_GB2312" w:hAnsi="仿宋" w:eastAsia="仿宋_GB2312"/>
          <w:sz w:val="24"/>
          <w:szCs w:val="24"/>
        </w:rPr>
        <w:t>投标文件不满足招标文件的其它实质性要求的。</w:t>
      </w:r>
    </w:p>
    <w:p w14:paraId="25DED91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5.废标。根据《中华人民共和国政府采购法》第三十六条之规定，在采购中，出现下列情形之一的，应予废标：</w:t>
      </w:r>
    </w:p>
    <w:p w14:paraId="42FEF8B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5.1符合专业条件的供应商或者对招标文件作实质响应的供应商不足3家的；</w:t>
      </w:r>
    </w:p>
    <w:p w14:paraId="5DE1B4A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5.2出现影响采购公正的违法、违规行为的；</w:t>
      </w:r>
    </w:p>
    <w:p w14:paraId="4709ABF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5.3投标人的报价均超过了采购预算，采购人不能支付的；</w:t>
      </w:r>
    </w:p>
    <w:p w14:paraId="2F0A6B9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5.4因重大变故，采购任务取消的。</w:t>
      </w:r>
    </w:p>
    <w:p w14:paraId="35FB5EA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废标后，采购代理机构应当将废标理由通知所有投标人。</w:t>
      </w:r>
    </w:p>
    <w:p w14:paraId="707123A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188AC3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7.重新开展采购。有政府采购法第七十一条、第七十二条规定的违法行为之一，影响或者可能影响中标、成交结果的，依照下列规定处理：</w:t>
      </w:r>
    </w:p>
    <w:p w14:paraId="782BA45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7.1未确定中标或者中标人的，终止本次政府采购活动，重新开展政府采购活动。</w:t>
      </w:r>
    </w:p>
    <w:p w14:paraId="4418F99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738E6AA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7.3政府采购合同已签订但尚未履行的，撤销合同，从合格的中标或者成交候选人中另行确定中标或者中标人；没有合格的中标或者成交候选人的，重新开展政府采购活动。</w:t>
      </w:r>
    </w:p>
    <w:p w14:paraId="4A3BB8A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7.4政府采购合同已经履行，给采购人、供应商造成损失的，由责任人承担赔偿责任。</w:t>
      </w:r>
    </w:p>
    <w:p w14:paraId="1B375DE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7.5政府采购当事人有其他违反政府采购法或者政府采购法实施条例等法律法规规定的行为，经改正后仍然影响或者可能影响中标、成交结果或者依法被认定为中标、成交无效的，依照7.1-7.4规定处理。</w:t>
      </w:r>
    </w:p>
    <w:p w14:paraId="1A37A27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8.评审过程的保密与录像</w:t>
      </w:r>
    </w:p>
    <w:p w14:paraId="72B0D1B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496C3B5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9.录音录像。采购代理机构对评审工作现场进行全过程录音录像，录音录像资料作为采购项目文件随其他文件一并存档。</w:t>
      </w:r>
    </w:p>
    <w:bookmarkEnd w:id="28"/>
    <w:p w14:paraId="41734746">
      <w:pPr>
        <w:spacing w:line="420" w:lineRule="exact"/>
        <w:contextualSpacing/>
        <w:rPr>
          <w:rFonts w:ascii="仿宋_GB2312" w:eastAsia="仿宋_GB2312"/>
          <w:b/>
          <w:sz w:val="24"/>
          <w:szCs w:val="24"/>
        </w:rPr>
      </w:pPr>
      <w:bookmarkStart w:id="397" w:name="第五部分"/>
      <w:bookmarkStart w:id="398" w:name="_Toc86217003"/>
    </w:p>
    <w:p w14:paraId="0C85F5DB">
      <w:pPr>
        <w:spacing w:line="560" w:lineRule="exact"/>
        <w:jc w:val="center"/>
        <w:outlineLvl w:val="0"/>
        <w:rPr>
          <w:rFonts w:ascii="仿宋_GB2312" w:hAnsi="宋体" w:eastAsia="仿宋_GB2312" w:cs="宋体"/>
          <w:b/>
          <w:sz w:val="28"/>
          <w:szCs w:val="28"/>
        </w:rPr>
      </w:pPr>
      <w:r>
        <w:rPr>
          <w:rFonts w:hint="eastAsia" w:ascii="仿宋_GB2312" w:hAnsi="宋体" w:eastAsia="仿宋_GB2312" w:cs="宋体"/>
          <w:b/>
          <w:sz w:val="28"/>
          <w:szCs w:val="28"/>
        </w:rPr>
        <w:t>第五部分 拟签订的合同文本</w:t>
      </w:r>
    </w:p>
    <w:p w14:paraId="24CFAE06">
      <w:pPr>
        <w:spacing w:line="520" w:lineRule="exact"/>
        <w:jc w:val="center"/>
        <w:rPr>
          <w:rFonts w:ascii="仿宋_GB2312" w:hAnsi="宋体" w:eastAsia="仿宋_GB2312" w:cs="宋体"/>
          <w:sz w:val="24"/>
        </w:rPr>
      </w:pPr>
      <w:r>
        <w:rPr>
          <w:rFonts w:hint="eastAsia" w:ascii="仿宋_GB2312" w:hAnsi="宋体" w:eastAsia="仿宋_GB2312" w:cs="宋体"/>
          <w:sz w:val="24"/>
        </w:rPr>
        <w:t>（本合同为合同样稿，最终稿由签署各方协商后确定）</w:t>
      </w:r>
    </w:p>
    <w:p w14:paraId="34976384">
      <w:pPr>
        <w:spacing w:line="480" w:lineRule="exact"/>
        <w:contextualSpacing/>
        <w:rPr>
          <w:rFonts w:ascii="仿宋_GB2312" w:eastAsia="仿宋_GB2312"/>
          <w:sz w:val="24"/>
          <w:szCs w:val="24"/>
        </w:rPr>
      </w:pPr>
      <w:r>
        <w:rPr>
          <w:rFonts w:hint="eastAsia" w:ascii="仿宋_GB2312" w:eastAsia="仿宋_GB2312"/>
          <w:sz w:val="24"/>
          <w:szCs w:val="24"/>
        </w:rPr>
        <w:t>舟山市体育中心（舟山市全民健身中心）物业管理服务合同</w:t>
      </w:r>
    </w:p>
    <w:p w14:paraId="3098420E">
      <w:pPr>
        <w:spacing w:line="480" w:lineRule="exact"/>
        <w:contextualSpacing/>
        <w:rPr>
          <w:rFonts w:ascii="仿宋_GB2312" w:eastAsia="仿宋_GB2312"/>
          <w:sz w:val="24"/>
          <w:szCs w:val="24"/>
        </w:rPr>
      </w:pPr>
      <w:r>
        <w:rPr>
          <w:rFonts w:hint="eastAsia" w:ascii="仿宋_GB2312" w:eastAsia="仿宋_GB2312"/>
          <w:sz w:val="24"/>
          <w:szCs w:val="24"/>
        </w:rPr>
        <w:t>合同编号：</w:t>
      </w:r>
    </w:p>
    <w:p w14:paraId="3EE35D91">
      <w:pPr>
        <w:spacing w:line="480" w:lineRule="exact"/>
        <w:contextualSpacing/>
        <w:rPr>
          <w:rFonts w:ascii="仿宋_GB2312" w:eastAsia="仿宋_GB2312"/>
          <w:sz w:val="24"/>
          <w:szCs w:val="24"/>
        </w:rPr>
      </w:pPr>
      <w:r>
        <w:rPr>
          <w:rFonts w:hint="eastAsia" w:ascii="仿宋_GB2312" w:eastAsia="仿宋_GB2312"/>
          <w:sz w:val="24"/>
          <w:szCs w:val="24"/>
        </w:rPr>
        <w:t>甲方：舟山市体育中心（舟山市全民健身中心）      签订地点：</w:t>
      </w:r>
    </w:p>
    <w:p w14:paraId="2FB19F86">
      <w:pPr>
        <w:spacing w:line="480" w:lineRule="exact"/>
        <w:contextualSpacing/>
        <w:rPr>
          <w:rFonts w:ascii="仿宋_GB2312" w:eastAsia="仿宋_GB2312"/>
          <w:sz w:val="24"/>
          <w:szCs w:val="24"/>
        </w:rPr>
      </w:pPr>
      <w:r>
        <w:rPr>
          <w:rFonts w:hint="eastAsia" w:ascii="仿宋_GB2312" w:eastAsia="仿宋_GB2312"/>
          <w:sz w:val="24"/>
          <w:szCs w:val="24"/>
        </w:rPr>
        <w:t xml:space="preserve">乙方：                                 签订日期：     年     月 </w:t>
      </w:r>
    </w:p>
    <w:p w14:paraId="6D7B1E96">
      <w:pPr>
        <w:spacing w:line="480" w:lineRule="exact"/>
        <w:ind w:firstLine="480" w:firstLineChars="200"/>
        <w:contextualSpacing/>
        <w:rPr>
          <w:rFonts w:ascii="仿宋_GB2312" w:eastAsia="仿宋_GB2312"/>
          <w:sz w:val="24"/>
          <w:szCs w:val="24"/>
        </w:rPr>
      </w:pPr>
      <w:r>
        <w:rPr>
          <w:rFonts w:hint="eastAsia" w:ascii="仿宋_GB2312" w:eastAsia="仿宋_GB2312"/>
          <w:sz w:val="24"/>
          <w:szCs w:val="24"/>
        </w:rPr>
        <w:t>甲乙双方根据《中华人民共和国合同法》等有关法律法规和本合同的招标文件、投标文件及承诺，经双方友好协商，同意签订本合同，共同遵守。</w:t>
      </w:r>
    </w:p>
    <w:p w14:paraId="72D860F6">
      <w:pPr>
        <w:spacing w:line="480" w:lineRule="exact"/>
        <w:contextualSpacing/>
        <w:rPr>
          <w:rFonts w:ascii="仿宋_GB2312" w:eastAsia="仿宋_GB2312"/>
          <w:sz w:val="24"/>
          <w:szCs w:val="24"/>
        </w:rPr>
      </w:pPr>
      <w:r>
        <w:rPr>
          <w:rFonts w:hint="eastAsia" w:ascii="仿宋_GB2312" w:eastAsia="仿宋_GB2312"/>
          <w:sz w:val="24"/>
          <w:szCs w:val="24"/>
        </w:rPr>
        <w:t>1、承包内容和承包期限</w:t>
      </w:r>
    </w:p>
    <w:p w14:paraId="3C09CE55">
      <w:pPr>
        <w:spacing w:line="480" w:lineRule="exact"/>
        <w:contextualSpacing/>
        <w:rPr>
          <w:rFonts w:ascii="仿宋_GB2312" w:eastAsia="仿宋_GB2312"/>
          <w:sz w:val="24"/>
          <w:szCs w:val="24"/>
        </w:rPr>
      </w:pPr>
      <w:r>
        <w:rPr>
          <w:rFonts w:hint="eastAsia" w:ascii="仿宋_GB2312" w:eastAsia="仿宋_GB2312"/>
          <w:sz w:val="24"/>
          <w:szCs w:val="24"/>
        </w:rPr>
        <w:t>1.1根据招标文件第一部分的内容；提供舟山市体育中心（舟山市全民健身中心）202</w:t>
      </w:r>
      <w:r>
        <w:rPr>
          <w:rFonts w:ascii="仿宋_GB2312" w:eastAsia="仿宋_GB2312"/>
          <w:sz w:val="24"/>
          <w:szCs w:val="24"/>
        </w:rPr>
        <w:t>5</w:t>
      </w:r>
      <w:r>
        <w:rPr>
          <w:rFonts w:hint="eastAsia" w:ascii="仿宋_GB2312" w:eastAsia="仿宋_GB2312"/>
          <w:sz w:val="24"/>
          <w:szCs w:val="24"/>
        </w:rPr>
        <w:t>-202</w:t>
      </w:r>
      <w:r>
        <w:rPr>
          <w:rFonts w:ascii="仿宋_GB2312" w:eastAsia="仿宋_GB2312"/>
          <w:sz w:val="24"/>
          <w:szCs w:val="24"/>
        </w:rPr>
        <w:t>6</w:t>
      </w:r>
      <w:r>
        <w:rPr>
          <w:rFonts w:hint="eastAsia" w:ascii="仿宋_GB2312" w:eastAsia="仿宋_GB2312"/>
          <w:sz w:val="24"/>
          <w:szCs w:val="24"/>
        </w:rPr>
        <w:t>年物业管理服务项目。</w:t>
      </w:r>
    </w:p>
    <w:p w14:paraId="40C2BB59">
      <w:pPr>
        <w:spacing w:line="480" w:lineRule="exact"/>
        <w:contextualSpacing/>
        <w:rPr>
          <w:rFonts w:ascii="仿宋_GB2312" w:eastAsia="仿宋_GB2312"/>
          <w:sz w:val="24"/>
          <w:szCs w:val="24"/>
        </w:rPr>
      </w:pPr>
      <w:r>
        <w:rPr>
          <w:rFonts w:hint="eastAsia" w:ascii="仿宋_GB2312" w:eastAsia="仿宋_GB2312"/>
          <w:sz w:val="24"/>
          <w:szCs w:val="24"/>
        </w:rPr>
        <w:t>1.2本次合同承包期为 一 年，服务期为  202</w:t>
      </w:r>
      <w:r>
        <w:rPr>
          <w:rFonts w:ascii="仿宋_GB2312" w:eastAsia="仿宋_GB2312"/>
          <w:sz w:val="24"/>
          <w:szCs w:val="24"/>
        </w:rPr>
        <w:t>5</w:t>
      </w:r>
      <w:r>
        <w:rPr>
          <w:rFonts w:hint="eastAsia" w:ascii="仿宋_GB2312" w:eastAsia="仿宋_GB2312"/>
          <w:sz w:val="24"/>
          <w:szCs w:val="24"/>
        </w:rPr>
        <w:t xml:space="preserve">  年  </w:t>
      </w:r>
      <w:r>
        <w:rPr>
          <w:rFonts w:hint="eastAsia" w:ascii="仿宋_GB2312" w:eastAsia="仿宋_GB2312"/>
          <w:sz w:val="24"/>
          <w:szCs w:val="24"/>
          <w:lang w:val="en-US" w:eastAsia="zh-CN"/>
        </w:rPr>
        <w:t>8</w:t>
      </w:r>
      <w:r>
        <w:rPr>
          <w:rFonts w:hint="eastAsia" w:ascii="仿宋_GB2312" w:eastAsia="仿宋_GB2312"/>
          <w:sz w:val="24"/>
          <w:szCs w:val="24"/>
        </w:rPr>
        <w:t xml:space="preserve">  月  1  日至 202</w:t>
      </w:r>
      <w:r>
        <w:rPr>
          <w:rFonts w:ascii="仿宋_GB2312" w:eastAsia="仿宋_GB2312"/>
          <w:sz w:val="24"/>
          <w:szCs w:val="24"/>
        </w:rPr>
        <w:t>6</w:t>
      </w:r>
      <w:r>
        <w:rPr>
          <w:rFonts w:hint="eastAsia" w:ascii="仿宋_GB2312" w:eastAsia="仿宋_GB2312"/>
          <w:sz w:val="24"/>
          <w:szCs w:val="24"/>
        </w:rPr>
        <w:t xml:space="preserve">年  </w:t>
      </w:r>
      <w:r>
        <w:rPr>
          <w:rFonts w:hint="eastAsia" w:ascii="仿宋_GB2312" w:eastAsia="仿宋_GB2312"/>
          <w:sz w:val="24"/>
          <w:szCs w:val="24"/>
          <w:lang w:val="en-US" w:eastAsia="zh-CN"/>
        </w:rPr>
        <w:t>7</w:t>
      </w:r>
      <w:r>
        <w:rPr>
          <w:rFonts w:hint="eastAsia" w:ascii="仿宋_GB2312" w:eastAsia="仿宋_GB2312"/>
          <w:sz w:val="24"/>
          <w:szCs w:val="24"/>
        </w:rPr>
        <w:t xml:space="preserve">  月  3</w:t>
      </w:r>
      <w:r>
        <w:rPr>
          <w:rFonts w:hint="eastAsia" w:ascii="仿宋_GB2312" w:eastAsia="仿宋_GB2312"/>
          <w:sz w:val="24"/>
          <w:szCs w:val="24"/>
          <w:lang w:val="en-US" w:eastAsia="zh-CN"/>
        </w:rPr>
        <w:t>1</w:t>
      </w:r>
      <w:r>
        <w:rPr>
          <w:rFonts w:hint="eastAsia" w:ascii="仿宋_GB2312" w:eastAsia="仿宋_GB2312"/>
          <w:sz w:val="24"/>
          <w:szCs w:val="24"/>
        </w:rPr>
        <w:t xml:space="preserve">  日。</w:t>
      </w:r>
    </w:p>
    <w:p w14:paraId="77B1A675">
      <w:pPr>
        <w:spacing w:line="480" w:lineRule="exact"/>
        <w:contextualSpacing/>
        <w:rPr>
          <w:rFonts w:ascii="仿宋_GB2312" w:eastAsia="仿宋_GB2312"/>
          <w:sz w:val="24"/>
          <w:szCs w:val="24"/>
        </w:rPr>
      </w:pPr>
      <w:r>
        <w:rPr>
          <w:rFonts w:hint="eastAsia" w:ascii="仿宋_GB2312" w:eastAsia="仿宋_GB2312"/>
          <w:sz w:val="24"/>
          <w:szCs w:val="24"/>
        </w:rPr>
        <w:t>2、合同价格</w:t>
      </w:r>
    </w:p>
    <w:p w14:paraId="01B19440">
      <w:pPr>
        <w:spacing w:line="480" w:lineRule="exact"/>
        <w:contextualSpacing/>
        <w:rPr>
          <w:rFonts w:ascii="仿宋_GB2312" w:eastAsia="仿宋_GB2312"/>
          <w:sz w:val="24"/>
          <w:szCs w:val="24"/>
        </w:rPr>
      </w:pPr>
      <w:r>
        <w:rPr>
          <w:rFonts w:hint="eastAsia" w:ascii="仿宋_GB2312" w:eastAsia="仿宋_GB2312"/>
          <w:sz w:val="24"/>
          <w:szCs w:val="24"/>
        </w:rPr>
        <w:t>2.1本合同承包总价为人民币万元，项目负责人为： 。</w:t>
      </w:r>
    </w:p>
    <w:p w14:paraId="7A1DC39A">
      <w:pPr>
        <w:spacing w:line="480" w:lineRule="exact"/>
        <w:contextualSpacing/>
        <w:rPr>
          <w:rFonts w:ascii="仿宋_GB2312" w:eastAsia="仿宋_GB2312"/>
          <w:sz w:val="24"/>
          <w:szCs w:val="24"/>
        </w:rPr>
      </w:pPr>
      <w:r>
        <w:rPr>
          <w:rFonts w:hint="eastAsia" w:ascii="仿宋_GB2312" w:eastAsia="仿宋_GB2312"/>
          <w:sz w:val="24"/>
          <w:szCs w:val="24"/>
        </w:rPr>
        <w:t>2.2项目承包总价必须包括乙方在承包区域内提供管理服务所需的一切人员工资、奖金、各种加班费、夜餐费、各种社会保险、食宿与交通、设备及工具、器材、消耗材料、服装、安全、运输（包括垃圾外运）、维修、管理费用、税费、利润、完成合同所需的一切本身和不可或缺的所有工作开支、政策性文件规定及合同包含的所有风险、责任等各项全部费用并承担一切风险责任。除发生下列因素可调整合同价外，不得以任何其他理由调整任何费用。</w:t>
      </w:r>
    </w:p>
    <w:p w14:paraId="7A855838">
      <w:pPr>
        <w:spacing w:line="480" w:lineRule="exact"/>
        <w:contextualSpacing/>
        <w:rPr>
          <w:rFonts w:ascii="仿宋_GB2312" w:eastAsia="仿宋_GB2312"/>
          <w:sz w:val="24"/>
          <w:szCs w:val="24"/>
        </w:rPr>
      </w:pPr>
      <w:r>
        <w:rPr>
          <w:rFonts w:hint="eastAsia" w:ascii="仿宋_GB2312" w:eastAsia="仿宋_GB2312"/>
          <w:sz w:val="24"/>
          <w:szCs w:val="24"/>
        </w:rPr>
        <w:t>（1）甲方提出的承包区域面积或承包内容变更，根据原中标综合单价计算变更费用。但属乙方投标漏项少算的费用不得追补。</w:t>
      </w:r>
    </w:p>
    <w:p w14:paraId="1DB1E728">
      <w:pPr>
        <w:spacing w:line="480" w:lineRule="exact"/>
        <w:contextualSpacing/>
        <w:rPr>
          <w:rFonts w:ascii="仿宋_GB2312" w:eastAsia="仿宋_GB2312"/>
          <w:sz w:val="24"/>
          <w:szCs w:val="24"/>
        </w:rPr>
      </w:pPr>
      <w:r>
        <w:rPr>
          <w:rFonts w:hint="eastAsia" w:ascii="仿宋_GB2312" w:eastAsia="仿宋_GB2312"/>
          <w:sz w:val="24"/>
          <w:szCs w:val="24"/>
        </w:rPr>
        <w:t>（2）发生不可抗力的因素造成乙方直接损失的费用，经鉴定核准，甲方酌情予以一定补偿。但属乙方可以预见、预防，而乙方预防不力所造成的损失，不予补偿，其经济损失由乙方承担。</w:t>
      </w:r>
    </w:p>
    <w:p w14:paraId="1F1CF4C8">
      <w:pPr>
        <w:spacing w:line="480" w:lineRule="exact"/>
        <w:contextualSpacing/>
        <w:rPr>
          <w:rFonts w:ascii="仿宋_GB2312" w:eastAsia="仿宋_GB2312"/>
          <w:sz w:val="24"/>
          <w:szCs w:val="24"/>
        </w:rPr>
      </w:pPr>
      <w:r>
        <w:rPr>
          <w:rFonts w:hint="eastAsia" w:ascii="仿宋_GB2312" w:eastAsia="仿宋_GB2312"/>
          <w:sz w:val="24"/>
          <w:szCs w:val="24"/>
        </w:rPr>
        <w:t>2.3乙方认为为完成本招标文件规定的工程承包内容所需发生的直接成本、间接成本、利润、税金、政策性文件规定的费用、机械进出场费、原材料价格变化风险等一切费用均应计入投标报价；凡未列入的，将被认为均已包含在投标总报价中，今后不得以任何理由追加或调整。</w:t>
      </w:r>
    </w:p>
    <w:p w14:paraId="2F4D7676">
      <w:pPr>
        <w:spacing w:line="440" w:lineRule="exact"/>
        <w:ind w:firstLine="480" w:firstLineChars="200"/>
        <w:rPr>
          <w:rFonts w:ascii="仿宋_GB2312" w:hAnsi="仿宋" w:eastAsia="仿宋_GB2312" w:cs="仿宋"/>
          <w:color w:val="auto"/>
          <w:sz w:val="24"/>
          <w:szCs w:val="24"/>
          <w:highlight w:val="none"/>
        </w:rPr>
      </w:pPr>
      <w:r>
        <w:rPr>
          <w:rFonts w:hint="eastAsia" w:ascii="仿宋_GB2312" w:eastAsia="仿宋_GB2312"/>
          <w:sz w:val="24"/>
          <w:szCs w:val="24"/>
        </w:rPr>
        <w:t>2.4</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lang w:val="en-US" w:eastAsia="zh-CN"/>
        </w:rPr>
        <w:t>1</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rPr>
        <w:t>预付款：</w:t>
      </w:r>
      <w:r>
        <w:rPr>
          <w:rFonts w:hint="eastAsia" w:ascii="仿宋_GB2312" w:hAnsi="仿宋" w:eastAsia="仿宋_GB2312" w:cs="仿宋"/>
          <w:color w:val="auto"/>
          <w:sz w:val="24"/>
          <w:szCs w:val="24"/>
          <w:highlight w:val="none"/>
        </w:rPr>
        <w:t>在合同生效后的7个工作日内，</w:t>
      </w:r>
      <w:r>
        <w:rPr>
          <w:rFonts w:hint="eastAsia" w:ascii="仿宋_GB2312" w:hAnsi="仿宋" w:eastAsia="仿宋_GB2312" w:cs="仿宋"/>
          <w:color w:val="auto"/>
          <w:sz w:val="24"/>
          <w:szCs w:val="24"/>
          <w:highlight w:val="none"/>
          <w:lang w:eastAsia="zh-CN"/>
        </w:rPr>
        <w:t>采购人</w:t>
      </w:r>
      <w:r>
        <w:rPr>
          <w:rFonts w:hint="eastAsia" w:ascii="仿宋_GB2312" w:hAnsi="仿宋" w:eastAsia="仿宋_GB2312" w:cs="仿宋"/>
          <w:color w:val="auto"/>
          <w:sz w:val="24"/>
          <w:szCs w:val="24"/>
          <w:highlight w:val="none"/>
        </w:rPr>
        <w:t>凭</w:t>
      </w:r>
      <w:r>
        <w:rPr>
          <w:rFonts w:hint="eastAsia" w:ascii="仿宋_GB2312" w:hAnsi="仿宋" w:eastAsia="仿宋_GB2312" w:cs="仿宋"/>
          <w:color w:val="auto"/>
          <w:sz w:val="24"/>
          <w:szCs w:val="24"/>
          <w:highlight w:val="none"/>
          <w:lang w:eastAsia="zh-CN"/>
        </w:rPr>
        <w:t>中标人</w:t>
      </w:r>
      <w:r>
        <w:rPr>
          <w:rFonts w:hint="eastAsia" w:ascii="仿宋_GB2312" w:hAnsi="仿宋" w:eastAsia="仿宋_GB2312" w:cs="仿宋"/>
          <w:color w:val="auto"/>
          <w:sz w:val="24"/>
          <w:szCs w:val="24"/>
          <w:highlight w:val="none"/>
        </w:rPr>
        <w:t>提供的正规发票，按财政部门规定的支付方式支付当年度合同金额的</w:t>
      </w:r>
      <w:r>
        <w:rPr>
          <w:rFonts w:hint="eastAsia" w:ascii="仿宋_GB2312" w:hAnsi="仿宋" w:eastAsia="仿宋_GB2312" w:cs="仿宋"/>
          <w:color w:val="auto"/>
          <w:sz w:val="24"/>
          <w:szCs w:val="24"/>
          <w:highlight w:val="none"/>
          <w:lang w:val="en-US" w:eastAsia="zh-CN"/>
        </w:rPr>
        <w:t>20</w:t>
      </w:r>
      <w:r>
        <w:rPr>
          <w:rFonts w:hint="eastAsia" w:ascii="仿宋_GB2312" w:hAnsi="仿宋" w:eastAsia="仿宋_GB2312" w:cs="仿宋"/>
          <w:color w:val="auto"/>
          <w:sz w:val="24"/>
          <w:szCs w:val="24"/>
          <w:highlight w:val="none"/>
        </w:rPr>
        <w:t>%给</w:t>
      </w:r>
      <w:r>
        <w:rPr>
          <w:rFonts w:hint="eastAsia" w:ascii="仿宋_GB2312" w:hAnsi="仿宋" w:eastAsia="仿宋_GB2312" w:cs="仿宋"/>
          <w:color w:val="auto"/>
          <w:sz w:val="24"/>
          <w:szCs w:val="24"/>
          <w:highlight w:val="none"/>
          <w:lang w:eastAsia="zh-CN"/>
        </w:rPr>
        <w:t>中标人</w:t>
      </w:r>
      <w:r>
        <w:rPr>
          <w:rFonts w:hint="eastAsia" w:ascii="仿宋_GB2312" w:hAnsi="仿宋" w:eastAsia="仿宋_GB2312" w:cs="仿宋"/>
          <w:color w:val="auto"/>
          <w:sz w:val="24"/>
          <w:szCs w:val="24"/>
          <w:highlight w:val="none"/>
        </w:rPr>
        <w:t>。</w:t>
      </w:r>
    </w:p>
    <w:p w14:paraId="749813E6">
      <w:pPr>
        <w:spacing w:line="440" w:lineRule="exact"/>
        <w:ind w:firstLine="480" w:firstLineChars="200"/>
        <w:rPr>
          <w:rFonts w:hint="eastAsia" w:ascii="仿宋_GB2312" w:eastAsia="仿宋_GB2312"/>
          <w:color w:val="auto"/>
          <w:sz w:val="24"/>
          <w:szCs w:val="24"/>
          <w:lang w:eastAsia="zh-CN"/>
        </w:rPr>
      </w:pP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lang w:val="en-US" w:eastAsia="zh-CN"/>
        </w:rPr>
        <w:t>2</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rPr>
        <w:t>剩余款项：</w:t>
      </w:r>
      <w:r>
        <w:rPr>
          <w:rFonts w:hint="eastAsia" w:ascii="仿宋_GB2312" w:hAnsi="仿宋" w:eastAsia="仿宋_GB2312" w:cs="仿宋"/>
          <w:color w:val="auto"/>
          <w:sz w:val="24"/>
          <w:szCs w:val="24"/>
          <w:highlight w:val="none"/>
        </w:rPr>
        <w:t>剩余合同金额的</w:t>
      </w:r>
      <w:r>
        <w:rPr>
          <w:rFonts w:hint="eastAsia" w:ascii="仿宋_GB2312" w:hAnsi="仿宋" w:eastAsia="仿宋_GB2312" w:cs="仿宋"/>
          <w:color w:val="auto"/>
          <w:sz w:val="24"/>
          <w:szCs w:val="24"/>
          <w:highlight w:val="none"/>
          <w:lang w:val="en-US" w:eastAsia="zh-CN"/>
        </w:rPr>
        <w:t>80</w:t>
      </w:r>
      <w:r>
        <w:rPr>
          <w:rFonts w:hint="eastAsia"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lang w:eastAsia="zh-CN"/>
        </w:rPr>
        <w:t>满足合同约定支付条件的，按财政部门规定的支付方式</w:t>
      </w:r>
      <w:r>
        <w:rPr>
          <w:rFonts w:hint="eastAsia" w:ascii="仿宋_GB2312" w:eastAsia="仿宋_GB2312"/>
          <w:color w:val="auto"/>
          <w:sz w:val="24"/>
          <w:szCs w:val="24"/>
          <w:lang w:eastAsia="zh-CN"/>
        </w:rPr>
        <w:t>按季度平均支付。</w:t>
      </w:r>
    </w:p>
    <w:p w14:paraId="00A1B08F">
      <w:pPr>
        <w:spacing w:line="480" w:lineRule="exact"/>
        <w:contextualSpacing/>
        <w:rPr>
          <w:rFonts w:ascii="仿宋_GB2312" w:eastAsia="仿宋_GB2312"/>
          <w:color w:val="auto"/>
          <w:sz w:val="24"/>
          <w:szCs w:val="24"/>
        </w:rPr>
      </w:pPr>
      <w:r>
        <w:rPr>
          <w:rFonts w:hint="eastAsia" w:ascii="仿宋_GB2312" w:eastAsia="仿宋_GB2312"/>
          <w:color w:val="auto"/>
          <w:sz w:val="24"/>
          <w:szCs w:val="24"/>
        </w:rPr>
        <w:t>3、甲方责任条款</w:t>
      </w:r>
    </w:p>
    <w:p w14:paraId="09667EFA">
      <w:pPr>
        <w:spacing w:line="480" w:lineRule="exact"/>
        <w:contextualSpacing/>
        <w:rPr>
          <w:rFonts w:ascii="仿宋_GB2312" w:eastAsia="仿宋_GB2312"/>
          <w:sz w:val="24"/>
          <w:szCs w:val="24"/>
        </w:rPr>
      </w:pPr>
      <w:r>
        <w:rPr>
          <w:rFonts w:hint="eastAsia" w:ascii="仿宋_GB2312" w:eastAsia="仿宋_GB2312"/>
          <w:sz w:val="24"/>
          <w:szCs w:val="24"/>
        </w:rPr>
        <w:t>3.1 组织对乙方提供服务的考核。</w:t>
      </w:r>
    </w:p>
    <w:p w14:paraId="410B1AA4">
      <w:pPr>
        <w:spacing w:line="480" w:lineRule="exact"/>
        <w:contextualSpacing/>
        <w:rPr>
          <w:rFonts w:ascii="仿宋_GB2312" w:eastAsia="仿宋_GB2312"/>
          <w:sz w:val="24"/>
          <w:szCs w:val="24"/>
        </w:rPr>
      </w:pPr>
      <w:r>
        <w:rPr>
          <w:rFonts w:hint="eastAsia" w:ascii="仿宋_GB2312" w:eastAsia="仿宋_GB2312"/>
          <w:sz w:val="24"/>
          <w:szCs w:val="24"/>
        </w:rPr>
        <w:t>3.2 按合同约定支付合同款项。</w:t>
      </w:r>
    </w:p>
    <w:p w14:paraId="5A304FA0">
      <w:pPr>
        <w:spacing w:line="480" w:lineRule="exact"/>
        <w:contextualSpacing/>
        <w:rPr>
          <w:rFonts w:ascii="仿宋_GB2312" w:eastAsia="仿宋_GB2312"/>
          <w:sz w:val="24"/>
          <w:szCs w:val="24"/>
        </w:rPr>
      </w:pPr>
      <w:r>
        <w:rPr>
          <w:rFonts w:hint="eastAsia" w:ascii="仿宋_GB2312" w:eastAsia="仿宋_GB2312"/>
          <w:sz w:val="24"/>
          <w:szCs w:val="24"/>
        </w:rPr>
        <w:t>3.3 如遇突发事件，协调乙方在作业过程中与其他部门的关系。</w:t>
      </w:r>
    </w:p>
    <w:p w14:paraId="2C31768F">
      <w:pPr>
        <w:spacing w:line="480" w:lineRule="exact"/>
        <w:contextualSpacing/>
        <w:rPr>
          <w:rFonts w:ascii="仿宋_GB2312" w:eastAsia="仿宋_GB2312"/>
          <w:sz w:val="24"/>
          <w:szCs w:val="24"/>
        </w:rPr>
      </w:pPr>
      <w:r>
        <w:rPr>
          <w:rFonts w:hint="eastAsia" w:ascii="仿宋_GB2312" w:eastAsia="仿宋_GB2312"/>
          <w:sz w:val="24"/>
          <w:szCs w:val="24"/>
        </w:rPr>
        <w:t>4、乙方责任条款</w:t>
      </w:r>
    </w:p>
    <w:p w14:paraId="70429234">
      <w:pPr>
        <w:spacing w:line="480" w:lineRule="exact"/>
        <w:contextualSpacing/>
        <w:rPr>
          <w:rFonts w:ascii="仿宋_GB2312" w:eastAsia="仿宋_GB2312"/>
          <w:sz w:val="24"/>
          <w:szCs w:val="24"/>
        </w:rPr>
      </w:pPr>
      <w:r>
        <w:rPr>
          <w:rFonts w:hint="eastAsia" w:ascii="仿宋_GB2312" w:eastAsia="仿宋_GB2312"/>
          <w:sz w:val="24"/>
          <w:szCs w:val="24"/>
        </w:rPr>
        <w:t>4.1按招标文件、投标文件及甲方的有关要求提供物业管理服务。</w:t>
      </w:r>
    </w:p>
    <w:p w14:paraId="53AC58A6">
      <w:pPr>
        <w:spacing w:line="480" w:lineRule="exact"/>
        <w:contextualSpacing/>
        <w:rPr>
          <w:rFonts w:ascii="仿宋_GB2312" w:eastAsia="仿宋_GB2312"/>
          <w:sz w:val="24"/>
          <w:szCs w:val="24"/>
        </w:rPr>
      </w:pPr>
      <w:r>
        <w:rPr>
          <w:rFonts w:hint="eastAsia" w:ascii="仿宋_GB2312" w:eastAsia="仿宋_GB2312"/>
          <w:sz w:val="24"/>
          <w:szCs w:val="24"/>
        </w:rPr>
        <w:t>4.2遇到突发事件或自然灾害，必须服从甲方指挥与安排。</w:t>
      </w:r>
    </w:p>
    <w:p w14:paraId="20C3411E">
      <w:pPr>
        <w:spacing w:line="480" w:lineRule="exact"/>
        <w:contextualSpacing/>
        <w:rPr>
          <w:rFonts w:ascii="仿宋_GB2312" w:eastAsia="仿宋_GB2312"/>
          <w:sz w:val="24"/>
          <w:szCs w:val="24"/>
        </w:rPr>
      </w:pPr>
      <w:r>
        <w:rPr>
          <w:rFonts w:hint="eastAsia" w:ascii="仿宋_GB2312" w:eastAsia="仿宋_GB2312"/>
          <w:sz w:val="24"/>
          <w:szCs w:val="24"/>
        </w:rPr>
        <w:t>4.3协助甲方调查、处理有关投诉，并根据甲方要求及时处理。</w:t>
      </w:r>
    </w:p>
    <w:p w14:paraId="29CB2C96">
      <w:pPr>
        <w:spacing w:line="480" w:lineRule="exact"/>
        <w:contextualSpacing/>
        <w:rPr>
          <w:rFonts w:ascii="仿宋_GB2312" w:eastAsia="仿宋_GB2312"/>
          <w:sz w:val="24"/>
          <w:szCs w:val="24"/>
        </w:rPr>
      </w:pPr>
      <w:r>
        <w:rPr>
          <w:rFonts w:hint="eastAsia" w:ascii="仿宋_GB2312" w:eastAsia="仿宋_GB2312"/>
          <w:sz w:val="24"/>
          <w:szCs w:val="24"/>
        </w:rPr>
        <w:t>4.4完成甲方交办的临时性任务。</w:t>
      </w:r>
    </w:p>
    <w:p w14:paraId="7553BC5B">
      <w:pPr>
        <w:spacing w:line="480" w:lineRule="exact"/>
        <w:contextualSpacing/>
        <w:rPr>
          <w:rFonts w:ascii="仿宋_GB2312" w:eastAsia="仿宋_GB2312"/>
          <w:sz w:val="24"/>
          <w:szCs w:val="24"/>
        </w:rPr>
      </w:pPr>
      <w:r>
        <w:rPr>
          <w:rFonts w:hint="eastAsia" w:ascii="仿宋_GB2312" w:eastAsia="仿宋_GB2312"/>
          <w:sz w:val="24"/>
          <w:szCs w:val="24"/>
        </w:rPr>
        <w:t>4.5未经甲方同意，乙方无权在承包区域内从事任何经营活动或类似宣传</w:t>
      </w:r>
      <w:r>
        <w:rPr>
          <w:rFonts w:ascii="仿宋_GB2312" w:eastAsia="仿宋_GB2312"/>
          <w:sz w:val="24"/>
          <w:szCs w:val="24"/>
        </w:rPr>
        <w:t>。</w:t>
      </w:r>
    </w:p>
    <w:p w14:paraId="6EB5F499">
      <w:pPr>
        <w:spacing w:line="480" w:lineRule="exact"/>
        <w:contextualSpacing/>
        <w:rPr>
          <w:rFonts w:ascii="仿宋_GB2312" w:eastAsia="仿宋_GB2312"/>
          <w:sz w:val="24"/>
          <w:szCs w:val="24"/>
        </w:rPr>
      </w:pPr>
      <w:r>
        <w:rPr>
          <w:rFonts w:hint="eastAsia" w:ascii="仿宋_GB2312" w:eastAsia="仿宋_GB2312"/>
          <w:sz w:val="24"/>
          <w:szCs w:val="24"/>
        </w:rPr>
        <w:t>4.6甲方有权依照法律法规和甲方相关的规定责令乙方限期改正，并依法承担违约责任。</w:t>
      </w:r>
    </w:p>
    <w:p w14:paraId="40319D41">
      <w:pPr>
        <w:spacing w:line="480" w:lineRule="exact"/>
        <w:contextualSpacing/>
        <w:rPr>
          <w:rFonts w:ascii="仿宋_GB2312" w:eastAsia="仿宋_GB2312"/>
          <w:sz w:val="24"/>
          <w:szCs w:val="24"/>
        </w:rPr>
      </w:pPr>
      <w:r>
        <w:rPr>
          <w:rFonts w:hint="eastAsia" w:ascii="仿宋_GB2312" w:eastAsia="仿宋_GB2312"/>
          <w:sz w:val="24"/>
          <w:szCs w:val="24"/>
        </w:rPr>
        <w:t>4.7未经甲方同意，乙方不得以任何形式转租、转让、抵押承包区域及承包合同内容，在承包区域内只从事甲方认可的承包工作；否则甲方有权单方面终止合同，并保留进一步追究乙方责任的权利。在承包期间，乙方任何重大变动或法律事宜均应通知甲方。</w:t>
      </w:r>
    </w:p>
    <w:p w14:paraId="0B1F290D">
      <w:pPr>
        <w:spacing w:line="480" w:lineRule="exact"/>
        <w:contextualSpacing/>
        <w:rPr>
          <w:rFonts w:ascii="仿宋_GB2312" w:eastAsia="仿宋_GB2312"/>
          <w:sz w:val="24"/>
          <w:szCs w:val="24"/>
        </w:rPr>
      </w:pPr>
      <w:r>
        <w:rPr>
          <w:rFonts w:hint="eastAsia" w:ascii="仿宋_GB2312" w:eastAsia="仿宋_GB2312"/>
          <w:sz w:val="24"/>
          <w:szCs w:val="24"/>
        </w:rPr>
        <w:t>5、承包职责</w:t>
      </w:r>
    </w:p>
    <w:p w14:paraId="47A4BC67">
      <w:pPr>
        <w:spacing w:line="480" w:lineRule="exact"/>
        <w:contextualSpacing/>
        <w:rPr>
          <w:rFonts w:ascii="仿宋_GB2312" w:eastAsia="仿宋_GB2312"/>
          <w:sz w:val="24"/>
          <w:szCs w:val="24"/>
        </w:rPr>
      </w:pPr>
      <w:r>
        <w:rPr>
          <w:rFonts w:hint="eastAsia" w:ascii="仿宋_GB2312" w:eastAsia="仿宋_GB2312"/>
          <w:sz w:val="24"/>
          <w:szCs w:val="24"/>
        </w:rPr>
        <w:t>5.1乙方必须信守承包承诺，认真落实具有相应的固定服务人员，服务人员必须统一穿着工作服，挂牌上岗并建立健全的管理制度。</w:t>
      </w:r>
    </w:p>
    <w:p w14:paraId="16E7DBEC">
      <w:pPr>
        <w:spacing w:line="480" w:lineRule="exact"/>
        <w:contextualSpacing/>
        <w:rPr>
          <w:rFonts w:ascii="仿宋_GB2312" w:eastAsia="仿宋_GB2312"/>
          <w:sz w:val="24"/>
          <w:szCs w:val="24"/>
        </w:rPr>
      </w:pPr>
      <w:r>
        <w:rPr>
          <w:rFonts w:hint="eastAsia" w:ascii="仿宋_GB2312" w:eastAsia="仿宋_GB2312"/>
          <w:sz w:val="24"/>
          <w:szCs w:val="24"/>
        </w:rPr>
        <w:t>5.2乙方必须按甲方制订的服务标准，严格履行承包义务，为甲方提供专业、优质、高效的服务。并根据甲方要求改变不满意的状况，接受甲方的监督和检查。</w:t>
      </w:r>
    </w:p>
    <w:p w14:paraId="72A9CC90">
      <w:pPr>
        <w:spacing w:line="480" w:lineRule="exact"/>
        <w:contextualSpacing/>
        <w:rPr>
          <w:rFonts w:ascii="仿宋_GB2312" w:eastAsia="仿宋_GB2312"/>
          <w:sz w:val="24"/>
          <w:szCs w:val="24"/>
        </w:rPr>
      </w:pPr>
      <w:r>
        <w:rPr>
          <w:rFonts w:hint="eastAsia" w:ascii="仿宋_GB2312" w:eastAsia="仿宋_GB2312"/>
          <w:sz w:val="24"/>
          <w:szCs w:val="24"/>
        </w:rPr>
        <w:t>5.3因工作需要，甲方临时向乙方提出服务的要求，乙方应全力配合，按照甲方提出标准及要求完成任务，不得无故拖延。在服务期内承包人遇到各类检查（如上级部门来中心检查等），承包人要无条件加班，甲方不另支付加班费，即此项造成的费用由承包方承担。</w:t>
      </w:r>
    </w:p>
    <w:p w14:paraId="19C44000">
      <w:pPr>
        <w:spacing w:line="480" w:lineRule="exact"/>
        <w:contextualSpacing/>
        <w:rPr>
          <w:rFonts w:ascii="仿宋_GB2312" w:eastAsia="仿宋_GB2312"/>
          <w:sz w:val="24"/>
          <w:szCs w:val="24"/>
        </w:rPr>
      </w:pPr>
      <w:r>
        <w:rPr>
          <w:rFonts w:hint="eastAsia" w:ascii="仿宋_GB2312" w:eastAsia="仿宋_GB2312"/>
          <w:sz w:val="24"/>
          <w:szCs w:val="24"/>
        </w:rPr>
        <w:t>5.4乙方必须对员工发生的事故责任以及员工计生、身份、健康等承担责任；同时对员工在场馆内做出的不良行为给采购人造成影响承担责任。</w:t>
      </w:r>
    </w:p>
    <w:p w14:paraId="3EF7FDBD">
      <w:pPr>
        <w:spacing w:line="480" w:lineRule="exact"/>
        <w:contextualSpacing/>
        <w:rPr>
          <w:rFonts w:ascii="仿宋_GB2312" w:eastAsia="仿宋_GB2312"/>
          <w:sz w:val="24"/>
          <w:szCs w:val="24"/>
        </w:rPr>
      </w:pPr>
      <w:r>
        <w:rPr>
          <w:rFonts w:hint="eastAsia" w:ascii="仿宋_GB2312" w:eastAsia="仿宋_GB2312"/>
          <w:sz w:val="24"/>
          <w:szCs w:val="24"/>
        </w:rPr>
        <w:t>5.5乙方员工发生被媒体曝光或影响甲方公众形象或违反规章制度造成不良影响，而由此产生的损失及消除影响产生的费用，由乙方全部承担。承包期间，乙方应保证承包区域内的其他有关设施、设备不受损坏，否则由此引起的责任和损失由乙方承担。乙方的办公各类设施及费用、人员食宿、安全等均由乙方自行负责解决。</w:t>
      </w:r>
    </w:p>
    <w:p w14:paraId="5D4838D9">
      <w:pPr>
        <w:spacing w:line="480" w:lineRule="exact"/>
        <w:contextualSpacing/>
        <w:rPr>
          <w:rFonts w:ascii="仿宋_GB2312" w:eastAsia="仿宋_GB2312"/>
          <w:sz w:val="24"/>
          <w:szCs w:val="24"/>
        </w:rPr>
      </w:pPr>
      <w:r>
        <w:rPr>
          <w:rFonts w:hint="eastAsia" w:ascii="仿宋_GB2312" w:eastAsia="仿宋_GB2312"/>
          <w:sz w:val="24"/>
          <w:szCs w:val="24"/>
        </w:rPr>
        <w:t>5.6如果国家或地方政府要求乙方必须增加其服务人员或管理层支付的任何社会福利、保险或其它应付的津贴（国家或地方政府最低工资及社保基数进行调整）</w:t>
      </w:r>
      <w:r>
        <w:rPr>
          <w:rFonts w:ascii="仿宋_GB2312" w:eastAsia="仿宋_GB2312"/>
          <w:sz w:val="24"/>
          <w:szCs w:val="24"/>
        </w:rPr>
        <w:t>，</w:t>
      </w:r>
      <w:r>
        <w:rPr>
          <w:rFonts w:hint="eastAsia" w:ascii="仿宋_GB2312" w:eastAsia="仿宋_GB2312"/>
          <w:sz w:val="24"/>
          <w:szCs w:val="24"/>
        </w:rPr>
        <w:t>乙方承诺将上述合同金额的增加部分支付给服务人员及管理层。</w:t>
      </w:r>
    </w:p>
    <w:p w14:paraId="5EF0C2DC">
      <w:pPr>
        <w:spacing w:line="480" w:lineRule="exact"/>
        <w:contextualSpacing/>
        <w:rPr>
          <w:rFonts w:ascii="仿宋_GB2312" w:eastAsia="仿宋_GB2312"/>
          <w:sz w:val="24"/>
          <w:szCs w:val="24"/>
        </w:rPr>
      </w:pPr>
      <w:r>
        <w:rPr>
          <w:rFonts w:hint="eastAsia" w:ascii="仿宋_GB2312" w:eastAsia="仿宋_GB2312"/>
          <w:sz w:val="24"/>
          <w:szCs w:val="24"/>
        </w:rPr>
        <w:t>5.7中标方须缴纳员工必要的社会保险（五险），员工福利方面按社保缴纳清单支付。</w:t>
      </w:r>
    </w:p>
    <w:p w14:paraId="00C63852">
      <w:pPr>
        <w:spacing w:line="480" w:lineRule="exact"/>
        <w:contextualSpacing/>
        <w:rPr>
          <w:rFonts w:ascii="仿宋_GB2312" w:eastAsia="仿宋_GB2312"/>
          <w:sz w:val="24"/>
          <w:szCs w:val="24"/>
        </w:rPr>
      </w:pPr>
      <w:r>
        <w:rPr>
          <w:rFonts w:hint="eastAsia" w:ascii="仿宋_GB2312" w:eastAsia="仿宋_GB2312"/>
          <w:sz w:val="24"/>
          <w:szCs w:val="24"/>
        </w:rPr>
        <w:t>5.8乙方须为乙方的每位员工交纳各种社会保险及保证每位员工的必要休息时间，乙方每月支付乙方员工的工资不低于舟山市最低保障工资。甲方为乙方提供一定的办公场所及仓库。</w:t>
      </w:r>
    </w:p>
    <w:p w14:paraId="0D5E5A81">
      <w:pPr>
        <w:spacing w:line="480" w:lineRule="exact"/>
        <w:contextualSpacing/>
        <w:rPr>
          <w:rFonts w:ascii="仿宋_GB2312" w:eastAsia="仿宋_GB2312"/>
          <w:sz w:val="24"/>
          <w:szCs w:val="24"/>
        </w:rPr>
      </w:pPr>
      <w:r>
        <w:rPr>
          <w:rFonts w:hint="eastAsia" w:ascii="仿宋_GB2312" w:eastAsia="仿宋_GB2312"/>
          <w:sz w:val="24"/>
          <w:szCs w:val="24"/>
        </w:rPr>
        <w:t>6、考核标准</w:t>
      </w:r>
    </w:p>
    <w:p w14:paraId="450D9A46">
      <w:pPr>
        <w:spacing w:line="480" w:lineRule="exact"/>
        <w:contextualSpacing/>
        <w:rPr>
          <w:rFonts w:ascii="仿宋_GB2312" w:eastAsia="仿宋_GB2312"/>
          <w:sz w:val="24"/>
          <w:szCs w:val="24"/>
        </w:rPr>
      </w:pPr>
      <w:r>
        <w:rPr>
          <w:rFonts w:hint="eastAsia" w:ascii="仿宋_GB2312" w:eastAsia="仿宋_GB2312"/>
          <w:sz w:val="24"/>
          <w:szCs w:val="24"/>
        </w:rPr>
        <w:t xml:space="preserve"> 6.1甲方对乙方按考核制度每月进行考核。</w:t>
      </w:r>
    </w:p>
    <w:p w14:paraId="06101E66">
      <w:pPr>
        <w:spacing w:line="480" w:lineRule="exact"/>
        <w:ind w:firstLine="120" w:firstLineChars="50"/>
        <w:contextualSpacing/>
        <w:rPr>
          <w:rFonts w:ascii="仿宋_GB2312" w:eastAsia="仿宋_GB2312"/>
          <w:sz w:val="24"/>
          <w:szCs w:val="24"/>
        </w:rPr>
      </w:pPr>
      <w:r>
        <w:rPr>
          <w:rFonts w:hint="eastAsia" w:ascii="仿宋_GB2312" w:eastAsia="仿宋_GB2312"/>
          <w:sz w:val="24"/>
          <w:szCs w:val="24"/>
        </w:rPr>
        <w:t>6.2乙方按要求和事项发生量及时配备足够</w:t>
      </w:r>
      <w:r>
        <w:rPr>
          <w:rFonts w:ascii="仿宋_GB2312" w:eastAsia="仿宋_GB2312"/>
          <w:sz w:val="24"/>
          <w:szCs w:val="24"/>
        </w:rPr>
        <w:t>和</w:t>
      </w:r>
      <w:r>
        <w:rPr>
          <w:rFonts w:hint="eastAsia" w:ascii="仿宋_GB2312" w:eastAsia="仿宋_GB2312"/>
          <w:sz w:val="24"/>
          <w:szCs w:val="24"/>
        </w:rPr>
        <w:t>胜任的相关管理和服务人员，并保持人员的稳定。遇调动或辞职时，管理总负责人提前一个月、工程综合服务人员提前20天、保安提前10天、保洁提前7天告知甲方并得到同意后才能更换，按要求及时补充相应人员，提前做好交接班，如遇特殊情况，与甲方另行协商。对甲方认为无能力、工作失职或不合适人员，应立即更换。</w:t>
      </w:r>
    </w:p>
    <w:p w14:paraId="4FD5D6EC">
      <w:pPr>
        <w:spacing w:line="480" w:lineRule="exact"/>
        <w:contextualSpacing/>
        <w:rPr>
          <w:rFonts w:ascii="仿宋_GB2312" w:eastAsia="仿宋_GB2312"/>
          <w:sz w:val="24"/>
          <w:szCs w:val="24"/>
        </w:rPr>
      </w:pPr>
      <w:r>
        <w:rPr>
          <w:rFonts w:hint="eastAsia" w:ascii="仿宋_GB2312" w:eastAsia="仿宋_GB2312"/>
          <w:sz w:val="24"/>
          <w:szCs w:val="24"/>
        </w:rPr>
        <w:t>6.3为保证项目组成员的稳定性，未经甲方同意服务期间项目负责人每更换一次，每次扣除50000元，更换次数三次及以上的，甲方有权与乙方解除合同；其他人员当年更换累积达20次及以上的，从第20次开始，每次扣10000元，若当年累积达40次的，甲方有权与乙方解除合同。</w:t>
      </w:r>
    </w:p>
    <w:p w14:paraId="06C55F79">
      <w:pPr>
        <w:spacing w:line="480" w:lineRule="exact"/>
        <w:contextualSpacing/>
        <w:rPr>
          <w:rFonts w:ascii="仿宋_GB2312" w:eastAsia="仿宋_GB2312"/>
          <w:sz w:val="24"/>
          <w:szCs w:val="24"/>
        </w:rPr>
      </w:pPr>
      <w:r>
        <w:rPr>
          <w:rFonts w:hint="eastAsia" w:ascii="仿宋_GB2312" w:eastAsia="仿宋_GB2312"/>
          <w:sz w:val="24"/>
          <w:szCs w:val="24"/>
        </w:rPr>
        <w:t>7、付款方式</w:t>
      </w:r>
    </w:p>
    <w:p w14:paraId="6930F3FD">
      <w:pPr>
        <w:spacing w:line="480" w:lineRule="exact"/>
        <w:contextualSpacing/>
        <w:rPr>
          <w:rFonts w:ascii="仿宋_GB2312" w:eastAsia="仿宋_GB2312"/>
          <w:sz w:val="24"/>
          <w:szCs w:val="24"/>
          <w:highlight w:val="none"/>
        </w:rPr>
      </w:pPr>
      <w:r>
        <w:rPr>
          <w:rFonts w:hint="eastAsia" w:ascii="仿宋_GB2312" w:eastAsia="仿宋_GB2312"/>
          <w:sz w:val="24"/>
          <w:szCs w:val="24"/>
          <w:highlight w:val="none"/>
        </w:rPr>
        <w:t>7.</w:t>
      </w:r>
      <w:r>
        <w:rPr>
          <w:rFonts w:hint="eastAsia" w:ascii="仿宋_GB2312" w:eastAsia="仿宋_GB2312"/>
          <w:sz w:val="24"/>
          <w:szCs w:val="24"/>
          <w:highlight w:val="none"/>
          <w:lang w:val="en-US" w:eastAsia="zh-CN"/>
        </w:rPr>
        <w:t>1</w:t>
      </w:r>
      <w:r>
        <w:rPr>
          <w:rFonts w:hint="eastAsia" w:ascii="仿宋_GB2312" w:eastAsia="仿宋_GB2312"/>
          <w:sz w:val="24"/>
          <w:szCs w:val="24"/>
          <w:highlight w:val="none"/>
          <w:lang w:eastAsia="zh-CN"/>
        </w:rPr>
        <w:t>免收</w:t>
      </w:r>
      <w:r>
        <w:rPr>
          <w:rFonts w:hint="eastAsia" w:ascii="仿宋_GB2312" w:eastAsia="仿宋_GB2312"/>
          <w:color w:val="auto"/>
          <w:sz w:val="24"/>
          <w:szCs w:val="24"/>
          <w:highlight w:val="none"/>
        </w:rPr>
        <w:t>履约保证</w:t>
      </w:r>
      <w:r>
        <w:rPr>
          <w:rFonts w:hint="eastAsia" w:ascii="仿宋_GB2312" w:eastAsia="仿宋_GB2312"/>
          <w:sz w:val="24"/>
          <w:szCs w:val="24"/>
          <w:highlight w:val="none"/>
        </w:rPr>
        <w:t>金。</w:t>
      </w:r>
    </w:p>
    <w:p w14:paraId="3B8ED4FB">
      <w:pPr>
        <w:spacing w:line="440" w:lineRule="exact"/>
        <w:rPr>
          <w:rFonts w:ascii="仿宋_GB2312" w:hAnsi="仿宋" w:eastAsia="仿宋_GB2312" w:cs="仿宋"/>
          <w:color w:val="auto"/>
          <w:sz w:val="24"/>
          <w:szCs w:val="24"/>
          <w:highlight w:val="none"/>
        </w:rPr>
      </w:pPr>
      <w:r>
        <w:rPr>
          <w:rFonts w:hint="eastAsia" w:ascii="仿宋_GB2312" w:eastAsia="仿宋_GB2312"/>
          <w:sz w:val="24"/>
          <w:szCs w:val="24"/>
        </w:rPr>
        <w:t>7</w:t>
      </w:r>
      <w:r>
        <w:rPr>
          <w:rFonts w:hint="eastAsia" w:ascii="仿宋_GB2312" w:eastAsia="仿宋_GB2312"/>
          <w:color w:val="auto"/>
          <w:sz w:val="24"/>
          <w:szCs w:val="24"/>
        </w:rPr>
        <w:t>.2</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lang w:val="en-US" w:eastAsia="zh-CN"/>
        </w:rPr>
        <w:t>1</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rPr>
        <w:t>预付款：</w:t>
      </w:r>
      <w:r>
        <w:rPr>
          <w:rFonts w:hint="eastAsia" w:ascii="仿宋_GB2312" w:hAnsi="仿宋" w:eastAsia="仿宋_GB2312" w:cs="仿宋"/>
          <w:color w:val="auto"/>
          <w:sz w:val="24"/>
          <w:szCs w:val="24"/>
          <w:highlight w:val="none"/>
        </w:rPr>
        <w:t>：在合同生效后的7个工作日内，</w:t>
      </w:r>
      <w:r>
        <w:rPr>
          <w:rFonts w:hint="eastAsia" w:ascii="仿宋_GB2312" w:hAnsi="仿宋" w:eastAsia="仿宋_GB2312" w:cs="仿宋"/>
          <w:color w:val="auto"/>
          <w:sz w:val="24"/>
          <w:szCs w:val="24"/>
          <w:highlight w:val="none"/>
          <w:lang w:eastAsia="zh-CN"/>
        </w:rPr>
        <w:t>采购人</w:t>
      </w:r>
      <w:r>
        <w:rPr>
          <w:rFonts w:hint="eastAsia" w:ascii="仿宋_GB2312" w:hAnsi="仿宋" w:eastAsia="仿宋_GB2312" w:cs="仿宋"/>
          <w:color w:val="auto"/>
          <w:sz w:val="24"/>
          <w:szCs w:val="24"/>
          <w:highlight w:val="none"/>
        </w:rPr>
        <w:t>凭</w:t>
      </w:r>
      <w:r>
        <w:rPr>
          <w:rFonts w:hint="eastAsia" w:ascii="仿宋_GB2312" w:hAnsi="仿宋" w:eastAsia="仿宋_GB2312" w:cs="仿宋"/>
          <w:color w:val="auto"/>
          <w:sz w:val="24"/>
          <w:szCs w:val="24"/>
          <w:highlight w:val="none"/>
          <w:lang w:eastAsia="zh-CN"/>
        </w:rPr>
        <w:t>中标人</w:t>
      </w:r>
      <w:r>
        <w:rPr>
          <w:rFonts w:hint="eastAsia" w:ascii="仿宋_GB2312" w:hAnsi="仿宋" w:eastAsia="仿宋_GB2312" w:cs="仿宋"/>
          <w:color w:val="auto"/>
          <w:sz w:val="24"/>
          <w:szCs w:val="24"/>
          <w:highlight w:val="none"/>
        </w:rPr>
        <w:t>提供的正规发票，按财政部门规定的支付方式支付当年度合同金额的</w:t>
      </w:r>
      <w:r>
        <w:rPr>
          <w:rFonts w:hint="eastAsia" w:ascii="仿宋_GB2312" w:hAnsi="仿宋" w:eastAsia="仿宋_GB2312" w:cs="仿宋"/>
          <w:color w:val="auto"/>
          <w:sz w:val="24"/>
          <w:szCs w:val="24"/>
          <w:highlight w:val="none"/>
          <w:lang w:val="en-US" w:eastAsia="zh-CN"/>
        </w:rPr>
        <w:t>20</w:t>
      </w:r>
      <w:r>
        <w:rPr>
          <w:rFonts w:hint="eastAsia" w:ascii="仿宋_GB2312" w:hAnsi="仿宋" w:eastAsia="仿宋_GB2312" w:cs="仿宋"/>
          <w:color w:val="auto"/>
          <w:sz w:val="24"/>
          <w:szCs w:val="24"/>
          <w:highlight w:val="none"/>
        </w:rPr>
        <w:t>%给</w:t>
      </w:r>
      <w:r>
        <w:rPr>
          <w:rFonts w:hint="eastAsia" w:ascii="仿宋_GB2312" w:hAnsi="仿宋" w:eastAsia="仿宋_GB2312" w:cs="仿宋"/>
          <w:color w:val="auto"/>
          <w:sz w:val="24"/>
          <w:szCs w:val="24"/>
          <w:highlight w:val="none"/>
          <w:lang w:eastAsia="zh-CN"/>
        </w:rPr>
        <w:t>中标人</w:t>
      </w:r>
      <w:r>
        <w:rPr>
          <w:rFonts w:hint="eastAsia" w:ascii="仿宋_GB2312" w:hAnsi="仿宋" w:eastAsia="仿宋_GB2312" w:cs="仿宋"/>
          <w:color w:val="auto"/>
          <w:sz w:val="24"/>
          <w:szCs w:val="24"/>
          <w:highlight w:val="none"/>
        </w:rPr>
        <w:t>。</w:t>
      </w:r>
    </w:p>
    <w:p w14:paraId="57D33B38">
      <w:pPr>
        <w:spacing w:line="440" w:lineRule="exact"/>
        <w:ind w:firstLine="480" w:firstLineChars="200"/>
        <w:rPr>
          <w:rFonts w:hint="eastAsia" w:ascii="仿宋_GB2312" w:eastAsia="仿宋_GB2312"/>
          <w:color w:val="auto"/>
          <w:sz w:val="24"/>
          <w:szCs w:val="24"/>
          <w:lang w:eastAsia="zh-CN"/>
        </w:rPr>
      </w:pP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lang w:val="en-US" w:eastAsia="zh-CN"/>
        </w:rPr>
        <w:t>2</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rPr>
        <w:t>剩余款项：</w:t>
      </w:r>
      <w:r>
        <w:rPr>
          <w:rFonts w:hint="eastAsia" w:ascii="仿宋_GB2312" w:hAnsi="仿宋" w:eastAsia="仿宋_GB2312" w:cs="仿宋"/>
          <w:color w:val="auto"/>
          <w:sz w:val="24"/>
          <w:szCs w:val="24"/>
          <w:highlight w:val="none"/>
        </w:rPr>
        <w:t>剩余合同金额的</w:t>
      </w:r>
      <w:r>
        <w:rPr>
          <w:rFonts w:hint="eastAsia" w:ascii="仿宋_GB2312" w:hAnsi="仿宋" w:eastAsia="仿宋_GB2312" w:cs="仿宋"/>
          <w:color w:val="auto"/>
          <w:sz w:val="24"/>
          <w:szCs w:val="24"/>
          <w:highlight w:val="none"/>
          <w:lang w:val="en-US" w:eastAsia="zh-CN"/>
        </w:rPr>
        <w:t>80</w:t>
      </w:r>
      <w:r>
        <w:rPr>
          <w:rFonts w:hint="eastAsia"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lang w:eastAsia="zh-CN"/>
        </w:rPr>
        <w:t>满足合同约定支付条件的，按财政部门规定的支付方式</w:t>
      </w:r>
      <w:r>
        <w:rPr>
          <w:rFonts w:hint="eastAsia" w:ascii="仿宋_GB2312" w:eastAsia="仿宋_GB2312"/>
          <w:color w:val="auto"/>
          <w:sz w:val="24"/>
          <w:szCs w:val="24"/>
          <w:lang w:eastAsia="zh-CN"/>
        </w:rPr>
        <w:t>按</w:t>
      </w:r>
      <w:r>
        <w:rPr>
          <w:rFonts w:hint="eastAsia" w:ascii="仿宋_GB2312" w:eastAsia="仿宋_GB2312"/>
          <w:color w:val="auto"/>
          <w:sz w:val="24"/>
          <w:szCs w:val="24"/>
        </w:rPr>
        <w:t>季度</w:t>
      </w:r>
      <w:r>
        <w:rPr>
          <w:rFonts w:hint="eastAsia" w:ascii="仿宋_GB2312" w:eastAsia="仿宋_GB2312"/>
          <w:color w:val="auto"/>
          <w:sz w:val="24"/>
          <w:szCs w:val="24"/>
          <w:lang w:eastAsia="zh-CN"/>
        </w:rPr>
        <w:t>平均支付。</w:t>
      </w:r>
    </w:p>
    <w:p w14:paraId="5B8D3FDE">
      <w:pPr>
        <w:spacing w:line="480" w:lineRule="exact"/>
        <w:contextualSpacing/>
        <w:rPr>
          <w:rFonts w:ascii="仿宋_GB2312" w:eastAsia="仿宋_GB2312"/>
          <w:sz w:val="24"/>
          <w:szCs w:val="24"/>
        </w:rPr>
      </w:pPr>
      <w:r>
        <w:rPr>
          <w:rFonts w:hint="eastAsia" w:ascii="仿宋_GB2312" w:eastAsia="仿宋_GB2312"/>
          <w:sz w:val="24"/>
          <w:szCs w:val="24"/>
        </w:rPr>
        <w:t>8、违约中止合同及赔偿</w:t>
      </w:r>
    </w:p>
    <w:p w14:paraId="6C196BA7">
      <w:pPr>
        <w:spacing w:line="480" w:lineRule="exact"/>
        <w:contextualSpacing/>
        <w:rPr>
          <w:rFonts w:ascii="仿宋_GB2312" w:eastAsia="仿宋_GB2312"/>
          <w:sz w:val="24"/>
          <w:szCs w:val="24"/>
        </w:rPr>
      </w:pPr>
      <w:r>
        <w:rPr>
          <w:rFonts w:hint="eastAsia" w:ascii="仿宋_GB2312" w:eastAsia="仿宋_GB2312"/>
          <w:sz w:val="24"/>
          <w:szCs w:val="24"/>
        </w:rPr>
        <w:t>8.1甲方在乙方存在如下违约情况时，有权单方面终止全部或部分合同，并保留进一步追究乙方责任的权利（包括经济赔偿）。</w:t>
      </w:r>
    </w:p>
    <w:p w14:paraId="7D511BA8">
      <w:pPr>
        <w:spacing w:line="480" w:lineRule="exact"/>
        <w:contextualSpacing/>
        <w:rPr>
          <w:rFonts w:ascii="仿宋_GB2312" w:eastAsia="仿宋_GB2312"/>
          <w:sz w:val="24"/>
          <w:szCs w:val="24"/>
        </w:rPr>
      </w:pPr>
      <w:r>
        <w:rPr>
          <w:rFonts w:hint="eastAsia" w:ascii="仿宋_GB2312" w:eastAsia="仿宋_GB2312"/>
          <w:sz w:val="24"/>
          <w:szCs w:val="24"/>
        </w:rPr>
        <w:t>8.2乙方未能履行合同规定的义务；有严重影响采购人的正常工作及采购人公众形象。与招标文件不符合的做法，或不履行其投标文件的承诺。乙方如要提前中止合同，需提前3个月，并征得甲方同意，否则按合同执行。</w:t>
      </w:r>
    </w:p>
    <w:p w14:paraId="6B7F4722">
      <w:pPr>
        <w:spacing w:line="480" w:lineRule="exact"/>
        <w:contextualSpacing/>
        <w:rPr>
          <w:rFonts w:ascii="仿宋_GB2312" w:eastAsia="仿宋_GB2312"/>
          <w:sz w:val="24"/>
          <w:szCs w:val="24"/>
        </w:rPr>
      </w:pPr>
      <w:r>
        <w:rPr>
          <w:rFonts w:ascii="仿宋_GB2312" w:eastAsia="仿宋_GB2312"/>
          <w:sz w:val="24"/>
          <w:szCs w:val="24"/>
        </w:rPr>
        <w:t>8.3</w:t>
      </w:r>
      <w:r>
        <w:rPr>
          <w:rFonts w:hint="eastAsia" w:ascii="仿宋_GB2312" w:eastAsia="仿宋_GB2312"/>
          <w:sz w:val="24"/>
          <w:szCs w:val="24"/>
        </w:rPr>
        <w:t>除不可抗力外以，如发生乙方不能履行合同义务，或甲方发生中途终止合同等情况，应及时以书面形式通知对方。</w:t>
      </w:r>
    </w:p>
    <w:p w14:paraId="47E58767">
      <w:pPr>
        <w:spacing w:line="480" w:lineRule="exact"/>
        <w:contextualSpacing/>
        <w:rPr>
          <w:rFonts w:ascii="仿宋_GB2312" w:eastAsia="仿宋_GB2312"/>
          <w:sz w:val="24"/>
          <w:szCs w:val="24"/>
        </w:rPr>
      </w:pPr>
      <w:r>
        <w:rPr>
          <w:rFonts w:ascii="仿宋_GB2312" w:eastAsia="仿宋_GB2312"/>
          <w:sz w:val="24"/>
          <w:szCs w:val="24"/>
        </w:rPr>
        <w:t>8.4</w:t>
      </w:r>
      <w:r>
        <w:rPr>
          <w:rFonts w:hint="eastAsia" w:ascii="仿宋_GB2312" w:eastAsia="仿宋_GB2312"/>
          <w:sz w:val="24"/>
          <w:szCs w:val="24"/>
        </w:rPr>
        <w:t>甲乙双方应本着友好的态度进行协商，妥善解决。如协商无效，按下列规定计算并支付违约金：乙方不能履行合同义务，应按未履行部分合同价格的10%向甲方偿付违约金。如乙方未能履行合同规定的任何一项义务，甲方均有权得到补偿。甲方发生中途终止合同（8.1条以及政府原因除外），应向乙方偿付违约金，违约金按未履行部分合同价格的2%计算。</w:t>
      </w:r>
    </w:p>
    <w:p w14:paraId="6DC9CF5F">
      <w:pPr>
        <w:spacing w:line="480" w:lineRule="exact"/>
        <w:contextualSpacing/>
        <w:rPr>
          <w:rFonts w:ascii="仿宋_GB2312" w:eastAsia="仿宋_GB2312"/>
          <w:sz w:val="24"/>
          <w:szCs w:val="24"/>
        </w:rPr>
      </w:pPr>
      <w:r>
        <w:rPr>
          <w:rFonts w:ascii="仿宋_GB2312" w:eastAsia="仿宋_GB2312"/>
          <w:sz w:val="24"/>
          <w:szCs w:val="24"/>
        </w:rPr>
        <w:t>8.5</w:t>
      </w:r>
      <w:r>
        <w:rPr>
          <w:rFonts w:hint="eastAsia" w:ascii="仿宋_GB2312" w:eastAsia="仿宋_GB2312"/>
          <w:sz w:val="24"/>
          <w:szCs w:val="24"/>
        </w:rPr>
        <w:t>经双方协商可终止部分或全部合同的，无须承担违约责任。</w:t>
      </w:r>
    </w:p>
    <w:p w14:paraId="5C95F7F8">
      <w:pPr>
        <w:spacing w:line="480" w:lineRule="exact"/>
        <w:contextualSpacing/>
        <w:rPr>
          <w:rFonts w:ascii="仿宋_GB2312" w:eastAsia="仿宋_GB2312"/>
          <w:sz w:val="24"/>
          <w:szCs w:val="24"/>
        </w:rPr>
      </w:pPr>
      <w:r>
        <w:rPr>
          <w:rFonts w:hint="eastAsia" w:ascii="仿宋_GB2312" w:eastAsia="仿宋_GB2312"/>
          <w:sz w:val="24"/>
          <w:szCs w:val="24"/>
        </w:rPr>
        <w:t>9、破产终止合同</w:t>
      </w:r>
    </w:p>
    <w:p w14:paraId="0AFBB43C">
      <w:pPr>
        <w:spacing w:line="480" w:lineRule="exact"/>
        <w:contextualSpacing/>
        <w:rPr>
          <w:rFonts w:ascii="仿宋_GB2312" w:eastAsia="仿宋_GB2312"/>
          <w:sz w:val="24"/>
          <w:szCs w:val="24"/>
        </w:rPr>
      </w:pPr>
      <w:r>
        <w:rPr>
          <w:rFonts w:hint="eastAsia" w:ascii="仿宋_GB2312" w:eastAsia="仿宋_GB2312"/>
          <w:sz w:val="24"/>
          <w:szCs w:val="24"/>
        </w:rPr>
        <w:t>如果乙方破产或无清偿能力时，甲方可在任何时候以书面通知乙方终止合同。该终止合同将不损害或影响甲方已经采取或将要采取的补救措施的权利。</w:t>
      </w:r>
    </w:p>
    <w:p w14:paraId="56DBE093">
      <w:pPr>
        <w:spacing w:line="480" w:lineRule="exact"/>
        <w:contextualSpacing/>
        <w:rPr>
          <w:rFonts w:ascii="仿宋_GB2312" w:eastAsia="仿宋_GB2312"/>
          <w:sz w:val="24"/>
          <w:szCs w:val="24"/>
        </w:rPr>
      </w:pPr>
      <w:r>
        <w:rPr>
          <w:rFonts w:hint="eastAsia" w:ascii="仿宋_GB2312" w:eastAsia="仿宋_GB2312"/>
          <w:sz w:val="24"/>
          <w:szCs w:val="24"/>
        </w:rPr>
        <w:t>10仲裁</w:t>
      </w:r>
    </w:p>
    <w:p w14:paraId="0B850B65">
      <w:pPr>
        <w:spacing w:line="480" w:lineRule="exact"/>
        <w:contextualSpacing/>
        <w:rPr>
          <w:rFonts w:ascii="仿宋_GB2312" w:eastAsia="仿宋_GB2312"/>
          <w:sz w:val="24"/>
          <w:szCs w:val="24"/>
        </w:rPr>
      </w:pPr>
      <w:r>
        <w:rPr>
          <w:rFonts w:hint="eastAsia" w:ascii="仿宋_GB2312" w:eastAsia="仿宋_GB2312"/>
          <w:sz w:val="24"/>
          <w:szCs w:val="24"/>
        </w:rPr>
        <w:t>10.1双方在执行合同中所发生的一切争议，应通过协商解决。如协商不成，应向甲方法定地址所在仲裁机构提交仲裁，也可直接向甲方法定地址所在人民法院起诉。</w:t>
      </w:r>
    </w:p>
    <w:p w14:paraId="02E32484">
      <w:pPr>
        <w:spacing w:line="480" w:lineRule="exact"/>
        <w:contextualSpacing/>
        <w:rPr>
          <w:rFonts w:ascii="仿宋_GB2312" w:eastAsia="仿宋_GB2312"/>
          <w:sz w:val="24"/>
          <w:szCs w:val="24"/>
        </w:rPr>
      </w:pPr>
      <w:r>
        <w:rPr>
          <w:rFonts w:hint="eastAsia" w:ascii="仿宋_GB2312" w:eastAsia="仿宋_GB2312"/>
          <w:sz w:val="24"/>
          <w:szCs w:val="24"/>
        </w:rPr>
        <w:t>10.2在仲裁期间，除正在进行仲裁的部份外，本合同其他部份应继续执行。</w:t>
      </w:r>
    </w:p>
    <w:p w14:paraId="24BDB73E">
      <w:pPr>
        <w:spacing w:line="480" w:lineRule="exact"/>
        <w:contextualSpacing/>
        <w:rPr>
          <w:rFonts w:ascii="仿宋_GB2312" w:eastAsia="仿宋_GB2312"/>
          <w:sz w:val="24"/>
          <w:szCs w:val="24"/>
        </w:rPr>
      </w:pPr>
      <w:r>
        <w:rPr>
          <w:rFonts w:hint="eastAsia" w:ascii="仿宋_GB2312" w:eastAsia="仿宋_GB2312"/>
          <w:sz w:val="24"/>
          <w:szCs w:val="24"/>
        </w:rPr>
        <w:t>10.3仲裁费用除仲裁机构另行有裁决外，由败诉方承担。</w:t>
      </w:r>
    </w:p>
    <w:p w14:paraId="3823E253">
      <w:pPr>
        <w:spacing w:line="480" w:lineRule="exact"/>
        <w:contextualSpacing/>
        <w:rPr>
          <w:rFonts w:ascii="仿宋_GB2312" w:eastAsia="仿宋_GB2312"/>
          <w:sz w:val="24"/>
          <w:szCs w:val="24"/>
        </w:rPr>
      </w:pPr>
      <w:r>
        <w:rPr>
          <w:rFonts w:hint="eastAsia" w:ascii="仿宋_GB2312" w:eastAsia="仿宋_GB2312"/>
          <w:sz w:val="24"/>
          <w:szCs w:val="24"/>
        </w:rPr>
        <w:t>11、合同生效及其他</w:t>
      </w:r>
    </w:p>
    <w:p w14:paraId="63A75C31">
      <w:pPr>
        <w:spacing w:line="480" w:lineRule="exact"/>
        <w:contextualSpacing/>
        <w:rPr>
          <w:rFonts w:ascii="仿宋_GB2312" w:eastAsia="仿宋_GB2312"/>
          <w:sz w:val="24"/>
          <w:szCs w:val="24"/>
        </w:rPr>
      </w:pPr>
      <w:r>
        <w:rPr>
          <w:rFonts w:hint="eastAsia" w:ascii="仿宋_GB2312" w:eastAsia="仿宋_GB2312"/>
          <w:sz w:val="24"/>
          <w:szCs w:val="24"/>
        </w:rPr>
        <w:t>11.1合同经双方签字并加盖公章后生效。</w:t>
      </w:r>
    </w:p>
    <w:p w14:paraId="75EEC11B">
      <w:pPr>
        <w:spacing w:line="480" w:lineRule="exact"/>
        <w:contextualSpacing/>
        <w:rPr>
          <w:rFonts w:ascii="仿宋_GB2312" w:eastAsia="仿宋_GB2312"/>
          <w:sz w:val="24"/>
          <w:szCs w:val="24"/>
        </w:rPr>
      </w:pPr>
      <w:r>
        <w:rPr>
          <w:rFonts w:hint="eastAsia" w:ascii="仿宋_GB2312" w:eastAsia="仿宋_GB2312"/>
          <w:sz w:val="24"/>
          <w:szCs w:val="24"/>
        </w:rPr>
        <w:t>11.2合同签定地点：合同执行地。</w:t>
      </w:r>
    </w:p>
    <w:p w14:paraId="61576BB7">
      <w:pPr>
        <w:spacing w:line="480" w:lineRule="exact"/>
        <w:contextualSpacing/>
        <w:rPr>
          <w:rFonts w:ascii="仿宋_GB2312" w:eastAsia="仿宋_GB2312"/>
          <w:sz w:val="24"/>
          <w:szCs w:val="24"/>
        </w:rPr>
      </w:pPr>
      <w:r>
        <w:rPr>
          <w:rFonts w:hint="eastAsia" w:ascii="仿宋_GB2312" w:eastAsia="仿宋_GB2312"/>
          <w:sz w:val="24"/>
          <w:szCs w:val="24"/>
        </w:rPr>
        <w:t>11.3合同执行中，如需修改或补充合同内容，经协商，双方应签署书面修改或补充协议</w:t>
      </w:r>
      <w:r>
        <w:rPr>
          <w:rFonts w:ascii="仿宋_GB2312" w:eastAsia="仿宋_GB2312"/>
          <w:sz w:val="24"/>
          <w:szCs w:val="24"/>
        </w:rPr>
        <w:t>，</w:t>
      </w:r>
      <w:r>
        <w:rPr>
          <w:rFonts w:hint="eastAsia" w:ascii="仿宋_GB2312" w:eastAsia="仿宋_GB2312"/>
          <w:sz w:val="24"/>
          <w:szCs w:val="24"/>
        </w:rPr>
        <w:t>该协议将作为合同不可分割的一部分。</w:t>
      </w:r>
    </w:p>
    <w:p w14:paraId="3EEC2DE7">
      <w:pPr>
        <w:spacing w:line="480" w:lineRule="exact"/>
        <w:contextualSpacing/>
        <w:rPr>
          <w:rFonts w:ascii="仿宋_GB2312" w:eastAsia="仿宋_GB2312"/>
          <w:sz w:val="24"/>
          <w:szCs w:val="24"/>
        </w:rPr>
      </w:pPr>
      <w:r>
        <w:rPr>
          <w:rFonts w:hint="eastAsia" w:ascii="仿宋_GB2312" w:eastAsia="仿宋_GB2312"/>
          <w:sz w:val="24"/>
          <w:szCs w:val="24"/>
        </w:rPr>
        <w:t>12其它</w:t>
      </w:r>
    </w:p>
    <w:p w14:paraId="1A0A8541">
      <w:pPr>
        <w:spacing w:line="480" w:lineRule="exact"/>
        <w:contextualSpacing/>
        <w:rPr>
          <w:rFonts w:ascii="仿宋_GB2312" w:eastAsia="仿宋_GB2312"/>
          <w:sz w:val="24"/>
          <w:szCs w:val="24"/>
        </w:rPr>
      </w:pPr>
      <w:r>
        <w:rPr>
          <w:rFonts w:hint="eastAsia" w:ascii="仿宋_GB2312" w:eastAsia="仿宋_GB2312"/>
          <w:sz w:val="24"/>
          <w:szCs w:val="24"/>
        </w:rPr>
        <w:t>12.1招标文件、补充文件、投标文件及询标答疑纪要、中标通知书等作为本合同的附件，与本合同具有同等法律效力。</w:t>
      </w:r>
    </w:p>
    <w:p w14:paraId="7DF87C60">
      <w:pPr>
        <w:spacing w:line="480" w:lineRule="exact"/>
        <w:contextualSpacing/>
        <w:rPr>
          <w:rFonts w:ascii="仿宋_GB2312" w:eastAsia="仿宋_GB2312"/>
          <w:sz w:val="24"/>
          <w:szCs w:val="24"/>
        </w:rPr>
      </w:pPr>
      <w:r>
        <w:rPr>
          <w:rFonts w:hint="eastAsia" w:ascii="仿宋_GB2312" w:eastAsia="仿宋_GB2312"/>
          <w:sz w:val="24"/>
          <w:szCs w:val="24"/>
        </w:rPr>
        <w:t>12.</w:t>
      </w:r>
      <w:r>
        <w:rPr>
          <w:rFonts w:ascii="仿宋_GB2312" w:eastAsia="仿宋_GB2312"/>
          <w:sz w:val="24"/>
          <w:szCs w:val="24"/>
        </w:rPr>
        <w:t>2</w:t>
      </w:r>
      <w:r>
        <w:rPr>
          <w:rFonts w:hint="eastAsia" w:ascii="仿宋_GB2312" w:eastAsia="仿宋_GB2312"/>
          <w:sz w:val="24"/>
          <w:szCs w:val="24"/>
        </w:rPr>
        <w:t>本合同一式四份，双方各执二份，双方签字盖章后生效，违约及其处罚按合同法及本合同有关条款执行。</w:t>
      </w:r>
    </w:p>
    <w:p w14:paraId="13BC33B0">
      <w:pPr>
        <w:spacing w:line="480" w:lineRule="exact"/>
        <w:contextualSpacing/>
        <w:rPr>
          <w:rFonts w:ascii="仿宋_GB2312" w:eastAsia="仿宋_GB2312"/>
          <w:sz w:val="24"/>
          <w:szCs w:val="24"/>
        </w:rPr>
      </w:pPr>
      <w:r>
        <w:rPr>
          <w:rFonts w:ascii="仿宋_GB2312" w:eastAsia="仿宋_GB2312"/>
          <w:sz w:val="24"/>
          <w:szCs w:val="24"/>
        </w:rPr>
        <w:t>12.3</w:t>
      </w:r>
      <w:r>
        <w:rPr>
          <w:rFonts w:hint="eastAsia" w:ascii="仿宋_GB2312" w:eastAsia="仿宋_GB2312"/>
          <w:sz w:val="24"/>
          <w:szCs w:val="24"/>
        </w:rPr>
        <w:t>以上协议未尽之处，双方协商解决。</w:t>
      </w:r>
    </w:p>
    <w:p w14:paraId="6A7BD96F">
      <w:pPr>
        <w:spacing w:line="480" w:lineRule="exact"/>
        <w:contextualSpacing/>
        <w:rPr>
          <w:rFonts w:ascii="仿宋_GB2312" w:eastAsia="仿宋_GB2312"/>
          <w:sz w:val="24"/>
          <w:szCs w:val="24"/>
        </w:rPr>
      </w:pPr>
      <w:r>
        <w:rPr>
          <w:rFonts w:hint="eastAsia" w:ascii="仿宋_GB2312" w:eastAsia="仿宋_GB2312"/>
          <w:sz w:val="24"/>
          <w:szCs w:val="24"/>
        </w:rPr>
        <w:t>（本行以下无正文）</w:t>
      </w:r>
    </w:p>
    <w:p w14:paraId="71B42866">
      <w:pPr>
        <w:spacing w:line="480" w:lineRule="exact"/>
        <w:contextualSpacing/>
        <w:rPr>
          <w:rFonts w:ascii="仿宋_GB2312" w:eastAsia="仿宋_GB2312"/>
          <w:sz w:val="24"/>
          <w:szCs w:val="24"/>
        </w:rPr>
      </w:pPr>
    </w:p>
    <w:p w14:paraId="025E0D6D">
      <w:pPr>
        <w:spacing w:line="480" w:lineRule="exact"/>
        <w:contextualSpacing/>
        <w:rPr>
          <w:rFonts w:ascii="仿宋_GB2312" w:eastAsia="仿宋_GB2312"/>
          <w:sz w:val="24"/>
          <w:szCs w:val="24"/>
        </w:rPr>
      </w:pPr>
      <w:r>
        <w:rPr>
          <w:rFonts w:hint="eastAsia" w:ascii="仿宋_GB2312" w:eastAsia="仿宋_GB2312"/>
          <w:sz w:val="24"/>
          <w:szCs w:val="24"/>
        </w:rPr>
        <w:t>甲方：（印章）                        乙方：（印章）</w:t>
      </w:r>
    </w:p>
    <w:p w14:paraId="6CA8F929">
      <w:pPr>
        <w:spacing w:line="480" w:lineRule="exact"/>
        <w:contextualSpacing/>
        <w:rPr>
          <w:rFonts w:ascii="仿宋_GB2312" w:eastAsia="仿宋_GB2312"/>
          <w:sz w:val="24"/>
          <w:szCs w:val="24"/>
        </w:rPr>
      </w:pPr>
      <w:r>
        <w:rPr>
          <w:rFonts w:hint="eastAsia" w:ascii="仿宋_GB2312" w:eastAsia="仿宋_GB2312"/>
          <w:sz w:val="24"/>
          <w:szCs w:val="24"/>
        </w:rPr>
        <w:t>全权代表:（签字）                    全权代表:（签字）</w:t>
      </w:r>
    </w:p>
    <w:p w14:paraId="4BD6BED1">
      <w:pPr>
        <w:spacing w:line="480" w:lineRule="exact"/>
        <w:contextualSpacing/>
        <w:rPr>
          <w:rFonts w:ascii="仿宋_GB2312" w:eastAsia="仿宋_GB2312"/>
          <w:sz w:val="24"/>
          <w:szCs w:val="24"/>
        </w:rPr>
      </w:pPr>
      <w:r>
        <w:rPr>
          <w:rFonts w:hint="eastAsia" w:ascii="仿宋_GB2312" w:eastAsia="仿宋_GB2312"/>
          <w:sz w:val="24"/>
          <w:szCs w:val="24"/>
        </w:rPr>
        <w:t>地址：                               地址：</w:t>
      </w:r>
    </w:p>
    <w:p w14:paraId="26265913">
      <w:pPr>
        <w:spacing w:line="480" w:lineRule="exact"/>
        <w:contextualSpacing/>
        <w:rPr>
          <w:rFonts w:ascii="仿宋_GB2312" w:eastAsia="仿宋_GB2312"/>
          <w:sz w:val="24"/>
          <w:szCs w:val="24"/>
        </w:rPr>
      </w:pPr>
      <w:r>
        <w:rPr>
          <w:rFonts w:hint="eastAsia" w:ascii="仿宋_GB2312" w:eastAsia="仿宋_GB2312"/>
          <w:sz w:val="24"/>
          <w:szCs w:val="24"/>
        </w:rPr>
        <w:t>邮政编码：                           邮政编码：</w:t>
      </w:r>
    </w:p>
    <w:p w14:paraId="4F48B38B">
      <w:pPr>
        <w:spacing w:line="480" w:lineRule="exact"/>
        <w:contextualSpacing/>
        <w:rPr>
          <w:rFonts w:ascii="仿宋_GB2312" w:eastAsia="仿宋_GB2312"/>
          <w:sz w:val="24"/>
          <w:szCs w:val="24"/>
        </w:rPr>
      </w:pPr>
      <w:r>
        <w:rPr>
          <w:rFonts w:hint="eastAsia" w:ascii="仿宋_GB2312" w:eastAsia="仿宋_GB2312"/>
          <w:sz w:val="24"/>
          <w:szCs w:val="24"/>
        </w:rPr>
        <w:t>电话：                               电话：</w:t>
      </w:r>
    </w:p>
    <w:p w14:paraId="2A89050B">
      <w:pPr>
        <w:spacing w:line="480" w:lineRule="exact"/>
        <w:contextualSpacing/>
        <w:rPr>
          <w:rFonts w:ascii="仿宋_GB2312" w:eastAsia="仿宋_GB2312"/>
          <w:sz w:val="24"/>
          <w:szCs w:val="24"/>
        </w:rPr>
      </w:pPr>
      <w:r>
        <w:rPr>
          <w:rFonts w:hint="eastAsia" w:ascii="仿宋_GB2312" w:eastAsia="仿宋_GB2312"/>
          <w:sz w:val="24"/>
          <w:szCs w:val="24"/>
        </w:rPr>
        <w:t>传真：                               传真：</w:t>
      </w:r>
    </w:p>
    <w:p w14:paraId="6C9AB0F7">
      <w:pPr>
        <w:spacing w:line="480" w:lineRule="exact"/>
        <w:contextualSpacing/>
        <w:rPr>
          <w:rFonts w:ascii="仿宋_GB2312" w:eastAsia="仿宋_GB2312"/>
          <w:sz w:val="24"/>
          <w:szCs w:val="24"/>
        </w:rPr>
      </w:pPr>
      <w:r>
        <w:rPr>
          <w:rFonts w:hint="eastAsia" w:ascii="仿宋_GB2312" w:eastAsia="仿宋_GB2312"/>
          <w:sz w:val="24"/>
          <w:szCs w:val="24"/>
        </w:rPr>
        <w:t>开户银行：                           开户银行：</w:t>
      </w:r>
    </w:p>
    <w:p w14:paraId="0249B124">
      <w:pPr>
        <w:spacing w:line="480" w:lineRule="exact"/>
        <w:contextualSpacing/>
        <w:rPr>
          <w:rFonts w:ascii="仿宋_GB2312" w:eastAsia="仿宋_GB2312"/>
          <w:sz w:val="24"/>
          <w:szCs w:val="24"/>
        </w:rPr>
      </w:pPr>
      <w:r>
        <w:rPr>
          <w:rFonts w:hint="eastAsia" w:ascii="仿宋_GB2312" w:eastAsia="仿宋_GB2312"/>
          <w:sz w:val="24"/>
          <w:szCs w:val="24"/>
        </w:rPr>
        <w:t>帐号：                               帐号：</w:t>
      </w:r>
    </w:p>
    <w:p w14:paraId="21B13153">
      <w:pPr>
        <w:widowControl/>
        <w:numPr>
          <w:ilvl w:val="255"/>
          <w:numId w:val="0"/>
        </w:numPr>
        <w:adjustRightInd w:val="0"/>
        <w:spacing w:line="360" w:lineRule="auto"/>
        <w:jc w:val="left"/>
        <w:outlineLvl w:val="0"/>
        <w:rPr>
          <w:rFonts w:ascii="仿宋_GB2312" w:hAnsi="仿宋" w:eastAsia="仿宋_GB2312" w:cs="仿宋_GB2312"/>
          <w:b/>
          <w:sz w:val="36"/>
          <w:szCs w:val="36"/>
        </w:rPr>
      </w:pPr>
    </w:p>
    <w:p w14:paraId="558AAC96">
      <w:pPr>
        <w:adjustRightInd w:val="0"/>
        <w:rPr>
          <w:rFonts w:ascii="仿宋_GB2312" w:hAnsi="宋体" w:eastAsia="仿宋_GB2312"/>
          <w:sz w:val="24"/>
          <w:szCs w:val="24"/>
        </w:rPr>
      </w:pPr>
    </w:p>
    <w:p w14:paraId="38505502">
      <w:pPr>
        <w:adjustRightInd w:val="0"/>
        <w:ind w:firstLine="4080" w:firstLineChars="1700"/>
        <w:jc w:val="right"/>
        <w:rPr>
          <w:rFonts w:ascii="仿宋_GB2312" w:hAnsi="宋体" w:eastAsia="仿宋_GB2312"/>
          <w:sz w:val="24"/>
          <w:szCs w:val="24"/>
        </w:rPr>
      </w:pPr>
    </w:p>
    <w:p w14:paraId="4B5E0C22">
      <w:pPr>
        <w:adjustRightInd w:val="0"/>
        <w:ind w:firstLine="4080" w:firstLineChars="1700"/>
        <w:jc w:val="right"/>
        <w:rPr>
          <w:rFonts w:ascii="仿宋_GB2312" w:hAnsi="宋体" w:eastAsia="仿宋_GB2312"/>
          <w:sz w:val="24"/>
          <w:szCs w:val="24"/>
        </w:rPr>
        <w:sectPr>
          <w:headerReference r:id="rId7" w:type="first"/>
          <w:pgSz w:w="11906" w:h="16838"/>
          <w:pgMar w:top="1276" w:right="1418" w:bottom="1247" w:left="1418" w:header="851" w:footer="992" w:gutter="0"/>
          <w:cols w:space="720" w:num="1"/>
          <w:titlePg/>
          <w:docGrid w:linePitch="312" w:charSpace="0"/>
        </w:sectPr>
      </w:pPr>
    </w:p>
    <w:p w14:paraId="0D42FF97">
      <w:pPr>
        <w:spacing w:line="540" w:lineRule="exact"/>
        <w:contextualSpacing/>
        <w:jc w:val="left"/>
        <w:rPr>
          <w:rFonts w:ascii="仿宋_GB2312" w:eastAsia="仿宋_GB2312"/>
          <w:b/>
          <w:sz w:val="28"/>
          <w:szCs w:val="28"/>
        </w:rPr>
      </w:pPr>
    </w:p>
    <w:p w14:paraId="395D133A">
      <w:pPr>
        <w:spacing w:line="540" w:lineRule="exact"/>
        <w:contextualSpacing/>
        <w:jc w:val="center"/>
        <w:rPr>
          <w:rFonts w:ascii="仿宋_GB2312" w:eastAsia="仿宋_GB2312"/>
          <w:b/>
          <w:sz w:val="28"/>
          <w:szCs w:val="28"/>
        </w:rPr>
      </w:pPr>
      <w:r>
        <w:rPr>
          <w:rFonts w:hint="eastAsia" w:ascii="仿宋_GB2312" w:eastAsia="仿宋_GB2312"/>
          <w:b/>
          <w:sz w:val="28"/>
          <w:szCs w:val="28"/>
        </w:rPr>
        <w:t>第六部分</w:t>
      </w:r>
      <w:bookmarkEnd w:id="397"/>
      <w:bookmarkEnd w:id="398"/>
      <w:r>
        <w:rPr>
          <w:rFonts w:hint="eastAsia" w:ascii="仿宋_GB2312" w:eastAsia="仿宋_GB2312"/>
          <w:b/>
          <w:sz w:val="28"/>
          <w:szCs w:val="28"/>
        </w:rPr>
        <w:t xml:space="preserve"> 应提交的有关格式范例</w:t>
      </w:r>
    </w:p>
    <w:p w14:paraId="77D0D7A2">
      <w:pPr>
        <w:spacing w:line="540" w:lineRule="exact"/>
        <w:contextualSpacing/>
        <w:rPr>
          <w:rFonts w:ascii="仿宋_GB2312" w:eastAsia="仿宋_GB2312"/>
          <w:sz w:val="28"/>
          <w:szCs w:val="28"/>
        </w:rPr>
      </w:pPr>
    </w:p>
    <w:p w14:paraId="045B4E82">
      <w:pPr>
        <w:spacing w:line="540" w:lineRule="exact"/>
        <w:contextualSpacing/>
        <w:jc w:val="center"/>
        <w:rPr>
          <w:rFonts w:ascii="仿宋_GB2312" w:eastAsia="仿宋_GB2312"/>
          <w:b/>
          <w:sz w:val="28"/>
          <w:szCs w:val="28"/>
        </w:rPr>
      </w:pPr>
      <w:r>
        <w:rPr>
          <w:rFonts w:hint="eastAsia" w:ascii="仿宋_GB2312" w:eastAsia="仿宋_GB2312"/>
          <w:b/>
          <w:sz w:val="28"/>
          <w:szCs w:val="28"/>
        </w:rPr>
        <w:t>资格文件部分</w:t>
      </w:r>
    </w:p>
    <w:p w14:paraId="1A7CECD7">
      <w:pPr>
        <w:spacing w:line="540" w:lineRule="exact"/>
        <w:contextualSpacing/>
        <w:jc w:val="center"/>
        <w:rPr>
          <w:rFonts w:ascii="仿宋_GB2312" w:eastAsia="仿宋_GB2312"/>
          <w:sz w:val="28"/>
          <w:szCs w:val="28"/>
        </w:rPr>
      </w:pPr>
      <w:r>
        <w:rPr>
          <w:rFonts w:hint="eastAsia" w:ascii="仿宋_GB2312" w:eastAsia="仿宋_GB2312"/>
          <w:sz w:val="28"/>
          <w:szCs w:val="28"/>
        </w:rPr>
        <w:t>目录</w:t>
      </w:r>
    </w:p>
    <w:p w14:paraId="04DA6EEA">
      <w:pPr>
        <w:spacing w:line="540" w:lineRule="exact"/>
        <w:contextualSpacing/>
        <w:rPr>
          <w:rFonts w:ascii="仿宋_GB2312" w:eastAsia="仿宋_GB2312"/>
          <w:sz w:val="28"/>
          <w:szCs w:val="28"/>
        </w:rPr>
      </w:pPr>
    </w:p>
    <w:p w14:paraId="5153F6BD">
      <w:pPr>
        <w:spacing w:line="540" w:lineRule="exact"/>
        <w:contextualSpacing/>
        <w:jc w:val="center"/>
        <w:rPr>
          <w:rFonts w:ascii="仿宋_GB2312" w:eastAsia="仿宋_GB2312"/>
          <w:sz w:val="28"/>
          <w:szCs w:val="28"/>
        </w:rPr>
      </w:pPr>
      <w:r>
        <w:rPr>
          <w:rFonts w:hint="eastAsia" w:ascii="仿宋_GB2312" w:eastAsia="仿宋_GB2312"/>
          <w:sz w:val="28"/>
          <w:szCs w:val="28"/>
        </w:rPr>
        <w:t>一、符合参加政府采购活动应当具备的一般条件的承诺函…………（页码）</w:t>
      </w:r>
    </w:p>
    <w:p w14:paraId="3DE930F2">
      <w:pPr>
        <w:spacing w:line="540" w:lineRule="exact"/>
        <w:contextualSpacing/>
        <w:jc w:val="center"/>
        <w:rPr>
          <w:rFonts w:ascii="仿宋_GB2312" w:eastAsia="仿宋_GB2312"/>
          <w:sz w:val="28"/>
          <w:szCs w:val="28"/>
        </w:rPr>
      </w:pPr>
      <w:r>
        <w:rPr>
          <w:rFonts w:hint="eastAsia" w:ascii="仿宋_GB2312" w:eastAsia="仿宋_GB2312"/>
          <w:sz w:val="28"/>
          <w:szCs w:val="28"/>
        </w:rPr>
        <w:t>二、联合协议（如果有）……………………………………………（页码）</w:t>
      </w:r>
    </w:p>
    <w:p w14:paraId="1A7623BC">
      <w:pPr>
        <w:spacing w:line="540" w:lineRule="exact"/>
        <w:contextualSpacing/>
        <w:jc w:val="center"/>
        <w:rPr>
          <w:rFonts w:ascii="仿宋_GB2312" w:eastAsia="仿宋_GB2312"/>
          <w:sz w:val="28"/>
          <w:szCs w:val="28"/>
        </w:rPr>
      </w:pPr>
      <w:r>
        <w:rPr>
          <w:rFonts w:hint="eastAsia" w:ascii="仿宋_GB2312" w:eastAsia="仿宋_GB2312"/>
          <w:sz w:val="28"/>
          <w:szCs w:val="28"/>
        </w:rPr>
        <w:t>三、落实政府采购政策需满足的资格要求…………………………（页码）</w:t>
      </w:r>
    </w:p>
    <w:p w14:paraId="2824E617">
      <w:pPr>
        <w:spacing w:line="540" w:lineRule="exact"/>
        <w:contextualSpacing/>
        <w:rPr>
          <w:rFonts w:ascii="仿宋_GB2312" w:eastAsia="仿宋_GB2312"/>
          <w:sz w:val="28"/>
          <w:szCs w:val="28"/>
        </w:rPr>
      </w:pPr>
      <w:r>
        <w:rPr>
          <w:rFonts w:hint="eastAsia" w:ascii="仿宋_GB2312" w:eastAsia="仿宋_GB2312"/>
          <w:sz w:val="28"/>
          <w:szCs w:val="28"/>
        </w:rPr>
        <w:t>四、本项目的特定资格要求…………………………………………（页码）</w:t>
      </w:r>
    </w:p>
    <w:p w14:paraId="501178D8">
      <w:pPr>
        <w:pStyle w:val="4"/>
      </w:pPr>
    </w:p>
    <w:p w14:paraId="2572A620">
      <w:pPr>
        <w:pStyle w:val="5"/>
      </w:pPr>
    </w:p>
    <w:p w14:paraId="3282B497">
      <w:pPr>
        <w:rPr>
          <w:rFonts w:ascii="仿宋_GB2312" w:eastAsia="仿宋_GB2312"/>
        </w:rPr>
      </w:pPr>
    </w:p>
    <w:p w14:paraId="33AF1FA2">
      <w:pPr>
        <w:pStyle w:val="4"/>
      </w:pPr>
    </w:p>
    <w:p w14:paraId="259DF874">
      <w:pPr>
        <w:pStyle w:val="5"/>
      </w:pPr>
    </w:p>
    <w:p w14:paraId="56AEAEC9">
      <w:pPr>
        <w:rPr>
          <w:rFonts w:ascii="仿宋_GB2312" w:eastAsia="仿宋_GB2312"/>
        </w:rPr>
      </w:pPr>
    </w:p>
    <w:p w14:paraId="61B3E660">
      <w:pPr>
        <w:pStyle w:val="4"/>
      </w:pPr>
    </w:p>
    <w:p w14:paraId="15B3CCDB">
      <w:pPr>
        <w:pStyle w:val="5"/>
      </w:pPr>
    </w:p>
    <w:p w14:paraId="3F359DA9">
      <w:pPr>
        <w:rPr>
          <w:rFonts w:ascii="仿宋_GB2312" w:eastAsia="仿宋_GB2312"/>
        </w:rPr>
      </w:pPr>
    </w:p>
    <w:p w14:paraId="15C5B2A6">
      <w:pPr>
        <w:pStyle w:val="4"/>
      </w:pPr>
    </w:p>
    <w:p w14:paraId="2DD91D09">
      <w:pPr>
        <w:pStyle w:val="5"/>
      </w:pPr>
    </w:p>
    <w:p w14:paraId="77950849">
      <w:pPr>
        <w:rPr>
          <w:rFonts w:ascii="仿宋_GB2312" w:eastAsia="仿宋_GB2312"/>
        </w:rPr>
      </w:pPr>
    </w:p>
    <w:p w14:paraId="4DC8622E">
      <w:pPr>
        <w:pStyle w:val="4"/>
      </w:pPr>
    </w:p>
    <w:p w14:paraId="12693287">
      <w:pPr>
        <w:pStyle w:val="4"/>
      </w:pPr>
    </w:p>
    <w:p w14:paraId="5E63E95B">
      <w:pPr>
        <w:pStyle w:val="5"/>
      </w:pPr>
    </w:p>
    <w:p w14:paraId="23EDB28E">
      <w:pPr>
        <w:spacing w:line="540" w:lineRule="exact"/>
        <w:contextualSpacing/>
        <w:jc w:val="center"/>
        <w:rPr>
          <w:rFonts w:ascii="仿宋_GB2312" w:eastAsia="仿宋_GB2312"/>
          <w:b/>
          <w:sz w:val="28"/>
          <w:szCs w:val="28"/>
        </w:rPr>
      </w:pPr>
      <w:r>
        <w:rPr>
          <w:rFonts w:hint="eastAsia" w:ascii="仿宋_GB2312" w:eastAsia="仿宋_GB2312"/>
          <w:b/>
          <w:sz w:val="28"/>
          <w:szCs w:val="28"/>
        </w:rPr>
        <w:t>一、 符合参加政府采购活动应当具备的一般条件的承诺函</w:t>
      </w:r>
    </w:p>
    <w:p w14:paraId="71A5A572">
      <w:pPr>
        <w:spacing w:line="540" w:lineRule="exact"/>
        <w:contextualSpacing/>
        <w:rPr>
          <w:rFonts w:ascii="仿宋_GB2312" w:eastAsia="仿宋_GB2312"/>
          <w:sz w:val="24"/>
          <w:szCs w:val="24"/>
        </w:rPr>
      </w:pPr>
    </w:p>
    <w:p w14:paraId="65C5F05D">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33BD77D6">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我方参与（项目名称）【招标编号：（项目编号）】政府采购活动，郑重承诺：</w:t>
      </w:r>
    </w:p>
    <w:p w14:paraId="792FB70A">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（一）具备《中华人民共和国政府采购法》第二十二条第一款规定的条件：</w:t>
      </w:r>
    </w:p>
    <w:p w14:paraId="78DB02CD">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1.具有独立承担民事责任的能力；</w:t>
      </w:r>
    </w:p>
    <w:p w14:paraId="19841AA9">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2.具有良好的商业信誉和健全的财务会计制度； </w:t>
      </w:r>
    </w:p>
    <w:p w14:paraId="60DE5F56">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3.具有履行合同所必需的设备和专业技术能力；</w:t>
      </w:r>
    </w:p>
    <w:p w14:paraId="1771CD57">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4.有依法缴纳税收和社会保障资金的良好记录；</w:t>
      </w:r>
    </w:p>
    <w:p w14:paraId="07A963C3">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5.参加政府采购活动前三年内，在经营活动中没有重大违法记录；</w:t>
      </w:r>
    </w:p>
    <w:p w14:paraId="5C9FF3C0">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6.具有法律、行政法规规定的其他条件。</w:t>
      </w:r>
    </w:p>
    <w:p w14:paraId="20089D4B">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（二）未被信用中国（www.creditchina.gov.cn)、中国政府采购网（www.ccgp.gov.cn）列入失信被执行人、重大税收违法失信主体、政府采购严重违法失信行为记录名单。</w:t>
      </w:r>
    </w:p>
    <w:p w14:paraId="69771BE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（三）不存在以下情况：</w:t>
      </w:r>
    </w:p>
    <w:p w14:paraId="704175D3">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1.单位负责人为同一人或者存在直接控股、管理关系的不同供应商参加同一合同项下的政府采购活动的；</w:t>
      </w:r>
    </w:p>
    <w:p w14:paraId="3309518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2.为采购项目提供整体设计、规范编制或者项目管理、监理、检测等服务后再参加该采购项目的其他采购活动的。</w:t>
      </w:r>
    </w:p>
    <w:p w14:paraId="3D2DC118">
      <w:pPr>
        <w:spacing w:line="540" w:lineRule="exact"/>
        <w:contextualSpacing/>
        <w:rPr>
          <w:rFonts w:ascii="仿宋_GB2312" w:eastAsia="仿宋_GB2312"/>
          <w:sz w:val="24"/>
          <w:szCs w:val="24"/>
        </w:rPr>
      </w:pPr>
    </w:p>
    <w:p w14:paraId="4A48C569">
      <w:pPr>
        <w:spacing w:line="540" w:lineRule="exact"/>
        <w:contextualSpacing/>
        <w:rPr>
          <w:rFonts w:ascii="仿宋_GB2312" w:eastAsia="仿宋_GB2312"/>
          <w:sz w:val="24"/>
          <w:szCs w:val="24"/>
        </w:rPr>
      </w:pPr>
    </w:p>
    <w:p w14:paraId="1229B456">
      <w:pPr>
        <w:spacing w:line="540" w:lineRule="exact"/>
        <w:contextualSpacing/>
        <w:rPr>
          <w:rFonts w:ascii="仿宋_GB2312" w:eastAsia="仿宋_GB2312"/>
          <w:sz w:val="24"/>
          <w:szCs w:val="24"/>
        </w:rPr>
      </w:pPr>
    </w:p>
    <w:p w14:paraId="6BBCBD1E">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投标人名称(电子签名)：</w:t>
      </w:r>
    </w:p>
    <w:p w14:paraId="0E45E541">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4718EB8E">
      <w:pPr>
        <w:widowControl/>
        <w:spacing w:line="560" w:lineRule="exact"/>
        <w:ind w:firstLine="562" w:firstLineChars="200"/>
        <w:jc w:val="center"/>
        <w:rPr>
          <w:rFonts w:ascii="仿宋_GB2312" w:eastAsia="仿宋_GB2312"/>
          <w:b/>
          <w:sz w:val="28"/>
          <w:szCs w:val="28"/>
        </w:rPr>
      </w:pPr>
    </w:p>
    <w:p w14:paraId="3FDB240D">
      <w:pPr>
        <w:pStyle w:val="4"/>
      </w:pPr>
    </w:p>
    <w:p w14:paraId="28C3DE30">
      <w:pPr>
        <w:widowControl/>
        <w:spacing w:line="560" w:lineRule="exact"/>
        <w:ind w:firstLine="482" w:firstLineChars="200"/>
        <w:jc w:val="center"/>
        <w:rPr>
          <w:rFonts w:ascii="仿宋_GB2312" w:eastAsia="仿宋_GB2312"/>
          <w:b/>
          <w:sz w:val="24"/>
          <w:szCs w:val="24"/>
        </w:rPr>
      </w:pPr>
      <w:r>
        <w:rPr>
          <w:rFonts w:hint="eastAsia" w:ascii="仿宋_GB2312" w:eastAsia="仿宋_GB2312"/>
          <w:b/>
          <w:sz w:val="24"/>
          <w:szCs w:val="24"/>
        </w:rPr>
        <w:t>二、联合协议（如果有）</w:t>
      </w:r>
    </w:p>
    <w:p w14:paraId="792918C0">
      <w:pPr>
        <w:widowControl/>
        <w:spacing w:line="560" w:lineRule="exact"/>
        <w:ind w:firstLine="482" w:firstLineChars="200"/>
        <w:jc w:val="left"/>
        <w:rPr>
          <w:rFonts w:ascii="仿宋_GB2312" w:hAnsi="宋体" w:eastAsia="仿宋_GB2312" w:cs="宋体"/>
          <w:b/>
          <w:sz w:val="24"/>
          <w:szCs w:val="24"/>
        </w:rPr>
      </w:pPr>
      <w:r>
        <w:rPr>
          <w:rFonts w:hint="eastAsia" w:ascii="仿宋_GB2312" w:hAnsi="宋体" w:eastAsia="仿宋_GB2312" w:cs="宋体"/>
          <w:b/>
          <w:sz w:val="24"/>
          <w:szCs w:val="24"/>
        </w:rPr>
        <w:t>[以联合体形式投标的，提供联合协议（附件6）；本项目不接受联合体投标或者投标人不以联合体形式投标的，则不需要提供）]</w:t>
      </w:r>
    </w:p>
    <w:p w14:paraId="745EE1EF">
      <w:pPr>
        <w:snapToGrid w:val="0"/>
        <w:spacing w:line="560" w:lineRule="exact"/>
        <w:ind w:right="480"/>
        <w:jc w:val="center"/>
        <w:rPr>
          <w:rFonts w:ascii="仿宋_GB2312" w:hAnsi="宋体" w:eastAsia="仿宋_GB2312" w:cs="宋体"/>
          <w:b/>
          <w:kern w:val="0"/>
          <w:sz w:val="24"/>
          <w:szCs w:val="24"/>
        </w:rPr>
      </w:pPr>
    </w:p>
    <w:p w14:paraId="0FB43AB3">
      <w:pPr>
        <w:pStyle w:val="4"/>
      </w:pPr>
    </w:p>
    <w:p w14:paraId="2B734DFC">
      <w:pPr>
        <w:snapToGrid w:val="0"/>
        <w:spacing w:line="560" w:lineRule="exact"/>
        <w:ind w:right="48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三、落实政府采购政策需满足的资格要求</w:t>
      </w:r>
    </w:p>
    <w:p w14:paraId="27B09F99">
      <w:pPr>
        <w:snapToGrid w:val="0"/>
        <w:spacing w:line="560" w:lineRule="exact"/>
        <w:ind w:right="480"/>
        <w:jc w:val="center"/>
        <w:rPr>
          <w:rFonts w:ascii="仿宋_GB2312" w:hAnsi="宋体" w:eastAsia="仿宋_GB2312" w:cs="宋体"/>
          <w:b/>
          <w:kern w:val="0"/>
          <w:sz w:val="24"/>
          <w:szCs w:val="24"/>
        </w:rPr>
      </w:pPr>
    </w:p>
    <w:p w14:paraId="66BEA937">
      <w:pPr>
        <w:spacing w:line="560" w:lineRule="exact"/>
        <w:ind w:firstLine="482" w:firstLineChars="200"/>
        <w:rPr>
          <w:rFonts w:ascii="仿宋_GB2312" w:hAnsi="宋体" w:eastAsia="仿宋_GB2312" w:cs="宋体"/>
          <w:b/>
          <w:color w:val="auto"/>
          <w:sz w:val="24"/>
          <w:szCs w:val="24"/>
        </w:rPr>
      </w:pPr>
      <w:r>
        <w:rPr>
          <w:rFonts w:hint="eastAsia" w:ascii="仿宋_GB2312" w:hAnsi="宋体" w:eastAsia="仿宋_GB2312" w:cs="宋体"/>
          <w:b/>
          <w:color w:val="auto"/>
          <w:sz w:val="24"/>
          <w:szCs w:val="24"/>
        </w:rPr>
        <w:t>本项目要求以</w:t>
      </w:r>
      <w:r>
        <w:rPr>
          <w:rFonts w:hint="eastAsia" w:ascii="仿宋_GB2312" w:hAnsi="宋体" w:eastAsia="仿宋_GB2312" w:cs="宋体"/>
          <w:b/>
          <w:color w:val="auto"/>
          <w:sz w:val="24"/>
          <w:szCs w:val="24"/>
          <w:lang w:eastAsia="zh-CN"/>
        </w:rPr>
        <w:t>分包</w:t>
      </w:r>
      <w:r>
        <w:rPr>
          <w:rFonts w:hint="eastAsia" w:ascii="仿宋_GB2312" w:hAnsi="宋体" w:eastAsia="仿宋_GB2312" w:cs="宋体"/>
          <w:b/>
          <w:color w:val="auto"/>
          <w:sz w:val="24"/>
          <w:szCs w:val="24"/>
        </w:rPr>
        <w:t>形式参加，提供</w:t>
      </w:r>
      <w:r>
        <w:rPr>
          <w:rFonts w:hint="eastAsia" w:ascii="仿宋_GB2312" w:hAnsi="宋体" w:eastAsia="仿宋_GB2312" w:cs="宋体"/>
          <w:b/>
          <w:color w:val="auto"/>
          <w:sz w:val="24"/>
          <w:szCs w:val="24"/>
          <w:lang w:eastAsia="zh-CN"/>
        </w:rPr>
        <w:t>分包</w:t>
      </w:r>
      <w:r>
        <w:rPr>
          <w:rFonts w:hint="eastAsia" w:ascii="仿宋_GB2312" w:hAnsi="宋体" w:eastAsia="仿宋_GB2312" w:cs="宋体"/>
          <w:b/>
          <w:color w:val="auto"/>
          <w:sz w:val="24"/>
          <w:szCs w:val="24"/>
        </w:rPr>
        <w:t>协议（附件</w:t>
      </w:r>
      <w:r>
        <w:rPr>
          <w:rFonts w:hint="eastAsia" w:ascii="仿宋_GB2312" w:hAnsi="宋体" w:eastAsia="仿宋_GB2312" w:cs="宋体"/>
          <w:b/>
          <w:color w:val="auto"/>
          <w:sz w:val="24"/>
          <w:szCs w:val="24"/>
          <w:lang w:val="en-US" w:eastAsia="zh-CN"/>
        </w:rPr>
        <w:t>7</w:t>
      </w:r>
      <w:r>
        <w:rPr>
          <w:rFonts w:hint="eastAsia" w:ascii="仿宋_GB2312" w:hAnsi="宋体" w:eastAsia="仿宋_GB2312" w:cs="宋体"/>
          <w:b/>
          <w:color w:val="auto"/>
          <w:sz w:val="24"/>
          <w:szCs w:val="24"/>
        </w:rPr>
        <w:t>）和中小企业声明函（附件5），</w:t>
      </w:r>
      <w:r>
        <w:rPr>
          <w:rFonts w:hint="eastAsia" w:ascii="仿宋_GB2312" w:hAnsi="宋体" w:eastAsia="仿宋_GB2312" w:cs="宋体"/>
          <w:b/>
          <w:color w:val="auto"/>
          <w:sz w:val="24"/>
          <w:szCs w:val="24"/>
          <w:lang w:eastAsia="zh-CN"/>
        </w:rPr>
        <w:t>分包</w:t>
      </w:r>
      <w:r>
        <w:rPr>
          <w:rFonts w:hint="eastAsia" w:ascii="仿宋_GB2312" w:hAnsi="宋体" w:eastAsia="仿宋_GB2312" w:cs="宋体"/>
          <w:b/>
          <w:color w:val="auto"/>
          <w:sz w:val="24"/>
          <w:szCs w:val="24"/>
        </w:rPr>
        <w:t>协议中中小微企业合同金额应当达到4</w:t>
      </w:r>
      <w:r>
        <w:rPr>
          <w:rFonts w:ascii="仿宋_GB2312" w:hAnsi="宋体" w:eastAsia="仿宋_GB2312" w:cs="宋体"/>
          <w:b/>
          <w:color w:val="auto"/>
          <w:sz w:val="24"/>
          <w:szCs w:val="24"/>
        </w:rPr>
        <w:t>0</w:t>
      </w:r>
      <w:r>
        <w:rPr>
          <w:rFonts w:hint="eastAsia" w:ascii="仿宋_GB2312" w:hAnsi="宋体" w:eastAsia="仿宋_GB2312" w:cs="宋体"/>
          <w:b/>
          <w:color w:val="auto"/>
          <w:sz w:val="24"/>
          <w:szCs w:val="24"/>
        </w:rPr>
        <w:t>%;如果供应商本身提供所有标的均由中小承接，视同符合了资格条件，无需再与其他中小企业组成联合体参加政府采购活动，无需提供联合协议。</w:t>
      </w:r>
    </w:p>
    <w:p w14:paraId="22386EE6">
      <w:pPr>
        <w:pStyle w:val="4"/>
      </w:pPr>
    </w:p>
    <w:p w14:paraId="45C7817A">
      <w:pPr>
        <w:pStyle w:val="5"/>
      </w:pPr>
    </w:p>
    <w:p w14:paraId="1EB0847D">
      <w:pPr>
        <w:rPr>
          <w:rFonts w:ascii="仿宋_GB2312" w:eastAsia="仿宋_GB2312"/>
        </w:rPr>
      </w:pPr>
    </w:p>
    <w:p w14:paraId="6A39E604">
      <w:pPr>
        <w:widowControl/>
        <w:spacing w:line="560" w:lineRule="exact"/>
        <w:ind w:firstLine="482" w:firstLineChars="200"/>
        <w:jc w:val="center"/>
        <w:rPr>
          <w:rFonts w:ascii="仿宋_GB2312" w:eastAsia="仿宋_GB2312"/>
          <w:b/>
          <w:sz w:val="24"/>
          <w:szCs w:val="24"/>
        </w:rPr>
      </w:pPr>
      <w:r>
        <w:rPr>
          <w:rFonts w:hint="eastAsia" w:ascii="仿宋_GB2312" w:hAnsi="宋体" w:eastAsia="仿宋_GB2312" w:cs="宋体"/>
          <w:b/>
          <w:kern w:val="0"/>
          <w:sz w:val="24"/>
          <w:szCs w:val="24"/>
        </w:rPr>
        <w:t>四、本项目的特定资格要求</w:t>
      </w:r>
    </w:p>
    <w:p w14:paraId="31E2F18F">
      <w:pPr>
        <w:snapToGrid w:val="0"/>
        <w:spacing w:before="50" w:after="50" w:line="560" w:lineRule="exact"/>
        <w:ind w:firstLine="472" w:firstLineChars="196"/>
        <w:jc w:val="center"/>
        <w:rPr>
          <w:rFonts w:ascii="仿宋_GB2312" w:hAnsi="宋体" w:eastAsia="仿宋_GB2312" w:cs="宋体"/>
          <w:b/>
          <w:bCs/>
          <w:sz w:val="24"/>
          <w:szCs w:val="24"/>
        </w:rPr>
      </w:pPr>
      <w:r>
        <w:rPr>
          <w:rFonts w:hint="eastAsia" w:ascii="仿宋_GB2312" w:hAnsi="宋体" w:eastAsia="仿宋_GB2312" w:cs="宋体"/>
          <w:b/>
          <w:bCs/>
          <w:sz w:val="24"/>
          <w:szCs w:val="24"/>
        </w:rPr>
        <w:t>（根据招标公告本项目的特定资格要求提供相应的材料）</w:t>
      </w:r>
    </w:p>
    <w:p w14:paraId="3698E975">
      <w:pPr>
        <w:pStyle w:val="4"/>
      </w:pPr>
    </w:p>
    <w:p w14:paraId="4CE6C74B">
      <w:pPr>
        <w:pStyle w:val="5"/>
      </w:pPr>
    </w:p>
    <w:p w14:paraId="2C9ED606">
      <w:pPr>
        <w:rPr>
          <w:rFonts w:ascii="仿宋_GB2312" w:eastAsia="仿宋_GB2312"/>
        </w:rPr>
      </w:pPr>
    </w:p>
    <w:p w14:paraId="25466A88">
      <w:pPr>
        <w:pStyle w:val="4"/>
      </w:pPr>
    </w:p>
    <w:p w14:paraId="41BB31E0">
      <w:pPr>
        <w:pStyle w:val="5"/>
      </w:pPr>
    </w:p>
    <w:p w14:paraId="1A74CBB6">
      <w:pPr>
        <w:rPr>
          <w:rFonts w:ascii="仿宋_GB2312" w:eastAsia="仿宋_GB2312"/>
        </w:rPr>
      </w:pPr>
    </w:p>
    <w:p w14:paraId="32F28410">
      <w:pPr>
        <w:pStyle w:val="4"/>
      </w:pPr>
    </w:p>
    <w:p w14:paraId="1663FF50">
      <w:pPr>
        <w:pStyle w:val="5"/>
      </w:pPr>
    </w:p>
    <w:p w14:paraId="26689866">
      <w:pPr>
        <w:spacing w:line="560" w:lineRule="exact"/>
        <w:contextualSpacing/>
        <w:jc w:val="center"/>
        <w:rPr>
          <w:rFonts w:ascii="仿宋_GB2312" w:eastAsia="仿宋_GB2312"/>
          <w:b/>
          <w:sz w:val="28"/>
          <w:szCs w:val="28"/>
        </w:rPr>
      </w:pPr>
      <w:r>
        <w:rPr>
          <w:rFonts w:hint="eastAsia" w:ascii="仿宋_GB2312" w:eastAsia="仿宋_GB2312"/>
          <w:b/>
          <w:sz w:val="28"/>
          <w:szCs w:val="28"/>
        </w:rPr>
        <w:t>商务技术文件部分</w:t>
      </w:r>
    </w:p>
    <w:p w14:paraId="6E5512C7">
      <w:pPr>
        <w:spacing w:line="560" w:lineRule="exact"/>
        <w:contextualSpacing/>
        <w:rPr>
          <w:rFonts w:ascii="仿宋_GB2312" w:eastAsia="仿宋_GB2312"/>
          <w:sz w:val="28"/>
          <w:szCs w:val="28"/>
        </w:rPr>
      </w:pPr>
    </w:p>
    <w:p w14:paraId="623D7AC0">
      <w:pPr>
        <w:spacing w:line="540" w:lineRule="exact"/>
        <w:contextualSpacing/>
        <w:jc w:val="center"/>
        <w:rPr>
          <w:rFonts w:ascii="仿宋_GB2312" w:eastAsia="仿宋_GB2312"/>
          <w:b/>
          <w:sz w:val="28"/>
          <w:szCs w:val="28"/>
        </w:rPr>
      </w:pPr>
      <w:r>
        <w:rPr>
          <w:rFonts w:hint="eastAsia" w:ascii="仿宋_GB2312" w:eastAsia="仿宋_GB2312"/>
          <w:b/>
          <w:sz w:val="28"/>
          <w:szCs w:val="28"/>
        </w:rPr>
        <w:t>目录</w:t>
      </w:r>
    </w:p>
    <w:p w14:paraId="67C84693">
      <w:pPr>
        <w:pStyle w:val="17"/>
        <w:numPr>
          <w:ilvl w:val="0"/>
          <w:numId w:val="2"/>
        </w:numPr>
        <w:spacing w:line="540" w:lineRule="exact"/>
        <w:ind w:firstLineChars="0"/>
        <w:contextualSpacing/>
        <w:rPr>
          <w:rFonts w:ascii="仿宋_GB2312" w:eastAsia="仿宋_GB2312"/>
          <w:sz w:val="24"/>
          <w:szCs w:val="24"/>
        </w:rPr>
      </w:pPr>
      <w:r>
        <w:rPr>
          <w:rFonts w:hint="eastAsia" w:ascii="仿宋_GB2312" w:eastAsia="仿宋_GB2312"/>
          <w:sz w:val="24"/>
          <w:szCs w:val="24"/>
        </w:rPr>
        <w:t>投标函…………………………………………………………………………（页码）</w:t>
      </w:r>
    </w:p>
    <w:p w14:paraId="1A10D61C">
      <w:pPr>
        <w:pStyle w:val="17"/>
        <w:numPr>
          <w:ilvl w:val="0"/>
          <w:numId w:val="2"/>
        </w:numPr>
        <w:spacing w:line="540" w:lineRule="exact"/>
        <w:ind w:firstLineChars="0"/>
        <w:contextualSpacing/>
        <w:rPr>
          <w:rFonts w:ascii="仿宋_GB2312" w:eastAsia="仿宋_GB2312"/>
          <w:sz w:val="24"/>
          <w:szCs w:val="24"/>
        </w:rPr>
      </w:pPr>
      <w:r>
        <w:rPr>
          <w:rFonts w:hint="eastAsia" w:ascii="仿宋_GB2312" w:eastAsia="仿宋_GB2312"/>
          <w:sz w:val="24"/>
          <w:szCs w:val="24"/>
        </w:rPr>
        <w:t>联合协议（如果有）…………………………………………………………（页码）</w:t>
      </w:r>
    </w:p>
    <w:p w14:paraId="501D3C34">
      <w:pPr>
        <w:pStyle w:val="17"/>
        <w:numPr>
          <w:ilvl w:val="0"/>
          <w:numId w:val="2"/>
        </w:numPr>
        <w:spacing w:line="540" w:lineRule="exact"/>
        <w:ind w:firstLineChars="0"/>
        <w:contextualSpacing/>
        <w:rPr>
          <w:rFonts w:ascii="仿宋_GB2312" w:eastAsia="仿宋_GB2312"/>
          <w:sz w:val="24"/>
          <w:szCs w:val="24"/>
        </w:rPr>
      </w:pPr>
      <w:r>
        <w:rPr>
          <w:rFonts w:hint="eastAsia" w:ascii="仿宋_GB2312" w:eastAsia="仿宋_GB2312"/>
          <w:sz w:val="24"/>
          <w:szCs w:val="24"/>
        </w:rPr>
        <w:t>分包意向协议（如果有）……………………………………………………（页码）</w:t>
      </w:r>
    </w:p>
    <w:p w14:paraId="31FD540C">
      <w:pPr>
        <w:pStyle w:val="17"/>
        <w:numPr>
          <w:ilvl w:val="0"/>
          <w:numId w:val="2"/>
        </w:numPr>
        <w:spacing w:line="540" w:lineRule="exact"/>
        <w:ind w:firstLineChars="0"/>
        <w:contextualSpacing/>
        <w:rPr>
          <w:rFonts w:ascii="仿宋_GB2312" w:eastAsia="仿宋_GB2312"/>
          <w:sz w:val="24"/>
          <w:szCs w:val="24"/>
        </w:rPr>
      </w:pPr>
      <w:r>
        <w:rPr>
          <w:rFonts w:hint="eastAsia" w:ascii="仿宋_GB2312" w:eastAsia="仿宋_GB2312"/>
          <w:sz w:val="24"/>
          <w:szCs w:val="24"/>
        </w:rPr>
        <w:t>符合性审查资料………………………………………………………………（页码）</w:t>
      </w:r>
    </w:p>
    <w:p w14:paraId="005B5E8F">
      <w:pPr>
        <w:pStyle w:val="17"/>
        <w:numPr>
          <w:ilvl w:val="0"/>
          <w:numId w:val="2"/>
        </w:numPr>
        <w:spacing w:line="540" w:lineRule="exact"/>
        <w:ind w:firstLineChars="0"/>
        <w:contextualSpacing/>
        <w:rPr>
          <w:rFonts w:ascii="仿宋_GB2312" w:eastAsia="仿宋_GB2312"/>
          <w:sz w:val="24"/>
          <w:szCs w:val="24"/>
        </w:rPr>
      </w:pPr>
      <w:r>
        <w:rPr>
          <w:rFonts w:hint="eastAsia" w:ascii="仿宋_GB2312" w:eastAsia="仿宋_GB2312"/>
          <w:sz w:val="24"/>
          <w:szCs w:val="24"/>
        </w:rPr>
        <w:t>拟投入的项目班子格式………………………………………………………（页码）</w:t>
      </w:r>
    </w:p>
    <w:p w14:paraId="3175BBAF">
      <w:pPr>
        <w:pStyle w:val="17"/>
        <w:numPr>
          <w:ilvl w:val="0"/>
          <w:numId w:val="2"/>
        </w:numPr>
        <w:spacing w:line="540" w:lineRule="exact"/>
        <w:ind w:firstLineChars="0"/>
        <w:contextualSpacing/>
        <w:rPr>
          <w:rFonts w:ascii="仿宋_GB2312" w:eastAsia="仿宋_GB2312"/>
          <w:sz w:val="24"/>
          <w:szCs w:val="24"/>
        </w:rPr>
      </w:pPr>
      <w:r>
        <w:rPr>
          <w:rFonts w:hint="eastAsia" w:ascii="仿宋_GB2312" w:eastAsia="仿宋_GB2312"/>
          <w:sz w:val="24"/>
          <w:szCs w:val="24"/>
        </w:rPr>
        <w:t>评标标准相应的商务技术资料………………………………………………（页码）</w:t>
      </w:r>
    </w:p>
    <w:p w14:paraId="0350C9B2">
      <w:pPr>
        <w:pStyle w:val="18"/>
        <w:numPr>
          <w:ilvl w:val="0"/>
          <w:numId w:val="2"/>
        </w:numPr>
        <w:spacing w:line="540" w:lineRule="exact"/>
        <w:contextualSpacing/>
        <w:rPr>
          <w:rFonts w:ascii="仿宋_GB2312" w:eastAsia="仿宋_GB2312"/>
          <w:sz w:val="24"/>
          <w:szCs w:val="24"/>
        </w:rPr>
      </w:pPr>
      <w:r>
        <w:rPr>
          <w:rFonts w:hint="eastAsia" w:ascii="仿宋_GB2312" w:eastAsia="仿宋_GB2312"/>
          <w:sz w:val="24"/>
          <w:szCs w:val="24"/>
        </w:rPr>
        <w:t>投标标的清单（如果有）……………………………………………………（页码）</w:t>
      </w:r>
    </w:p>
    <w:p w14:paraId="0A10D202">
      <w:pPr>
        <w:pStyle w:val="17"/>
        <w:numPr>
          <w:ilvl w:val="0"/>
          <w:numId w:val="2"/>
        </w:numPr>
        <w:spacing w:line="540" w:lineRule="exact"/>
        <w:ind w:firstLineChars="0"/>
        <w:contextualSpacing/>
        <w:rPr>
          <w:rFonts w:ascii="仿宋_GB2312" w:eastAsia="仿宋_GB2312"/>
          <w:sz w:val="24"/>
          <w:szCs w:val="24"/>
        </w:rPr>
      </w:pPr>
      <w:r>
        <w:rPr>
          <w:rFonts w:hint="eastAsia" w:ascii="仿宋_GB2312" w:eastAsia="仿宋_GB2312"/>
          <w:sz w:val="24"/>
          <w:szCs w:val="24"/>
        </w:rPr>
        <w:t>商务技术偏离表………………………………………………………………（页码）</w:t>
      </w:r>
    </w:p>
    <w:p w14:paraId="6DAC8AF4">
      <w:pPr>
        <w:pStyle w:val="17"/>
        <w:numPr>
          <w:ilvl w:val="0"/>
          <w:numId w:val="2"/>
        </w:numPr>
        <w:spacing w:line="540" w:lineRule="exact"/>
        <w:ind w:firstLineChars="0"/>
        <w:contextualSpacing/>
        <w:rPr>
          <w:rFonts w:ascii="仿宋_GB2312" w:eastAsia="仿宋_GB2312"/>
          <w:sz w:val="24"/>
          <w:szCs w:val="24"/>
        </w:rPr>
      </w:pPr>
      <w:r>
        <w:rPr>
          <w:rFonts w:hint="eastAsia" w:ascii="仿宋_GB2312" w:eastAsia="仿宋_GB2312"/>
          <w:sz w:val="24"/>
          <w:szCs w:val="24"/>
        </w:rPr>
        <w:t>政府采购供应商廉洁自律承诺书……………………………………………（页码）</w:t>
      </w:r>
    </w:p>
    <w:p w14:paraId="6D6726E6">
      <w:pPr>
        <w:pStyle w:val="17"/>
        <w:spacing w:line="540" w:lineRule="exact"/>
        <w:ind w:left="420" w:firstLine="0" w:firstLineChars="0"/>
        <w:contextualSpacing/>
        <w:rPr>
          <w:rFonts w:ascii="仿宋_GB2312" w:eastAsia="仿宋_GB2312"/>
          <w:sz w:val="24"/>
          <w:szCs w:val="24"/>
        </w:rPr>
      </w:pPr>
    </w:p>
    <w:p w14:paraId="657B20C1">
      <w:pPr>
        <w:spacing w:line="540" w:lineRule="exact"/>
        <w:contextualSpacing/>
        <w:rPr>
          <w:rFonts w:ascii="仿宋_GB2312" w:eastAsia="仿宋_GB2312"/>
          <w:sz w:val="24"/>
          <w:szCs w:val="24"/>
        </w:rPr>
      </w:pPr>
    </w:p>
    <w:p w14:paraId="68D29089">
      <w:pPr>
        <w:spacing w:line="540" w:lineRule="exact"/>
        <w:contextualSpacing/>
        <w:rPr>
          <w:rFonts w:ascii="仿宋_GB2312" w:eastAsia="仿宋_GB2312"/>
          <w:sz w:val="24"/>
          <w:szCs w:val="24"/>
        </w:rPr>
      </w:pPr>
    </w:p>
    <w:p w14:paraId="7136A816">
      <w:pPr>
        <w:pStyle w:val="4"/>
      </w:pPr>
    </w:p>
    <w:p w14:paraId="1BDF2BDF">
      <w:pPr>
        <w:spacing w:line="540" w:lineRule="exact"/>
        <w:contextualSpacing/>
        <w:rPr>
          <w:rFonts w:ascii="仿宋_GB2312" w:eastAsia="仿宋_GB2312"/>
          <w:sz w:val="24"/>
          <w:szCs w:val="24"/>
        </w:rPr>
      </w:pPr>
    </w:p>
    <w:p w14:paraId="3EAD5865">
      <w:pPr>
        <w:spacing w:line="540" w:lineRule="exact"/>
        <w:contextualSpacing/>
        <w:rPr>
          <w:rFonts w:ascii="仿宋_GB2312" w:eastAsia="仿宋_GB2312"/>
          <w:sz w:val="24"/>
          <w:szCs w:val="24"/>
        </w:rPr>
      </w:pPr>
    </w:p>
    <w:p w14:paraId="56C096A9">
      <w:pPr>
        <w:spacing w:line="540" w:lineRule="exact"/>
        <w:contextualSpacing/>
        <w:rPr>
          <w:rFonts w:ascii="仿宋_GB2312" w:eastAsia="仿宋_GB2312"/>
          <w:sz w:val="24"/>
          <w:szCs w:val="24"/>
        </w:rPr>
      </w:pPr>
    </w:p>
    <w:p w14:paraId="4F8E85BC">
      <w:pPr>
        <w:spacing w:line="540" w:lineRule="exact"/>
        <w:contextualSpacing/>
        <w:rPr>
          <w:rFonts w:ascii="仿宋_GB2312" w:eastAsia="仿宋_GB2312"/>
          <w:sz w:val="24"/>
          <w:szCs w:val="24"/>
        </w:rPr>
      </w:pPr>
    </w:p>
    <w:p w14:paraId="7F0EF4C9">
      <w:pPr>
        <w:spacing w:line="540" w:lineRule="exact"/>
        <w:contextualSpacing/>
        <w:rPr>
          <w:rFonts w:ascii="仿宋_GB2312" w:eastAsia="仿宋_GB2312"/>
          <w:sz w:val="24"/>
          <w:szCs w:val="24"/>
        </w:rPr>
      </w:pPr>
    </w:p>
    <w:p w14:paraId="6D4C27D3">
      <w:pPr>
        <w:spacing w:line="540" w:lineRule="exact"/>
        <w:contextualSpacing/>
        <w:rPr>
          <w:rFonts w:ascii="仿宋_GB2312" w:eastAsia="仿宋_GB2312"/>
          <w:sz w:val="24"/>
          <w:szCs w:val="24"/>
        </w:rPr>
      </w:pPr>
    </w:p>
    <w:p w14:paraId="77881601">
      <w:pPr>
        <w:spacing w:line="540" w:lineRule="exact"/>
        <w:contextualSpacing/>
        <w:rPr>
          <w:rFonts w:ascii="仿宋_GB2312" w:eastAsia="仿宋_GB2312"/>
          <w:sz w:val="24"/>
          <w:szCs w:val="24"/>
        </w:rPr>
      </w:pPr>
    </w:p>
    <w:p w14:paraId="471B6C5C">
      <w:pPr>
        <w:spacing w:line="540" w:lineRule="exact"/>
        <w:contextualSpacing/>
        <w:rPr>
          <w:rFonts w:ascii="仿宋_GB2312" w:eastAsia="仿宋_GB2312"/>
          <w:sz w:val="24"/>
          <w:szCs w:val="24"/>
        </w:rPr>
      </w:pPr>
    </w:p>
    <w:p w14:paraId="3AA853F3">
      <w:pPr>
        <w:pStyle w:val="4"/>
      </w:pPr>
    </w:p>
    <w:p w14:paraId="5562AEFF">
      <w:pPr>
        <w:pStyle w:val="4"/>
      </w:pPr>
    </w:p>
    <w:p w14:paraId="56BBB83A">
      <w:pPr>
        <w:spacing w:line="540" w:lineRule="exact"/>
        <w:contextualSpacing/>
        <w:jc w:val="center"/>
        <w:rPr>
          <w:rFonts w:ascii="仿宋_GB2312" w:eastAsia="仿宋_GB2312"/>
          <w:b/>
          <w:sz w:val="28"/>
          <w:szCs w:val="28"/>
        </w:rPr>
      </w:pPr>
      <w:r>
        <w:rPr>
          <w:rFonts w:hint="eastAsia" w:ascii="仿宋_GB2312" w:eastAsia="仿宋_GB2312"/>
          <w:b/>
          <w:sz w:val="28"/>
          <w:szCs w:val="28"/>
        </w:rPr>
        <w:t>一、投标函</w:t>
      </w:r>
    </w:p>
    <w:p w14:paraId="452DE0BE">
      <w:pPr>
        <w:spacing w:line="540" w:lineRule="exact"/>
        <w:contextualSpacing/>
        <w:rPr>
          <w:rFonts w:ascii="仿宋_GB2312" w:eastAsia="仿宋_GB2312"/>
          <w:sz w:val="24"/>
          <w:szCs w:val="24"/>
        </w:rPr>
      </w:pPr>
    </w:p>
    <w:p w14:paraId="0092F7F4">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5D85222F">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我方参加你方组织的（项目名称）【招标编号：（项目编号）】招标的有关活动，并对此项目进行投标。为此：</w:t>
      </w:r>
    </w:p>
    <w:p w14:paraId="602D97FC">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我方承诺投标有效期从提交投标文件的截止之日起</w:t>
      </w:r>
      <w:r>
        <w:rPr>
          <w:rFonts w:hint="eastAsia" w:ascii="仿宋_GB2312" w:eastAsia="仿宋_GB2312"/>
          <w:sz w:val="24"/>
          <w:szCs w:val="24"/>
          <w:u w:val="single"/>
          <w:lang w:val="en-US" w:eastAsia="zh-CN"/>
        </w:rPr>
        <w:t xml:space="preserve">      </w:t>
      </w:r>
      <w:r>
        <w:rPr>
          <w:rFonts w:hint="eastAsia" w:ascii="仿宋_GB2312" w:eastAsia="仿宋_GB2312"/>
          <w:sz w:val="24"/>
          <w:szCs w:val="24"/>
        </w:rPr>
        <w:t>天（不少于90天），本投标文件在投标有效期满之前均具有约束力。</w:t>
      </w:r>
    </w:p>
    <w:p w14:paraId="05D99DC9">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1.我方的投标文件包括以下内容：</w:t>
      </w:r>
    </w:p>
    <w:p w14:paraId="3C3C331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2.1资格文件：</w:t>
      </w:r>
    </w:p>
    <w:p w14:paraId="21D1F082">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2.1.1承诺函；</w:t>
      </w:r>
    </w:p>
    <w:p w14:paraId="666A2E4A">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2.1.2联合协议（如果有)；</w:t>
      </w:r>
    </w:p>
    <w:p w14:paraId="54E9C9DD">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2.1.3落实政府采购政策需满足的资格要求；</w:t>
      </w:r>
    </w:p>
    <w:p w14:paraId="3D210429">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2.2.4本项目的特定资格要求。</w:t>
      </w:r>
    </w:p>
    <w:p w14:paraId="794E52D4">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 商务技术文件：</w:t>
      </w:r>
    </w:p>
    <w:p w14:paraId="6D8A354A">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2.2.1投标函； </w:t>
      </w:r>
    </w:p>
    <w:p w14:paraId="4E1C828E">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w:t>
      </w:r>
      <w:r>
        <w:rPr>
          <w:rFonts w:hint="eastAsia" w:ascii="仿宋_GB2312" w:eastAsia="仿宋_GB2312"/>
          <w:sz w:val="24"/>
          <w:szCs w:val="24"/>
          <w:lang w:val="en-US" w:eastAsia="zh-CN"/>
        </w:rPr>
        <w:t>2</w:t>
      </w:r>
      <w:r>
        <w:rPr>
          <w:rFonts w:hint="eastAsia" w:ascii="仿宋_GB2312" w:eastAsia="仿宋_GB2312"/>
          <w:sz w:val="24"/>
          <w:szCs w:val="24"/>
        </w:rPr>
        <w:t>联合协议（如果有）；</w:t>
      </w:r>
    </w:p>
    <w:p w14:paraId="19601829">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w:t>
      </w:r>
      <w:r>
        <w:rPr>
          <w:rFonts w:hint="eastAsia" w:ascii="仿宋_GB2312" w:eastAsia="仿宋_GB2312"/>
          <w:sz w:val="24"/>
          <w:szCs w:val="24"/>
          <w:lang w:val="en-US" w:eastAsia="zh-CN"/>
        </w:rPr>
        <w:t>3</w:t>
      </w:r>
      <w:r>
        <w:rPr>
          <w:rFonts w:hint="eastAsia" w:ascii="仿宋_GB2312" w:eastAsia="仿宋_GB2312"/>
          <w:sz w:val="24"/>
          <w:szCs w:val="24"/>
        </w:rPr>
        <w:t>分包意向协议（如果有）；</w:t>
      </w:r>
    </w:p>
    <w:p w14:paraId="796DE3AB">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w:t>
      </w:r>
      <w:r>
        <w:rPr>
          <w:rFonts w:hint="eastAsia" w:ascii="仿宋_GB2312" w:eastAsia="仿宋_GB2312"/>
          <w:sz w:val="24"/>
          <w:szCs w:val="24"/>
          <w:lang w:val="en-US" w:eastAsia="zh-CN"/>
        </w:rPr>
        <w:t>4</w:t>
      </w:r>
      <w:r>
        <w:rPr>
          <w:rFonts w:hint="eastAsia" w:ascii="仿宋_GB2312" w:eastAsia="仿宋_GB2312"/>
          <w:sz w:val="24"/>
          <w:szCs w:val="24"/>
        </w:rPr>
        <w:t>符合性审查资料；</w:t>
      </w:r>
    </w:p>
    <w:p w14:paraId="51A8CA1A">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w:t>
      </w:r>
      <w:r>
        <w:rPr>
          <w:rFonts w:hint="eastAsia" w:ascii="仿宋_GB2312" w:eastAsia="仿宋_GB2312"/>
          <w:sz w:val="24"/>
          <w:szCs w:val="24"/>
          <w:lang w:val="en-US" w:eastAsia="zh-CN"/>
        </w:rPr>
        <w:t>5</w:t>
      </w:r>
      <w:r>
        <w:rPr>
          <w:rFonts w:hint="eastAsia" w:ascii="仿宋_GB2312" w:eastAsia="仿宋_GB2312"/>
          <w:sz w:val="24"/>
          <w:szCs w:val="24"/>
        </w:rPr>
        <w:t>拟投入的项目班子格式；</w:t>
      </w:r>
    </w:p>
    <w:p w14:paraId="3EA7F2F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w:t>
      </w:r>
      <w:r>
        <w:rPr>
          <w:rFonts w:hint="eastAsia" w:ascii="仿宋_GB2312" w:eastAsia="仿宋_GB2312"/>
          <w:sz w:val="24"/>
          <w:szCs w:val="24"/>
          <w:lang w:val="en-US" w:eastAsia="zh-CN"/>
        </w:rPr>
        <w:t>6</w:t>
      </w:r>
      <w:r>
        <w:rPr>
          <w:rFonts w:hint="eastAsia" w:ascii="仿宋_GB2312" w:eastAsia="仿宋_GB2312"/>
          <w:sz w:val="24"/>
          <w:szCs w:val="24"/>
        </w:rPr>
        <w:t>评标标准相应的商务技术资料；</w:t>
      </w:r>
    </w:p>
    <w:p w14:paraId="3B3527DC">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w:t>
      </w:r>
      <w:r>
        <w:rPr>
          <w:rFonts w:hint="eastAsia" w:ascii="仿宋_GB2312" w:eastAsia="仿宋_GB2312"/>
          <w:sz w:val="24"/>
          <w:szCs w:val="24"/>
          <w:lang w:val="en-US" w:eastAsia="zh-CN"/>
        </w:rPr>
        <w:t>7</w:t>
      </w:r>
      <w:r>
        <w:rPr>
          <w:rFonts w:hint="eastAsia" w:ascii="仿宋_GB2312" w:eastAsia="仿宋_GB2312"/>
          <w:sz w:val="24"/>
          <w:szCs w:val="24"/>
        </w:rPr>
        <w:t>投标标的清单（如果有）；</w:t>
      </w:r>
    </w:p>
    <w:p w14:paraId="02724BE5">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w:t>
      </w:r>
      <w:r>
        <w:rPr>
          <w:rFonts w:hint="eastAsia" w:ascii="仿宋_GB2312" w:eastAsia="仿宋_GB2312"/>
          <w:sz w:val="24"/>
          <w:szCs w:val="24"/>
          <w:lang w:val="en-US" w:eastAsia="zh-CN"/>
        </w:rPr>
        <w:t>8</w:t>
      </w:r>
      <w:r>
        <w:rPr>
          <w:rFonts w:hint="eastAsia" w:ascii="仿宋_GB2312" w:eastAsia="仿宋_GB2312"/>
          <w:sz w:val="24"/>
          <w:szCs w:val="24"/>
        </w:rPr>
        <w:t>商务技术偏离表；</w:t>
      </w:r>
    </w:p>
    <w:p w14:paraId="7781EC3C">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2.2.</w:t>
      </w:r>
      <w:r>
        <w:rPr>
          <w:rFonts w:hint="eastAsia" w:ascii="仿宋_GB2312" w:eastAsia="仿宋_GB2312"/>
          <w:sz w:val="24"/>
          <w:szCs w:val="24"/>
          <w:lang w:val="en-US" w:eastAsia="zh-CN"/>
        </w:rPr>
        <w:t>9</w:t>
      </w:r>
      <w:r>
        <w:rPr>
          <w:rFonts w:hint="eastAsia" w:ascii="仿宋_GB2312" w:eastAsia="仿宋_GB2312"/>
          <w:sz w:val="24"/>
          <w:szCs w:val="24"/>
        </w:rPr>
        <w:t>政府采购供应商廉洁自律承诺书。</w:t>
      </w:r>
    </w:p>
    <w:p w14:paraId="39080252">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2.3报价文件</w:t>
      </w:r>
    </w:p>
    <w:p w14:paraId="29A03C76">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2.3.1开标一览表（报价表）；</w:t>
      </w:r>
    </w:p>
    <w:p w14:paraId="104BE5E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2.3.2中小企业声明函（如果有）；</w:t>
      </w:r>
    </w:p>
    <w:p w14:paraId="40415E2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2.3.3详细阐述关于不影响产品质量或者诚信履约的具体原因（如果报价低于项目预算50%的）。</w:t>
      </w:r>
    </w:p>
    <w:p w14:paraId="4F2F7252">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3.我方承诺除商务技术偏离表列出的偏离外，我方响应招标文件的全部要求。</w:t>
      </w:r>
    </w:p>
    <w:p w14:paraId="38F6EAA9">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4.如我方中标，我方承诺：</w:t>
      </w:r>
    </w:p>
    <w:p w14:paraId="67173F2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4.1在收到中标通知书后，在中标通知书规定的期限内与你方签订合同； </w:t>
      </w:r>
    </w:p>
    <w:p w14:paraId="3741E4F6">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4.2在签订合同时不向你方提出附加条件； </w:t>
      </w:r>
    </w:p>
    <w:p w14:paraId="6A2368CA">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4.3按照招标文件要求提交履约保证金； </w:t>
      </w:r>
    </w:p>
    <w:p w14:paraId="0823F027">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4.4在合同约定的期限内完成合同规定的全部义务。 </w:t>
      </w:r>
    </w:p>
    <w:p w14:paraId="4111B7A5">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5.其他补充说明:。</w:t>
      </w:r>
    </w:p>
    <w:p w14:paraId="5055ED3C">
      <w:pPr>
        <w:spacing w:line="540" w:lineRule="exact"/>
        <w:contextualSpacing/>
        <w:rPr>
          <w:rFonts w:ascii="仿宋_GB2312" w:eastAsia="仿宋_GB2312"/>
          <w:sz w:val="24"/>
          <w:szCs w:val="24"/>
        </w:rPr>
      </w:pPr>
    </w:p>
    <w:p w14:paraId="36CF3F52">
      <w:pPr>
        <w:spacing w:line="540" w:lineRule="exact"/>
        <w:contextualSpacing/>
        <w:rPr>
          <w:rFonts w:ascii="仿宋_GB2312" w:eastAsia="仿宋_GB2312"/>
          <w:sz w:val="24"/>
          <w:szCs w:val="24"/>
        </w:rPr>
      </w:pPr>
    </w:p>
    <w:p w14:paraId="039F7C9B">
      <w:pPr>
        <w:spacing w:line="540" w:lineRule="exact"/>
        <w:contextualSpacing/>
        <w:rPr>
          <w:rFonts w:ascii="仿宋_GB2312" w:eastAsia="仿宋_GB2312"/>
          <w:sz w:val="24"/>
          <w:szCs w:val="24"/>
        </w:rPr>
      </w:pPr>
    </w:p>
    <w:p w14:paraId="069FF2D6">
      <w:pPr>
        <w:spacing w:line="540" w:lineRule="exact"/>
        <w:contextualSpacing/>
        <w:rPr>
          <w:rFonts w:ascii="仿宋_GB2312" w:eastAsia="仿宋_GB2312"/>
          <w:sz w:val="24"/>
          <w:szCs w:val="24"/>
        </w:rPr>
      </w:pPr>
    </w:p>
    <w:p w14:paraId="2B5D0CDA">
      <w:pPr>
        <w:spacing w:line="540" w:lineRule="exact"/>
        <w:contextualSpacing/>
        <w:rPr>
          <w:rFonts w:ascii="仿宋_GB2312" w:eastAsia="仿宋_GB2312"/>
          <w:sz w:val="24"/>
          <w:szCs w:val="24"/>
        </w:rPr>
      </w:pPr>
    </w:p>
    <w:p w14:paraId="4149C145">
      <w:pPr>
        <w:spacing w:line="540" w:lineRule="exact"/>
        <w:contextualSpacing/>
        <w:rPr>
          <w:rFonts w:ascii="仿宋_GB2312" w:eastAsia="仿宋_GB2312"/>
          <w:sz w:val="24"/>
          <w:szCs w:val="24"/>
        </w:rPr>
      </w:pPr>
    </w:p>
    <w:p w14:paraId="044D1FC6">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30C3FD2F">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4505D406">
      <w:pPr>
        <w:spacing w:line="540" w:lineRule="exact"/>
        <w:contextualSpacing/>
        <w:rPr>
          <w:rFonts w:ascii="仿宋_GB2312" w:eastAsia="仿宋_GB2312"/>
          <w:sz w:val="24"/>
          <w:szCs w:val="24"/>
        </w:rPr>
      </w:pPr>
    </w:p>
    <w:p w14:paraId="1B59C5DA">
      <w:pPr>
        <w:spacing w:line="540" w:lineRule="exact"/>
        <w:contextualSpacing/>
        <w:rPr>
          <w:rFonts w:ascii="仿宋_GB2312" w:eastAsia="仿宋_GB2312"/>
          <w:sz w:val="24"/>
          <w:szCs w:val="24"/>
        </w:rPr>
      </w:pPr>
    </w:p>
    <w:p w14:paraId="0BA9DA28">
      <w:pPr>
        <w:spacing w:line="540" w:lineRule="exact"/>
        <w:contextualSpacing/>
        <w:rPr>
          <w:rFonts w:ascii="仿宋_GB2312" w:eastAsia="仿宋_GB2312"/>
          <w:sz w:val="24"/>
          <w:szCs w:val="24"/>
        </w:rPr>
      </w:pPr>
    </w:p>
    <w:p w14:paraId="342431BA">
      <w:pPr>
        <w:spacing w:line="540" w:lineRule="exact"/>
        <w:contextualSpacing/>
        <w:rPr>
          <w:rFonts w:ascii="仿宋_GB2312" w:eastAsia="仿宋_GB2312"/>
          <w:sz w:val="24"/>
          <w:szCs w:val="24"/>
        </w:rPr>
      </w:pPr>
    </w:p>
    <w:p w14:paraId="7219760C">
      <w:pPr>
        <w:spacing w:line="540" w:lineRule="exact"/>
        <w:contextualSpacing/>
        <w:rPr>
          <w:rFonts w:ascii="仿宋_GB2312" w:eastAsia="仿宋_GB2312"/>
          <w:sz w:val="24"/>
          <w:szCs w:val="24"/>
        </w:rPr>
      </w:pPr>
    </w:p>
    <w:p w14:paraId="117B3747">
      <w:pPr>
        <w:spacing w:line="540" w:lineRule="exact"/>
        <w:contextualSpacing/>
        <w:rPr>
          <w:rFonts w:ascii="仿宋_GB2312" w:eastAsia="仿宋_GB2312"/>
          <w:sz w:val="24"/>
          <w:szCs w:val="24"/>
        </w:rPr>
      </w:pPr>
    </w:p>
    <w:p w14:paraId="4674F419">
      <w:pPr>
        <w:spacing w:line="540" w:lineRule="exact"/>
        <w:contextualSpacing/>
        <w:jc w:val="center"/>
        <w:rPr>
          <w:rFonts w:ascii="仿宋_GB2312" w:eastAsia="仿宋_GB2312"/>
          <w:b/>
          <w:sz w:val="28"/>
          <w:szCs w:val="28"/>
        </w:rPr>
      </w:pPr>
    </w:p>
    <w:p w14:paraId="1B0C9BF8">
      <w:pPr>
        <w:spacing w:line="540" w:lineRule="exact"/>
        <w:contextualSpacing/>
        <w:jc w:val="center"/>
        <w:rPr>
          <w:rFonts w:ascii="仿宋_GB2312" w:eastAsia="仿宋_GB2312"/>
          <w:b/>
          <w:sz w:val="28"/>
          <w:szCs w:val="28"/>
        </w:rPr>
      </w:pPr>
    </w:p>
    <w:p w14:paraId="5D03BADA">
      <w:pPr>
        <w:spacing w:line="540" w:lineRule="exact"/>
        <w:contextualSpacing/>
        <w:jc w:val="center"/>
        <w:rPr>
          <w:rFonts w:ascii="仿宋_GB2312" w:eastAsia="仿宋_GB2312"/>
          <w:b/>
          <w:sz w:val="24"/>
          <w:szCs w:val="24"/>
        </w:rPr>
      </w:pPr>
    </w:p>
    <w:p w14:paraId="696FF95F">
      <w:pPr>
        <w:spacing w:line="540" w:lineRule="exact"/>
        <w:contextualSpacing/>
        <w:jc w:val="center"/>
        <w:rPr>
          <w:rFonts w:ascii="仿宋_GB2312" w:eastAsia="仿宋_GB2312"/>
          <w:b/>
          <w:sz w:val="24"/>
          <w:szCs w:val="24"/>
        </w:rPr>
      </w:pPr>
    </w:p>
    <w:p w14:paraId="1CC9C6B6">
      <w:pPr>
        <w:pStyle w:val="4"/>
      </w:pPr>
    </w:p>
    <w:p w14:paraId="215CDBE4">
      <w:pPr>
        <w:widowControl/>
        <w:spacing w:line="560" w:lineRule="exact"/>
        <w:jc w:val="center"/>
        <w:rPr>
          <w:rFonts w:ascii="仿宋_GB2312" w:eastAsia="仿宋_GB2312"/>
          <w:b/>
          <w:sz w:val="28"/>
          <w:szCs w:val="28"/>
        </w:rPr>
      </w:pPr>
      <w:r>
        <w:rPr>
          <w:rFonts w:hint="eastAsia" w:ascii="仿宋_GB2312" w:eastAsia="仿宋_GB2312"/>
          <w:b/>
          <w:sz w:val="28"/>
          <w:szCs w:val="28"/>
          <w:lang w:eastAsia="zh-CN"/>
        </w:rPr>
        <w:t>二</w:t>
      </w:r>
      <w:r>
        <w:rPr>
          <w:rFonts w:hint="eastAsia" w:ascii="仿宋_GB2312" w:eastAsia="仿宋_GB2312"/>
          <w:b/>
          <w:sz w:val="28"/>
          <w:szCs w:val="28"/>
        </w:rPr>
        <w:t>、联合协议（如果有）</w:t>
      </w:r>
    </w:p>
    <w:p w14:paraId="3E5987A4">
      <w:pPr>
        <w:widowControl/>
        <w:spacing w:line="560" w:lineRule="exact"/>
        <w:ind w:firstLine="562" w:firstLineChars="200"/>
        <w:jc w:val="left"/>
        <w:rPr>
          <w:rFonts w:ascii="仿宋_GB2312" w:hAnsi="宋体" w:eastAsia="仿宋_GB2312" w:cs="宋体"/>
          <w:b/>
          <w:sz w:val="28"/>
          <w:szCs w:val="28"/>
        </w:rPr>
      </w:pPr>
      <w:r>
        <w:rPr>
          <w:rFonts w:hint="eastAsia" w:ascii="仿宋_GB2312" w:hAnsi="宋体" w:eastAsia="仿宋_GB2312" w:cs="宋体"/>
          <w:b/>
          <w:sz w:val="28"/>
          <w:szCs w:val="28"/>
        </w:rPr>
        <w:t>[以联合体形式投标的，提供联合协议（附件6）；本项目不接受联合体投标或者投标人不以联合体形式投标的，则不需要提供）]</w:t>
      </w:r>
    </w:p>
    <w:p w14:paraId="0FCFEC99">
      <w:pPr>
        <w:pStyle w:val="5"/>
      </w:pPr>
    </w:p>
    <w:p w14:paraId="2166FE03">
      <w:pPr>
        <w:snapToGrid w:val="0"/>
        <w:spacing w:line="360" w:lineRule="auto"/>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lang w:eastAsia="zh-CN"/>
        </w:rPr>
        <w:t>三</w:t>
      </w:r>
      <w:r>
        <w:rPr>
          <w:rFonts w:hint="eastAsia" w:ascii="仿宋_GB2312" w:hAnsi="宋体" w:eastAsia="仿宋_GB2312" w:cs="宋体"/>
          <w:b/>
          <w:kern w:val="0"/>
          <w:sz w:val="28"/>
          <w:szCs w:val="28"/>
        </w:rPr>
        <w:t>、分包意向协议（如果有）</w:t>
      </w:r>
    </w:p>
    <w:p w14:paraId="7C1D8C8D">
      <w:pPr>
        <w:widowControl/>
        <w:spacing w:line="360" w:lineRule="auto"/>
        <w:jc w:val="left"/>
        <w:rPr>
          <w:rFonts w:ascii="仿宋_GB2312" w:hAnsi="宋体" w:eastAsia="仿宋_GB2312" w:cs="宋体"/>
          <w:sz w:val="28"/>
          <w:szCs w:val="28"/>
        </w:rPr>
      </w:pPr>
      <w:r>
        <w:rPr>
          <w:rFonts w:hint="eastAsia" w:ascii="仿宋_GB2312" w:hAnsi="宋体" w:eastAsia="仿宋_GB2312" w:cs="宋体"/>
          <w:sz w:val="28"/>
          <w:szCs w:val="28"/>
        </w:rPr>
        <w:t>[</w:t>
      </w:r>
      <w:r>
        <w:rPr>
          <w:rFonts w:hint="eastAsia" w:ascii="仿宋_GB2312" w:hAnsi="宋体" w:eastAsia="仿宋_GB2312" w:cs="宋体"/>
          <w:b/>
          <w:sz w:val="28"/>
          <w:szCs w:val="28"/>
        </w:rPr>
        <w:t>中标后以分包方式履行合同的，提供分包意向协议(附件7)；采购人不同意分包或者投标人中标后不以分包方式履行合同的，则不需要提供。</w:t>
      </w:r>
      <w:r>
        <w:rPr>
          <w:rFonts w:hint="eastAsia" w:ascii="仿宋_GB2312" w:hAnsi="宋体" w:eastAsia="仿宋_GB2312" w:cs="宋体"/>
          <w:sz w:val="28"/>
          <w:szCs w:val="28"/>
        </w:rPr>
        <w:t>]</w:t>
      </w:r>
    </w:p>
    <w:p w14:paraId="4CB43870">
      <w:pPr>
        <w:spacing w:line="540" w:lineRule="exact"/>
        <w:contextualSpacing/>
        <w:jc w:val="center"/>
        <w:rPr>
          <w:rFonts w:ascii="仿宋_GB2312" w:eastAsia="仿宋_GB2312"/>
          <w:b/>
          <w:sz w:val="24"/>
          <w:szCs w:val="24"/>
        </w:rPr>
      </w:pPr>
    </w:p>
    <w:p w14:paraId="4C6384B0">
      <w:pPr>
        <w:spacing w:line="540" w:lineRule="exact"/>
        <w:contextualSpacing/>
        <w:jc w:val="center"/>
        <w:rPr>
          <w:rFonts w:ascii="仿宋_GB2312" w:eastAsia="仿宋_GB2312"/>
          <w:b/>
          <w:sz w:val="28"/>
          <w:szCs w:val="28"/>
        </w:rPr>
      </w:pPr>
      <w:r>
        <w:rPr>
          <w:rFonts w:hint="eastAsia" w:ascii="仿宋_GB2312" w:eastAsia="仿宋_GB2312"/>
          <w:b/>
          <w:sz w:val="28"/>
          <w:szCs w:val="28"/>
          <w:lang w:eastAsia="zh-CN"/>
        </w:rPr>
        <w:t>四</w:t>
      </w:r>
      <w:r>
        <w:rPr>
          <w:rFonts w:hint="eastAsia" w:ascii="仿宋_GB2312" w:eastAsia="仿宋_GB2312"/>
          <w:b/>
          <w:sz w:val="28"/>
          <w:szCs w:val="28"/>
        </w:rPr>
        <w:t>、符合性审查资料</w:t>
      </w: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C83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9261D08">
            <w:pPr>
              <w:spacing w:line="40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4991" w:type="dxa"/>
            <w:vAlign w:val="center"/>
          </w:tcPr>
          <w:p w14:paraId="5E36D0B4">
            <w:pPr>
              <w:spacing w:line="400" w:lineRule="exact"/>
              <w:contextualSpacing/>
              <w:jc w:val="center"/>
              <w:rPr>
                <w:rFonts w:ascii="仿宋_GB2312" w:eastAsia="仿宋_GB2312"/>
                <w:sz w:val="24"/>
                <w:szCs w:val="24"/>
              </w:rPr>
            </w:pPr>
            <w:r>
              <w:rPr>
                <w:rFonts w:hint="eastAsia" w:ascii="仿宋_GB2312" w:eastAsia="仿宋_GB2312"/>
                <w:sz w:val="24"/>
                <w:szCs w:val="24"/>
              </w:rPr>
              <w:t>实质性要求</w:t>
            </w:r>
          </w:p>
        </w:tc>
        <w:tc>
          <w:tcPr>
            <w:tcW w:w="2551" w:type="dxa"/>
            <w:vAlign w:val="center"/>
          </w:tcPr>
          <w:p w14:paraId="5231D40C">
            <w:pPr>
              <w:spacing w:line="400" w:lineRule="exact"/>
              <w:contextualSpacing/>
              <w:jc w:val="center"/>
              <w:rPr>
                <w:rFonts w:ascii="仿宋_GB2312" w:eastAsia="仿宋_GB2312"/>
                <w:sz w:val="24"/>
                <w:szCs w:val="24"/>
              </w:rPr>
            </w:pPr>
            <w:r>
              <w:rPr>
                <w:rFonts w:hint="eastAsia" w:ascii="仿宋_GB2312" w:eastAsia="仿宋_GB2312"/>
                <w:sz w:val="24"/>
                <w:szCs w:val="24"/>
              </w:rPr>
              <w:t>需要提供的符合性审查资料</w:t>
            </w:r>
          </w:p>
        </w:tc>
        <w:tc>
          <w:tcPr>
            <w:tcW w:w="1418" w:type="dxa"/>
            <w:vAlign w:val="center"/>
          </w:tcPr>
          <w:p w14:paraId="1C40C0BD">
            <w:pPr>
              <w:spacing w:line="400" w:lineRule="exact"/>
              <w:contextualSpacing/>
              <w:jc w:val="center"/>
              <w:rPr>
                <w:rFonts w:ascii="仿宋_GB2312" w:eastAsia="仿宋_GB2312"/>
                <w:sz w:val="24"/>
                <w:szCs w:val="24"/>
              </w:rPr>
            </w:pPr>
            <w:r>
              <w:rPr>
                <w:rFonts w:hint="eastAsia" w:ascii="仿宋_GB2312" w:eastAsia="仿宋_GB2312"/>
                <w:sz w:val="24"/>
                <w:szCs w:val="24"/>
              </w:rPr>
              <w:t>投标文件中的页码位置</w:t>
            </w:r>
          </w:p>
        </w:tc>
      </w:tr>
      <w:tr w14:paraId="1A92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083D8F">
            <w:pPr>
              <w:spacing w:line="400" w:lineRule="exact"/>
              <w:contextualSpacing/>
              <w:jc w:val="center"/>
              <w:rPr>
                <w:rFonts w:ascii="仿宋_GB2312" w:eastAsia="仿宋_GB2312"/>
                <w:sz w:val="24"/>
                <w:szCs w:val="24"/>
              </w:rPr>
            </w:pPr>
            <w:r>
              <w:rPr>
                <w:rFonts w:hint="eastAsia" w:ascii="仿宋_GB2312" w:eastAsia="仿宋_GB2312"/>
                <w:sz w:val="24"/>
                <w:szCs w:val="24"/>
              </w:rPr>
              <w:t>1</w:t>
            </w:r>
          </w:p>
        </w:tc>
        <w:tc>
          <w:tcPr>
            <w:tcW w:w="4991" w:type="dxa"/>
            <w:vAlign w:val="center"/>
          </w:tcPr>
          <w:p w14:paraId="1D88B6FB">
            <w:pPr>
              <w:spacing w:line="400" w:lineRule="exact"/>
              <w:contextualSpacing/>
              <w:rPr>
                <w:rFonts w:ascii="仿宋_GB2312" w:eastAsia="仿宋_GB2312"/>
                <w:sz w:val="24"/>
                <w:szCs w:val="24"/>
              </w:rPr>
            </w:pPr>
            <w:r>
              <w:rPr>
                <w:rFonts w:hint="eastAsia" w:ascii="仿宋_GB2312" w:eastAsia="仿宋_GB2312"/>
                <w:sz w:val="24"/>
                <w:szCs w:val="24"/>
              </w:rPr>
              <w:t>投标文件按照招标文件要求签署、盖章。</w:t>
            </w:r>
          </w:p>
        </w:tc>
        <w:tc>
          <w:tcPr>
            <w:tcW w:w="2551" w:type="dxa"/>
            <w:vAlign w:val="center"/>
          </w:tcPr>
          <w:p w14:paraId="79B530D3">
            <w:pPr>
              <w:spacing w:line="400" w:lineRule="exact"/>
              <w:contextualSpacing/>
              <w:rPr>
                <w:rFonts w:ascii="仿宋_GB2312" w:eastAsia="仿宋_GB2312"/>
                <w:sz w:val="24"/>
                <w:szCs w:val="24"/>
              </w:rPr>
            </w:pPr>
            <w:r>
              <w:rPr>
                <w:rFonts w:hint="eastAsia" w:ascii="仿宋_GB2312" w:eastAsia="仿宋_GB2312"/>
                <w:sz w:val="24"/>
                <w:szCs w:val="24"/>
              </w:rPr>
              <w:t>需要使用电子签名或者签字盖章的投标文件的组成部分</w:t>
            </w:r>
          </w:p>
        </w:tc>
        <w:tc>
          <w:tcPr>
            <w:tcW w:w="1418" w:type="dxa"/>
            <w:vAlign w:val="center"/>
          </w:tcPr>
          <w:p w14:paraId="14415F3C">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14:paraId="089C3DD5">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14:paraId="21D1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7E6704">
            <w:pPr>
              <w:spacing w:line="400" w:lineRule="exact"/>
              <w:contextualSpacing/>
              <w:jc w:val="center"/>
              <w:rPr>
                <w:rFonts w:ascii="仿宋_GB2312" w:eastAsia="仿宋_GB2312"/>
                <w:sz w:val="24"/>
                <w:szCs w:val="24"/>
              </w:rPr>
            </w:pPr>
            <w:r>
              <w:rPr>
                <w:rFonts w:hint="eastAsia" w:ascii="仿宋_GB2312" w:eastAsia="仿宋_GB2312"/>
                <w:sz w:val="24"/>
                <w:szCs w:val="24"/>
              </w:rPr>
              <w:t>2</w:t>
            </w:r>
          </w:p>
        </w:tc>
        <w:tc>
          <w:tcPr>
            <w:tcW w:w="4991" w:type="dxa"/>
            <w:vAlign w:val="center"/>
          </w:tcPr>
          <w:p w14:paraId="6ECA7F0B">
            <w:pPr>
              <w:spacing w:line="400" w:lineRule="exact"/>
              <w:contextualSpacing/>
              <w:rPr>
                <w:rFonts w:ascii="仿宋_GB2312" w:eastAsia="仿宋_GB2312"/>
                <w:sz w:val="24"/>
                <w:szCs w:val="24"/>
              </w:rPr>
            </w:pPr>
            <w:r>
              <w:rPr>
                <w:rFonts w:hint="eastAsia" w:ascii="仿宋_GB2312" w:eastAsia="仿宋_GB2312"/>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E875334">
            <w:pPr>
              <w:spacing w:line="400" w:lineRule="exact"/>
              <w:contextualSpacing/>
              <w:rPr>
                <w:rFonts w:ascii="仿宋_GB2312" w:eastAsia="仿宋_GB2312"/>
                <w:sz w:val="24"/>
                <w:szCs w:val="24"/>
              </w:rPr>
            </w:pPr>
            <w:r>
              <w:rPr>
                <w:rFonts w:hint="eastAsia" w:ascii="仿宋_GB2312" w:eastAsia="仿宋_GB2312"/>
                <w:sz w:val="24"/>
                <w:szCs w:val="24"/>
              </w:rPr>
              <w:t>节能产品认证证书（本项目拟采购的产品不属于政府强制采购的节能产品品目清单范围的，无需提供）</w:t>
            </w:r>
          </w:p>
        </w:tc>
        <w:tc>
          <w:tcPr>
            <w:tcW w:w="1418" w:type="dxa"/>
            <w:vAlign w:val="center"/>
          </w:tcPr>
          <w:p w14:paraId="11830120">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14:paraId="4ABFB9C2">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14:paraId="4834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01DB93">
            <w:pPr>
              <w:spacing w:line="400" w:lineRule="exact"/>
              <w:contextualSpacing/>
              <w:jc w:val="center"/>
              <w:rPr>
                <w:rFonts w:ascii="仿宋_GB2312" w:eastAsia="仿宋_GB2312"/>
                <w:sz w:val="24"/>
                <w:szCs w:val="24"/>
              </w:rPr>
            </w:pPr>
            <w:r>
              <w:rPr>
                <w:rFonts w:hint="eastAsia" w:ascii="仿宋_GB2312" w:eastAsia="仿宋_GB2312"/>
                <w:sz w:val="24"/>
                <w:szCs w:val="24"/>
              </w:rPr>
              <w:t>3</w:t>
            </w:r>
          </w:p>
        </w:tc>
        <w:tc>
          <w:tcPr>
            <w:tcW w:w="4991" w:type="dxa"/>
            <w:vAlign w:val="center"/>
          </w:tcPr>
          <w:p w14:paraId="01380B70">
            <w:pPr>
              <w:spacing w:line="400" w:lineRule="exact"/>
              <w:contextualSpacing/>
              <w:rPr>
                <w:rFonts w:ascii="仿宋_GB2312" w:eastAsia="仿宋_GB2312"/>
                <w:sz w:val="24"/>
                <w:szCs w:val="24"/>
              </w:rPr>
            </w:pPr>
            <w:r>
              <w:rPr>
                <w:rFonts w:hint="eastAsia" w:ascii="仿宋_GB2312" w:eastAsia="仿宋_GB2312"/>
                <w:sz w:val="24"/>
                <w:szCs w:val="24"/>
              </w:rPr>
              <w:t>投标文件中承诺的投标有效期不少于招标文件中载明的投标有效期。</w:t>
            </w:r>
          </w:p>
        </w:tc>
        <w:tc>
          <w:tcPr>
            <w:tcW w:w="2551" w:type="dxa"/>
            <w:vAlign w:val="center"/>
          </w:tcPr>
          <w:p w14:paraId="014F5720">
            <w:pPr>
              <w:spacing w:line="400" w:lineRule="exact"/>
              <w:contextualSpacing/>
              <w:rPr>
                <w:rFonts w:ascii="仿宋_GB2312" w:eastAsia="仿宋_GB2312"/>
                <w:sz w:val="24"/>
                <w:szCs w:val="24"/>
              </w:rPr>
            </w:pPr>
            <w:r>
              <w:rPr>
                <w:rFonts w:hint="eastAsia" w:ascii="仿宋_GB2312" w:eastAsia="仿宋_GB2312"/>
                <w:sz w:val="24"/>
                <w:szCs w:val="24"/>
              </w:rPr>
              <w:t>投标函</w:t>
            </w:r>
          </w:p>
        </w:tc>
        <w:tc>
          <w:tcPr>
            <w:tcW w:w="1418" w:type="dxa"/>
            <w:vAlign w:val="center"/>
          </w:tcPr>
          <w:p w14:paraId="649D62C9">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r w14:paraId="656E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840305">
            <w:pPr>
              <w:spacing w:line="400" w:lineRule="exact"/>
              <w:contextualSpacing/>
              <w:jc w:val="center"/>
              <w:rPr>
                <w:rFonts w:ascii="仿宋_GB2312" w:eastAsia="仿宋_GB2312"/>
                <w:sz w:val="24"/>
                <w:szCs w:val="24"/>
              </w:rPr>
            </w:pPr>
            <w:r>
              <w:rPr>
                <w:rFonts w:hint="eastAsia" w:ascii="仿宋_GB2312" w:eastAsia="仿宋_GB2312"/>
                <w:sz w:val="24"/>
                <w:szCs w:val="24"/>
              </w:rPr>
              <w:t>4</w:t>
            </w:r>
          </w:p>
        </w:tc>
        <w:tc>
          <w:tcPr>
            <w:tcW w:w="4991" w:type="dxa"/>
            <w:vAlign w:val="center"/>
          </w:tcPr>
          <w:p w14:paraId="4CAC5FB8">
            <w:pPr>
              <w:spacing w:line="400" w:lineRule="exact"/>
              <w:contextualSpacing/>
              <w:rPr>
                <w:rFonts w:ascii="仿宋_GB2312" w:eastAsia="仿宋_GB2312"/>
                <w:sz w:val="24"/>
                <w:szCs w:val="24"/>
              </w:rPr>
            </w:pPr>
            <w:r>
              <w:rPr>
                <w:rFonts w:hint="eastAsia" w:ascii="仿宋_GB2312" w:eastAsia="仿宋_GB2312"/>
                <w:sz w:val="24"/>
                <w:szCs w:val="24"/>
              </w:rPr>
              <w:t>投标文件满足招标文件的其它实质性要求。</w:t>
            </w:r>
          </w:p>
        </w:tc>
        <w:tc>
          <w:tcPr>
            <w:tcW w:w="2551" w:type="dxa"/>
            <w:vAlign w:val="center"/>
          </w:tcPr>
          <w:p w14:paraId="7AE20513">
            <w:pPr>
              <w:spacing w:line="400" w:lineRule="exact"/>
              <w:contextualSpacing/>
              <w:rPr>
                <w:rFonts w:ascii="仿宋_GB2312" w:eastAsia="仿宋_GB2312"/>
                <w:sz w:val="24"/>
                <w:szCs w:val="24"/>
              </w:rPr>
            </w:pPr>
            <w:r>
              <w:rPr>
                <w:rFonts w:hint="eastAsia" w:ascii="仿宋_GB2312" w:eastAsia="仿宋_GB2312"/>
                <w:sz w:val="24"/>
                <w:szCs w:val="24"/>
              </w:rPr>
              <w:t>招标文件其它实质性要求相应的材料（“▲” 系指实质性要求条款，招标文件无其它实质性要求的，无需提供）</w:t>
            </w:r>
          </w:p>
        </w:tc>
        <w:tc>
          <w:tcPr>
            <w:tcW w:w="1418" w:type="dxa"/>
            <w:vAlign w:val="center"/>
          </w:tcPr>
          <w:p w14:paraId="6E2A67C4">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bl>
    <w:p w14:paraId="6B0B07A6">
      <w:pPr>
        <w:spacing w:line="540" w:lineRule="exact"/>
        <w:contextualSpacing/>
        <w:rPr>
          <w:rFonts w:ascii="仿宋_GB2312" w:eastAsia="仿宋_GB2312"/>
          <w:sz w:val="24"/>
          <w:szCs w:val="24"/>
        </w:rPr>
      </w:pPr>
    </w:p>
    <w:p w14:paraId="1A07D5E8">
      <w:pPr>
        <w:spacing w:line="540" w:lineRule="exact"/>
        <w:contextualSpacing/>
        <w:jc w:val="center"/>
        <w:rPr>
          <w:rFonts w:ascii="仿宋_GB2312" w:eastAsia="仿宋_GB2312"/>
          <w:b/>
          <w:sz w:val="28"/>
          <w:szCs w:val="28"/>
        </w:rPr>
      </w:pPr>
    </w:p>
    <w:p w14:paraId="2309B792">
      <w:pPr>
        <w:spacing w:line="540" w:lineRule="exact"/>
        <w:contextualSpacing/>
        <w:jc w:val="center"/>
        <w:rPr>
          <w:rFonts w:ascii="仿宋_GB2312" w:eastAsia="仿宋_GB2312"/>
          <w:b/>
          <w:sz w:val="28"/>
          <w:szCs w:val="28"/>
        </w:rPr>
      </w:pPr>
      <w:r>
        <w:rPr>
          <w:rFonts w:hint="eastAsia" w:ascii="仿宋_GB2312" w:eastAsia="仿宋_GB2312"/>
          <w:b/>
          <w:sz w:val="28"/>
          <w:szCs w:val="28"/>
          <w:lang w:eastAsia="zh-CN"/>
        </w:rPr>
        <w:t>五</w:t>
      </w:r>
      <w:r>
        <w:rPr>
          <w:rFonts w:hint="eastAsia" w:ascii="仿宋_GB2312" w:eastAsia="仿宋_GB2312"/>
          <w:b/>
          <w:sz w:val="28"/>
          <w:szCs w:val="28"/>
        </w:rPr>
        <w:t>、拟投入的项目班子格式</w:t>
      </w:r>
    </w:p>
    <w:p w14:paraId="1183EDAD">
      <w:pPr>
        <w:spacing w:line="540" w:lineRule="exact"/>
        <w:contextualSpacing/>
        <w:rPr>
          <w:rFonts w:ascii="仿宋_GB2312" w:eastAsia="仿宋_GB2312"/>
          <w:sz w:val="24"/>
          <w:szCs w:val="24"/>
        </w:rPr>
      </w:pPr>
      <w:r>
        <w:rPr>
          <w:rFonts w:hint="eastAsia" w:ascii="仿宋_GB2312" w:eastAsia="仿宋_GB2312"/>
          <w:sz w:val="24"/>
          <w:szCs w:val="24"/>
        </w:rPr>
        <w:t>（格式仅供参考）</w:t>
      </w:r>
    </w:p>
    <w:p w14:paraId="1B419D68">
      <w:pPr>
        <w:spacing w:line="540" w:lineRule="exact"/>
        <w:contextualSpacing/>
        <w:rPr>
          <w:rFonts w:ascii="仿宋_GB2312" w:eastAsia="仿宋_GB2312"/>
          <w:sz w:val="24"/>
          <w:szCs w:val="24"/>
        </w:rPr>
      </w:pPr>
      <w:r>
        <w:rPr>
          <w:rFonts w:hint="eastAsia" w:ascii="仿宋_GB2312" w:eastAsia="仿宋_GB2312"/>
          <w:sz w:val="24"/>
          <w:szCs w:val="24"/>
        </w:rPr>
        <w:t>项目负责人简历表</w:t>
      </w:r>
    </w:p>
    <w:tbl>
      <w:tblPr>
        <w:tblStyle w:val="11"/>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224E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465FC11E">
            <w:pPr>
              <w:spacing w:line="540" w:lineRule="exact"/>
              <w:contextualSpacing/>
              <w:rPr>
                <w:rFonts w:ascii="仿宋_GB2312" w:eastAsia="仿宋_GB2312"/>
                <w:sz w:val="24"/>
                <w:szCs w:val="24"/>
              </w:rPr>
            </w:pPr>
            <w:r>
              <w:rPr>
                <w:rFonts w:hint="eastAsia" w:ascii="仿宋_GB2312" w:eastAsia="仿宋_GB2312"/>
                <w:sz w:val="24"/>
                <w:szCs w:val="24"/>
              </w:rPr>
              <w:t>姓  名</w:t>
            </w:r>
          </w:p>
        </w:tc>
        <w:tc>
          <w:tcPr>
            <w:tcW w:w="1165" w:type="dxa"/>
            <w:gridSpan w:val="2"/>
            <w:shd w:val="clear" w:color="auto" w:fill="auto"/>
            <w:vAlign w:val="center"/>
          </w:tcPr>
          <w:p w14:paraId="3B14496A">
            <w:pPr>
              <w:spacing w:line="540" w:lineRule="exact"/>
              <w:contextualSpacing/>
              <w:rPr>
                <w:rFonts w:ascii="仿宋_GB2312" w:eastAsia="仿宋_GB2312"/>
                <w:sz w:val="24"/>
                <w:szCs w:val="24"/>
              </w:rPr>
            </w:pPr>
          </w:p>
        </w:tc>
        <w:tc>
          <w:tcPr>
            <w:tcW w:w="1155" w:type="dxa"/>
            <w:shd w:val="clear" w:color="auto" w:fill="auto"/>
            <w:vAlign w:val="center"/>
          </w:tcPr>
          <w:p w14:paraId="6D05FD8B">
            <w:pPr>
              <w:spacing w:line="540" w:lineRule="exact"/>
              <w:contextualSpacing/>
              <w:rPr>
                <w:rFonts w:ascii="仿宋_GB2312" w:eastAsia="仿宋_GB2312"/>
                <w:sz w:val="24"/>
                <w:szCs w:val="24"/>
              </w:rPr>
            </w:pPr>
            <w:r>
              <w:rPr>
                <w:rFonts w:hint="eastAsia" w:ascii="仿宋_GB2312" w:eastAsia="仿宋_GB2312"/>
                <w:sz w:val="24"/>
                <w:szCs w:val="24"/>
              </w:rPr>
              <w:t>年  龄</w:t>
            </w:r>
          </w:p>
        </w:tc>
        <w:tc>
          <w:tcPr>
            <w:tcW w:w="1155" w:type="dxa"/>
            <w:gridSpan w:val="2"/>
            <w:shd w:val="clear" w:color="auto" w:fill="auto"/>
            <w:vAlign w:val="center"/>
          </w:tcPr>
          <w:p w14:paraId="60AA7BD9">
            <w:pPr>
              <w:spacing w:line="540" w:lineRule="exact"/>
              <w:contextualSpacing/>
              <w:rPr>
                <w:rFonts w:ascii="仿宋_GB2312" w:eastAsia="仿宋_GB2312"/>
                <w:sz w:val="24"/>
                <w:szCs w:val="24"/>
              </w:rPr>
            </w:pPr>
          </w:p>
        </w:tc>
        <w:tc>
          <w:tcPr>
            <w:tcW w:w="2745" w:type="dxa"/>
            <w:gridSpan w:val="2"/>
            <w:shd w:val="clear" w:color="auto" w:fill="auto"/>
            <w:vAlign w:val="center"/>
          </w:tcPr>
          <w:p w14:paraId="184E59E4">
            <w:pPr>
              <w:spacing w:line="540" w:lineRule="exact"/>
              <w:contextualSpacing/>
              <w:rPr>
                <w:rFonts w:ascii="仿宋_GB2312" w:eastAsia="仿宋_GB2312"/>
                <w:sz w:val="24"/>
                <w:szCs w:val="24"/>
              </w:rPr>
            </w:pPr>
            <w:r>
              <w:rPr>
                <w:rFonts w:hint="eastAsia" w:ascii="仿宋_GB2312" w:eastAsia="仿宋_GB2312"/>
                <w:sz w:val="24"/>
                <w:szCs w:val="24"/>
              </w:rPr>
              <w:t>学历</w:t>
            </w:r>
          </w:p>
        </w:tc>
        <w:tc>
          <w:tcPr>
            <w:tcW w:w="1800" w:type="dxa"/>
            <w:shd w:val="clear" w:color="auto" w:fill="auto"/>
            <w:vAlign w:val="center"/>
          </w:tcPr>
          <w:p w14:paraId="1F0BBE06">
            <w:pPr>
              <w:spacing w:line="540" w:lineRule="exact"/>
              <w:contextualSpacing/>
              <w:rPr>
                <w:rFonts w:ascii="仿宋_GB2312" w:eastAsia="仿宋_GB2312"/>
                <w:sz w:val="24"/>
                <w:szCs w:val="24"/>
              </w:rPr>
            </w:pPr>
          </w:p>
        </w:tc>
      </w:tr>
      <w:tr w14:paraId="1D37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1E93E9BE">
            <w:pPr>
              <w:spacing w:line="540" w:lineRule="exact"/>
              <w:contextualSpacing/>
              <w:rPr>
                <w:rFonts w:ascii="仿宋_GB2312" w:eastAsia="仿宋_GB2312"/>
                <w:sz w:val="24"/>
                <w:szCs w:val="24"/>
              </w:rPr>
            </w:pPr>
            <w:r>
              <w:rPr>
                <w:rFonts w:hint="eastAsia" w:ascii="仿宋_GB2312" w:eastAsia="仿宋_GB2312"/>
                <w:sz w:val="24"/>
                <w:szCs w:val="24"/>
              </w:rPr>
              <w:t>职  称</w:t>
            </w:r>
          </w:p>
        </w:tc>
        <w:tc>
          <w:tcPr>
            <w:tcW w:w="1165" w:type="dxa"/>
            <w:gridSpan w:val="2"/>
            <w:shd w:val="clear" w:color="auto" w:fill="auto"/>
            <w:vAlign w:val="center"/>
          </w:tcPr>
          <w:p w14:paraId="165835A2">
            <w:pPr>
              <w:spacing w:line="540" w:lineRule="exact"/>
              <w:contextualSpacing/>
              <w:rPr>
                <w:rFonts w:ascii="仿宋_GB2312" w:eastAsia="仿宋_GB2312"/>
                <w:sz w:val="24"/>
                <w:szCs w:val="24"/>
              </w:rPr>
            </w:pPr>
          </w:p>
        </w:tc>
        <w:tc>
          <w:tcPr>
            <w:tcW w:w="1155" w:type="dxa"/>
            <w:shd w:val="clear" w:color="auto" w:fill="auto"/>
            <w:vAlign w:val="center"/>
          </w:tcPr>
          <w:p w14:paraId="7B66FD67">
            <w:pPr>
              <w:spacing w:line="540" w:lineRule="exact"/>
              <w:contextualSpacing/>
              <w:rPr>
                <w:rFonts w:ascii="仿宋_GB2312" w:eastAsia="仿宋_GB2312"/>
                <w:sz w:val="24"/>
                <w:szCs w:val="24"/>
              </w:rPr>
            </w:pPr>
            <w:r>
              <w:rPr>
                <w:rFonts w:hint="eastAsia" w:ascii="仿宋_GB2312" w:eastAsia="仿宋_GB2312"/>
                <w:sz w:val="24"/>
                <w:szCs w:val="24"/>
              </w:rPr>
              <w:t>职  务</w:t>
            </w:r>
          </w:p>
        </w:tc>
        <w:tc>
          <w:tcPr>
            <w:tcW w:w="1155" w:type="dxa"/>
            <w:gridSpan w:val="2"/>
            <w:shd w:val="clear" w:color="auto" w:fill="auto"/>
            <w:vAlign w:val="center"/>
          </w:tcPr>
          <w:p w14:paraId="45703F04">
            <w:pPr>
              <w:spacing w:line="540" w:lineRule="exact"/>
              <w:contextualSpacing/>
              <w:rPr>
                <w:rFonts w:ascii="仿宋_GB2312" w:eastAsia="仿宋_GB2312"/>
                <w:sz w:val="24"/>
                <w:szCs w:val="24"/>
              </w:rPr>
            </w:pPr>
          </w:p>
        </w:tc>
        <w:tc>
          <w:tcPr>
            <w:tcW w:w="2745" w:type="dxa"/>
            <w:gridSpan w:val="2"/>
            <w:shd w:val="clear" w:color="auto" w:fill="auto"/>
            <w:vAlign w:val="center"/>
          </w:tcPr>
          <w:p w14:paraId="78FEB9D4">
            <w:pPr>
              <w:spacing w:line="540" w:lineRule="exact"/>
              <w:contextualSpacing/>
              <w:rPr>
                <w:rFonts w:ascii="仿宋_GB2312" w:eastAsia="仿宋_GB2312"/>
                <w:sz w:val="24"/>
                <w:szCs w:val="24"/>
              </w:rPr>
            </w:pPr>
            <w:r>
              <w:rPr>
                <w:rFonts w:hint="eastAsia" w:ascii="仿宋_GB2312" w:eastAsia="仿宋_GB2312"/>
                <w:sz w:val="24"/>
                <w:szCs w:val="24"/>
              </w:rPr>
              <w:t>拟在本项目任职</w:t>
            </w:r>
          </w:p>
        </w:tc>
        <w:tc>
          <w:tcPr>
            <w:tcW w:w="1800" w:type="dxa"/>
            <w:shd w:val="clear" w:color="auto" w:fill="auto"/>
            <w:vAlign w:val="center"/>
          </w:tcPr>
          <w:p w14:paraId="0E0895EB">
            <w:pPr>
              <w:spacing w:line="540" w:lineRule="exact"/>
              <w:contextualSpacing/>
              <w:rPr>
                <w:rFonts w:ascii="仿宋_GB2312" w:eastAsia="仿宋_GB2312"/>
                <w:sz w:val="24"/>
                <w:szCs w:val="24"/>
              </w:rPr>
            </w:pPr>
          </w:p>
        </w:tc>
      </w:tr>
      <w:tr w14:paraId="0AF0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120A3163">
            <w:pPr>
              <w:spacing w:line="540" w:lineRule="exact"/>
              <w:contextualSpacing/>
              <w:rPr>
                <w:rFonts w:ascii="仿宋_GB2312" w:eastAsia="仿宋_GB2312"/>
                <w:sz w:val="24"/>
                <w:szCs w:val="24"/>
              </w:rPr>
            </w:pPr>
            <w:r>
              <w:rPr>
                <w:rFonts w:hint="eastAsia" w:ascii="仿宋_GB2312" w:eastAsia="仿宋_GB2312"/>
                <w:sz w:val="24"/>
                <w:szCs w:val="24"/>
              </w:rPr>
              <w:t>毕业院校</w:t>
            </w:r>
          </w:p>
        </w:tc>
        <w:tc>
          <w:tcPr>
            <w:tcW w:w="8020" w:type="dxa"/>
            <w:gridSpan w:val="8"/>
            <w:shd w:val="clear" w:color="auto" w:fill="auto"/>
            <w:vAlign w:val="center"/>
          </w:tcPr>
          <w:p w14:paraId="6BF915FB">
            <w:pPr>
              <w:spacing w:line="540" w:lineRule="exact"/>
              <w:contextualSpacing/>
              <w:rPr>
                <w:rFonts w:ascii="仿宋_GB2312" w:eastAsia="仿宋_GB2312"/>
                <w:sz w:val="24"/>
                <w:szCs w:val="24"/>
              </w:rPr>
            </w:pPr>
            <w:r>
              <w:rPr>
                <w:rFonts w:hint="eastAsia" w:ascii="仿宋_GB2312" w:eastAsia="仿宋_GB2312"/>
                <w:sz w:val="24"/>
                <w:szCs w:val="24"/>
              </w:rPr>
              <w:t>年毕业于      学校    专业</w:t>
            </w:r>
          </w:p>
        </w:tc>
      </w:tr>
      <w:tr w14:paraId="503E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14:paraId="370090D1">
            <w:pPr>
              <w:spacing w:line="540" w:lineRule="exact"/>
              <w:contextualSpacing/>
              <w:rPr>
                <w:rFonts w:ascii="仿宋_GB2312" w:eastAsia="仿宋_GB2312"/>
                <w:sz w:val="24"/>
                <w:szCs w:val="24"/>
              </w:rPr>
            </w:pPr>
            <w:r>
              <w:rPr>
                <w:rFonts w:hint="eastAsia" w:ascii="仿宋_GB2312" w:eastAsia="仿宋_GB2312"/>
                <w:sz w:val="24"/>
                <w:szCs w:val="24"/>
              </w:rPr>
              <w:t>主要工作履历</w:t>
            </w:r>
          </w:p>
        </w:tc>
      </w:tr>
      <w:tr w14:paraId="2E4A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5D3C7237">
            <w:pPr>
              <w:spacing w:line="540" w:lineRule="exact"/>
              <w:contextualSpacing/>
              <w:rPr>
                <w:rFonts w:ascii="仿宋_GB2312" w:eastAsia="仿宋_GB2312"/>
                <w:sz w:val="24"/>
                <w:szCs w:val="24"/>
              </w:rPr>
            </w:pPr>
            <w:r>
              <w:rPr>
                <w:rFonts w:hint="eastAsia" w:ascii="仿宋_GB2312" w:eastAsia="仿宋_GB2312"/>
                <w:sz w:val="24"/>
                <w:szCs w:val="24"/>
              </w:rPr>
              <w:t>时间</w:t>
            </w:r>
          </w:p>
        </w:tc>
        <w:tc>
          <w:tcPr>
            <w:tcW w:w="2297" w:type="dxa"/>
            <w:gridSpan w:val="3"/>
            <w:shd w:val="clear" w:color="auto" w:fill="auto"/>
            <w:vAlign w:val="center"/>
          </w:tcPr>
          <w:p w14:paraId="3AE68CE5">
            <w:pPr>
              <w:spacing w:line="540" w:lineRule="exact"/>
              <w:contextualSpacing/>
              <w:rPr>
                <w:rFonts w:ascii="仿宋_GB2312" w:eastAsia="仿宋_GB2312"/>
                <w:sz w:val="24"/>
                <w:szCs w:val="24"/>
              </w:rPr>
            </w:pPr>
            <w:r>
              <w:rPr>
                <w:rFonts w:hint="eastAsia" w:ascii="仿宋_GB2312" w:eastAsia="仿宋_GB2312"/>
                <w:sz w:val="24"/>
                <w:szCs w:val="24"/>
              </w:rPr>
              <w:t>参加过类似项目</w:t>
            </w:r>
          </w:p>
        </w:tc>
        <w:tc>
          <w:tcPr>
            <w:tcW w:w="1701" w:type="dxa"/>
            <w:gridSpan w:val="2"/>
            <w:shd w:val="clear" w:color="auto" w:fill="auto"/>
            <w:vAlign w:val="center"/>
          </w:tcPr>
          <w:p w14:paraId="404B7571">
            <w:pPr>
              <w:spacing w:line="540" w:lineRule="exact"/>
              <w:contextualSpacing/>
              <w:rPr>
                <w:rFonts w:ascii="仿宋_GB2312" w:eastAsia="仿宋_GB2312"/>
                <w:sz w:val="24"/>
                <w:szCs w:val="24"/>
              </w:rPr>
            </w:pPr>
            <w:r>
              <w:rPr>
                <w:rFonts w:hint="eastAsia" w:ascii="仿宋_GB2312" w:eastAsia="仿宋_GB2312"/>
                <w:sz w:val="24"/>
                <w:szCs w:val="24"/>
              </w:rPr>
              <w:t>担任职务</w:t>
            </w:r>
          </w:p>
        </w:tc>
        <w:tc>
          <w:tcPr>
            <w:tcW w:w="3313" w:type="dxa"/>
            <w:gridSpan w:val="2"/>
            <w:shd w:val="clear" w:color="auto" w:fill="auto"/>
            <w:vAlign w:val="center"/>
          </w:tcPr>
          <w:p w14:paraId="3E4718DC">
            <w:pPr>
              <w:spacing w:line="540" w:lineRule="exact"/>
              <w:contextualSpacing/>
              <w:rPr>
                <w:rFonts w:ascii="仿宋_GB2312" w:eastAsia="仿宋_GB2312"/>
                <w:sz w:val="24"/>
                <w:szCs w:val="24"/>
              </w:rPr>
            </w:pPr>
            <w:r>
              <w:rPr>
                <w:rFonts w:hint="eastAsia" w:ascii="仿宋_GB2312" w:eastAsia="仿宋_GB2312"/>
                <w:sz w:val="24"/>
                <w:szCs w:val="24"/>
              </w:rPr>
              <w:t>业主及联系电话</w:t>
            </w:r>
          </w:p>
        </w:tc>
      </w:tr>
      <w:tr w14:paraId="3822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73A6E302">
            <w:pPr>
              <w:spacing w:line="540" w:lineRule="exact"/>
              <w:contextualSpacing/>
              <w:rPr>
                <w:rFonts w:ascii="仿宋_GB2312" w:eastAsia="仿宋_GB2312"/>
                <w:sz w:val="24"/>
                <w:szCs w:val="24"/>
              </w:rPr>
            </w:pPr>
          </w:p>
        </w:tc>
        <w:tc>
          <w:tcPr>
            <w:tcW w:w="2297" w:type="dxa"/>
            <w:gridSpan w:val="3"/>
            <w:shd w:val="clear" w:color="auto" w:fill="auto"/>
            <w:vAlign w:val="center"/>
          </w:tcPr>
          <w:p w14:paraId="2C92E38A">
            <w:pPr>
              <w:spacing w:line="540" w:lineRule="exact"/>
              <w:contextualSpacing/>
              <w:rPr>
                <w:rFonts w:ascii="仿宋_GB2312" w:eastAsia="仿宋_GB2312"/>
                <w:sz w:val="24"/>
                <w:szCs w:val="24"/>
              </w:rPr>
            </w:pPr>
          </w:p>
        </w:tc>
        <w:tc>
          <w:tcPr>
            <w:tcW w:w="1701" w:type="dxa"/>
            <w:gridSpan w:val="2"/>
            <w:shd w:val="clear" w:color="auto" w:fill="auto"/>
            <w:vAlign w:val="center"/>
          </w:tcPr>
          <w:p w14:paraId="7C182BC5">
            <w:pPr>
              <w:spacing w:line="540" w:lineRule="exact"/>
              <w:contextualSpacing/>
              <w:rPr>
                <w:rFonts w:ascii="仿宋_GB2312" w:eastAsia="仿宋_GB2312"/>
                <w:sz w:val="24"/>
                <w:szCs w:val="24"/>
              </w:rPr>
            </w:pPr>
          </w:p>
        </w:tc>
        <w:tc>
          <w:tcPr>
            <w:tcW w:w="3313" w:type="dxa"/>
            <w:gridSpan w:val="2"/>
            <w:shd w:val="clear" w:color="auto" w:fill="auto"/>
            <w:vAlign w:val="center"/>
          </w:tcPr>
          <w:p w14:paraId="1756B93A">
            <w:pPr>
              <w:spacing w:line="540" w:lineRule="exact"/>
              <w:contextualSpacing/>
              <w:rPr>
                <w:rFonts w:ascii="仿宋_GB2312" w:eastAsia="仿宋_GB2312"/>
                <w:sz w:val="24"/>
                <w:szCs w:val="24"/>
              </w:rPr>
            </w:pPr>
          </w:p>
        </w:tc>
      </w:tr>
      <w:tr w14:paraId="0C32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1EBF363B">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2297" w:type="dxa"/>
            <w:gridSpan w:val="3"/>
            <w:shd w:val="clear" w:color="auto" w:fill="auto"/>
            <w:vAlign w:val="center"/>
          </w:tcPr>
          <w:p w14:paraId="6C2F3899">
            <w:pPr>
              <w:spacing w:line="540" w:lineRule="exact"/>
              <w:contextualSpacing/>
              <w:rPr>
                <w:rFonts w:ascii="仿宋_GB2312" w:eastAsia="仿宋_GB2312"/>
                <w:sz w:val="24"/>
                <w:szCs w:val="24"/>
              </w:rPr>
            </w:pPr>
          </w:p>
        </w:tc>
        <w:tc>
          <w:tcPr>
            <w:tcW w:w="1701" w:type="dxa"/>
            <w:gridSpan w:val="2"/>
            <w:shd w:val="clear" w:color="auto" w:fill="auto"/>
            <w:vAlign w:val="center"/>
          </w:tcPr>
          <w:p w14:paraId="74D11F1A">
            <w:pPr>
              <w:spacing w:line="540" w:lineRule="exact"/>
              <w:contextualSpacing/>
              <w:rPr>
                <w:rFonts w:ascii="仿宋_GB2312" w:eastAsia="仿宋_GB2312"/>
                <w:sz w:val="24"/>
                <w:szCs w:val="24"/>
              </w:rPr>
            </w:pPr>
          </w:p>
        </w:tc>
        <w:tc>
          <w:tcPr>
            <w:tcW w:w="3313" w:type="dxa"/>
            <w:gridSpan w:val="2"/>
            <w:shd w:val="clear" w:color="auto" w:fill="auto"/>
            <w:vAlign w:val="center"/>
          </w:tcPr>
          <w:p w14:paraId="292AADD0">
            <w:pPr>
              <w:spacing w:line="540" w:lineRule="exact"/>
              <w:contextualSpacing/>
              <w:rPr>
                <w:rFonts w:ascii="仿宋_GB2312" w:eastAsia="仿宋_GB2312"/>
                <w:sz w:val="24"/>
                <w:szCs w:val="24"/>
              </w:rPr>
            </w:pPr>
          </w:p>
        </w:tc>
      </w:tr>
    </w:tbl>
    <w:p w14:paraId="67AB2A6B">
      <w:pPr>
        <w:spacing w:line="540" w:lineRule="exact"/>
        <w:contextualSpacing/>
        <w:rPr>
          <w:rFonts w:ascii="仿宋_GB2312" w:eastAsia="仿宋_GB2312"/>
          <w:sz w:val="24"/>
          <w:szCs w:val="24"/>
        </w:rPr>
      </w:pPr>
      <w:r>
        <w:rPr>
          <w:rFonts w:hint="eastAsia" w:ascii="仿宋_GB2312" w:eastAsia="仿宋_GB2312"/>
          <w:sz w:val="24"/>
          <w:szCs w:val="24"/>
        </w:rPr>
        <w:t>附：执业资格证书、职称证书、学历证书等复印件证明材料</w:t>
      </w:r>
    </w:p>
    <w:p w14:paraId="6D4B19BB">
      <w:pPr>
        <w:spacing w:line="540" w:lineRule="exact"/>
        <w:contextualSpacing/>
        <w:rPr>
          <w:rFonts w:ascii="仿宋_GB2312" w:eastAsia="仿宋_GB2312"/>
          <w:sz w:val="24"/>
          <w:szCs w:val="24"/>
        </w:rPr>
      </w:pPr>
    </w:p>
    <w:p w14:paraId="431EF864">
      <w:pPr>
        <w:spacing w:line="540" w:lineRule="exact"/>
        <w:contextualSpacing/>
        <w:rPr>
          <w:rFonts w:ascii="仿宋_GB2312" w:eastAsia="仿宋_GB2312"/>
          <w:sz w:val="24"/>
          <w:szCs w:val="24"/>
        </w:rPr>
      </w:pPr>
      <w:r>
        <w:rPr>
          <w:rFonts w:hint="eastAsia" w:ascii="仿宋_GB2312" w:eastAsia="仿宋_GB2312"/>
          <w:sz w:val="24"/>
          <w:szCs w:val="24"/>
        </w:rPr>
        <w:t>项目班子一览表</w:t>
      </w:r>
    </w:p>
    <w:tbl>
      <w:tblPr>
        <w:tblStyle w:val="11"/>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06B6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48519573">
            <w:pPr>
              <w:spacing w:line="540" w:lineRule="exact"/>
              <w:contextualSpacing/>
              <w:rPr>
                <w:rFonts w:ascii="仿宋_GB2312" w:eastAsia="仿宋_GB2312"/>
                <w:sz w:val="24"/>
                <w:szCs w:val="24"/>
              </w:rPr>
            </w:pPr>
            <w:r>
              <w:rPr>
                <w:rFonts w:hint="eastAsia" w:ascii="仿宋_GB2312" w:eastAsia="仿宋_GB2312"/>
                <w:sz w:val="24"/>
                <w:szCs w:val="24"/>
              </w:rPr>
              <w:t>姓名</w:t>
            </w:r>
          </w:p>
        </w:tc>
        <w:tc>
          <w:tcPr>
            <w:tcW w:w="1418" w:type="dxa"/>
            <w:shd w:val="clear" w:color="auto" w:fill="auto"/>
            <w:vAlign w:val="center"/>
          </w:tcPr>
          <w:p w14:paraId="3ACC8689">
            <w:pPr>
              <w:spacing w:line="540" w:lineRule="exact"/>
              <w:contextualSpacing/>
              <w:rPr>
                <w:rFonts w:ascii="仿宋_GB2312" w:eastAsia="仿宋_GB2312"/>
                <w:sz w:val="24"/>
                <w:szCs w:val="24"/>
              </w:rPr>
            </w:pPr>
            <w:r>
              <w:rPr>
                <w:rFonts w:hint="eastAsia" w:ascii="仿宋_GB2312" w:eastAsia="仿宋_GB2312"/>
                <w:sz w:val="24"/>
                <w:szCs w:val="24"/>
              </w:rPr>
              <w:t>职务</w:t>
            </w:r>
          </w:p>
        </w:tc>
        <w:tc>
          <w:tcPr>
            <w:tcW w:w="1984" w:type="dxa"/>
            <w:shd w:val="clear" w:color="auto" w:fill="auto"/>
            <w:vAlign w:val="center"/>
          </w:tcPr>
          <w:p w14:paraId="41DBB8CB">
            <w:pPr>
              <w:spacing w:line="540" w:lineRule="exact"/>
              <w:contextualSpacing/>
              <w:rPr>
                <w:rFonts w:ascii="仿宋_GB2312" w:eastAsia="仿宋_GB2312"/>
                <w:sz w:val="24"/>
                <w:szCs w:val="24"/>
              </w:rPr>
            </w:pPr>
            <w:r>
              <w:rPr>
                <w:rFonts w:hint="eastAsia" w:ascii="仿宋_GB2312" w:eastAsia="仿宋_GB2312"/>
                <w:sz w:val="24"/>
                <w:szCs w:val="24"/>
              </w:rPr>
              <w:t>专业技术资格</w:t>
            </w:r>
          </w:p>
        </w:tc>
        <w:tc>
          <w:tcPr>
            <w:tcW w:w="1843" w:type="dxa"/>
            <w:shd w:val="clear" w:color="auto" w:fill="auto"/>
            <w:vAlign w:val="center"/>
          </w:tcPr>
          <w:p w14:paraId="4F28848F">
            <w:pPr>
              <w:spacing w:line="540" w:lineRule="exact"/>
              <w:contextualSpacing/>
              <w:rPr>
                <w:rFonts w:ascii="仿宋_GB2312" w:eastAsia="仿宋_GB2312"/>
                <w:sz w:val="24"/>
                <w:szCs w:val="24"/>
              </w:rPr>
            </w:pPr>
            <w:r>
              <w:rPr>
                <w:rFonts w:hint="eastAsia" w:ascii="仿宋_GB2312" w:eastAsia="仿宋_GB2312"/>
                <w:sz w:val="24"/>
                <w:szCs w:val="24"/>
              </w:rPr>
              <w:t>证书编号</w:t>
            </w:r>
          </w:p>
        </w:tc>
        <w:tc>
          <w:tcPr>
            <w:tcW w:w="2755" w:type="dxa"/>
            <w:shd w:val="clear" w:color="auto" w:fill="auto"/>
            <w:vAlign w:val="center"/>
          </w:tcPr>
          <w:p w14:paraId="53FD912C">
            <w:pPr>
              <w:spacing w:line="540" w:lineRule="exact"/>
              <w:contextualSpacing/>
              <w:rPr>
                <w:rFonts w:ascii="仿宋_GB2312" w:eastAsia="仿宋_GB2312"/>
                <w:sz w:val="24"/>
                <w:szCs w:val="24"/>
              </w:rPr>
            </w:pPr>
            <w:r>
              <w:rPr>
                <w:rFonts w:hint="eastAsia" w:ascii="仿宋_GB2312" w:eastAsia="仿宋_GB2312"/>
                <w:sz w:val="24"/>
                <w:szCs w:val="24"/>
              </w:rPr>
              <w:t>实施经验说明</w:t>
            </w:r>
          </w:p>
        </w:tc>
      </w:tr>
      <w:tr w14:paraId="508A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60BF9412">
            <w:pPr>
              <w:spacing w:line="540" w:lineRule="exact"/>
              <w:contextualSpacing/>
              <w:rPr>
                <w:rFonts w:ascii="仿宋_GB2312" w:eastAsia="仿宋_GB2312"/>
                <w:sz w:val="24"/>
                <w:szCs w:val="24"/>
              </w:rPr>
            </w:pPr>
          </w:p>
        </w:tc>
        <w:tc>
          <w:tcPr>
            <w:tcW w:w="1418" w:type="dxa"/>
            <w:shd w:val="clear" w:color="auto" w:fill="auto"/>
            <w:vAlign w:val="center"/>
          </w:tcPr>
          <w:p w14:paraId="27F7926F">
            <w:pPr>
              <w:spacing w:line="540" w:lineRule="exact"/>
              <w:contextualSpacing/>
              <w:rPr>
                <w:rFonts w:ascii="仿宋_GB2312" w:eastAsia="仿宋_GB2312"/>
                <w:sz w:val="24"/>
                <w:szCs w:val="24"/>
              </w:rPr>
            </w:pPr>
          </w:p>
        </w:tc>
        <w:tc>
          <w:tcPr>
            <w:tcW w:w="1984" w:type="dxa"/>
            <w:shd w:val="clear" w:color="auto" w:fill="auto"/>
            <w:vAlign w:val="center"/>
          </w:tcPr>
          <w:p w14:paraId="689C8744">
            <w:pPr>
              <w:spacing w:line="540" w:lineRule="exact"/>
              <w:contextualSpacing/>
              <w:rPr>
                <w:rFonts w:ascii="仿宋_GB2312" w:eastAsia="仿宋_GB2312"/>
                <w:sz w:val="24"/>
                <w:szCs w:val="24"/>
              </w:rPr>
            </w:pPr>
          </w:p>
        </w:tc>
        <w:tc>
          <w:tcPr>
            <w:tcW w:w="1843" w:type="dxa"/>
            <w:shd w:val="clear" w:color="auto" w:fill="auto"/>
            <w:vAlign w:val="center"/>
          </w:tcPr>
          <w:p w14:paraId="3DCFE82B">
            <w:pPr>
              <w:spacing w:line="540" w:lineRule="exact"/>
              <w:contextualSpacing/>
              <w:rPr>
                <w:rFonts w:ascii="仿宋_GB2312" w:eastAsia="仿宋_GB2312"/>
                <w:sz w:val="24"/>
                <w:szCs w:val="24"/>
              </w:rPr>
            </w:pPr>
          </w:p>
        </w:tc>
        <w:tc>
          <w:tcPr>
            <w:tcW w:w="2755" w:type="dxa"/>
            <w:shd w:val="clear" w:color="auto" w:fill="auto"/>
            <w:vAlign w:val="center"/>
          </w:tcPr>
          <w:p w14:paraId="66E704A5">
            <w:pPr>
              <w:spacing w:line="540" w:lineRule="exact"/>
              <w:contextualSpacing/>
              <w:rPr>
                <w:rFonts w:ascii="仿宋_GB2312" w:eastAsia="仿宋_GB2312"/>
                <w:sz w:val="24"/>
                <w:szCs w:val="24"/>
              </w:rPr>
            </w:pPr>
          </w:p>
        </w:tc>
      </w:tr>
      <w:tr w14:paraId="4D27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7BEB0682">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1418" w:type="dxa"/>
            <w:shd w:val="clear" w:color="auto" w:fill="auto"/>
            <w:vAlign w:val="center"/>
          </w:tcPr>
          <w:p w14:paraId="165D70AF">
            <w:pPr>
              <w:spacing w:line="540" w:lineRule="exact"/>
              <w:contextualSpacing/>
              <w:rPr>
                <w:rFonts w:ascii="仿宋_GB2312" w:eastAsia="仿宋_GB2312"/>
                <w:sz w:val="24"/>
                <w:szCs w:val="24"/>
              </w:rPr>
            </w:pPr>
          </w:p>
        </w:tc>
        <w:tc>
          <w:tcPr>
            <w:tcW w:w="1984" w:type="dxa"/>
            <w:shd w:val="clear" w:color="auto" w:fill="auto"/>
            <w:vAlign w:val="center"/>
          </w:tcPr>
          <w:p w14:paraId="4A5195B3">
            <w:pPr>
              <w:spacing w:line="540" w:lineRule="exact"/>
              <w:contextualSpacing/>
              <w:rPr>
                <w:rFonts w:ascii="仿宋_GB2312" w:eastAsia="仿宋_GB2312"/>
                <w:sz w:val="24"/>
                <w:szCs w:val="24"/>
              </w:rPr>
            </w:pPr>
          </w:p>
        </w:tc>
        <w:tc>
          <w:tcPr>
            <w:tcW w:w="1843" w:type="dxa"/>
            <w:shd w:val="clear" w:color="auto" w:fill="auto"/>
            <w:vAlign w:val="center"/>
          </w:tcPr>
          <w:p w14:paraId="6155BE3A">
            <w:pPr>
              <w:spacing w:line="540" w:lineRule="exact"/>
              <w:contextualSpacing/>
              <w:rPr>
                <w:rFonts w:ascii="仿宋_GB2312" w:eastAsia="仿宋_GB2312"/>
                <w:sz w:val="24"/>
                <w:szCs w:val="24"/>
              </w:rPr>
            </w:pPr>
          </w:p>
        </w:tc>
        <w:tc>
          <w:tcPr>
            <w:tcW w:w="2755" w:type="dxa"/>
            <w:shd w:val="clear" w:color="auto" w:fill="auto"/>
            <w:vAlign w:val="center"/>
          </w:tcPr>
          <w:p w14:paraId="04860039">
            <w:pPr>
              <w:spacing w:line="540" w:lineRule="exact"/>
              <w:contextualSpacing/>
              <w:rPr>
                <w:rFonts w:ascii="仿宋_GB2312" w:eastAsia="仿宋_GB2312"/>
                <w:sz w:val="24"/>
                <w:szCs w:val="24"/>
              </w:rPr>
            </w:pPr>
          </w:p>
        </w:tc>
      </w:tr>
    </w:tbl>
    <w:p w14:paraId="7890A4BE">
      <w:pPr>
        <w:spacing w:line="540" w:lineRule="exact"/>
        <w:contextualSpacing/>
        <w:rPr>
          <w:rFonts w:ascii="仿宋_GB2312" w:eastAsia="仿宋_GB2312"/>
          <w:sz w:val="24"/>
          <w:szCs w:val="24"/>
        </w:rPr>
      </w:pPr>
      <w:r>
        <w:rPr>
          <w:rFonts w:hint="eastAsia" w:ascii="仿宋_GB2312" w:eastAsia="仿宋_GB2312"/>
          <w:sz w:val="24"/>
          <w:szCs w:val="24"/>
        </w:rPr>
        <w:t>附：相关人员的专业技术资格证书复印件证明材料</w:t>
      </w:r>
    </w:p>
    <w:p w14:paraId="2E79B5A6">
      <w:pPr>
        <w:spacing w:line="540" w:lineRule="exact"/>
        <w:contextualSpacing/>
        <w:rPr>
          <w:rFonts w:ascii="仿宋_GB2312" w:eastAsia="仿宋_GB2312"/>
          <w:sz w:val="24"/>
          <w:szCs w:val="24"/>
        </w:rPr>
      </w:pPr>
    </w:p>
    <w:p w14:paraId="7307F1BA">
      <w:pPr>
        <w:spacing w:line="540" w:lineRule="exact"/>
        <w:contextualSpacing/>
        <w:rPr>
          <w:rFonts w:ascii="仿宋_GB2312" w:eastAsia="仿宋_GB2312"/>
          <w:sz w:val="24"/>
          <w:szCs w:val="24"/>
        </w:rPr>
      </w:pPr>
    </w:p>
    <w:p w14:paraId="367D5F57">
      <w:pPr>
        <w:spacing w:line="540" w:lineRule="exact"/>
        <w:contextualSpacing/>
        <w:rPr>
          <w:rFonts w:ascii="仿宋_GB2312" w:eastAsia="仿宋_GB2312"/>
          <w:sz w:val="24"/>
          <w:szCs w:val="24"/>
        </w:rPr>
      </w:pPr>
    </w:p>
    <w:p w14:paraId="0333EC65">
      <w:pPr>
        <w:spacing w:line="540" w:lineRule="exact"/>
        <w:contextualSpacing/>
        <w:rPr>
          <w:rFonts w:ascii="仿宋_GB2312" w:eastAsia="仿宋_GB2312"/>
          <w:sz w:val="24"/>
          <w:szCs w:val="24"/>
        </w:rPr>
      </w:pPr>
    </w:p>
    <w:p w14:paraId="5DEFFEC5">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11B5A7BD">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日      期：            </w:t>
      </w:r>
    </w:p>
    <w:p w14:paraId="40FDC264">
      <w:pPr>
        <w:spacing w:line="540" w:lineRule="exact"/>
        <w:contextualSpacing/>
        <w:rPr>
          <w:rFonts w:ascii="仿宋_GB2312" w:eastAsia="仿宋_GB2312"/>
          <w:sz w:val="24"/>
          <w:szCs w:val="24"/>
        </w:rPr>
      </w:pPr>
    </w:p>
    <w:p w14:paraId="3C2B1A60">
      <w:pPr>
        <w:spacing w:line="540" w:lineRule="exact"/>
        <w:contextualSpacing/>
        <w:jc w:val="center"/>
        <w:rPr>
          <w:rFonts w:ascii="仿宋_GB2312" w:eastAsia="仿宋_GB2312"/>
          <w:b/>
          <w:sz w:val="24"/>
          <w:szCs w:val="24"/>
        </w:rPr>
      </w:pPr>
    </w:p>
    <w:p w14:paraId="59FD729A">
      <w:pPr>
        <w:spacing w:line="540" w:lineRule="exact"/>
        <w:contextualSpacing/>
        <w:jc w:val="center"/>
        <w:rPr>
          <w:rFonts w:ascii="仿宋_GB2312" w:eastAsia="仿宋_GB2312"/>
          <w:b/>
          <w:sz w:val="24"/>
          <w:szCs w:val="24"/>
        </w:rPr>
      </w:pPr>
    </w:p>
    <w:p w14:paraId="25DF584D">
      <w:pPr>
        <w:spacing w:line="540" w:lineRule="exact"/>
        <w:contextualSpacing/>
        <w:jc w:val="center"/>
        <w:rPr>
          <w:rFonts w:ascii="仿宋_GB2312" w:eastAsia="仿宋_GB2312"/>
          <w:b/>
          <w:sz w:val="28"/>
          <w:szCs w:val="28"/>
        </w:rPr>
      </w:pPr>
      <w:r>
        <w:rPr>
          <w:rFonts w:hint="eastAsia" w:ascii="仿宋_GB2312" w:eastAsia="仿宋_GB2312"/>
          <w:b/>
          <w:sz w:val="28"/>
          <w:szCs w:val="28"/>
          <w:lang w:eastAsia="zh-CN"/>
        </w:rPr>
        <w:t>六</w:t>
      </w:r>
      <w:r>
        <w:rPr>
          <w:rFonts w:hint="eastAsia" w:ascii="仿宋_GB2312" w:eastAsia="仿宋_GB2312"/>
          <w:b/>
          <w:sz w:val="28"/>
          <w:szCs w:val="28"/>
        </w:rPr>
        <w:t>、评标标准相应的商务技术资料</w:t>
      </w:r>
    </w:p>
    <w:p w14:paraId="65566294">
      <w:pPr>
        <w:spacing w:line="540" w:lineRule="exact"/>
        <w:contextualSpacing/>
        <w:rPr>
          <w:rFonts w:ascii="仿宋_GB2312" w:eastAsia="仿宋_GB2312"/>
          <w:b/>
          <w:sz w:val="24"/>
          <w:szCs w:val="24"/>
        </w:rPr>
      </w:pPr>
      <w:r>
        <w:rPr>
          <w:rFonts w:hint="eastAsia" w:ascii="仿宋_GB2312" w:eastAsia="仿宋_GB2312"/>
          <w:b/>
          <w:sz w:val="24"/>
          <w:szCs w:val="24"/>
        </w:rPr>
        <w:t>（按招标文件第四部分评标办法前附表中“投标文件中评标标准相应的商务技术资料目录”提供资料）</w:t>
      </w:r>
    </w:p>
    <w:p w14:paraId="62454350">
      <w:pPr>
        <w:rPr>
          <w:rFonts w:ascii="仿宋_GB2312" w:hAnsi="宋体" w:eastAsia="仿宋_GB2312" w:cs="宋体"/>
          <w:b/>
          <w:kern w:val="0"/>
          <w:sz w:val="32"/>
          <w:szCs w:val="32"/>
        </w:rPr>
      </w:pPr>
    </w:p>
    <w:p w14:paraId="58E7B6B1">
      <w:pPr>
        <w:pStyle w:val="4"/>
      </w:pPr>
    </w:p>
    <w:p w14:paraId="0CBF28CA">
      <w:pPr>
        <w:pStyle w:val="4"/>
      </w:pPr>
    </w:p>
    <w:p w14:paraId="45531EA6">
      <w:pPr>
        <w:rPr>
          <w:rFonts w:ascii="仿宋_GB2312" w:eastAsia="仿宋_GB2312"/>
        </w:rPr>
      </w:pPr>
    </w:p>
    <w:p w14:paraId="077A3F11">
      <w:pPr>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lang w:eastAsia="zh-CN"/>
        </w:rPr>
        <w:t>七</w:t>
      </w:r>
      <w:r>
        <w:rPr>
          <w:rFonts w:hint="eastAsia" w:ascii="仿宋_GB2312" w:hAnsi="宋体" w:eastAsia="仿宋_GB2312" w:cs="宋体"/>
          <w:b/>
          <w:kern w:val="0"/>
          <w:sz w:val="28"/>
          <w:szCs w:val="28"/>
        </w:rPr>
        <w:t>、商务技术偏离表</w:t>
      </w:r>
    </w:p>
    <w:tbl>
      <w:tblPr>
        <w:tblStyle w:val="11"/>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512"/>
      </w:tblGrid>
      <w:tr w14:paraId="7B8D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B9D9D0">
            <w:pPr>
              <w:jc w:val="center"/>
              <w:rPr>
                <w:rFonts w:ascii="仿宋_GB2312" w:hAnsi="宋体" w:eastAsia="仿宋_GB2312" w:cs="宋体"/>
                <w:b/>
                <w:bCs/>
                <w:sz w:val="28"/>
                <w:szCs w:val="28"/>
              </w:rPr>
            </w:pPr>
            <w:r>
              <w:rPr>
                <w:rFonts w:hint="eastAsia" w:ascii="仿宋_GB2312" w:hAnsi="宋体" w:eastAsia="仿宋_GB2312" w:cs="宋体"/>
                <w:b/>
                <w:bCs/>
                <w:sz w:val="28"/>
                <w:szCs w:val="28"/>
              </w:rPr>
              <w:t>序号</w:t>
            </w:r>
          </w:p>
        </w:tc>
        <w:tc>
          <w:tcPr>
            <w:tcW w:w="3683" w:type="dxa"/>
          </w:tcPr>
          <w:p w14:paraId="67BE6FDD">
            <w:pPr>
              <w:jc w:val="center"/>
              <w:rPr>
                <w:rFonts w:ascii="仿宋_GB2312" w:hAnsi="宋体" w:eastAsia="仿宋_GB2312" w:cs="宋体"/>
                <w:b/>
                <w:bCs/>
                <w:sz w:val="28"/>
                <w:szCs w:val="28"/>
              </w:rPr>
            </w:pPr>
            <w:r>
              <w:rPr>
                <w:rFonts w:hint="eastAsia" w:ascii="仿宋_GB2312" w:hAnsi="宋体" w:eastAsia="仿宋_GB2312" w:cs="宋体"/>
                <w:b/>
                <w:bCs/>
                <w:sz w:val="28"/>
                <w:szCs w:val="28"/>
              </w:rPr>
              <w:t>招标文件章节及具体内容</w:t>
            </w:r>
          </w:p>
        </w:tc>
        <w:tc>
          <w:tcPr>
            <w:tcW w:w="3546" w:type="dxa"/>
          </w:tcPr>
          <w:p w14:paraId="3B928FA2">
            <w:pPr>
              <w:jc w:val="center"/>
              <w:rPr>
                <w:rFonts w:ascii="仿宋_GB2312" w:hAnsi="宋体" w:eastAsia="仿宋_GB2312" w:cs="宋体"/>
                <w:b/>
                <w:bCs/>
                <w:sz w:val="28"/>
                <w:szCs w:val="28"/>
              </w:rPr>
            </w:pPr>
            <w:r>
              <w:rPr>
                <w:rFonts w:hint="eastAsia" w:ascii="仿宋_GB2312" w:hAnsi="宋体" w:eastAsia="仿宋_GB2312" w:cs="宋体"/>
                <w:b/>
                <w:bCs/>
                <w:sz w:val="28"/>
                <w:szCs w:val="28"/>
              </w:rPr>
              <w:t>投标文件章节及具体内容</w:t>
            </w:r>
          </w:p>
        </w:tc>
        <w:tc>
          <w:tcPr>
            <w:tcW w:w="1512" w:type="dxa"/>
          </w:tcPr>
          <w:p w14:paraId="1C45E421">
            <w:pPr>
              <w:jc w:val="center"/>
              <w:rPr>
                <w:rFonts w:ascii="仿宋_GB2312" w:hAnsi="宋体" w:eastAsia="仿宋_GB2312" w:cs="宋体"/>
                <w:b/>
                <w:bCs/>
                <w:sz w:val="28"/>
                <w:szCs w:val="28"/>
              </w:rPr>
            </w:pPr>
            <w:r>
              <w:rPr>
                <w:rFonts w:hint="eastAsia" w:ascii="仿宋_GB2312" w:hAnsi="宋体" w:eastAsia="仿宋_GB2312" w:cs="宋体"/>
                <w:b/>
                <w:bCs/>
                <w:sz w:val="28"/>
                <w:szCs w:val="28"/>
              </w:rPr>
              <w:t>偏离说明</w:t>
            </w:r>
          </w:p>
        </w:tc>
      </w:tr>
      <w:tr w14:paraId="1D4B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93C432">
            <w:pPr>
              <w:jc w:val="center"/>
              <w:rPr>
                <w:rFonts w:ascii="仿宋_GB2312" w:hAnsi="宋体" w:eastAsia="仿宋_GB2312" w:cs="宋体"/>
                <w:sz w:val="28"/>
                <w:szCs w:val="28"/>
              </w:rPr>
            </w:pPr>
            <w:r>
              <w:rPr>
                <w:rFonts w:hint="eastAsia" w:ascii="仿宋_GB2312" w:hAnsi="宋体" w:eastAsia="仿宋_GB2312" w:cs="宋体"/>
                <w:sz w:val="28"/>
                <w:szCs w:val="28"/>
              </w:rPr>
              <w:t>1</w:t>
            </w:r>
          </w:p>
        </w:tc>
        <w:tc>
          <w:tcPr>
            <w:tcW w:w="3683" w:type="dxa"/>
          </w:tcPr>
          <w:p w14:paraId="7A1ED352">
            <w:pPr>
              <w:jc w:val="center"/>
              <w:rPr>
                <w:rFonts w:ascii="仿宋_GB2312" w:hAnsi="宋体" w:eastAsia="仿宋_GB2312" w:cs="宋体"/>
                <w:b/>
                <w:sz w:val="28"/>
                <w:szCs w:val="28"/>
              </w:rPr>
            </w:pPr>
          </w:p>
        </w:tc>
        <w:tc>
          <w:tcPr>
            <w:tcW w:w="3546" w:type="dxa"/>
          </w:tcPr>
          <w:p w14:paraId="6041F2E5">
            <w:pPr>
              <w:jc w:val="center"/>
              <w:rPr>
                <w:rFonts w:ascii="仿宋_GB2312" w:hAnsi="宋体" w:eastAsia="仿宋_GB2312" w:cs="宋体"/>
                <w:b/>
                <w:sz w:val="28"/>
                <w:szCs w:val="28"/>
              </w:rPr>
            </w:pPr>
          </w:p>
        </w:tc>
        <w:tc>
          <w:tcPr>
            <w:tcW w:w="1512" w:type="dxa"/>
          </w:tcPr>
          <w:p w14:paraId="585C2701">
            <w:pPr>
              <w:jc w:val="center"/>
              <w:rPr>
                <w:rFonts w:ascii="仿宋_GB2312" w:hAnsi="宋体" w:eastAsia="仿宋_GB2312" w:cs="宋体"/>
                <w:b/>
                <w:sz w:val="28"/>
                <w:szCs w:val="28"/>
              </w:rPr>
            </w:pPr>
          </w:p>
        </w:tc>
      </w:tr>
      <w:tr w14:paraId="1F66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231194">
            <w:pPr>
              <w:jc w:val="center"/>
              <w:rPr>
                <w:rFonts w:ascii="仿宋_GB2312" w:hAnsi="宋体" w:eastAsia="仿宋_GB2312" w:cs="宋体"/>
                <w:sz w:val="28"/>
                <w:szCs w:val="28"/>
              </w:rPr>
            </w:pPr>
            <w:r>
              <w:rPr>
                <w:rFonts w:hint="eastAsia" w:ascii="仿宋_GB2312" w:hAnsi="宋体" w:eastAsia="仿宋_GB2312" w:cs="宋体"/>
                <w:sz w:val="28"/>
                <w:szCs w:val="28"/>
              </w:rPr>
              <w:t>2</w:t>
            </w:r>
          </w:p>
        </w:tc>
        <w:tc>
          <w:tcPr>
            <w:tcW w:w="3683" w:type="dxa"/>
          </w:tcPr>
          <w:p w14:paraId="21FD49EB">
            <w:pPr>
              <w:jc w:val="center"/>
              <w:rPr>
                <w:rFonts w:ascii="仿宋_GB2312" w:hAnsi="宋体" w:eastAsia="仿宋_GB2312" w:cs="宋体"/>
                <w:b/>
                <w:sz w:val="28"/>
                <w:szCs w:val="28"/>
              </w:rPr>
            </w:pPr>
          </w:p>
        </w:tc>
        <w:tc>
          <w:tcPr>
            <w:tcW w:w="3546" w:type="dxa"/>
          </w:tcPr>
          <w:p w14:paraId="482BB484">
            <w:pPr>
              <w:jc w:val="center"/>
              <w:rPr>
                <w:rFonts w:ascii="仿宋_GB2312" w:hAnsi="宋体" w:eastAsia="仿宋_GB2312" w:cs="宋体"/>
                <w:b/>
                <w:sz w:val="28"/>
                <w:szCs w:val="28"/>
              </w:rPr>
            </w:pPr>
          </w:p>
        </w:tc>
        <w:tc>
          <w:tcPr>
            <w:tcW w:w="1512" w:type="dxa"/>
          </w:tcPr>
          <w:p w14:paraId="4339F877">
            <w:pPr>
              <w:jc w:val="center"/>
              <w:rPr>
                <w:rFonts w:ascii="仿宋_GB2312" w:hAnsi="宋体" w:eastAsia="仿宋_GB2312" w:cs="宋体"/>
                <w:b/>
                <w:sz w:val="28"/>
                <w:szCs w:val="28"/>
              </w:rPr>
            </w:pPr>
          </w:p>
        </w:tc>
      </w:tr>
      <w:tr w14:paraId="18C1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1F5F11">
            <w:pPr>
              <w:jc w:val="center"/>
              <w:rPr>
                <w:rFonts w:ascii="仿宋_GB2312" w:hAnsi="宋体" w:eastAsia="仿宋_GB2312" w:cs="宋体"/>
                <w:sz w:val="28"/>
                <w:szCs w:val="28"/>
              </w:rPr>
            </w:pPr>
            <w:r>
              <w:rPr>
                <w:rFonts w:hint="eastAsia" w:ascii="仿宋_GB2312" w:hAnsi="宋体" w:eastAsia="仿宋_GB2312" w:cs="宋体"/>
                <w:sz w:val="28"/>
                <w:szCs w:val="28"/>
              </w:rPr>
              <w:t>……</w:t>
            </w:r>
          </w:p>
        </w:tc>
        <w:tc>
          <w:tcPr>
            <w:tcW w:w="3683" w:type="dxa"/>
          </w:tcPr>
          <w:p w14:paraId="511289B7">
            <w:pPr>
              <w:jc w:val="center"/>
              <w:rPr>
                <w:rFonts w:ascii="仿宋_GB2312" w:hAnsi="宋体" w:eastAsia="仿宋_GB2312" w:cs="宋体"/>
                <w:b/>
                <w:sz w:val="28"/>
                <w:szCs w:val="28"/>
              </w:rPr>
            </w:pPr>
          </w:p>
        </w:tc>
        <w:tc>
          <w:tcPr>
            <w:tcW w:w="3546" w:type="dxa"/>
          </w:tcPr>
          <w:p w14:paraId="3A307109">
            <w:pPr>
              <w:jc w:val="center"/>
              <w:rPr>
                <w:rFonts w:ascii="仿宋_GB2312" w:hAnsi="宋体" w:eastAsia="仿宋_GB2312" w:cs="宋体"/>
                <w:b/>
                <w:sz w:val="28"/>
                <w:szCs w:val="28"/>
              </w:rPr>
            </w:pPr>
          </w:p>
        </w:tc>
        <w:tc>
          <w:tcPr>
            <w:tcW w:w="1512" w:type="dxa"/>
          </w:tcPr>
          <w:p w14:paraId="365FF118">
            <w:pPr>
              <w:jc w:val="center"/>
              <w:rPr>
                <w:rFonts w:ascii="仿宋_GB2312" w:hAnsi="宋体" w:eastAsia="仿宋_GB2312" w:cs="宋体"/>
                <w:b/>
                <w:sz w:val="28"/>
                <w:szCs w:val="28"/>
              </w:rPr>
            </w:pPr>
          </w:p>
        </w:tc>
      </w:tr>
    </w:tbl>
    <w:p w14:paraId="40CC26ED">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投标人保证：除商务技术偏离表列出的偏离外，投标人响应招标文件的全部要求</w:t>
      </w:r>
    </w:p>
    <w:p w14:paraId="4BA0D137">
      <w:pPr>
        <w:spacing w:line="500" w:lineRule="exact"/>
        <w:ind w:firstLine="4560" w:firstLineChars="1900"/>
        <w:contextualSpacing/>
        <w:rPr>
          <w:rFonts w:ascii="仿宋_GB2312" w:eastAsia="仿宋_GB2312"/>
          <w:sz w:val="24"/>
          <w:szCs w:val="24"/>
        </w:rPr>
      </w:pPr>
    </w:p>
    <w:p w14:paraId="7B2AEBC6">
      <w:pPr>
        <w:spacing w:line="500" w:lineRule="exact"/>
        <w:ind w:firstLine="4560" w:firstLineChars="1900"/>
        <w:contextualSpacing/>
        <w:rPr>
          <w:rFonts w:ascii="仿宋_GB2312" w:eastAsia="仿宋_GB2312"/>
          <w:sz w:val="24"/>
          <w:szCs w:val="24"/>
        </w:rPr>
      </w:pPr>
    </w:p>
    <w:p w14:paraId="0B3351D3">
      <w:pPr>
        <w:spacing w:line="500" w:lineRule="exact"/>
        <w:ind w:firstLine="4560" w:firstLineChars="190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397858C6">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14:paraId="37EA700C">
      <w:pPr>
        <w:pStyle w:val="5"/>
      </w:pPr>
    </w:p>
    <w:p w14:paraId="23197857">
      <w:pPr>
        <w:rPr>
          <w:rFonts w:ascii="仿宋_GB2312" w:eastAsia="仿宋_GB2312"/>
        </w:rPr>
      </w:pPr>
    </w:p>
    <w:p w14:paraId="3799C0C4">
      <w:pPr>
        <w:pStyle w:val="4"/>
      </w:pPr>
    </w:p>
    <w:p w14:paraId="42859980">
      <w:pPr>
        <w:pStyle w:val="5"/>
      </w:pPr>
    </w:p>
    <w:p w14:paraId="730D1337">
      <w:pPr>
        <w:rPr>
          <w:rFonts w:ascii="仿宋_GB2312" w:eastAsia="仿宋_GB2312"/>
        </w:rPr>
      </w:pPr>
    </w:p>
    <w:p w14:paraId="22DB51BE">
      <w:pPr>
        <w:pStyle w:val="4"/>
      </w:pPr>
    </w:p>
    <w:p w14:paraId="25AD2906">
      <w:pPr>
        <w:pStyle w:val="5"/>
      </w:pPr>
    </w:p>
    <w:p w14:paraId="5DDFA9BE">
      <w:pPr>
        <w:pStyle w:val="5"/>
      </w:pPr>
    </w:p>
    <w:p w14:paraId="05A5F892">
      <w:pPr>
        <w:rPr>
          <w:rFonts w:ascii="仿宋_GB2312" w:eastAsia="仿宋_GB2312"/>
        </w:rPr>
      </w:pPr>
    </w:p>
    <w:p w14:paraId="07A75727">
      <w:pPr>
        <w:pStyle w:val="4"/>
      </w:pPr>
    </w:p>
    <w:p w14:paraId="0B4261BC">
      <w:pPr>
        <w:spacing w:line="540" w:lineRule="exact"/>
        <w:contextualSpacing/>
        <w:jc w:val="center"/>
        <w:rPr>
          <w:rFonts w:ascii="仿宋_GB2312" w:eastAsia="仿宋_GB2312"/>
          <w:b/>
          <w:sz w:val="28"/>
          <w:szCs w:val="28"/>
        </w:rPr>
      </w:pPr>
      <w:r>
        <w:rPr>
          <w:rFonts w:hint="eastAsia" w:ascii="仿宋_GB2312" w:eastAsia="仿宋_GB2312"/>
          <w:b/>
          <w:sz w:val="28"/>
          <w:szCs w:val="28"/>
          <w:lang w:eastAsia="zh-CN"/>
        </w:rPr>
        <w:t>八</w:t>
      </w:r>
      <w:r>
        <w:rPr>
          <w:rFonts w:hint="eastAsia" w:ascii="仿宋_GB2312" w:eastAsia="仿宋_GB2312"/>
          <w:b/>
          <w:sz w:val="28"/>
          <w:szCs w:val="28"/>
        </w:rPr>
        <w:t>、政府采购供应商廉洁自律承诺书</w:t>
      </w:r>
    </w:p>
    <w:p w14:paraId="07BFDA1E">
      <w:pPr>
        <w:spacing w:line="540" w:lineRule="exact"/>
        <w:contextualSpacing/>
        <w:rPr>
          <w:rFonts w:ascii="仿宋_GB2312" w:eastAsia="仿宋_GB2312"/>
          <w:sz w:val="24"/>
          <w:szCs w:val="24"/>
        </w:rPr>
      </w:pPr>
    </w:p>
    <w:p w14:paraId="71398050">
      <w:pPr>
        <w:spacing w:line="500" w:lineRule="exact"/>
        <w:contextualSpacing/>
        <w:rPr>
          <w:rFonts w:ascii="仿宋_GB2312" w:eastAsia="仿宋_GB2312"/>
          <w:sz w:val="24"/>
          <w:szCs w:val="24"/>
        </w:rPr>
      </w:pPr>
      <w:r>
        <w:rPr>
          <w:rFonts w:hint="eastAsia" w:ascii="仿宋_GB2312" w:eastAsia="仿宋_GB2312"/>
          <w:sz w:val="24"/>
          <w:szCs w:val="24"/>
        </w:rPr>
        <w:t>（采购人）、（采购代理机构）：</w:t>
      </w:r>
    </w:p>
    <w:p w14:paraId="741F3B2A">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我单位响应你单位项目招标要求参加投标。在这次投标过程中和中标后，我们将严格遵守国家法律法规要求，并郑重承诺：</w:t>
      </w:r>
    </w:p>
    <w:p w14:paraId="5CB12731">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一、不向项目有关人员及部门赠送礼金礼物、有价证券、回扣以及中介费、介绍费、咨询费等好处费； </w:t>
      </w:r>
    </w:p>
    <w:p w14:paraId="5D179408">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二、不为项目有关人员及部门报销应由你方单位或个人支付的费用； </w:t>
      </w:r>
    </w:p>
    <w:p w14:paraId="3DCBB376">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三、不向项目有关人员及部门提供有可能影响公正的宴请和健身娱乐等活动； </w:t>
      </w:r>
    </w:p>
    <w:p w14:paraId="1D210894">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四、不为项目有关人员及部门出国（境）、旅游等提供方便；</w:t>
      </w:r>
    </w:p>
    <w:p w14:paraId="1F72B1B2">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五、不为项目有关人员个人装修住房、婚丧嫁娶、配偶子女工作安排等提供好处；</w:t>
      </w:r>
    </w:p>
    <w:p w14:paraId="4E8CE54B">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六、严格遵守《中华人民共和国政府采购法》《中华人民共和国招标投标法》《中华人民共和国民法典》等法律法规，诚实守信，合法经营，坚决抵制各种违法违纪行为。 </w:t>
      </w:r>
    </w:p>
    <w:p w14:paraId="6D57913F">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6A4BF003">
      <w:pPr>
        <w:spacing w:line="500" w:lineRule="exact"/>
        <w:contextualSpacing/>
        <w:rPr>
          <w:rFonts w:ascii="仿宋_GB2312" w:eastAsia="仿宋_GB2312"/>
          <w:sz w:val="24"/>
          <w:szCs w:val="24"/>
        </w:rPr>
      </w:pPr>
    </w:p>
    <w:p w14:paraId="480484E7">
      <w:pPr>
        <w:pStyle w:val="4"/>
      </w:pPr>
    </w:p>
    <w:p w14:paraId="24C97300">
      <w:pPr>
        <w:spacing w:line="500" w:lineRule="exact"/>
        <w:ind w:firstLine="4560" w:firstLineChars="190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55E80AA3">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14:paraId="3FF6CC1C">
      <w:pPr>
        <w:spacing w:line="540" w:lineRule="exact"/>
        <w:contextualSpacing/>
        <w:rPr>
          <w:rFonts w:ascii="仿宋_GB2312" w:eastAsia="仿宋_GB2312"/>
          <w:sz w:val="24"/>
          <w:szCs w:val="24"/>
        </w:rPr>
        <w:sectPr>
          <w:headerReference r:id="rId8" w:type="first"/>
          <w:footerReference r:id="rId10" w:type="first"/>
          <w:footerReference r:id="rId9" w:type="default"/>
          <w:pgSz w:w="11906" w:h="16838"/>
          <w:pgMar w:top="1276" w:right="1418" w:bottom="1247" w:left="1418" w:header="851" w:footer="992" w:gutter="0"/>
          <w:cols w:space="720" w:num="1"/>
          <w:titlePg/>
          <w:docGrid w:linePitch="312" w:charSpace="0"/>
        </w:sectPr>
      </w:pPr>
    </w:p>
    <w:p w14:paraId="11100E22">
      <w:pPr>
        <w:spacing w:line="540" w:lineRule="exact"/>
        <w:contextualSpacing/>
        <w:jc w:val="center"/>
        <w:rPr>
          <w:rFonts w:ascii="仿宋_GB2312" w:eastAsia="仿宋_GB2312"/>
          <w:b/>
          <w:sz w:val="28"/>
          <w:szCs w:val="28"/>
        </w:rPr>
      </w:pPr>
      <w:r>
        <w:rPr>
          <w:rFonts w:hint="eastAsia" w:ascii="仿宋_GB2312" w:eastAsia="仿宋_GB2312"/>
          <w:b/>
          <w:sz w:val="28"/>
          <w:szCs w:val="28"/>
        </w:rPr>
        <w:t>报价文件部分</w:t>
      </w:r>
    </w:p>
    <w:p w14:paraId="1C91F765">
      <w:pPr>
        <w:spacing w:line="540" w:lineRule="exact"/>
        <w:contextualSpacing/>
        <w:rPr>
          <w:rFonts w:ascii="仿宋_GB2312" w:eastAsia="仿宋_GB2312"/>
          <w:sz w:val="24"/>
          <w:szCs w:val="24"/>
        </w:rPr>
      </w:pPr>
    </w:p>
    <w:p w14:paraId="2C0C72B4">
      <w:pPr>
        <w:numPr>
          <w:ilvl w:val="0"/>
          <w:numId w:val="3"/>
        </w:numPr>
        <w:spacing w:line="540" w:lineRule="exact"/>
        <w:contextualSpacing/>
        <w:rPr>
          <w:rFonts w:ascii="仿宋_GB2312" w:eastAsia="仿宋_GB2312"/>
          <w:sz w:val="24"/>
          <w:szCs w:val="24"/>
        </w:rPr>
      </w:pPr>
      <w:r>
        <w:rPr>
          <w:rFonts w:hint="eastAsia" w:ascii="仿宋_GB2312" w:eastAsia="仿宋_GB2312"/>
          <w:sz w:val="24"/>
          <w:szCs w:val="24"/>
        </w:rPr>
        <w:t>开标一览表（报价表）………………………………………………………（页码）</w:t>
      </w:r>
    </w:p>
    <w:p w14:paraId="07019930">
      <w:pPr>
        <w:numPr>
          <w:ilvl w:val="0"/>
          <w:numId w:val="3"/>
        </w:numPr>
        <w:spacing w:line="540" w:lineRule="exact"/>
        <w:contextualSpacing/>
        <w:rPr>
          <w:rFonts w:ascii="仿宋_GB2312" w:eastAsia="仿宋_GB2312"/>
          <w:sz w:val="24"/>
          <w:szCs w:val="24"/>
        </w:rPr>
      </w:pPr>
      <w:r>
        <w:rPr>
          <w:rFonts w:hint="eastAsia" w:ascii="仿宋_GB2312" w:eastAsia="仿宋_GB2312"/>
          <w:sz w:val="24"/>
          <w:szCs w:val="24"/>
        </w:rPr>
        <w:t>中小企业声明函（如果有）…………………………………………………（页码）</w:t>
      </w:r>
    </w:p>
    <w:p w14:paraId="08251FB1">
      <w:pPr>
        <w:spacing w:line="420" w:lineRule="exact"/>
        <w:contextualSpacing/>
        <w:rPr>
          <w:rFonts w:ascii="仿宋_GB2312" w:eastAsia="仿宋_GB2312"/>
          <w:sz w:val="24"/>
          <w:szCs w:val="24"/>
        </w:rPr>
      </w:pPr>
      <w:r>
        <w:rPr>
          <w:rFonts w:hint="eastAsia" w:ascii="仿宋_GB2312" w:eastAsia="仿宋_GB2312"/>
          <w:sz w:val="24"/>
          <w:szCs w:val="24"/>
        </w:rPr>
        <w:t>（3）详细阐述关于不影响产品质量或者诚信履约的具体原因（如果报价低于项目预算50%的）………………………………………………………………………………（页码）</w:t>
      </w:r>
    </w:p>
    <w:p w14:paraId="4DDD9C57">
      <w:pPr>
        <w:spacing w:line="540" w:lineRule="exact"/>
        <w:contextualSpacing/>
        <w:rPr>
          <w:rFonts w:ascii="仿宋_GB2312" w:eastAsia="仿宋_GB2312"/>
          <w:sz w:val="24"/>
          <w:szCs w:val="24"/>
        </w:rPr>
      </w:pPr>
    </w:p>
    <w:p w14:paraId="3998C32D">
      <w:pPr>
        <w:spacing w:line="540" w:lineRule="exact"/>
        <w:contextualSpacing/>
        <w:rPr>
          <w:rFonts w:ascii="仿宋_GB2312" w:eastAsia="仿宋_GB2312"/>
          <w:sz w:val="24"/>
          <w:szCs w:val="24"/>
        </w:rPr>
      </w:pPr>
    </w:p>
    <w:p w14:paraId="68EFA576">
      <w:pPr>
        <w:spacing w:line="540" w:lineRule="exact"/>
        <w:contextualSpacing/>
        <w:rPr>
          <w:rFonts w:ascii="仿宋_GB2312" w:eastAsia="仿宋_GB2312"/>
          <w:sz w:val="24"/>
          <w:szCs w:val="24"/>
        </w:rPr>
      </w:pPr>
    </w:p>
    <w:p w14:paraId="27B7B5B8">
      <w:pPr>
        <w:spacing w:line="540" w:lineRule="exact"/>
        <w:contextualSpacing/>
        <w:rPr>
          <w:rFonts w:ascii="仿宋_GB2312" w:eastAsia="仿宋_GB2312"/>
          <w:sz w:val="24"/>
          <w:szCs w:val="24"/>
        </w:rPr>
      </w:pPr>
    </w:p>
    <w:p w14:paraId="6FE194D7">
      <w:pPr>
        <w:spacing w:line="540" w:lineRule="exact"/>
        <w:contextualSpacing/>
        <w:rPr>
          <w:rFonts w:ascii="仿宋_GB2312" w:eastAsia="仿宋_GB2312"/>
          <w:sz w:val="24"/>
          <w:szCs w:val="24"/>
        </w:rPr>
      </w:pPr>
    </w:p>
    <w:p w14:paraId="1D79FD2C">
      <w:pPr>
        <w:spacing w:line="540" w:lineRule="exact"/>
        <w:contextualSpacing/>
        <w:rPr>
          <w:rFonts w:ascii="仿宋_GB2312" w:eastAsia="仿宋_GB2312"/>
          <w:sz w:val="24"/>
          <w:szCs w:val="24"/>
        </w:rPr>
      </w:pPr>
    </w:p>
    <w:p w14:paraId="65FE2548">
      <w:pPr>
        <w:spacing w:line="540" w:lineRule="exact"/>
        <w:contextualSpacing/>
        <w:rPr>
          <w:rFonts w:ascii="仿宋_GB2312" w:eastAsia="仿宋_GB2312"/>
          <w:sz w:val="24"/>
          <w:szCs w:val="24"/>
        </w:rPr>
      </w:pPr>
    </w:p>
    <w:p w14:paraId="5F65CD61">
      <w:pPr>
        <w:spacing w:line="540" w:lineRule="exact"/>
        <w:contextualSpacing/>
        <w:rPr>
          <w:rFonts w:ascii="仿宋_GB2312" w:eastAsia="仿宋_GB2312"/>
          <w:sz w:val="24"/>
          <w:szCs w:val="24"/>
        </w:rPr>
      </w:pPr>
    </w:p>
    <w:p w14:paraId="4655247B">
      <w:pPr>
        <w:spacing w:line="540" w:lineRule="exact"/>
        <w:contextualSpacing/>
        <w:rPr>
          <w:rFonts w:ascii="仿宋_GB2312" w:eastAsia="仿宋_GB2312"/>
          <w:sz w:val="24"/>
          <w:szCs w:val="24"/>
        </w:rPr>
      </w:pPr>
    </w:p>
    <w:p w14:paraId="323807FE">
      <w:pPr>
        <w:spacing w:line="540" w:lineRule="exact"/>
        <w:contextualSpacing/>
        <w:rPr>
          <w:rFonts w:ascii="仿宋_GB2312" w:eastAsia="仿宋_GB2312"/>
          <w:sz w:val="24"/>
          <w:szCs w:val="24"/>
        </w:rPr>
      </w:pPr>
    </w:p>
    <w:p w14:paraId="7313B639">
      <w:pPr>
        <w:spacing w:line="540" w:lineRule="exact"/>
        <w:contextualSpacing/>
        <w:rPr>
          <w:rFonts w:ascii="仿宋_GB2312" w:eastAsia="仿宋_GB2312"/>
          <w:sz w:val="24"/>
          <w:szCs w:val="24"/>
        </w:rPr>
      </w:pPr>
    </w:p>
    <w:p w14:paraId="32E43C15">
      <w:pPr>
        <w:spacing w:line="540" w:lineRule="exact"/>
        <w:contextualSpacing/>
        <w:rPr>
          <w:rFonts w:ascii="仿宋_GB2312" w:eastAsia="仿宋_GB2312"/>
          <w:sz w:val="24"/>
          <w:szCs w:val="24"/>
        </w:rPr>
      </w:pPr>
    </w:p>
    <w:p w14:paraId="0E36AFDE">
      <w:pPr>
        <w:spacing w:line="540" w:lineRule="exact"/>
        <w:contextualSpacing/>
        <w:rPr>
          <w:rFonts w:ascii="仿宋_GB2312" w:eastAsia="仿宋_GB2312"/>
          <w:sz w:val="24"/>
          <w:szCs w:val="24"/>
        </w:rPr>
      </w:pPr>
    </w:p>
    <w:p w14:paraId="70A51743">
      <w:pPr>
        <w:spacing w:line="540" w:lineRule="exact"/>
        <w:contextualSpacing/>
        <w:rPr>
          <w:rFonts w:ascii="仿宋_GB2312" w:eastAsia="仿宋_GB2312"/>
          <w:sz w:val="24"/>
          <w:szCs w:val="24"/>
        </w:rPr>
      </w:pPr>
    </w:p>
    <w:p w14:paraId="76E226B7">
      <w:pPr>
        <w:spacing w:line="540" w:lineRule="exact"/>
        <w:contextualSpacing/>
        <w:rPr>
          <w:rFonts w:ascii="仿宋_GB2312" w:eastAsia="仿宋_GB2312"/>
          <w:sz w:val="24"/>
          <w:szCs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6CC293C4">
      <w:pPr>
        <w:spacing w:line="540" w:lineRule="exact"/>
        <w:contextualSpacing/>
        <w:jc w:val="center"/>
        <w:rPr>
          <w:rFonts w:ascii="仿宋_GB2312" w:eastAsia="仿宋_GB2312"/>
          <w:b/>
          <w:sz w:val="28"/>
          <w:szCs w:val="28"/>
        </w:rPr>
      </w:pPr>
      <w:r>
        <w:rPr>
          <w:rFonts w:hint="eastAsia" w:ascii="仿宋_GB2312" w:eastAsia="仿宋_GB2312"/>
          <w:b/>
          <w:sz w:val="28"/>
          <w:szCs w:val="28"/>
        </w:rPr>
        <w:t>一、开标一览表（报价表）</w:t>
      </w:r>
    </w:p>
    <w:p w14:paraId="5B92C9D5">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25EFF1B6">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按你方招标文件要求，我们，本投标文件签字方，谨此向你方发出要约如下：如你方接受本投标，我方承诺按照如下开标一览表（报价表）的价格完成（项目名称）【招标编号：（项目编号）】的实施。</w:t>
      </w:r>
    </w:p>
    <w:p w14:paraId="0F552B95">
      <w:pPr>
        <w:spacing w:line="540" w:lineRule="exact"/>
        <w:contextualSpacing/>
        <w:jc w:val="center"/>
        <w:rPr>
          <w:rFonts w:ascii="仿宋_GB2312" w:eastAsia="仿宋_GB2312"/>
          <w:sz w:val="24"/>
          <w:szCs w:val="24"/>
        </w:rPr>
      </w:pPr>
      <w:r>
        <w:rPr>
          <w:rFonts w:hint="eastAsia" w:ascii="仿宋_GB2312" w:eastAsia="仿宋_GB2312"/>
          <w:sz w:val="24"/>
          <w:szCs w:val="24"/>
        </w:rPr>
        <w:t>开标一览表（报价表）(单位均为人民币元)</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1701"/>
        <w:gridCol w:w="855"/>
        <w:gridCol w:w="1130"/>
        <w:gridCol w:w="1275"/>
        <w:gridCol w:w="1276"/>
      </w:tblGrid>
      <w:tr w14:paraId="3131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C9AFFA">
            <w:pPr>
              <w:spacing w:line="360" w:lineRule="exact"/>
              <w:jc w:val="center"/>
              <w:rPr>
                <w:rFonts w:ascii="仿宋_GB2312" w:eastAsia="仿宋_GB2312"/>
                <w:sz w:val="24"/>
                <w:szCs w:val="24"/>
              </w:rPr>
            </w:pPr>
            <w:r>
              <w:rPr>
                <w:rFonts w:hint="eastAsia" w:ascii="仿宋_GB2312" w:eastAsia="仿宋_GB2312"/>
                <w:sz w:val="24"/>
                <w:szCs w:val="24"/>
              </w:rPr>
              <w:t>序号</w:t>
            </w:r>
          </w:p>
        </w:tc>
        <w:tc>
          <w:tcPr>
            <w:tcW w:w="2268" w:type="dxa"/>
            <w:vAlign w:val="center"/>
          </w:tcPr>
          <w:p w14:paraId="6A57F6BC">
            <w:pPr>
              <w:spacing w:line="360" w:lineRule="exact"/>
              <w:jc w:val="center"/>
              <w:rPr>
                <w:rFonts w:ascii="仿宋_GB2312" w:eastAsia="仿宋_GB2312"/>
                <w:sz w:val="24"/>
                <w:szCs w:val="24"/>
              </w:rPr>
            </w:pPr>
            <w:r>
              <w:rPr>
                <w:rFonts w:hint="eastAsia" w:ascii="仿宋_GB2312" w:eastAsia="仿宋_GB2312"/>
                <w:sz w:val="24"/>
                <w:szCs w:val="24"/>
              </w:rPr>
              <w:t>名称</w:t>
            </w:r>
          </w:p>
        </w:tc>
        <w:tc>
          <w:tcPr>
            <w:tcW w:w="1701" w:type="dxa"/>
            <w:vAlign w:val="center"/>
          </w:tcPr>
          <w:p w14:paraId="68BFFB39">
            <w:pPr>
              <w:spacing w:line="360" w:lineRule="exact"/>
              <w:jc w:val="center"/>
              <w:rPr>
                <w:rFonts w:ascii="仿宋_GB2312" w:eastAsia="仿宋_GB2312"/>
                <w:sz w:val="24"/>
                <w:szCs w:val="24"/>
              </w:rPr>
            </w:pPr>
            <w:r>
              <w:rPr>
                <w:rFonts w:hint="eastAsia" w:ascii="仿宋_GB2312" w:eastAsia="仿宋_GB2312"/>
                <w:sz w:val="24"/>
                <w:szCs w:val="24"/>
              </w:rPr>
              <w:t>单价</w:t>
            </w:r>
          </w:p>
        </w:tc>
        <w:tc>
          <w:tcPr>
            <w:tcW w:w="855" w:type="dxa"/>
            <w:vAlign w:val="center"/>
          </w:tcPr>
          <w:p w14:paraId="5C896ACB">
            <w:pPr>
              <w:spacing w:line="360" w:lineRule="exact"/>
              <w:jc w:val="center"/>
              <w:rPr>
                <w:rFonts w:ascii="仿宋_GB2312" w:eastAsia="仿宋_GB2312"/>
                <w:sz w:val="24"/>
                <w:szCs w:val="24"/>
              </w:rPr>
            </w:pPr>
            <w:r>
              <w:rPr>
                <w:rFonts w:hint="eastAsia" w:ascii="仿宋_GB2312" w:eastAsia="仿宋_GB2312"/>
                <w:sz w:val="24"/>
                <w:szCs w:val="24"/>
              </w:rPr>
              <w:t>数量</w:t>
            </w:r>
          </w:p>
        </w:tc>
        <w:tc>
          <w:tcPr>
            <w:tcW w:w="1130" w:type="dxa"/>
            <w:vAlign w:val="center"/>
          </w:tcPr>
          <w:p w14:paraId="55F00B82">
            <w:pPr>
              <w:spacing w:line="360" w:lineRule="exact"/>
              <w:jc w:val="center"/>
              <w:rPr>
                <w:rFonts w:ascii="仿宋_GB2312" w:eastAsia="仿宋_GB2312"/>
                <w:sz w:val="24"/>
                <w:szCs w:val="24"/>
              </w:rPr>
            </w:pPr>
            <w:r>
              <w:rPr>
                <w:rFonts w:hint="eastAsia" w:ascii="仿宋_GB2312" w:eastAsia="仿宋_GB2312"/>
                <w:sz w:val="24"/>
                <w:szCs w:val="24"/>
              </w:rPr>
              <w:t>年限</w:t>
            </w:r>
          </w:p>
        </w:tc>
        <w:tc>
          <w:tcPr>
            <w:tcW w:w="1275" w:type="dxa"/>
            <w:vAlign w:val="center"/>
          </w:tcPr>
          <w:p w14:paraId="1F88C336">
            <w:pPr>
              <w:spacing w:line="360" w:lineRule="exact"/>
              <w:jc w:val="center"/>
              <w:rPr>
                <w:rFonts w:ascii="仿宋_GB2312" w:eastAsia="仿宋_GB2312"/>
                <w:sz w:val="24"/>
                <w:szCs w:val="24"/>
              </w:rPr>
            </w:pPr>
            <w:r>
              <w:rPr>
                <w:rFonts w:hint="eastAsia" w:ascii="仿宋_GB2312" w:eastAsia="仿宋_GB2312"/>
                <w:sz w:val="24"/>
                <w:szCs w:val="24"/>
              </w:rPr>
              <w:t>总价（元）</w:t>
            </w:r>
          </w:p>
        </w:tc>
        <w:tc>
          <w:tcPr>
            <w:tcW w:w="1276" w:type="dxa"/>
            <w:vAlign w:val="center"/>
          </w:tcPr>
          <w:p w14:paraId="64D3B86D">
            <w:pPr>
              <w:spacing w:line="360" w:lineRule="exact"/>
              <w:jc w:val="center"/>
              <w:rPr>
                <w:rFonts w:ascii="仿宋_GB2312" w:eastAsia="仿宋_GB2312"/>
                <w:sz w:val="24"/>
                <w:szCs w:val="24"/>
              </w:rPr>
            </w:pPr>
            <w:r>
              <w:rPr>
                <w:rFonts w:hint="eastAsia" w:ascii="仿宋_GB2312" w:eastAsia="仿宋_GB2312"/>
                <w:sz w:val="24"/>
                <w:szCs w:val="24"/>
              </w:rPr>
              <w:t>备注</w:t>
            </w:r>
          </w:p>
        </w:tc>
      </w:tr>
      <w:tr w14:paraId="7851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6D49A403">
            <w:pPr>
              <w:spacing w:line="540" w:lineRule="exact"/>
              <w:jc w:val="center"/>
              <w:rPr>
                <w:rFonts w:ascii="仿宋_GB2312" w:eastAsia="仿宋_GB2312"/>
                <w:sz w:val="24"/>
                <w:szCs w:val="24"/>
              </w:rPr>
            </w:pPr>
            <w:r>
              <w:rPr>
                <w:rFonts w:hint="eastAsia" w:ascii="仿宋_GB2312" w:eastAsia="仿宋_GB2312"/>
                <w:sz w:val="24"/>
                <w:szCs w:val="24"/>
              </w:rPr>
              <w:t>1</w:t>
            </w:r>
          </w:p>
        </w:tc>
        <w:tc>
          <w:tcPr>
            <w:tcW w:w="2268" w:type="dxa"/>
            <w:vAlign w:val="center"/>
          </w:tcPr>
          <w:p w14:paraId="599BB6C6">
            <w:pPr>
              <w:spacing w:line="540" w:lineRule="exact"/>
              <w:jc w:val="center"/>
              <w:rPr>
                <w:rFonts w:ascii="仿宋_GB2312" w:eastAsia="仿宋_GB2312"/>
                <w:sz w:val="24"/>
                <w:szCs w:val="24"/>
              </w:rPr>
            </w:pPr>
            <w:r>
              <w:rPr>
                <w:rFonts w:hint="eastAsia" w:ascii="仿宋_GB2312" w:eastAsia="仿宋_GB2312"/>
                <w:sz w:val="24"/>
                <w:szCs w:val="24"/>
              </w:rPr>
              <w:t>项目经理</w:t>
            </w:r>
          </w:p>
        </w:tc>
        <w:tc>
          <w:tcPr>
            <w:tcW w:w="1701" w:type="dxa"/>
            <w:vAlign w:val="center"/>
          </w:tcPr>
          <w:p w14:paraId="72A88B79">
            <w:pPr>
              <w:spacing w:line="540" w:lineRule="exact"/>
              <w:ind w:firstLine="120" w:firstLineChars="50"/>
              <w:jc w:val="center"/>
              <w:rPr>
                <w:rFonts w:ascii="仿宋_GB2312" w:eastAsia="仿宋_GB2312"/>
                <w:sz w:val="24"/>
                <w:szCs w:val="24"/>
              </w:rPr>
            </w:pPr>
            <w:r>
              <w:rPr>
                <w:rFonts w:hint="eastAsia" w:ascii="仿宋_GB2312" w:eastAsia="仿宋_GB2312"/>
                <w:sz w:val="24"/>
                <w:szCs w:val="24"/>
              </w:rPr>
              <w:t>/人·年</w:t>
            </w:r>
          </w:p>
        </w:tc>
        <w:tc>
          <w:tcPr>
            <w:tcW w:w="855" w:type="dxa"/>
            <w:vAlign w:val="center"/>
          </w:tcPr>
          <w:p w14:paraId="0E5C4AA0">
            <w:pPr>
              <w:spacing w:line="420" w:lineRule="exact"/>
              <w:jc w:val="center"/>
              <w:rPr>
                <w:rFonts w:ascii="仿宋_GB2312" w:eastAsia="仿宋_GB2312"/>
                <w:sz w:val="24"/>
                <w:szCs w:val="24"/>
              </w:rPr>
            </w:pPr>
          </w:p>
        </w:tc>
        <w:tc>
          <w:tcPr>
            <w:tcW w:w="1130" w:type="dxa"/>
            <w:vAlign w:val="center"/>
          </w:tcPr>
          <w:p w14:paraId="352655D4">
            <w:pPr>
              <w:spacing w:line="540" w:lineRule="exact"/>
              <w:jc w:val="center"/>
              <w:rPr>
                <w:rFonts w:ascii="仿宋_GB2312" w:eastAsia="仿宋_GB2312"/>
                <w:sz w:val="24"/>
                <w:szCs w:val="24"/>
              </w:rPr>
            </w:pPr>
            <w:r>
              <w:rPr>
                <w:rFonts w:hint="eastAsia" w:ascii="仿宋_GB2312" w:eastAsia="仿宋_GB2312"/>
                <w:sz w:val="24"/>
                <w:szCs w:val="24"/>
              </w:rPr>
              <w:t>1年</w:t>
            </w:r>
          </w:p>
        </w:tc>
        <w:tc>
          <w:tcPr>
            <w:tcW w:w="1275" w:type="dxa"/>
            <w:vAlign w:val="center"/>
          </w:tcPr>
          <w:p w14:paraId="1C836C7A">
            <w:pPr>
              <w:spacing w:line="540" w:lineRule="exact"/>
              <w:jc w:val="center"/>
              <w:rPr>
                <w:rFonts w:ascii="仿宋_GB2312" w:eastAsia="仿宋_GB2312"/>
                <w:sz w:val="24"/>
                <w:szCs w:val="24"/>
              </w:rPr>
            </w:pPr>
          </w:p>
        </w:tc>
        <w:tc>
          <w:tcPr>
            <w:tcW w:w="1276" w:type="dxa"/>
            <w:vAlign w:val="center"/>
          </w:tcPr>
          <w:p w14:paraId="79AC117E">
            <w:pPr>
              <w:spacing w:line="540" w:lineRule="exact"/>
              <w:jc w:val="center"/>
              <w:rPr>
                <w:rFonts w:ascii="仿宋_GB2312" w:eastAsia="仿宋_GB2312"/>
                <w:sz w:val="24"/>
                <w:szCs w:val="24"/>
              </w:rPr>
            </w:pPr>
          </w:p>
        </w:tc>
      </w:tr>
      <w:tr w14:paraId="3E6D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6CF398C6">
            <w:pPr>
              <w:spacing w:line="540" w:lineRule="exact"/>
              <w:jc w:val="center"/>
              <w:rPr>
                <w:rFonts w:ascii="仿宋_GB2312" w:eastAsia="仿宋_GB2312"/>
                <w:sz w:val="24"/>
                <w:szCs w:val="24"/>
              </w:rPr>
            </w:pPr>
            <w:r>
              <w:rPr>
                <w:rFonts w:hint="eastAsia" w:ascii="仿宋_GB2312" w:eastAsia="仿宋_GB2312"/>
                <w:sz w:val="24"/>
                <w:szCs w:val="24"/>
              </w:rPr>
              <w:t>2</w:t>
            </w:r>
          </w:p>
        </w:tc>
        <w:tc>
          <w:tcPr>
            <w:tcW w:w="2268" w:type="dxa"/>
            <w:shd w:val="clear" w:color="auto" w:fill="auto"/>
            <w:vAlign w:val="center"/>
          </w:tcPr>
          <w:p w14:paraId="5033DB92">
            <w:pPr>
              <w:spacing w:line="540" w:lineRule="exact"/>
              <w:jc w:val="center"/>
              <w:rPr>
                <w:rFonts w:ascii="仿宋_GB2312" w:eastAsia="仿宋_GB2312"/>
                <w:sz w:val="24"/>
                <w:szCs w:val="24"/>
              </w:rPr>
            </w:pPr>
            <w:r>
              <w:rPr>
                <w:rFonts w:hint="eastAsia" w:ascii="仿宋_GB2312" w:hAnsi="仿宋_GB2312" w:eastAsia="仿宋_GB2312" w:cs="仿宋_GB2312"/>
                <w:sz w:val="24"/>
                <w:szCs w:val="24"/>
              </w:rPr>
              <w:t>保安人员</w:t>
            </w:r>
          </w:p>
        </w:tc>
        <w:tc>
          <w:tcPr>
            <w:tcW w:w="1701" w:type="dxa"/>
            <w:vAlign w:val="center"/>
          </w:tcPr>
          <w:p w14:paraId="2ABFA9CC">
            <w:pPr>
              <w:spacing w:line="540" w:lineRule="exact"/>
              <w:ind w:firstLine="120" w:firstLineChars="50"/>
              <w:jc w:val="center"/>
              <w:rPr>
                <w:rFonts w:ascii="仿宋_GB2312" w:eastAsia="仿宋_GB2312"/>
                <w:sz w:val="24"/>
                <w:szCs w:val="24"/>
              </w:rPr>
            </w:pPr>
            <w:r>
              <w:rPr>
                <w:rFonts w:hint="eastAsia" w:ascii="仿宋_GB2312" w:eastAsia="仿宋_GB2312"/>
                <w:sz w:val="24"/>
                <w:szCs w:val="24"/>
              </w:rPr>
              <w:t>/人·年</w:t>
            </w:r>
          </w:p>
        </w:tc>
        <w:tc>
          <w:tcPr>
            <w:tcW w:w="855" w:type="dxa"/>
            <w:vAlign w:val="center"/>
          </w:tcPr>
          <w:p w14:paraId="5AEF030A">
            <w:pPr>
              <w:spacing w:line="420" w:lineRule="exact"/>
              <w:jc w:val="center"/>
              <w:rPr>
                <w:rFonts w:ascii="仿宋_GB2312" w:eastAsia="仿宋_GB2312"/>
                <w:sz w:val="24"/>
                <w:szCs w:val="24"/>
              </w:rPr>
            </w:pPr>
          </w:p>
        </w:tc>
        <w:tc>
          <w:tcPr>
            <w:tcW w:w="1130" w:type="dxa"/>
            <w:vAlign w:val="center"/>
          </w:tcPr>
          <w:p w14:paraId="14921D04">
            <w:pPr>
              <w:spacing w:line="540" w:lineRule="exact"/>
              <w:jc w:val="center"/>
              <w:rPr>
                <w:rFonts w:ascii="仿宋_GB2312" w:eastAsia="仿宋_GB2312"/>
                <w:sz w:val="24"/>
                <w:szCs w:val="24"/>
              </w:rPr>
            </w:pPr>
            <w:r>
              <w:rPr>
                <w:rFonts w:hint="eastAsia" w:ascii="仿宋_GB2312" w:eastAsia="仿宋_GB2312"/>
                <w:sz w:val="24"/>
                <w:szCs w:val="24"/>
              </w:rPr>
              <w:t>1年</w:t>
            </w:r>
          </w:p>
        </w:tc>
        <w:tc>
          <w:tcPr>
            <w:tcW w:w="1275" w:type="dxa"/>
            <w:vAlign w:val="center"/>
          </w:tcPr>
          <w:p w14:paraId="669C146B">
            <w:pPr>
              <w:spacing w:line="540" w:lineRule="exact"/>
              <w:jc w:val="center"/>
              <w:rPr>
                <w:rFonts w:ascii="仿宋_GB2312" w:eastAsia="仿宋_GB2312"/>
                <w:sz w:val="24"/>
                <w:szCs w:val="24"/>
              </w:rPr>
            </w:pPr>
          </w:p>
        </w:tc>
        <w:tc>
          <w:tcPr>
            <w:tcW w:w="1276" w:type="dxa"/>
            <w:vAlign w:val="center"/>
          </w:tcPr>
          <w:p w14:paraId="3A8E6B32">
            <w:pPr>
              <w:spacing w:line="540" w:lineRule="exact"/>
              <w:jc w:val="center"/>
              <w:rPr>
                <w:rFonts w:ascii="仿宋_GB2312" w:eastAsia="仿宋_GB2312"/>
                <w:sz w:val="24"/>
                <w:szCs w:val="24"/>
              </w:rPr>
            </w:pPr>
          </w:p>
        </w:tc>
      </w:tr>
      <w:tr w14:paraId="0172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7A77F7A9">
            <w:pPr>
              <w:spacing w:line="540" w:lineRule="exact"/>
              <w:jc w:val="center"/>
              <w:rPr>
                <w:rFonts w:ascii="仿宋_GB2312" w:eastAsia="仿宋_GB2312"/>
                <w:sz w:val="24"/>
                <w:szCs w:val="24"/>
              </w:rPr>
            </w:pPr>
            <w:r>
              <w:rPr>
                <w:rFonts w:hint="eastAsia" w:ascii="仿宋_GB2312" w:eastAsia="仿宋_GB2312"/>
                <w:sz w:val="24"/>
                <w:szCs w:val="24"/>
              </w:rPr>
              <w:t>3</w:t>
            </w:r>
          </w:p>
        </w:tc>
        <w:tc>
          <w:tcPr>
            <w:tcW w:w="2268" w:type="dxa"/>
            <w:shd w:val="clear" w:color="auto" w:fill="auto"/>
            <w:vAlign w:val="center"/>
          </w:tcPr>
          <w:p w14:paraId="23B4FFC7">
            <w:pPr>
              <w:spacing w:line="540" w:lineRule="exact"/>
              <w:jc w:val="center"/>
              <w:rPr>
                <w:rFonts w:ascii="仿宋_GB2312" w:eastAsia="仿宋_GB2312"/>
                <w:sz w:val="24"/>
                <w:szCs w:val="24"/>
              </w:rPr>
            </w:pPr>
            <w:r>
              <w:rPr>
                <w:rFonts w:hint="eastAsia" w:ascii="仿宋_GB2312" w:hAnsi="仿宋_GB2312" w:eastAsia="仿宋_GB2312" w:cs="仿宋_GB2312"/>
                <w:sz w:val="24"/>
                <w:szCs w:val="24"/>
              </w:rPr>
              <w:t>保洁员</w:t>
            </w:r>
          </w:p>
        </w:tc>
        <w:tc>
          <w:tcPr>
            <w:tcW w:w="1701" w:type="dxa"/>
            <w:vAlign w:val="center"/>
          </w:tcPr>
          <w:p w14:paraId="7364E8B8">
            <w:pPr>
              <w:spacing w:line="540" w:lineRule="exact"/>
              <w:ind w:firstLine="120" w:firstLineChars="50"/>
              <w:jc w:val="center"/>
              <w:rPr>
                <w:rFonts w:ascii="仿宋_GB2312" w:eastAsia="仿宋_GB2312"/>
                <w:sz w:val="24"/>
                <w:szCs w:val="24"/>
              </w:rPr>
            </w:pPr>
            <w:r>
              <w:rPr>
                <w:rFonts w:hint="eastAsia" w:ascii="仿宋_GB2312" w:eastAsia="仿宋_GB2312"/>
                <w:sz w:val="24"/>
                <w:szCs w:val="24"/>
              </w:rPr>
              <w:t>/人·年</w:t>
            </w:r>
          </w:p>
        </w:tc>
        <w:tc>
          <w:tcPr>
            <w:tcW w:w="855" w:type="dxa"/>
            <w:vAlign w:val="center"/>
          </w:tcPr>
          <w:p w14:paraId="4E98742D">
            <w:pPr>
              <w:spacing w:line="420" w:lineRule="exact"/>
              <w:jc w:val="center"/>
              <w:rPr>
                <w:rFonts w:ascii="仿宋_GB2312" w:eastAsia="仿宋_GB2312"/>
                <w:sz w:val="24"/>
                <w:szCs w:val="24"/>
              </w:rPr>
            </w:pPr>
          </w:p>
        </w:tc>
        <w:tc>
          <w:tcPr>
            <w:tcW w:w="1130" w:type="dxa"/>
            <w:vAlign w:val="center"/>
          </w:tcPr>
          <w:p w14:paraId="0B8CB632">
            <w:pPr>
              <w:spacing w:line="540" w:lineRule="exact"/>
              <w:jc w:val="center"/>
              <w:rPr>
                <w:rFonts w:ascii="仿宋_GB2312" w:eastAsia="仿宋_GB2312"/>
                <w:sz w:val="24"/>
                <w:szCs w:val="24"/>
              </w:rPr>
            </w:pPr>
            <w:r>
              <w:rPr>
                <w:rFonts w:hint="eastAsia" w:ascii="仿宋_GB2312" w:eastAsia="仿宋_GB2312"/>
                <w:sz w:val="24"/>
                <w:szCs w:val="24"/>
              </w:rPr>
              <w:t>1年</w:t>
            </w:r>
          </w:p>
        </w:tc>
        <w:tc>
          <w:tcPr>
            <w:tcW w:w="1275" w:type="dxa"/>
            <w:vAlign w:val="center"/>
          </w:tcPr>
          <w:p w14:paraId="4E3C8577">
            <w:pPr>
              <w:spacing w:line="540" w:lineRule="exact"/>
              <w:jc w:val="center"/>
              <w:rPr>
                <w:rFonts w:ascii="仿宋_GB2312" w:eastAsia="仿宋_GB2312"/>
                <w:sz w:val="24"/>
                <w:szCs w:val="24"/>
              </w:rPr>
            </w:pPr>
          </w:p>
        </w:tc>
        <w:tc>
          <w:tcPr>
            <w:tcW w:w="1276" w:type="dxa"/>
            <w:vAlign w:val="center"/>
          </w:tcPr>
          <w:p w14:paraId="58DB8330">
            <w:pPr>
              <w:spacing w:line="540" w:lineRule="exact"/>
              <w:jc w:val="center"/>
              <w:rPr>
                <w:rFonts w:ascii="仿宋_GB2312" w:eastAsia="仿宋_GB2312"/>
                <w:sz w:val="24"/>
                <w:szCs w:val="24"/>
              </w:rPr>
            </w:pPr>
          </w:p>
        </w:tc>
      </w:tr>
      <w:tr w14:paraId="6041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48A5139A">
            <w:pPr>
              <w:spacing w:line="540" w:lineRule="exact"/>
              <w:jc w:val="center"/>
              <w:rPr>
                <w:rFonts w:ascii="仿宋_GB2312" w:eastAsia="仿宋_GB2312"/>
                <w:sz w:val="24"/>
                <w:szCs w:val="24"/>
              </w:rPr>
            </w:pPr>
            <w:r>
              <w:rPr>
                <w:rFonts w:hint="eastAsia" w:ascii="仿宋_GB2312" w:eastAsia="仿宋_GB2312"/>
                <w:sz w:val="24"/>
                <w:szCs w:val="24"/>
              </w:rPr>
              <w:t>4</w:t>
            </w:r>
          </w:p>
        </w:tc>
        <w:tc>
          <w:tcPr>
            <w:tcW w:w="2268" w:type="dxa"/>
            <w:shd w:val="clear" w:color="auto" w:fill="auto"/>
            <w:vAlign w:val="center"/>
          </w:tcPr>
          <w:p w14:paraId="219ED404">
            <w:pPr>
              <w:spacing w:line="540" w:lineRule="exact"/>
              <w:jc w:val="center"/>
              <w:rPr>
                <w:rFonts w:ascii="仿宋_GB2312" w:eastAsia="仿宋_GB2312"/>
                <w:sz w:val="24"/>
                <w:szCs w:val="24"/>
              </w:rPr>
            </w:pPr>
          </w:p>
        </w:tc>
        <w:tc>
          <w:tcPr>
            <w:tcW w:w="1701" w:type="dxa"/>
            <w:vAlign w:val="center"/>
          </w:tcPr>
          <w:p w14:paraId="685991E9">
            <w:pPr>
              <w:spacing w:line="540" w:lineRule="exact"/>
              <w:ind w:firstLine="120" w:firstLineChars="50"/>
              <w:jc w:val="center"/>
              <w:rPr>
                <w:rFonts w:ascii="仿宋_GB2312" w:eastAsia="仿宋_GB2312"/>
                <w:sz w:val="24"/>
                <w:szCs w:val="24"/>
              </w:rPr>
            </w:pPr>
          </w:p>
        </w:tc>
        <w:tc>
          <w:tcPr>
            <w:tcW w:w="855" w:type="dxa"/>
            <w:vAlign w:val="center"/>
          </w:tcPr>
          <w:p w14:paraId="31AEB826">
            <w:pPr>
              <w:spacing w:line="420" w:lineRule="exact"/>
              <w:jc w:val="center"/>
              <w:rPr>
                <w:rFonts w:ascii="仿宋_GB2312" w:eastAsia="仿宋_GB2312"/>
                <w:sz w:val="24"/>
                <w:szCs w:val="24"/>
              </w:rPr>
            </w:pPr>
          </w:p>
        </w:tc>
        <w:tc>
          <w:tcPr>
            <w:tcW w:w="1130" w:type="dxa"/>
            <w:vAlign w:val="center"/>
          </w:tcPr>
          <w:p w14:paraId="5766AE77">
            <w:pPr>
              <w:spacing w:line="540" w:lineRule="exact"/>
              <w:jc w:val="center"/>
              <w:rPr>
                <w:rFonts w:ascii="仿宋_GB2312" w:eastAsia="仿宋_GB2312"/>
                <w:sz w:val="24"/>
                <w:szCs w:val="24"/>
              </w:rPr>
            </w:pPr>
          </w:p>
        </w:tc>
        <w:tc>
          <w:tcPr>
            <w:tcW w:w="1275" w:type="dxa"/>
            <w:vAlign w:val="center"/>
          </w:tcPr>
          <w:p w14:paraId="6890F87C">
            <w:pPr>
              <w:spacing w:line="540" w:lineRule="exact"/>
              <w:jc w:val="center"/>
              <w:rPr>
                <w:rFonts w:ascii="仿宋_GB2312" w:eastAsia="仿宋_GB2312"/>
                <w:sz w:val="24"/>
                <w:szCs w:val="24"/>
              </w:rPr>
            </w:pPr>
          </w:p>
        </w:tc>
        <w:tc>
          <w:tcPr>
            <w:tcW w:w="1276" w:type="dxa"/>
            <w:vAlign w:val="center"/>
          </w:tcPr>
          <w:p w14:paraId="63623DC6">
            <w:pPr>
              <w:spacing w:line="540" w:lineRule="exact"/>
              <w:jc w:val="center"/>
              <w:rPr>
                <w:rFonts w:ascii="仿宋_GB2312" w:eastAsia="仿宋_GB2312"/>
                <w:sz w:val="24"/>
                <w:szCs w:val="24"/>
              </w:rPr>
            </w:pPr>
          </w:p>
        </w:tc>
      </w:tr>
      <w:tr w14:paraId="7819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6E24FB4E">
            <w:pPr>
              <w:spacing w:line="540" w:lineRule="exact"/>
              <w:jc w:val="center"/>
              <w:rPr>
                <w:rFonts w:ascii="仿宋_GB2312" w:eastAsia="仿宋_GB2312"/>
                <w:sz w:val="24"/>
                <w:szCs w:val="24"/>
              </w:rPr>
            </w:pPr>
            <w:r>
              <w:rPr>
                <w:rFonts w:hint="eastAsia" w:ascii="仿宋_GB2312" w:eastAsia="仿宋_GB2312"/>
                <w:sz w:val="24"/>
                <w:szCs w:val="24"/>
              </w:rPr>
              <w:t>5</w:t>
            </w:r>
          </w:p>
        </w:tc>
        <w:tc>
          <w:tcPr>
            <w:tcW w:w="2268" w:type="dxa"/>
            <w:vAlign w:val="center"/>
          </w:tcPr>
          <w:p w14:paraId="3BE6F6ED">
            <w:pPr>
              <w:spacing w:line="540" w:lineRule="exact"/>
              <w:jc w:val="center"/>
              <w:rPr>
                <w:rFonts w:ascii="仿宋_GB2312" w:eastAsia="仿宋_GB2312"/>
                <w:sz w:val="24"/>
                <w:szCs w:val="24"/>
              </w:rPr>
            </w:pPr>
            <w:r>
              <w:rPr>
                <w:rFonts w:hint="eastAsia" w:ascii="仿宋_GB2312" w:eastAsia="仿宋_GB2312"/>
                <w:sz w:val="24"/>
                <w:szCs w:val="24"/>
              </w:rPr>
              <w:t>......</w:t>
            </w:r>
          </w:p>
        </w:tc>
        <w:tc>
          <w:tcPr>
            <w:tcW w:w="1701" w:type="dxa"/>
            <w:vAlign w:val="center"/>
          </w:tcPr>
          <w:p w14:paraId="22BAA52A">
            <w:pPr>
              <w:spacing w:line="540" w:lineRule="exact"/>
              <w:ind w:firstLine="120" w:firstLineChars="50"/>
              <w:jc w:val="center"/>
              <w:rPr>
                <w:rFonts w:ascii="仿宋_GB2312" w:eastAsia="仿宋_GB2312"/>
                <w:sz w:val="24"/>
                <w:szCs w:val="24"/>
              </w:rPr>
            </w:pPr>
          </w:p>
        </w:tc>
        <w:tc>
          <w:tcPr>
            <w:tcW w:w="855" w:type="dxa"/>
            <w:vAlign w:val="center"/>
          </w:tcPr>
          <w:p w14:paraId="22FDF481">
            <w:pPr>
              <w:spacing w:line="420" w:lineRule="exact"/>
              <w:jc w:val="center"/>
              <w:rPr>
                <w:rFonts w:ascii="仿宋_GB2312" w:eastAsia="仿宋_GB2312"/>
                <w:sz w:val="24"/>
                <w:szCs w:val="24"/>
              </w:rPr>
            </w:pPr>
          </w:p>
        </w:tc>
        <w:tc>
          <w:tcPr>
            <w:tcW w:w="1130" w:type="dxa"/>
            <w:vAlign w:val="center"/>
          </w:tcPr>
          <w:p w14:paraId="11B03784">
            <w:pPr>
              <w:spacing w:line="540" w:lineRule="exact"/>
              <w:jc w:val="center"/>
              <w:rPr>
                <w:rFonts w:ascii="仿宋_GB2312" w:eastAsia="仿宋_GB2312"/>
                <w:sz w:val="24"/>
                <w:szCs w:val="24"/>
              </w:rPr>
            </w:pPr>
          </w:p>
        </w:tc>
        <w:tc>
          <w:tcPr>
            <w:tcW w:w="1275" w:type="dxa"/>
            <w:vAlign w:val="center"/>
          </w:tcPr>
          <w:p w14:paraId="0DE90FE5">
            <w:pPr>
              <w:spacing w:line="540" w:lineRule="exact"/>
              <w:jc w:val="center"/>
              <w:rPr>
                <w:rFonts w:ascii="仿宋_GB2312" w:eastAsia="仿宋_GB2312"/>
                <w:sz w:val="24"/>
                <w:szCs w:val="24"/>
              </w:rPr>
            </w:pPr>
          </w:p>
        </w:tc>
        <w:tc>
          <w:tcPr>
            <w:tcW w:w="1276" w:type="dxa"/>
            <w:vAlign w:val="center"/>
          </w:tcPr>
          <w:p w14:paraId="2DDB8B86">
            <w:pPr>
              <w:spacing w:line="540" w:lineRule="exact"/>
              <w:jc w:val="center"/>
              <w:rPr>
                <w:rFonts w:ascii="仿宋_GB2312" w:eastAsia="仿宋_GB2312"/>
                <w:sz w:val="24"/>
                <w:szCs w:val="24"/>
              </w:rPr>
            </w:pPr>
          </w:p>
        </w:tc>
      </w:tr>
      <w:tr w14:paraId="0543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3E94EAEA">
            <w:pPr>
              <w:spacing w:line="540" w:lineRule="exact"/>
              <w:jc w:val="center"/>
              <w:rPr>
                <w:rFonts w:ascii="仿宋_GB2312" w:eastAsia="仿宋_GB2312"/>
                <w:sz w:val="24"/>
                <w:szCs w:val="24"/>
              </w:rPr>
            </w:pPr>
            <w:r>
              <w:rPr>
                <w:rFonts w:hint="eastAsia" w:ascii="仿宋_GB2312" w:eastAsia="仿宋_GB2312"/>
                <w:sz w:val="24"/>
                <w:szCs w:val="24"/>
              </w:rPr>
              <w:t>6</w:t>
            </w:r>
          </w:p>
        </w:tc>
        <w:tc>
          <w:tcPr>
            <w:tcW w:w="2268" w:type="dxa"/>
            <w:shd w:val="clear" w:color="auto" w:fill="auto"/>
            <w:vAlign w:val="center"/>
          </w:tcPr>
          <w:p w14:paraId="0CDC16F9">
            <w:pPr>
              <w:spacing w:line="360" w:lineRule="auto"/>
              <w:jc w:val="center"/>
              <w:textAlignment w:val="center"/>
              <w:rPr>
                <w:rFonts w:hint="eastAsia" w:ascii="仿宋_GB2312" w:hAnsi="宋体" w:eastAsia="仿宋_GB2312" w:cs="宋体"/>
                <w:sz w:val="24"/>
                <w:szCs w:val="24"/>
                <w:lang w:eastAsia="zh-CN"/>
              </w:rPr>
            </w:pPr>
          </w:p>
        </w:tc>
        <w:tc>
          <w:tcPr>
            <w:tcW w:w="1701" w:type="dxa"/>
            <w:vAlign w:val="center"/>
          </w:tcPr>
          <w:p w14:paraId="798D8786">
            <w:pPr>
              <w:spacing w:line="540" w:lineRule="exact"/>
              <w:ind w:firstLine="120" w:firstLineChars="50"/>
              <w:jc w:val="center"/>
              <w:rPr>
                <w:rFonts w:ascii="仿宋_GB2312" w:eastAsia="仿宋_GB2312"/>
                <w:sz w:val="24"/>
                <w:szCs w:val="24"/>
              </w:rPr>
            </w:pPr>
          </w:p>
        </w:tc>
        <w:tc>
          <w:tcPr>
            <w:tcW w:w="855" w:type="dxa"/>
            <w:vAlign w:val="center"/>
          </w:tcPr>
          <w:p w14:paraId="6A5298F0">
            <w:pPr>
              <w:spacing w:line="420" w:lineRule="exact"/>
              <w:jc w:val="center"/>
              <w:rPr>
                <w:rFonts w:ascii="仿宋_GB2312" w:eastAsia="仿宋_GB2312"/>
                <w:sz w:val="24"/>
                <w:szCs w:val="24"/>
              </w:rPr>
            </w:pPr>
          </w:p>
        </w:tc>
        <w:tc>
          <w:tcPr>
            <w:tcW w:w="1130" w:type="dxa"/>
            <w:vAlign w:val="center"/>
          </w:tcPr>
          <w:p w14:paraId="786C5234">
            <w:pPr>
              <w:spacing w:line="540" w:lineRule="exact"/>
              <w:jc w:val="center"/>
              <w:rPr>
                <w:rFonts w:ascii="仿宋_GB2312" w:eastAsia="仿宋_GB2312"/>
                <w:sz w:val="24"/>
                <w:szCs w:val="24"/>
              </w:rPr>
            </w:pPr>
          </w:p>
        </w:tc>
        <w:tc>
          <w:tcPr>
            <w:tcW w:w="1275" w:type="dxa"/>
            <w:vAlign w:val="center"/>
          </w:tcPr>
          <w:p w14:paraId="57E861BF">
            <w:pPr>
              <w:spacing w:line="540" w:lineRule="exact"/>
              <w:jc w:val="center"/>
              <w:rPr>
                <w:rFonts w:ascii="仿宋_GB2312" w:eastAsia="仿宋_GB2312"/>
                <w:sz w:val="24"/>
                <w:szCs w:val="24"/>
              </w:rPr>
            </w:pPr>
          </w:p>
        </w:tc>
        <w:tc>
          <w:tcPr>
            <w:tcW w:w="1276" w:type="dxa"/>
            <w:vAlign w:val="center"/>
          </w:tcPr>
          <w:p w14:paraId="4986D261">
            <w:pPr>
              <w:spacing w:line="540" w:lineRule="exact"/>
              <w:jc w:val="center"/>
              <w:rPr>
                <w:rFonts w:ascii="仿宋_GB2312" w:eastAsia="仿宋_GB2312"/>
                <w:sz w:val="24"/>
                <w:szCs w:val="24"/>
              </w:rPr>
            </w:pPr>
          </w:p>
        </w:tc>
      </w:tr>
      <w:tr w14:paraId="671A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2DCA0A68">
            <w:pPr>
              <w:spacing w:line="540" w:lineRule="exact"/>
              <w:jc w:val="center"/>
              <w:rPr>
                <w:rFonts w:ascii="仿宋_GB2312" w:eastAsia="仿宋_GB2312"/>
                <w:sz w:val="24"/>
                <w:szCs w:val="24"/>
              </w:rPr>
            </w:pPr>
            <w:r>
              <w:rPr>
                <w:rFonts w:hint="eastAsia" w:ascii="仿宋_GB2312" w:eastAsia="仿宋_GB2312"/>
                <w:sz w:val="24"/>
                <w:szCs w:val="24"/>
              </w:rPr>
              <w:t>7</w:t>
            </w:r>
          </w:p>
        </w:tc>
        <w:tc>
          <w:tcPr>
            <w:tcW w:w="2268" w:type="dxa"/>
            <w:shd w:val="clear" w:color="auto" w:fill="auto"/>
            <w:vAlign w:val="center"/>
          </w:tcPr>
          <w:p w14:paraId="0C27106D">
            <w:pPr>
              <w:spacing w:line="360" w:lineRule="auto"/>
              <w:jc w:val="center"/>
              <w:textAlignment w:val="center"/>
              <w:rPr>
                <w:rFonts w:ascii="仿宋_GB2312" w:hAnsi="宋体" w:eastAsia="仿宋_GB2312" w:cs="宋体"/>
                <w:sz w:val="24"/>
                <w:szCs w:val="24"/>
              </w:rPr>
            </w:pPr>
          </w:p>
        </w:tc>
        <w:tc>
          <w:tcPr>
            <w:tcW w:w="1701" w:type="dxa"/>
            <w:vAlign w:val="center"/>
          </w:tcPr>
          <w:p w14:paraId="1ED705C0">
            <w:pPr>
              <w:spacing w:line="540" w:lineRule="exact"/>
              <w:ind w:firstLine="120" w:firstLineChars="50"/>
              <w:jc w:val="center"/>
              <w:rPr>
                <w:rFonts w:ascii="仿宋_GB2312" w:eastAsia="仿宋_GB2312"/>
                <w:sz w:val="24"/>
                <w:szCs w:val="24"/>
              </w:rPr>
            </w:pPr>
          </w:p>
        </w:tc>
        <w:tc>
          <w:tcPr>
            <w:tcW w:w="855" w:type="dxa"/>
            <w:vAlign w:val="center"/>
          </w:tcPr>
          <w:p w14:paraId="48342D55">
            <w:pPr>
              <w:spacing w:line="420" w:lineRule="exact"/>
              <w:jc w:val="center"/>
              <w:rPr>
                <w:rFonts w:ascii="仿宋_GB2312" w:eastAsia="仿宋_GB2312"/>
                <w:sz w:val="24"/>
                <w:szCs w:val="24"/>
              </w:rPr>
            </w:pPr>
          </w:p>
        </w:tc>
        <w:tc>
          <w:tcPr>
            <w:tcW w:w="1130" w:type="dxa"/>
            <w:vAlign w:val="center"/>
          </w:tcPr>
          <w:p w14:paraId="58431030">
            <w:pPr>
              <w:spacing w:line="540" w:lineRule="exact"/>
              <w:jc w:val="center"/>
              <w:rPr>
                <w:rFonts w:ascii="仿宋_GB2312" w:eastAsia="仿宋_GB2312"/>
                <w:sz w:val="24"/>
                <w:szCs w:val="24"/>
              </w:rPr>
            </w:pPr>
          </w:p>
        </w:tc>
        <w:tc>
          <w:tcPr>
            <w:tcW w:w="1275" w:type="dxa"/>
            <w:vAlign w:val="center"/>
          </w:tcPr>
          <w:p w14:paraId="08E77E0B">
            <w:pPr>
              <w:spacing w:line="540" w:lineRule="exact"/>
              <w:jc w:val="center"/>
              <w:rPr>
                <w:rFonts w:ascii="仿宋_GB2312" w:eastAsia="仿宋_GB2312"/>
                <w:sz w:val="24"/>
                <w:szCs w:val="24"/>
              </w:rPr>
            </w:pPr>
          </w:p>
        </w:tc>
        <w:tc>
          <w:tcPr>
            <w:tcW w:w="1276" w:type="dxa"/>
            <w:vAlign w:val="center"/>
          </w:tcPr>
          <w:p w14:paraId="4876C1A5">
            <w:pPr>
              <w:spacing w:line="540" w:lineRule="exact"/>
              <w:jc w:val="center"/>
              <w:rPr>
                <w:rFonts w:ascii="仿宋_GB2312" w:eastAsia="仿宋_GB2312"/>
                <w:sz w:val="24"/>
                <w:szCs w:val="24"/>
              </w:rPr>
            </w:pPr>
          </w:p>
        </w:tc>
      </w:tr>
      <w:tr w14:paraId="1053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085" w:type="dxa"/>
            <w:gridSpan w:val="2"/>
            <w:vAlign w:val="center"/>
          </w:tcPr>
          <w:p w14:paraId="1B3F65DF">
            <w:pPr>
              <w:spacing w:line="540" w:lineRule="exact"/>
              <w:jc w:val="center"/>
              <w:rPr>
                <w:rFonts w:ascii="仿宋_GB2312" w:eastAsia="仿宋_GB2312"/>
                <w:sz w:val="24"/>
                <w:szCs w:val="24"/>
              </w:rPr>
            </w:pPr>
            <w:r>
              <w:rPr>
                <w:rFonts w:hint="eastAsia" w:ascii="仿宋_GB2312" w:eastAsia="仿宋_GB2312"/>
                <w:sz w:val="24"/>
                <w:szCs w:val="24"/>
              </w:rPr>
              <w:t>投标报价</w:t>
            </w:r>
          </w:p>
        </w:tc>
        <w:tc>
          <w:tcPr>
            <w:tcW w:w="6237" w:type="dxa"/>
            <w:gridSpan w:val="5"/>
            <w:vAlign w:val="center"/>
          </w:tcPr>
          <w:p w14:paraId="5B3474BB">
            <w:pPr>
              <w:spacing w:line="360" w:lineRule="auto"/>
              <w:jc w:val="center"/>
              <w:rPr>
                <w:rFonts w:ascii="仿宋_GB2312" w:eastAsia="仿宋_GB2312"/>
                <w:sz w:val="24"/>
                <w:szCs w:val="24"/>
              </w:rPr>
            </w:pPr>
            <w:r>
              <w:rPr>
                <w:rFonts w:hint="eastAsia" w:ascii="仿宋_GB2312" w:eastAsia="仿宋_GB2312"/>
                <w:sz w:val="24"/>
                <w:szCs w:val="24"/>
              </w:rPr>
              <w:t>（小写）</w:t>
            </w:r>
          </w:p>
          <w:p w14:paraId="178ACE75">
            <w:pPr>
              <w:spacing w:line="540" w:lineRule="exact"/>
              <w:jc w:val="center"/>
              <w:rPr>
                <w:rFonts w:ascii="仿宋_GB2312" w:eastAsia="仿宋_GB2312"/>
                <w:sz w:val="24"/>
                <w:szCs w:val="24"/>
              </w:rPr>
            </w:pPr>
            <w:r>
              <w:rPr>
                <w:rFonts w:hint="eastAsia" w:ascii="仿宋_GB2312" w:eastAsia="仿宋_GB2312"/>
                <w:sz w:val="24"/>
                <w:szCs w:val="24"/>
              </w:rPr>
              <w:t>（大写）</w:t>
            </w:r>
          </w:p>
        </w:tc>
      </w:tr>
    </w:tbl>
    <w:p w14:paraId="103CA575">
      <w:pPr>
        <w:spacing w:line="540" w:lineRule="exact"/>
        <w:contextualSpacing/>
        <w:rPr>
          <w:rFonts w:ascii="仿宋_GB2312" w:eastAsia="仿宋_GB2312"/>
          <w:b/>
          <w:sz w:val="24"/>
          <w:szCs w:val="24"/>
        </w:rPr>
      </w:pPr>
      <w:r>
        <w:rPr>
          <w:rFonts w:hint="eastAsia" w:ascii="仿宋_GB2312" w:eastAsia="仿宋_GB2312"/>
          <w:b/>
          <w:sz w:val="24"/>
          <w:szCs w:val="24"/>
        </w:rPr>
        <w:t>注：</w:t>
      </w:r>
    </w:p>
    <w:p w14:paraId="23CE96FC">
      <w:pPr>
        <w:spacing w:line="540" w:lineRule="exact"/>
        <w:ind w:firstLine="472" w:firstLineChars="196"/>
        <w:contextualSpacing/>
        <w:rPr>
          <w:rFonts w:ascii="仿宋_GB2312" w:eastAsia="仿宋_GB2312"/>
          <w:b/>
          <w:sz w:val="24"/>
          <w:szCs w:val="24"/>
        </w:rPr>
      </w:pPr>
      <w:r>
        <w:rPr>
          <w:rFonts w:hint="eastAsia" w:ascii="仿宋_GB2312" w:eastAsia="仿宋_GB2312"/>
          <w:b/>
          <w:sz w:val="24"/>
          <w:szCs w:val="24"/>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379AE3F">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2.特别提示：采购代理机构将对项目名称和项目编号，中标供应商名称、地址和中标金额，主要中标标的的名称、规格型号、数量、单价、服务要求等予以公示。</w:t>
      </w:r>
    </w:p>
    <w:p w14:paraId="3C919622">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D45C6CA">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4.投标报价一经涂改，应在涂改处加盖单位公章或投标人代表签字（或盖章），否则其投标作无效标处理。</w:t>
      </w:r>
    </w:p>
    <w:p w14:paraId="590DE60C">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5.投标报价应包括产品、产品标准配件、备品备件、专用工具、包装、工时、运输、装卸、保险、税金、设备保护、安装、调试与试运行、培训、保修、售后服务费、工程配套费、以及实施本项目所需的其他一切费用。</w:t>
      </w:r>
    </w:p>
    <w:p w14:paraId="2ADE6953">
      <w:pPr>
        <w:spacing w:line="540" w:lineRule="exact"/>
        <w:ind w:firstLine="472" w:firstLineChars="196"/>
        <w:contextualSpacing/>
        <w:rPr>
          <w:rFonts w:ascii="仿宋_GB2312" w:eastAsia="仿宋_GB2312"/>
          <w:b/>
          <w:bCs/>
          <w:sz w:val="24"/>
          <w:szCs w:val="24"/>
        </w:rPr>
      </w:pPr>
      <w:r>
        <w:rPr>
          <w:rFonts w:hint="eastAsia" w:ascii="仿宋_GB2312" w:eastAsia="仿宋_GB2312"/>
          <w:b/>
          <w:bCs/>
          <w:sz w:val="24"/>
          <w:szCs w:val="24"/>
        </w:rPr>
        <w:t>6.特别说明：▲供应商投标报价低于项目预算50%的，应当在报价文件中详细阐述不影响产品质量或者诚信履约的具体原因。</w:t>
      </w:r>
    </w:p>
    <w:p w14:paraId="574154B0">
      <w:pPr>
        <w:spacing w:line="540" w:lineRule="exact"/>
        <w:contextualSpacing/>
        <w:rPr>
          <w:rFonts w:ascii="仿宋_GB2312" w:eastAsia="仿宋_GB2312"/>
          <w:sz w:val="24"/>
          <w:szCs w:val="24"/>
        </w:rPr>
      </w:pPr>
    </w:p>
    <w:p w14:paraId="3622C3A9">
      <w:pPr>
        <w:spacing w:line="540" w:lineRule="exact"/>
        <w:ind w:right="480"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14:paraId="1DBACA47">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14:paraId="5C171D37">
      <w:pPr>
        <w:pStyle w:val="4"/>
      </w:pPr>
    </w:p>
    <w:p w14:paraId="4BC48A34">
      <w:pPr>
        <w:spacing w:line="540" w:lineRule="exact"/>
        <w:contextualSpacing/>
        <w:jc w:val="center"/>
        <w:rPr>
          <w:rFonts w:ascii="仿宋_GB2312" w:eastAsia="仿宋_GB2312"/>
          <w:b/>
          <w:sz w:val="28"/>
          <w:szCs w:val="28"/>
        </w:rPr>
      </w:pPr>
      <w:r>
        <w:rPr>
          <w:rFonts w:hint="eastAsia" w:ascii="仿宋_GB2312" w:eastAsia="仿宋_GB2312"/>
          <w:b/>
          <w:sz w:val="28"/>
          <w:szCs w:val="28"/>
        </w:rPr>
        <w:t>二、中小企业声明函（如果有）</w:t>
      </w:r>
    </w:p>
    <w:p w14:paraId="6087D036">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3681FB5">
      <w:pPr>
        <w:pStyle w:val="4"/>
      </w:pPr>
    </w:p>
    <w:p w14:paraId="0E8924F3">
      <w:pPr>
        <w:pStyle w:val="4"/>
        <w:jc w:val="center"/>
        <w:rPr>
          <w:rFonts w:ascii="仿宋_GB2312" w:eastAsia="仿宋_GB2312"/>
          <w:b/>
        </w:rPr>
      </w:pPr>
      <w:r>
        <w:rPr>
          <w:rFonts w:hint="eastAsia" w:ascii="仿宋_GB2312" w:eastAsia="仿宋_GB2312"/>
          <w:b/>
        </w:rPr>
        <w:t>三、详细阐述关于不影响产品质量或者诚信履约的具体原因</w:t>
      </w:r>
    </w:p>
    <w:p w14:paraId="0CCA3FA5">
      <w:pPr>
        <w:pStyle w:val="4"/>
        <w:jc w:val="center"/>
        <w:rPr>
          <w:rFonts w:ascii="仿宋_GB2312" w:eastAsia="仿宋_GB2312"/>
          <w:b/>
        </w:rPr>
      </w:pPr>
      <w:r>
        <w:rPr>
          <w:rFonts w:hint="eastAsia" w:ascii="仿宋_GB2312" w:eastAsia="仿宋_GB2312"/>
          <w:b/>
        </w:rPr>
        <w:t>（如果报价低于项目预算50%的）</w:t>
      </w:r>
      <w:bookmarkStart w:id="399" w:name="_Toc465665161"/>
    </w:p>
    <w:p w14:paraId="3E221D41">
      <w:pPr>
        <w:spacing w:line="540" w:lineRule="exact"/>
        <w:contextualSpacing/>
        <w:jc w:val="center"/>
        <w:rPr>
          <w:rFonts w:ascii="仿宋_GB2312" w:eastAsia="仿宋_GB2312"/>
          <w:b/>
          <w:sz w:val="28"/>
          <w:szCs w:val="28"/>
        </w:rPr>
      </w:pPr>
    </w:p>
    <w:p w14:paraId="6A26D21E">
      <w:pPr>
        <w:spacing w:line="540" w:lineRule="exact"/>
        <w:contextualSpacing/>
        <w:jc w:val="center"/>
        <w:rPr>
          <w:rFonts w:ascii="仿宋_GB2312" w:eastAsia="仿宋_GB2312"/>
          <w:b/>
          <w:sz w:val="28"/>
          <w:szCs w:val="28"/>
        </w:rPr>
      </w:pPr>
    </w:p>
    <w:p w14:paraId="0DC07F7F">
      <w:pPr>
        <w:spacing w:line="540" w:lineRule="exact"/>
        <w:contextualSpacing/>
        <w:jc w:val="center"/>
        <w:rPr>
          <w:rFonts w:ascii="仿宋_GB2312" w:eastAsia="仿宋_GB2312"/>
          <w:b/>
          <w:sz w:val="28"/>
          <w:szCs w:val="28"/>
        </w:rPr>
      </w:pPr>
    </w:p>
    <w:p w14:paraId="0CA5BE36">
      <w:pPr>
        <w:spacing w:line="540" w:lineRule="exact"/>
        <w:contextualSpacing/>
        <w:jc w:val="center"/>
        <w:rPr>
          <w:rFonts w:ascii="仿宋_GB2312" w:eastAsia="仿宋_GB2312"/>
          <w:b/>
          <w:sz w:val="28"/>
          <w:szCs w:val="28"/>
        </w:rPr>
      </w:pPr>
    </w:p>
    <w:p w14:paraId="026FE211">
      <w:pPr>
        <w:spacing w:line="540" w:lineRule="exact"/>
        <w:contextualSpacing/>
        <w:jc w:val="center"/>
        <w:rPr>
          <w:rFonts w:ascii="仿宋_GB2312" w:eastAsia="仿宋_GB2312"/>
          <w:b/>
          <w:sz w:val="28"/>
          <w:szCs w:val="28"/>
        </w:rPr>
      </w:pPr>
    </w:p>
    <w:p w14:paraId="05722A43">
      <w:pPr>
        <w:spacing w:line="540" w:lineRule="exact"/>
        <w:contextualSpacing/>
        <w:jc w:val="center"/>
        <w:rPr>
          <w:rFonts w:ascii="仿宋_GB2312" w:eastAsia="仿宋_GB2312"/>
          <w:b/>
          <w:sz w:val="28"/>
          <w:szCs w:val="28"/>
        </w:rPr>
      </w:pPr>
    </w:p>
    <w:p w14:paraId="78A1742E">
      <w:pPr>
        <w:spacing w:line="540" w:lineRule="exact"/>
        <w:contextualSpacing/>
        <w:jc w:val="center"/>
        <w:rPr>
          <w:rFonts w:ascii="仿宋_GB2312" w:eastAsia="仿宋_GB2312"/>
          <w:b/>
          <w:sz w:val="28"/>
          <w:szCs w:val="28"/>
        </w:rPr>
      </w:pPr>
    </w:p>
    <w:p w14:paraId="2555BE99">
      <w:pPr>
        <w:spacing w:line="540" w:lineRule="exact"/>
        <w:contextualSpacing/>
        <w:jc w:val="center"/>
        <w:rPr>
          <w:rFonts w:ascii="仿宋_GB2312" w:eastAsia="仿宋_GB2312"/>
          <w:b/>
          <w:sz w:val="28"/>
          <w:szCs w:val="28"/>
        </w:rPr>
      </w:pPr>
    </w:p>
    <w:p w14:paraId="0DBECABC">
      <w:pPr>
        <w:spacing w:line="540" w:lineRule="exact"/>
        <w:contextualSpacing/>
        <w:jc w:val="center"/>
        <w:rPr>
          <w:rFonts w:ascii="仿宋_GB2312" w:eastAsia="仿宋_GB2312"/>
          <w:b/>
          <w:sz w:val="28"/>
          <w:szCs w:val="28"/>
        </w:rPr>
      </w:pPr>
      <w:r>
        <w:rPr>
          <w:rFonts w:hint="eastAsia" w:ascii="仿宋_GB2312" w:eastAsia="仿宋_GB2312"/>
          <w:b/>
          <w:sz w:val="28"/>
          <w:szCs w:val="28"/>
        </w:rPr>
        <w:t>附    件</w:t>
      </w:r>
      <w:bookmarkEnd w:id="399"/>
    </w:p>
    <w:p w14:paraId="0AE74D3D">
      <w:pPr>
        <w:spacing w:line="540" w:lineRule="exact"/>
        <w:contextualSpacing/>
        <w:jc w:val="left"/>
        <w:rPr>
          <w:rFonts w:ascii="仿宋_GB2312" w:eastAsia="仿宋_GB2312"/>
          <w:sz w:val="24"/>
          <w:szCs w:val="24"/>
        </w:rPr>
      </w:pPr>
      <w:r>
        <w:rPr>
          <w:rFonts w:hint="eastAsia" w:ascii="仿宋_GB2312" w:eastAsia="仿宋_GB2312"/>
          <w:sz w:val="24"/>
          <w:szCs w:val="24"/>
        </w:rPr>
        <w:t>附件1：</w:t>
      </w:r>
    </w:p>
    <w:p w14:paraId="45664582">
      <w:pPr>
        <w:spacing w:line="540" w:lineRule="exact"/>
        <w:contextualSpacing/>
        <w:jc w:val="center"/>
        <w:rPr>
          <w:rFonts w:ascii="仿宋_GB2312" w:eastAsia="仿宋_GB2312"/>
          <w:sz w:val="24"/>
          <w:szCs w:val="24"/>
        </w:rPr>
      </w:pPr>
      <w:bookmarkStart w:id="400" w:name="OLE_LINK14"/>
      <w:bookmarkStart w:id="401" w:name="OLE_LINK13"/>
      <w:r>
        <w:rPr>
          <w:rFonts w:hint="eastAsia" w:ascii="仿宋_GB2312" w:eastAsia="仿宋_GB2312"/>
          <w:sz w:val="24"/>
          <w:szCs w:val="24"/>
        </w:rPr>
        <w:t>残疾人福利性单位声明函</w:t>
      </w:r>
    </w:p>
    <w:bookmarkEnd w:id="400"/>
    <w:bookmarkEnd w:id="401"/>
    <w:p w14:paraId="1632A16F">
      <w:pPr>
        <w:spacing w:line="540" w:lineRule="exact"/>
        <w:contextualSpacing/>
        <w:rPr>
          <w:rFonts w:ascii="仿宋_GB2312" w:eastAsia="仿宋_GB2312"/>
          <w:sz w:val="24"/>
          <w:szCs w:val="24"/>
        </w:rPr>
      </w:pPr>
    </w:p>
    <w:p w14:paraId="6C54FB4F">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sz w:val="24"/>
          <w:szCs w:val="24"/>
          <w:u w:val="single"/>
        </w:rPr>
        <w:t>(采购人)</w:t>
      </w:r>
      <w:r>
        <w:rPr>
          <w:rFonts w:hint="eastAsia" w:ascii="仿宋_GB2312" w:eastAsia="仿宋_GB2312"/>
          <w:sz w:val="24"/>
          <w:szCs w:val="24"/>
        </w:rPr>
        <w:t>单位的</w:t>
      </w:r>
      <w:r>
        <w:rPr>
          <w:rFonts w:hint="eastAsia" w:ascii="仿宋_GB2312" w:eastAsia="仿宋_GB2312"/>
          <w:sz w:val="24"/>
          <w:szCs w:val="24"/>
          <w:u w:val="single"/>
        </w:rPr>
        <w:t>（项目名称）</w:t>
      </w:r>
      <w:r>
        <w:rPr>
          <w:rFonts w:hint="eastAsia" w:ascii="仿宋_GB2312" w:eastAsia="仿宋_GB2312"/>
          <w:sz w:val="24"/>
          <w:szCs w:val="24"/>
        </w:rPr>
        <w:t>项目采购活动提供本单位制造的货物（由本单位承担工程/提供服务），或者提供其他残疾人福利性单位制造的货物（不包括使用非残疾人福利性单位注册商标的货物）。</w:t>
      </w:r>
    </w:p>
    <w:p w14:paraId="05136724">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本单位对上述声明的真实性负责。如有虚假，将依法承担相应责任。</w:t>
      </w:r>
    </w:p>
    <w:p w14:paraId="274CBC96">
      <w:pPr>
        <w:spacing w:line="540" w:lineRule="exact"/>
        <w:contextualSpacing/>
        <w:rPr>
          <w:rFonts w:ascii="仿宋_GB2312" w:eastAsia="仿宋_GB2312"/>
          <w:sz w:val="24"/>
          <w:szCs w:val="24"/>
        </w:rPr>
      </w:pPr>
    </w:p>
    <w:p w14:paraId="3BA5B0B8">
      <w:pPr>
        <w:spacing w:line="540" w:lineRule="exact"/>
        <w:contextualSpacing/>
        <w:rPr>
          <w:rFonts w:ascii="仿宋_GB2312" w:eastAsia="仿宋_GB2312"/>
          <w:sz w:val="24"/>
          <w:szCs w:val="24"/>
        </w:rPr>
      </w:pPr>
    </w:p>
    <w:p w14:paraId="2419D30D">
      <w:pPr>
        <w:spacing w:line="540" w:lineRule="exact"/>
        <w:contextualSpacing/>
        <w:rPr>
          <w:rFonts w:ascii="仿宋_GB2312" w:eastAsia="仿宋_GB2312"/>
          <w:sz w:val="24"/>
          <w:szCs w:val="24"/>
        </w:rPr>
      </w:pPr>
    </w:p>
    <w:p w14:paraId="2D56F475">
      <w:pPr>
        <w:spacing w:line="540" w:lineRule="exact"/>
        <w:contextualSpacing/>
        <w:rPr>
          <w:rFonts w:ascii="仿宋_GB2312" w:eastAsia="仿宋_GB2312"/>
          <w:sz w:val="24"/>
          <w:szCs w:val="24"/>
        </w:rPr>
      </w:pPr>
    </w:p>
    <w:p w14:paraId="5BB8A269">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14:paraId="5C61F6B9">
      <w:pPr>
        <w:spacing w:line="540" w:lineRule="exact"/>
        <w:contextualSpacing/>
        <w:rPr>
          <w:rFonts w:ascii="仿宋_GB2312" w:eastAsia="仿宋_GB2312"/>
          <w:sz w:val="24"/>
          <w:szCs w:val="24"/>
        </w:rPr>
      </w:pPr>
      <w:r>
        <w:rPr>
          <w:rFonts w:hint="eastAsia" w:ascii="仿宋_GB2312" w:eastAsia="仿宋_GB2312"/>
          <w:sz w:val="24"/>
          <w:szCs w:val="24"/>
        </w:rPr>
        <w:t xml:space="preserve">                                  日  期：</w:t>
      </w:r>
    </w:p>
    <w:p w14:paraId="74F9463B"/>
    <w:p w14:paraId="6028C34D">
      <w:pPr>
        <w:spacing w:line="540" w:lineRule="exact"/>
        <w:contextualSpacing/>
        <w:rPr>
          <w:rFonts w:ascii="仿宋_GB2312" w:eastAsia="仿宋_GB2312"/>
          <w:sz w:val="28"/>
          <w:szCs w:val="28"/>
        </w:rPr>
      </w:pPr>
    </w:p>
    <w:p w14:paraId="249BDAD8">
      <w:pPr>
        <w:spacing w:line="540" w:lineRule="exact"/>
        <w:contextualSpacing/>
        <w:rPr>
          <w:rFonts w:ascii="仿宋_GB2312" w:eastAsia="仿宋_GB2312"/>
          <w:sz w:val="28"/>
          <w:szCs w:val="28"/>
        </w:rPr>
      </w:pPr>
    </w:p>
    <w:p w14:paraId="0CF91E14">
      <w:pPr>
        <w:spacing w:line="540" w:lineRule="exact"/>
        <w:contextualSpacing/>
        <w:rPr>
          <w:rFonts w:ascii="仿宋_GB2312" w:eastAsia="仿宋_GB2312"/>
          <w:sz w:val="28"/>
          <w:szCs w:val="28"/>
        </w:rPr>
      </w:pPr>
    </w:p>
    <w:p w14:paraId="3D652DA8">
      <w:pPr>
        <w:spacing w:line="540" w:lineRule="exact"/>
        <w:contextualSpacing/>
        <w:rPr>
          <w:rFonts w:ascii="仿宋_GB2312" w:eastAsia="仿宋_GB2312"/>
          <w:sz w:val="28"/>
          <w:szCs w:val="28"/>
        </w:rPr>
      </w:pPr>
    </w:p>
    <w:p w14:paraId="09368827">
      <w:pPr>
        <w:spacing w:line="540" w:lineRule="exact"/>
        <w:contextualSpacing/>
        <w:rPr>
          <w:rFonts w:ascii="仿宋_GB2312" w:eastAsia="仿宋_GB2312"/>
          <w:sz w:val="28"/>
          <w:szCs w:val="28"/>
        </w:rPr>
      </w:pPr>
    </w:p>
    <w:p w14:paraId="1109E907">
      <w:pPr>
        <w:spacing w:line="540" w:lineRule="exact"/>
        <w:contextualSpacing/>
        <w:rPr>
          <w:rFonts w:ascii="仿宋_GB2312" w:eastAsia="仿宋_GB2312"/>
          <w:sz w:val="28"/>
          <w:szCs w:val="28"/>
        </w:rPr>
      </w:pPr>
    </w:p>
    <w:p w14:paraId="07329064">
      <w:pPr>
        <w:spacing w:line="540" w:lineRule="exact"/>
        <w:contextualSpacing/>
        <w:rPr>
          <w:rFonts w:ascii="仿宋_GB2312" w:eastAsia="仿宋_GB2312"/>
          <w:sz w:val="28"/>
          <w:szCs w:val="28"/>
        </w:rPr>
      </w:pPr>
    </w:p>
    <w:p w14:paraId="651A7D90">
      <w:pPr>
        <w:spacing w:line="540" w:lineRule="exact"/>
        <w:contextualSpacing/>
        <w:rPr>
          <w:rFonts w:ascii="仿宋_GB2312" w:eastAsia="仿宋_GB2312"/>
          <w:sz w:val="28"/>
          <w:szCs w:val="28"/>
        </w:rPr>
      </w:pPr>
    </w:p>
    <w:p w14:paraId="409E83E6">
      <w:pPr>
        <w:spacing w:line="540" w:lineRule="exact"/>
        <w:contextualSpacing/>
        <w:rPr>
          <w:rFonts w:ascii="仿宋_GB2312" w:eastAsia="仿宋_GB2312"/>
          <w:sz w:val="28"/>
          <w:szCs w:val="28"/>
        </w:rPr>
      </w:pPr>
    </w:p>
    <w:p w14:paraId="529FBF1F">
      <w:pPr>
        <w:spacing w:line="540" w:lineRule="exact"/>
        <w:contextualSpacing/>
        <w:rPr>
          <w:rFonts w:ascii="仿宋_GB2312" w:eastAsia="仿宋_GB2312"/>
          <w:b/>
          <w:sz w:val="28"/>
          <w:szCs w:val="28"/>
        </w:rPr>
      </w:pPr>
      <w:r>
        <w:rPr>
          <w:rFonts w:hint="eastAsia" w:ascii="仿宋_GB2312" w:eastAsia="仿宋_GB2312"/>
          <w:sz w:val="28"/>
          <w:szCs w:val="28"/>
        </w:rPr>
        <w:t>附件2：</w:t>
      </w:r>
      <w:r>
        <w:rPr>
          <w:rFonts w:hint="eastAsia" w:ascii="仿宋_GB2312" w:eastAsia="仿宋_GB2312"/>
          <w:b/>
          <w:sz w:val="28"/>
          <w:szCs w:val="28"/>
        </w:rPr>
        <w:t>质疑函范本及制作说明</w:t>
      </w:r>
    </w:p>
    <w:p w14:paraId="374AEBDC">
      <w:pPr>
        <w:spacing w:line="540" w:lineRule="exact"/>
        <w:contextualSpacing/>
        <w:jc w:val="center"/>
        <w:rPr>
          <w:rFonts w:ascii="仿宋_GB2312" w:eastAsia="仿宋_GB2312"/>
          <w:b/>
          <w:sz w:val="28"/>
          <w:szCs w:val="28"/>
        </w:rPr>
      </w:pPr>
      <w:r>
        <w:rPr>
          <w:rFonts w:hint="eastAsia" w:ascii="仿宋_GB2312" w:eastAsia="仿宋_GB2312"/>
          <w:b/>
          <w:sz w:val="28"/>
          <w:szCs w:val="28"/>
        </w:rPr>
        <w:t>质疑函范本</w:t>
      </w:r>
    </w:p>
    <w:p w14:paraId="07486528">
      <w:pPr>
        <w:snapToGrid w:val="0"/>
        <w:spacing w:beforeLines="100" w:line="360" w:lineRule="auto"/>
        <w:rPr>
          <w:rFonts w:ascii="仿宋_GB2312" w:hAnsi="宋体" w:eastAsia="仿宋_GB2312" w:cs="宋体"/>
          <w:bCs/>
          <w:sz w:val="24"/>
        </w:rPr>
      </w:pPr>
      <w:r>
        <w:rPr>
          <w:rFonts w:hint="eastAsia" w:ascii="仿宋_GB2312" w:hAnsi="宋体" w:eastAsia="仿宋_GB2312" w:cs="宋体"/>
          <w:bCs/>
          <w:sz w:val="24"/>
        </w:rPr>
        <w:t>一、质疑供应商基本信息</w:t>
      </w:r>
    </w:p>
    <w:p w14:paraId="12C387CD">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质疑供应商：</w:t>
      </w:r>
    </w:p>
    <w:p w14:paraId="3EBF3EB3">
      <w:pPr>
        <w:snapToGrid w:val="0"/>
        <w:spacing w:line="360" w:lineRule="auto"/>
        <w:rPr>
          <w:rFonts w:ascii="仿宋_GB2312" w:hAnsi="宋体" w:eastAsia="仿宋_GB2312" w:cs="宋体"/>
          <w:sz w:val="24"/>
        </w:rPr>
      </w:pPr>
      <w:r>
        <w:rPr>
          <w:rFonts w:hint="eastAsia" w:ascii="仿宋_GB2312" w:hAnsi="宋体" w:eastAsia="仿宋_GB2312" w:cs="宋体"/>
          <w:sz w:val="24"/>
        </w:rPr>
        <w:t>地址：邮编：</w:t>
      </w:r>
    </w:p>
    <w:p w14:paraId="6BAB89D7">
      <w:pPr>
        <w:snapToGrid w:val="0"/>
        <w:spacing w:line="360" w:lineRule="auto"/>
        <w:rPr>
          <w:rFonts w:ascii="仿宋_GB2312" w:hAnsi="宋体" w:eastAsia="仿宋_GB2312" w:cs="宋体"/>
          <w:sz w:val="24"/>
        </w:rPr>
      </w:pPr>
      <w:r>
        <w:rPr>
          <w:rFonts w:hint="eastAsia" w:ascii="仿宋_GB2312" w:hAnsi="宋体" w:eastAsia="仿宋_GB2312" w:cs="宋体"/>
          <w:sz w:val="24"/>
        </w:rPr>
        <w:t>联系人：联系电话：</w:t>
      </w:r>
    </w:p>
    <w:p w14:paraId="36489449">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授权代表：</w:t>
      </w:r>
    </w:p>
    <w:p w14:paraId="1C9FB1E9">
      <w:pPr>
        <w:snapToGrid w:val="0"/>
        <w:spacing w:line="360" w:lineRule="auto"/>
        <w:rPr>
          <w:rFonts w:ascii="仿宋_GB2312" w:hAnsi="宋体" w:eastAsia="仿宋_GB2312" w:cs="宋体"/>
          <w:sz w:val="24"/>
        </w:rPr>
      </w:pPr>
      <w:r>
        <w:rPr>
          <w:rFonts w:hint="eastAsia" w:ascii="仿宋_GB2312" w:hAnsi="宋体" w:eastAsia="仿宋_GB2312" w:cs="宋体"/>
          <w:sz w:val="24"/>
        </w:rPr>
        <w:t>联系电话：</w:t>
      </w:r>
    </w:p>
    <w:p w14:paraId="740CC5ED">
      <w:pPr>
        <w:snapToGrid w:val="0"/>
        <w:spacing w:line="360" w:lineRule="auto"/>
        <w:rPr>
          <w:rFonts w:ascii="仿宋_GB2312" w:hAnsi="宋体" w:eastAsia="仿宋_GB2312" w:cs="宋体"/>
          <w:sz w:val="24"/>
        </w:rPr>
      </w:pPr>
      <w:r>
        <w:rPr>
          <w:rFonts w:hint="eastAsia" w:ascii="仿宋_GB2312" w:hAnsi="宋体" w:eastAsia="仿宋_GB2312" w:cs="宋体"/>
          <w:sz w:val="24"/>
        </w:rPr>
        <w:t>地址： 邮编：</w:t>
      </w:r>
    </w:p>
    <w:p w14:paraId="09CFCD02">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二、质疑项目基本情况</w:t>
      </w:r>
    </w:p>
    <w:p w14:paraId="4094D5E9">
      <w:pPr>
        <w:snapToGrid w:val="0"/>
        <w:spacing w:line="360" w:lineRule="auto"/>
        <w:rPr>
          <w:rFonts w:ascii="仿宋_GB2312" w:hAnsi="宋体" w:eastAsia="仿宋_GB2312" w:cs="宋体"/>
          <w:sz w:val="24"/>
        </w:rPr>
      </w:pPr>
      <w:r>
        <w:rPr>
          <w:rFonts w:hint="eastAsia" w:ascii="仿宋_GB2312" w:hAnsi="宋体" w:eastAsia="仿宋_GB2312" w:cs="宋体"/>
          <w:sz w:val="24"/>
        </w:rPr>
        <w:t>质疑项目的名称：</w:t>
      </w:r>
    </w:p>
    <w:p w14:paraId="3055BCD0">
      <w:pPr>
        <w:snapToGrid w:val="0"/>
        <w:spacing w:line="360" w:lineRule="auto"/>
        <w:rPr>
          <w:rFonts w:ascii="仿宋_GB2312" w:hAnsi="宋体" w:eastAsia="仿宋_GB2312" w:cs="宋体"/>
          <w:sz w:val="24"/>
        </w:rPr>
      </w:pPr>
      <w:r>
        <w:rPr>
          <w:rFonts w:hint="eastAsia" w:ascii="仿宋_GB2312" w:hAnsi="宋体" w:eastAsia="仿宋_GB2312" w:cs="宋体"/>
          <w:sz w:val="24"/>
        </w:rPr>
        <w:t>质疑项目的编号：包号：</w:t>
      </w:r>
    </w:p>
    <w:p w14:paraId="54797AA5">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采购人名称：</w:t>
      </w:r>
    </w:p>
    <w:p w14:paraId="0596D257">
      <w:pPr>
        <w:snapToGrid w:val="0"/>
        <w:spacing w:line="360" w:lineRule="auto"/>
        <w:rPr>
          <w:rFonts w:ascii="仿宋_GB2312" w:hAnsi="宋体" w:eastAsia="仿宋_GB2312" w:cs="宋体"/>
          <w:sz w:val="24"/>
        </w:rPr>
      </w:pPr>
      <w:r>
        <w:rPr>
          <w:rFonts w:hint="eastAsia" w:ascii="仿宋_GB2312" w:hAnsi="宋体" w:eastAsia="仿宋_GB2312" w:cs="宋体"/>
          <w:sz w:val="24"/>
        </w:rPr>
        <w:t>采购文件获取日期：</w:t>
      </w:r>
    </w:p>
    <w:p w14:paraId="4D633C42">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三、质疑事项具体内容</w:t>
      </w:r>
    </w:p>
    <w:p w14:paraId="35C1B044">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质疑事项1：</w:t>
      </w:r>
    </w:p>
    <w:p w14:paraId="3A311D5C">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事实依据：</w:t>
      </w:r>
    </w:p>
    <w:p w14:paraId="7C29B072">
      <w:pPr>
        <w:snapToGrid w:val="0"/>
        <w:spacing w:line="360" w:lineRule="auto"/>
        <w:rPr>
          <w:rFonts w:ascii="仿宋_GB2312" w:hAnsi="宋体" w:eastAsia="仿宋_GB2312" w:cs="宋体"/>
          <w:sz w:val="24"/>
        </w:rPr>
      </w:pPr>
    </w:p>
    <w:p w14:paraId="59138B8A">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法律依据：</w:t>
      </w:r>
    </w:p>
    <w:p w14:paraId="728FFB06">
      <w:pPr>
        <w:snapToGrid w:val="0"/>
        <w:spacing w:line="360" w:lineRule="auto"/>
        <w:rPr>
          <w:rFonts w:ascii="仿宋_GB2312" w:hAnsi="宋体" w:eastAsia="仿宋_GB2312" w:cs="宋体"/>
          <w:sz w:val="24"/>
          <w:u w:val="dotted"/>
        </w:rPr>
      </w:pPr>
    </w:p>
    <w:p w14:paraId="15E86DE8">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质疑事项2</w:t>
      </w:r>
    </w:p>
    <w:p w14:paraId="3A1285FA">
      <w:pPr>
        <w:snapToGrid w:val="0"/>
        <w:spacing w:line="360" w:lineRule="auto"/>
        <w:rPr>
          <w:rFonts w:ascii="仿宋_GB2312" w:hAnsi="宋体" w:eastAsia="仿宋_GB2312" w:cs="宋体"/>
          <w:sz w:val="24"/>
        </w:rPr>
      </w:pPr>
      <w:r>
        <w:rPr>
          <w:rFonts w:hint="eastAsia" w:ascii="仿宋_GB2312" w:hAnsi="宋体" w:eastAsia="仿宋_GB2312" w:cs="宋体"/>
          <w:sz w:val="24"/>
        </w:rPr>
        <w:t>……</w:t>
      </w:r>
    </w:p>
    <w:p w14:paraId="21B53436">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四、与质疑事项相关的质疑请求</w:t>
      </w:r>
    </w:p>
    <w:p w14:paraId="7E3860E4">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请求：</w:t>
      </w:r>
    </w:p>
    <w:p w14:paraId="22090DD6">
      <w:pPr>
        <w:spacing w:line="360" w:lineRule="auto"/>
        <w:rPr>
          <w:rFonts w:ascii="仿宋_GB2312" w:hAnsi="宋体" w:eastAsia="仿宋_GB2312" w:cs="宋体"/>
          <w:sz w:val="24"/>
        </w:rPr>
      </w:pPr>
      <w:r>
        <w:rPr>
          <w:rFonts w:hint="eastAsia" w:ascii="仿宋_GB2312" w:hAnsi="宋体" w:eastAsia="仿宋_GB2312" w:cs="宋体"/>
          <w:sz w:val="24"/>
        </w:rPr>
        <w:t xml:space="preserve">签字(签章)：                   公章：                      </w:t>
      </w:r>
    </w:p>
    <w:p w14:paraId="234D3027">
      <w:pPr>
        <w:spacing w:line="360" w:lineRule="auto"/>
        <w:rPr>
          <w:rFonts w:ascii="仿宋_GB2312" w:hAnsi="宋体" w:eastAsia="仿宋_GB2312" w:cs="宋体"/>
          <w:sz w:val="24"/>
        </w:rPr>
      </w:pPr>
      <w:r>
        <w:rPr>
          <w:rFonts w:hint="eastAsia" w:ascii="仿宋_GB2312" w:hAnsi="宋体" w:eastAsia="仿宋_GB2312" w:cs="宋体"/>
          <w:sz w:val="24"/>
        </w:rPr>
        <w:t xml:space="preserve">日期：    </w:t>
      </w:r>
    </w:p>
    <w:p w14:paraId="16324398">
      <w:pPr>
        <w:spacing w:line="360" w:lineRule="auto"/>
        <w:rPr>
          <w:rFonts w:ascii="仿宋_GB2312" w:hAnsi="宋体" w:eastAsia="仿宋_GB2312" w:cs="宋体"/>
          <w:b/>
          <w:sz w:val="24"/>
        </w:rPr>
      </w:pPr>
      <w:r>
        <w:rPr>
          <w:rFonts w:hint="eastAsia" w:ascii="仿宋_GB2312" w:hAnsi="宋体" w:eastAsia="仿宋_GB2312" w:cs="宋体"/>
          <w:b/>
          <w:sz w:val="24"/>
        </w:rPr>
        <w:t>质疑函制作说明：</w:t>
      </w:r>
    </w:p>
    <w:p w14:paraId="68C3C40F">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1.供应商提出质疑时，应提交质疑函和必要的证明材料。</w:t>
      </w:r>
    </w:p>
    <w:p w14:paraId="1143CE97">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2.质疑供应商若委托代理人进行质疑的，质疑函应按要求列明“授权代表”的有关内容，并在附件中提交由质疑</w:t>
      </w:r>
      <w:r>
        <w:rPr>
          <w:rFonts w:hint="eastAsia" w:ascii="仿宋_GB2312" w:hAnsi="宋体" w:eastAsia="仿宋_GB2312" w:cs="宋体"/>
          <w:kern w:val="0"/>
          <w:sz w:val="24"/>
        </w:rPr>
        <w:t>供应商签署的授权委托书。授权委托书应载明代理人的姓名或者名称、代理事项、具体权限、期限和相关事项。</w:t>
      </w:r>
    </w:p>
    <w:p w14:paraId="0E35C6E2">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3.质疑供应商若对项目的某一分包进行质疑，质疑函中应列明具体分包号。</w:t>
      </w:r>
    </w:p>
    <w:p w14:paraId="7F8FE232">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4.质疑函的质疑事项应具体、明确，并有必要的事实依据和法律依据。</w:t>
      </w:r>
    </w:p>
    <w:p w14:paraId="09D879D4">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5.质疑函的质疑请求应与质疑事项相关。</w:t>
      </w:r>
    </w:p>
    <w:p w14:paraId="045B928A">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6.质疑供应商为自然人的，质疑函应由本人签字；质疑供应商为法人或者其他组织的，质疑函应由法定代表人、主要负责人，或者其授权代表签字或者盖章，并加盖公章。</w:t>
      </w:r>
    </w:p>
    <w:p w14:paraId="7718AFB7">
      <w:pPr>
        <w:spacing w:line="540" w:lineRule="exact"/>
        <w:contextualSpacing/>
        <w:rPr>
          <w:rFonts w:ascii="仿宋_GB2312" w:eastAsia="仿宋_GB2312"/>
          <w:sz w:val="24"/>
          <w:szCs w:val="24"/>
        </w:rPr>
      </w:pPr>
    </w:p>
    <w:p w14:paraId="7BD4E08C">
      <w:pPr>
        <w:spacing w:line="540" w:lineRule="exact"/>
        <w:contextualSpacing/>
        <w:rPr>
          <w:rFonts w:ascii="仿宋_GB2312" w:eastAsia="仿宋_GB2312"/>
          <w:sz w:val="24"/>
          <w:szCs w:val="24"/>
        </w:rPr>
      </w:pPr>
    </w:p>
    <w:p w14:paraId="1381E8A5">
      <w:pPr>
        <w:spacing w:line="540" w:lineRule="exact"/>
        <w:contextualSpacing/>
        <w:rPr>
          <w:rFonts w:ascii="仿宋_GB2312" w:eastAsia="仿宋_GB2312"/>
          <w:sz w:val="28"/>
          <w:szCs w:val="28"/>
        </w:rPr>
      </w:pPr>
    </w:p>
    <w:p w14:paraId="65003C3C">
      <w:pPr>
        <w:spacing w:line="540" w:lineRule="exact"/>
        <w:contextualSpacing/>
        <w:rPr>
          <w:rFonts w:ascii="仿宋_GB2312" w:eastAsia="仿宋_GB2312"/>
          <w:sz w:val="28"/>
          <w:szCs w:val="28"/>
        </w:rPr>
      </w:pPr>
    </w:p>
    <w:p w14:paraId="127A08D7">
      <w:pPr>
        <w:spacing w:line="540" w:lineRule="exact"/>
        <w:contextualSpacing/>
        <w:rPr>
          <w:rFonts w:ascii="仿宋_GB2312" w:eastAsia="仿宋_GB2312"/>
          <w:sz w:val="28"/>
          <w:szCs w:val="28"/>
        </w:rPr>
      </w:pPr>
    </w:p>
    <w:p w14:paraId="65E1D517">
      <w:pPr>
        <w:spacing w:line="540" w:lineRule="exact"/>
        <w:contextualSpacing/>
        <w:rPr>
          <w:rFonts w:ascii="仿宋_GB2312" w:eastAsia="仿宋_GB2312"/>
          <w:sz w:val="28"/>
          <w:szCs w:val="28"/>
        </w:rPr>
      </w:pPr>
    </w:p>
    <w:p w14:paraId="38170D87">
      <w:pPr>
        <w:spacing w:line="540" w:lineRule="exact"/>
        <w:contextualSpacing/>
        <w:rPr>
          <w:rFonts w:ascii="仿宋_GB2312" w:eastAsia="仿宋_GB2312"/>
          <w:sz w:val="28"/>
          <w:szCs w:val="28"/>
        </w:rPr>
      </w:pPr>
    </w:p>
    <w:p w14:paraId="5A2A5998">
      <w:pPr>
        <w:spacing w:line="540" w:lineRule="exact"/>
        <w:contextualSpacing/>
        <w:rPr>
          <w:rFonts w:ascii="仿宋_GB2312" w:eastAsia="仿宋_GB2312"/>
          <w:sz w:val="28"/>
          <w:szCs w:val="28"/>
        </w:rPr>
      </w:pPr>
    </w:p>
    <w:p w14:paraId="275B2A42">
      <w:pPr>
        <w:spacing w:line="540" w:lineRule="exact"/>
        <w:contextualSpacing/>
        <w:rPr>
          <w:rFonts w:ascii="仿宋_GB2312" w:eastAsia="仿宋_GB2312"/>
          <w:sz w:val="28"/>
          <w:szCs w:val="28"/>
        </w:rPr>
      </w:pPr>
    </w:p>
    <w:p w14:paraId="4C17B0E6">
      <w:pPr>
        <w:spacing w:line="540" w:lineRule="exact"/>
        <w:contextualSpacing/>
        <w:rPr>
          <w:rFonts w:ascii="仿宋_GB2312" w:eastAsia="仿宋_GB2312"/>
          <w:sz w:val="28"/>
          <w:szCs w:val="28"/>
        </w:rPr>
      </w:pPr>
    </w:p>
    <w:p w14:paraId="65AFCE00">
      <w:pPr>
        <w:spacing w:line="540" w:lineRule="exact"/>
        <w:contextualSpacing/>
        <w:rPr>
          <w:rFonts w:ascii="仿宋_GB2312" w:eastAsia="仿宋_GB2312"/>
          <w:sz w:val="28"/>
          <w:szCs w:val="28"/>
        </w:rPr>
      </w:pPr>
    </w:p>
    <w:p w14:paraId="47B490DC">
      <w:pPr>
        <w:spacing w:line="540" w:lineRule="exact"/>
        <w:contextualSpacing/>
        <w:rPr>
          <w:rFonts w:ascii="仿宋_GB2312" w:eastAsia="仿宋_GB2312"/>
          <w:sz w:val="28"/>
          <w:szCs w:val="28"/>
        </w:rPr>
      </w:pPr>
    </w:p>
    <w:p w14:paraId="175A9DA1">
      <w:pPr>
        <w:spacing w:line="540" w:lineRule="exact"/>
        <w:contextualSpacing/>
        <w:rPr>
          <w:rFonts w:ascii="仿宋_GB2312" w:eastAsia="仿宋_GB2312"/>
          <w:sz w:val="28"/>
          <w:szCs w:val="28"/>
        </w:rPr>
      </w:pPr>
    </w:p>
    <w:p w14:paraId="77A26593">
      <w:pPr>
        <w:spacing w:line="540" w:lineRule="exact"/>
        <w:contextualSpacing/>
        <w:rPr>
          <w:rFonts w:ascii="仿宋_GB2312" w:eastAsia="仿宋_GB2312"/>
          <w:sz w:val="28"/>
          <w:szCs w:val="28"/>
        </w:rPr>
      </w:pPr>
    </w:p>
    <w:p w14:paraId="1DADA829">
      <w:pPr>
        <w:spacing w:line="540" w:lineRule="exact"/>
        <w:contextualSpacing/>
        <w:rPr>
          <w:rFonts w:ascii="仿宋_GB2312" w:eastAsia="仿宋_GB2312"/>
          <w:sz w:val="28"/>
          <w:szCs w:val="28"/>
        </w:rPr>
      </w:pPr>
    </w:p>
    <w:p w14:paraId="3568CF00">
      <w:pPr>
        <w:spacing w:line="540" w:lineRule="exact"/>
        <w:contextualSpacing/>
        <w:rPr>
          <w:rFonts w:ascii="仿宋_GB2312" w:eastAsia="仿宋_GB2312"/>
          <w:sz w:val="28"/>
          <w:szCs w:val="28"/>
        </w:rPr>
      </w:pPr>
    </w:p>
    <w:p w14:paraId="0C2FD838">
      <w:pPr>
        <w:spacing w:line="540" w:lineRule="exact"/>
        <w:contextualSpacing/>
        <w:rPr>
          <w:rFonts w:ascii="仿宋_GB2312" w:eastAsia="仿宋_GB2312"/>
          <w:sz w:val="28"/>
          <w:szCs w:val="28"/>
        </w:rPr>
      </w:pPr>
    </w:p>
    <w:p w14:paraId="7064ABCA">
      <w:pPr>
        <w:spacing w:line="540" w:lineRule="exact"/>
        <w:contextualSpacing/>
        <w:rPr>
          <w:rFonts w:ascii="仿宋_GB2312" w:eastAsia="仿宋_GB2312"/>
          <w:sz w:val="28"/>
          <w:szCs w:val="28"/>
        </w:rPr>
      </w:pPr>
    </w:p>
    <w:p w14:paraId="5412F9B8">
      <w:pPr>
        <w:spacing w:line="540" w:lineRule="exact"/>
        <w:contextualSpacing/>
        <w:rPr>
          <w:rFonts w:ascii="仿宋_GB2312" w:eastAsia="仿宋_GB2312"/>
          <w:sz w:val="28"/>
          <w:szCs w:val="28"/>
        </w:rPr>
      </w:pPr>
    </w:p>
    <w:p w14:paraId="68E7AA3B">
      <w:pPr>
        <w:spacing w:line="540" w:lineRule="exact"/>
        <w:contextualSpacing/>
        <w:rPr>
          <w:rFonts w:ascii="仿宋_GB2312" w:eastAsia="仿宋_GB2312"/>
          <w:sz w:val="28"/>
          <w:szCs w:val="28"/>
        </w:rPr>
      </w:pPr>
      <w:r>
        <w:rPr>
          <w:rFonts w:hint="eastAsia" w:ascii="仿宋_GB2312" w:eastAsia="仿宋_GB2312"/>
          <w:sz w:val="28"/>
          <w:szCs w:val="28"/>
        </w:rPr>
        <w:t>附件3：</w:t>
      </w:r>
    </w:p>
    <w:p w14:paraId="6B0FA7D9">
      <w:pPr>
        <w:spacing w:line="540" w:lineRule="exact"/>
        <w:contextualSpacing/>
        <w:jc w:val="center"/>
        <w:rPr>
          <w:rFonts w:ascii="仿宋_GB2312" w:eastAsia="仿宋_GB2312"/>
          <w:b/>
          <w:sz w:val="28"/>
          <w:szCs w:val="28"/>
        </w:rPr>
      </w:pPr>
      <w:r>
        <w:rPr>
          <w:rFonts w:hint="eastAsia" w:ascii="仿宋_GB2312" w:eastAsia="仿宋_GB2312"/>
          <w:b/>
          <w:sz w:val="28"/>
          <w:szCs w:val="28"/>
        </w:rPr>
        <w:t>投诉书范本及制作说明</w:t>
      </w:r>
    </w:p>
    <w:p w14:paraId="5E089ECC">
      <w:pPr>
        <w:spacing w:line="540" w:lineRule="exact"/>
        <w:contextualSpacing/>
        <w:rPr>
          <w:rFonts w:ascii="仿宋_GB2312" w:eastAsia="仿宋_GB2312"/>
          <w:sz w:val="24"/>
          <w:szCs w:val="24"/>
        </w:rPr>
      </w:pPr>
    </w:p>
    <w:p w14:paraId="6BA99196">
      <w:pPr>
        <w:spacing w:line="360" w:lineRule="auto"/>
        <w:jc w:val="center"/>
        <w:rPr>
          <w:rFonts w:ascii="仿宋_GB2312" w:hAnsi="宋体" w:eastAsia="仿宋_GB2312" w:cs="宋体"/>
          <w:b/>
          <w:spacing w:val="6"/>
          <w:sz w:val="24"/>
          <w:szCs w:val="24"/>
        </w:rPr>
      </w:pPr>
      <w:r>
        <w:rPr>
          <w:rFonts w:hint="eastAsia" w:ascii="仿宋_GB2312" w:hAnsi="宋体" w:eastAsia="仿宋_GB2312" w:cs="宋体"/>
          <w:b/>
          <w:spacing w:val="6"/>
          <w:sz w:val="24"/>
          <w:szCs w:val="24"/>
        </w:rPr>
        <w:t>投诉书范本</w:t>
      </w:r>
    </w:p>
    <w:p w14:paraId="021B7FA0">
      <w:pPr>
        <w:spacing w:line="360" w:lineRule="auto"/>
        <w:rPr>
          <w:rFonts w:ascii="仿宋_GB2312" w:hAnsi="宋体" w:eastAsia="仿宋_GB2312" w:cs="宋体"/>
          <w:sz w:val="24"/>
          <w:szCs w:val="24"/>
        </w:rPr>
      </w:pPr>
      <w:r>
        <w:rPr>
          <w:rFonts w:hint="eastAsia" w:ascii="仿宋_GB2312" w:hAnsi="宋体" w:eastAsia="仿宋_GB2312" w:cs="宋体"/>
          <w:sz w:val="24"/>
          <w:szCs w:val="24"/>
        </w:rPr>
        <w:t>一、投诉相关主体基本情况</w:t>
      </w:r>
    </w:p>
    <w:p w14:paraId="2CD8BB74">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投诉人：</w:t>
      </w:r>
    </w:p>
    <w:p w14:paraId="1FFA4451">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14:paraId="774BC0E5">
      <w:pPr>
        <w:tabs>
          <w:tab w:val="left" w:pos="6510"/>
        </w:tabs>
        <w:spacing w:line="360" w:lineRule="auto"/>
        <w:jc w:val="left"/>
        <w:rPr>
          <w:rFonts w:ascii="仿宋_GB2312" w:hAnsi="宋体" w:eastAsia="仿宋_GB2312" w:cs="宋体"/>
          <w:sz w:val="24"/>
          <w:szCs w:val="24"/>
        </w:rPr>
      </w:pPr>
      <w:r>
        <w:rPr>
          <w:rFonts w:hint="eastAsia" w:ascii="仿宋_GB2312" w:hAnsi="宋体" w:eastAsia="仿宋_GB2312" w:cs="宋体"/>
          <w:sz w:val="24"/>
          <w:szCs w:val="24"/>
        </w:rPr>
        <w:t>法定代表人/主要负责人：</w:t>
      </w:r>
    </w:p>
    <w:p w14:paraId="158076CB">
      <w:pPr>
        <w:tabs>
          <w:tab w:val="left" w:pos="6510"/>
        </w:tabs>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联系电话：</w:t>
      </w:r>
    </w:p>
    <w:p w14:paraId="10CA365A">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授权代表：联系电话</w:t>
      </w:r>
      <w:r>
        <w:rPr>
          <w:rFonts w:hint="eastAsia" w:ascii="仿宋_GB2312" w:hAnsi="宋体" w:eastAsia="仿宋_GB2312" w:cs="宋体"/>
          <w:sz w:val="24"/>
          <w:szCs w:val="24"/>
          <w:u w:val="dotted"/>
        </w:rPr>
        <w:t xml:space="preserve">：                  </w:t>
      </w:r>
    </w:p>
    <w:p w14:paraId="2C7CDADC">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地     址：邮编：</w:t>
      </w:r>
    </w:p>
    <w:p w14:paraId="1B5C9E3E">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被投诉人1：</w:t>
      </w:r>
    </w:p>
    <w:p w14:paraId="221F98CE">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14:paraId="1BD87EB2">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联系人：联系电话：</w:t>
      </w:r>
    </w:p>
    <w:p w14:paraId="404B43BC">
      <w:pPr>
        <w:spacing w:line="360" w:lineRule="auto"/>
        <w:rPr>
          <w:rFonts w:ascii="仿宋_GB2312" w:hAnsi="宋体" w:eastAsia="仿宋_GB2312" w:cs="宋体"/>
          <w:sz w:val="24"/>
          <w:szCs w:val="24"/>
        </w:rPr>
      </w:pPr>
      <w:r>
        <w:rPr>
          <w:rFonts w:hint="eastAsia" w:ascii="仿宋_GB2312" w:hAnsi="宋体" w:eastAsia="仿宋_GB2312" w:cs="宋体"/>
          <w:sz w:val="24"/>
          <w:szCs w:val="24"/>
        </w:rPr>
        <w:t>被投诉人2</w:t>
      </w:r>
    </w:p>
    <w:p w14:paraId="65C4C115">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w:t>
      </w:r>
    </w:p>
    <w:p w14:paraId="2AFEE7BF">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相关供应商：</w:t>
      </w:r>
    </w:p>
    <w:p w14:paraId="2B0C6C38">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14:paraId="1562B218">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联系人：联系电话：</w:t>
      </w:r>
    </w:p>
    <w:p w14:paraId="24A86546">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二、投诉项目基本情况</w:t>
      </w:r>
    </w:p>
    <w:p w14:paraId="45D6DBD6">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采购项目名称：</w:t>
      </w:r>
    </w:p>
    <w:p w14:paraId="22513977">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采购项目编号：包号：</w:t>
      </w:r>
    </w:p>
    <w:p w14:paraId="726C4A07">
      <w:pPr>
        <w:spacing w:line="360" w:lineRule="auto"/>
        <w:rPr>
          <w:rFonts w:ascii="仿宋_GB2312" w:hAnsi="宋体" w:eastAsia="仿宋_GB2312" w:cs="宋体"/>
          <w:sz w:val="24"/>
          <w:szCs w:val="24"/>
        </w:rPr>
      </w:pPr>
      <w:r>
        <w:rPr>
          <w:rFonts w:hint="eastAsia" w:ascii="仿宋_GB2312" w:hAnsi="宋体" w:eastAsia="仿宋_GB2312" w:cs="宋体"/>
          <w:sz w:val="24"/>
          <w:szCs w:val="24"/>
        </w:rPr>
        <w:t>采购人名称：</w:t>
      </w:r>
    </w:p>
    <w:p w14:paraId="28DEAE3F">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代理机构名称：</w:t>
      </w:r>
    </w:p>
    <w:p w14:paraId="16208606">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采购文件公告: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14:paraId="355704B6">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采购结果公告: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14:paraId="4F9783B3">
      <w:pPr>
        <w:spacing w:line="360" w:lineRule="auto"/>
        <w:rPr>
          <w:rFonts w:ascii="仿宋_GB2312" w:hAnsi="宋体" w:eastAsia="仿宋_GB2312" w:cs="宋体"/>
          <w:sz w:val="24"/>
          <w:szCs w:val="24"/>
        </w:rPr>
      </w:pPr>
      <w:r>
        <w:rPr>
          <w:rFonts w:hint="eastAsia" w:ascii="仿宋_GB2312" w:hAnsi="宋体" w:eastAsia="仿宋_GB2312" w:cs="宋体"/>
          <w:sz w:val="24"/>
          <w:szCs w:val="24"/>
        </w:rPr>
        <w:t>三、质疑基本情况</w:t>
      </w:r>
    </w:p>
    <w:p w14:paraId="3BEA50E0">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投诉人于年月日,向提出质疑，质疑事项为：</w:t>
      </w:r>
    </w:p>
    <w:p w14:paraId="584DF253">
      <w:pPr>
        <w:spacing w:line="360" w:lineRule="auto"/>
        <w:rPr>
          <w:rFonts w:ascii="仿宋_GB2312" w:hAnsi="宋体" w:eastAsia="仿宋_GB2312" w:cs="宋体"/>
          <w:sz w:val="24"/>
          <w:szCs w:val="24"/>
          <w:u w:val="dotted"/>
        </w:rPr>
      </w:pPr>
    </w:p>
    <w:p w14:paraId="023096FB">
      <w:pPr>
        <w:spacing w:line="360" w:lineRule="auto"/>
        <w:rPr>
          <w:rFonts w:ascii="仿宋_GB2312" w:hAnsi="宋体" w:eastAsia="仿宋_GB2312" w:cs="宋体"/>
          <w:sz w:val="24"/>
          <w:szCs w:val="24"/>
        </w:rPr>
      </w:pPr>
      <w:r>
        <w:rPr>
          <w:rFonts w:hint="eastAsia" w:ascii="仿宋_GB2312" w:hAnsi="宋体" w:eastAsia="仿宋_GB2312" w:cs="宋体"/>
          <w:sz w:val="24"/>
          <w:szCs w:val="24"/>
          <w:u w:val="dotted"/>
        </w:rPr>
        <w:t>采购人/代理机构</w:t>
      </w:r>
      <w:r>
        <w:rPr>
          <w:rFonts w:hint="eastAsia" w:ascii="仿宋_GB2312" w:hAnsi="宋体" w:eastAsia="仿宋_GB2312" w:cs="宋体"/>
          <w:sz w:val="24"/>
          <w:szCs w:val="24"/>
        </w:rPr>
        <w:t>于年月日,就质疑事项作出了答复/没有在法定期限内作出答复。</w:t>
      </w:r>
    </w:p>
    <w:p w14:paraId="7768A2B8">
      <w:pPr>
        <w:spacing w:line="360" w:lineRule="auto"/>
        <w:rPr>
          <w:rFonts w:ascii="仿宋_GB2312" w:hAnsi="宋体" w:eastAsia="仿宋_GB2312" w:cs="宋体"/>
          <w:sz w:val="24"/>
          <w:szCs w:val="24"/>
        </w:rPr>
      </w:pPr>
      <w:r>
        <w:rPr>
          <w:rFonts w:hint="eastAsia" w:ascii="仿宋_GB2312" w:hAnsi="宋体" w:eastAsia="仿宋_GB2312" w:cs="宋体"/>
          <w:sz w:val="24"/>
          <w:szCs w:val="24"/>
        </w:rPr>
        <w:t>四、投诉事项具体内容</w:t>
      </w:r>
    </w:p>
    <w:p w14:paraId="5132AC95">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投诉事项 1：</w:t>
      </w:r>
    </w:p>
    <w:p w14:paraId="0D0EA949">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事实依据：</w:t>
      </w:r>
    </w:p>
    <w:p w14:paraId="3AC6C248">
      <w:pPr>
        <w:spacing w:line="360" w:lineRule="auto"/>
        <w:rPr>
          <w:rFonts w:ascii="仿宋_GB2312" w:hAnsi="宋体" w:eastAsia="仿宋_GB2312" w:cs="宋体"/>
          <w:sz w:val="24"/>
          <w:szCs w:val="24"/>
          <w:u w:val="dotted"/>
        </w:rPr>
      </w:pPr>
    </w:p>
    <w:p w14:paraId="3C35C609">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法律依据：</w:t>
      </w:r>
    </w:p>
    <w:p w14:paraId="59717860">
      <w:pPr>
        <w:spacing w:line="360" w:lineRule="auto"/>
        <w:rPr>
          <w:rFonts w:ascii="仿宋_GB2312" w:hAnsi="宋体" w:eastAsia="仿宋_GB2312" w:cs="宋体"/>
          <w:sz w:val="24"/>
          <w:szCs w:val="24"/>
          <w:u w:val="dotted"/>
        </w:rPr>
      </w:pPr>
    </w:p>
    <w:p w14:paraId="6B761F95">
      <w:pPr>
        <w:spacing w:line="360" w:lineRule="auto"/>
        <w:rPr>
          <w:rFonts w:ascii="仿宋_GB2312" w:hAnsi="宋体" w:eastAsia="仿宋_GB2312" w:cs="宋体"/>
          <w:sz w:val="24"/>
          <w:szCs w:val="24"/>
        </w:rPr>
      </w:pPr>
      <w:r>
        <w:rPr>
          <w:rFonts w:hint="eastAsia" w:ascii="仿宋_GB2312" w:hAnsi="宋体" w:eastAsia="仿宋_GB2312" w:cs="宋体"/>
          <w:sz w:val="24"/>
          <w:szCs w:val="24"/>
        </w:rPr>
        <w:t>投诉事项2</w:t>
      </w:r>
    </w:p>
    <w:p w14:paraId="4C0BBE15">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w:t>
      </w:r>
    </w:p>
    <w:p w14:paraId="79B57B41">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五、与投诉事项相关的投诉请求</w:t>
      </w:r>
    </w:p>
    <w:p w14:paraId="07B53BBE">
      <w:pPr>
        <w:spacing w:line="360" w:lineRule="auto"/>
        <w:rPr>
          <w:rFonts w:ascii="仿宋_GB2312" w:hAnsi="宋体" w:eastAsia="仿宋_GB2312" w:cs="宋体"/>
          <w:sz w:val="24"/>
          <w:szCs w:val="24"/>
        </w:rPr>
      </w:pPr>
      <w:r>
        <w:rPr>
          <w:rFonts w:hint="eastAsia" w:ascii="仿宋_GB2312" w:hAnsi="宋体" w:eastAsia="仿宋_GB2312" w:cs="宋体"/>
          <w:sz w:val="24"/>
          <w:szCs w:val="24"/>
        </w:rPr>
        <w:t>请求：</w:t>
      </w:r>
    </w:p>
    <w:p w14:paraId="78C48F6C">
      <w:pPr>
        <w:spacing w:line="360" w:lineRule="auto"/>
        <w:rPr>
          <w:rFonts w:ascii="仿宋_GB2312" w:hAnsi="宋体" w:eastAsia="仿宋_GB2312" w:cs="宋体"/>
          <w:sz w:val="24"/>
          <w:szCs w:val="24"/>
          <w:u w:val="single"/>
        </w:rPr>
      </w:pPr>
    </w:p>
    <w:p w14:paraId="2F584743">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签字(签章)：                   公章：                      </w:t>
      </w:r>
    </w:p>
    <w:p w14:paraId="031397CB">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日期：    </w:t>
      </w:r>
    </w:p>
    <w:p w14:paraId="3AB87097">
      <w:pPr>
        <w:spacing w:line="360" w:lineRule="auto"/>
        <w:rPr>
          <w:rFonts w:ascii="仿宋_GB2312" w:hAnsi="宋体" w:eastAsia="仿宋_GB2312" w:cs="宋体"/>
          <w:b/>
          <w:sz w:val="24"/>
          <w:szCs w:val="24"/>
        </w:rPr>
      </w:pPr>
    </w:p>
    <w:p w14:paraId="7381F349">
      <w:pPr>
        <w:spacing w:line="360" w:lineRule="auto"/>
        <w:rPr>
          <w:rFonts w:ascii="仿宋_GB2312" w:hAnsi="宋体" w:eastAsia="仿宋_GB2312" w:cs="宋体"/>
          <w:b/>
          <w:sz w:val="24"/>
          <w:szCs w:val="24"/>
        </w:rPr>
      </w:pPr>
    </w:p>
    <w:p w14:paraId="5A7B22CD">
      <w:pPr>
        <w:spacing w:line="360" w:lineRule="auto"/>
        <w:rPr>
          <w:rFonts w:ascii="仿宋_GB2312" w:hAnsi="宋体" w:eastAsia="仿宋_GB2312" w:cs="宋体"/>
          <w:b/>
          <w:sz w:val="24"/>
          <w:szCs w:val="24"/>
        </w:rPr>
      </w:pPr>
      <w:r>
        <w:rPr>
          <w:rFonts w:hint="eastAsia" w:ascii="仿宋_GB2312" w:hAnsi="宋体" w:eastAsia="仿宋_GB2312" w:cs="宋体"/>
          <w:b/>
          <w:sz w:val="24"/>
          <w:szCs w:val="24"/>
        </w:rPr>
        <w:t>投诉书制作说明：</w:t>
      </w:r>
    </w:p>
    <w:p w14:paraId="042A797E">
      <w:pPr>
        <w:widowControl/>
        <w:spacing w:line="360" w:lineRule="auto"/>
        <w:ind w:firstLine="480" w:firstLineChars="200"/>
        <w:rPr>
          <w:rFonts w:ascii="仿宋_GB2312" w:hAnsi="宋体" w:eastAsia="仿宋_GB2312" w:cs="宋体"/>
          <w:kern w:val="0"/>
          <w:sz w:val="24"/>
          <w:szCs w:val="24"/>
        </w:rPr>
      </w:pPr>
      <w:r>
        <w:rPr>
          <w:rFonts w:hint="eastAsia" w:ascii="仿宋_GB2312" w:hAnsi="宋体" w:eastAsia="仿宋_GB2312" w:cs="宋体"/>
          <w:sz w:val="24"/>
          <w:szCs w:val="24"/>
        </w:rPr>
        <w:t>1.投诉人提起投诉时，应当提交投诉书和必要的证明材料，并按照被投诉人和与投诉事项有关的供应商数量提供投诉书副本。</w:t>
      </w:r>
    </w:p>
    <w:p w14:paraId="71411CF5">
      <w:pPr>
        <w:widowControl/>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14:paraId="279D2A59">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3.投诉人若对项目的某一分包进行投诉，投诉书应列明具体分包号。</w:t>
      </w:r>
    </w:p>
    <w:p w14:paraId="059C9010">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4.投诉书应简要列明质疑事项，质疑函、质疑答复等作为附件材料提供。</w:t>
      </w:r>
    </w:p>
    <w:p w14:paraId="2A3C815F">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5.投诉书的投诉事项应具体、明确，并有必要的事实依据和法律依据。</w:t>
      </w:r>
    </w:p>
    <w:p w14:paraId="2F094FFD">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6.投诉书的投诉请求应与投诉事项相关。</w:t>
      </w:r>
    </w:p>
    <w:p w14:paraId="7D6B470D">
      <w:pPr>
        <w:spacing w:line="360" w:lineRule="auto"/>
        <w:contextualSpacing/>
        <w:rPr>
          <w:rFonts w:ascii="仿宋_GB2312" w:eastAsia="仿宋_GB2312"/>
          <w:sz w:val="24"/>
          <w:szCs w:val="24"/>
        </w:rPr>
      </w:pPr>
      <w:r>
        <w:rPr>
          <w:rFonts w:hint="eastAsia" w:ascii="仿宋_GB2312" w:hAnsi="宋体" w:eastAsia="仿宋_GB2312" w:cs="宋体"/>
          <w:sz w:val="24"/>
          <w:szCs w:val="24"/>
        </w:rPr>
        <w:t>7.投诉人为自然人的，投诉书应当由本人签字；投诉人为法人或者其他组织的，投诉书应当由法定代表人、主要负责人，或者其授权代表签字或者盖章，并加盖公章。</w:t>
      </w:r>
    </w:p>
    <w:p w14:paraId="7FA4F23D">
      <w:pPr>
        <w:spacing w:line="540" w:lineRule="exact"/>
        <w:contextualSpacing/>
        <w:rPr>
          <w:rFonts w:ascii="仿宋_GB2312" w:eastAsia="仿宋_GB2312"/>
          <w:sz w:val="28"/>
          <w:szCs w:val="28"/>
        </w:rPr>
      </w:pPr>
    </w:p>
    <w:p w14:paraId="51C4296F">
      <w:pPr>
        <w:spacing w:line="540" w:lineRule="exact"/>
        <w:contextualSpacing/>
        <w:rPr>
          <w:rFonts w:ascii="仿宋_GB2312" w:eastAsia="仿宋_GB2312"/>
          <w:sz w:val="28"/>
          <w:szCs w:val="28"/>
        </w:rPr>
      </w:pPr>
    </w:p>
    <w:p w14:paraId="3D53217F">
      <w:pPr>
        <w:spacing w:line="540" w:lineRule="exact"/>
        <w:contextualSpacing/>
        <w:rPr>
          <w:rFonts w:ascii="仿宋_GB2312" w:eastAsia="仿宋_GB2312"/>
          <w:sz w:val="28"/>
          <w:szCs w:val="28"/>
        </w:rPr>
      </w:pPr>
    </w:p>
    <w:p w14:paraId="1AF8305D">
      <w:pPr>
        <w:spacing w:line="540" w:lineRule="exact"/>
        <w:contextualSpacing/>
        <w:rPr>
          <w:rFonts w:ascii="仿宋_GB2312" w:eastAsia="仿宋_GB2312"/>
          <w:sz w:val="28"/>
          <w:szCs w:val="28"/>
        </w:rPr>
      </w:pPr>
      <w:r>
        <w:rPr>
          <w:rFonts w:hint="eastAsia" w:ascii="仿宋_GB2312" w:eastAsia="仿宋_GB2312"/>
          <w:sz w:val="28"/>
          <w:szCs w:val="28"/>
        </w:rPr>
        <w:t>附件4：</w:t>
      </w:r>
    </w:p>
    <w:p w14:paraId="38F0B599">
      <w:pPr>
        <w:spacing w:line="540" w:lineRule="exact"/>
        <w:contextualSpacing/>
        <w:jc w:val="center"/>
        <w:rPr>
          <w:rFonts w:ascii="仿宋_GB2312" w:eastAsia="仿宋_GB2312"/>
          <w:b/>
          <w:sz w:val="28"/>
          <w:szCs w:val="28"/>
        </w:rPr>
      </w:pPr>
      <w:r>
        <w:rPr>
          <w:rFonts w:hint="eastAsia" w:ascii="仿宋_GB2312" w:eastAsia="仿宋_GB2312"/>
          <w:b/>
          <w:sz w:val="28"/>
          <w:szCs w:val="28"/>
        </w:rPr>
        <w:t>业务专用章使用说明函</w:t>
      </w:r>
    </w:p>
    <w:p w14:paraId="1BCB4478">
      <w:pPr>
        <w:spacing w:line="540" w:lineRule="exact"/>
        <w:contextualSpacing/>
        <w:rPr>
          <w:rFonts w:ascii="仿宋_GB2312" w:eastAsia="仿宋_GB2312"/>
          <w:sz w:val="24"/>
          <w:szCs w:val="24"/>
        </w:rPr>
      </w:pPr>
    </w:p>
    <w:p w14:paraId="5B08FF89">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5EB94F4A">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我方(投标人全称)是中华人民共和国依法登记注册的合法企业，在参加你方组织的</w:t>
      </w:r>
      <w:r>
        <w:rPr>
          <w:rFonts w:hint="eastAsia" w:ascii="仿宋_GB2312" w:eastAsia="仿宋_GB2312"/>
          <w:sz w:val="24"/>
          <w:szCs w:val="24"/>
          <w:u w:val="single"/>
        </w:rPr>
        <w:t>（项目名称）</w:t>
      </w:r>
      <w:r>
        <w:rPr>
          <w:rFonts w:hint="eastAsia" w:ascii="仿宋_GB2312" w:eastAsia="仿宋_GB2312"/>
          <w:sz w:val="24"/>
          <w:szCs w:val="24"/>
        </w:rPr>
        <w:t>项目【招标编号：</w:t>
      </w:r>
      <w:r>
        <w:rPr>
          <w:rFonts w:hint="eastAsia" w:ascii="仿宋_GB2312" w:eastAsia="仿宋_GB2312"/>
          <w:sz w:val="24"/>
          <w:szCs w:val="24"/>
          <w:u w:val="single"/>
        </w:rPr>
        <w:t>（项目编号）</w:t>
      </w:r>
      <w:r>
        <w:rPr>
          <w:rFonts w:hint="eastAsia" w:ascii="仿宋_GB2312" w:eastAsia="仿宋_GB2312"/>
          <w:sz w:val="24"/>
          <w:szCs w:val="24"/>
        </w:rPr>
        <w:t xml:space="preserve">】投标活动中作如下说明：我方所使用的“XX专用章”与法定名称章具有同等的法律效力，对使用“XX专用章”的行为予以完全承认，并愿意承担相应责任。   </w:t>
      </w:r>
    </w:p>
    <w:p w14:paraId="0A329A25">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特此说明。</w:t>
      </w:r>
    </w:p>
    <w:p w14:paraId="0C295305">
      <w:pPr>
        <w:spacing w:line="540" w:lineRule="exact"/>
        <w:contextualSpacing/>
        <w:rPr>
          <w:rFonts w:ascii="仿宋_GB2312" w:eastAsia="仿宋_GB2312"/>
          <w:sz w:val="24"/>
          <w:szCs w:val="24"/>
        </w:rPr>
      </w:pPr>
    </w:p>
    <w:p w14:paraId="75AC961F">
      <w:pPr>
        <w:spacing w:line="540" w:lineRule="exact"/>
        <w:contextualSpacing/>
        <w:rPr>
          <w:rFonts w:ascii="仿宋_GB2312" w:eastAsia="仿宋_GB2312"/>
          <w:sz w:val="24"/>
          <w:szCs w:val="24"/>
        </w:rPr>
      </w:pPr>
    </w:p>
    <w:p w14:paraId="088D581B">
      <w:pPr>
        <w:spacing w:line="540" w:lineRule="exact"/>
        <w:ind w:firstLine="3600" w:firstLineChars="1500"/>
        <w:contextualSpacing/>
        <w:rPr>
          <w:rFonts w:ascii="仿宋_GB2312" w:eastAsia="仿宋_GB2312"/>
          <w:sz w:val="24"/>
          <w:szCs w:val="24"/>
        </w:rPr>
      </w:pPr>
      <w:r>
        <w:rPr>
          <w:rFonts w:hint="eastAsia" w:ascii="仿宋_GB2312" w:eastAsia="仿宋_GB2312"/>
          <w:sz w:val="24"/>
          <w:szCs w:val="24"/>
        </w:rPr>
        <w:t>投标单位（法定名称章）：</w:t>
      </w:r>
    </w:p>
    <w:p w14:paraId="768F51FD">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2537EB2C">
      <w:pPr>
        <w:spacing w:line="540" w:lineRule="exact"/>
        <w:contextualSpacing/>
        <w:rPr>
          <w:rFonts w:ascii="仿宋_GB2312" w:eastAsia="仿宋_GB2312"/>
          <w:sz w:val="24"/>
          <w:szCs w:val="24"/>
        </w:rPr>
      </w:pPr>
      <w:r>
        <w:rPr>
          <w:rFonts w:hint="eastAsia" w:ascii="仿宋_GB2312" w:eastAsia="仿宋_GB2312"/>
          <w:sz w:val="24"/>
          <w:szCs w:val="24"/>
        </w:rPr>
        <w:t>附：</w:t>
      </w:r>
    </w:p>
    <w:p w14:paraId="3B08F559">
      <w:pPr>
        <w:spacing w:line="540" w:lineRule="exact"/>
        <w:contextualSpacing/>
        <w:rPr>
          <w:rFonts w:ascii="仿宋_GB2312" w:eastAsia="仿宋_GB2312"/>
          <w:sz w:val="24"/>
          <w:szCs w:val="24"/>
        </w:rPr>
      </w:pPr>
      <w:r>
        <w:rPr>
          <w:rFonts w:hint="eastAsia" w:ascii="仿宋_GB2312" w:eastAsia="仿宋_GB2312"/>
          <w:sz w:val="24"/>
          <w:szCs w:val="24"/>
        </w:rPr>
        <w:t>投标单位法定名称章（印模）                投标单位“XX专用章”（印模）</w:t>
      </w:r>
    </w:p>
    <w:p w14:paraId="78A3864D">
      <w:pPr>
        <w:spacing w:line="540" w:lineRule="exact"/>
        <w:contextualSpacing/>
        <w:rPr>
          <w:rFonts w:ascii="仿宋_GB2312" w:eastAsia="仿宋_GB2312"/>
          <w:sz w:val="24"/>
          <w:szCs w:val="24"/>
        </w:rPr>
      </w:pPr>
      <w:r>
        <w:rPr>
          <w:rFonts w:ascii="仿宋_GB2312" w:eastAsia="仿宋_GB2312"/>
          <w:sz w:val="24"/>
          <w:szCs w:val="24"/>
        </w:rPr>
        <w:pict>
          <v:rect id="Rectangle 17" o:spid="_x0000_s1026" o:spt="1" style="position:absolute;left:0pt;margin-left:238.9pt;margin-top:1.05pt;height:125.5pt;width:212.95pt;z-index:-251657216;mso-width-relative:page;mso-height-relative:page;" coordsize="21600,21600" o:gfxdata="UEsDBAoAAAAAAIdO4kAAAAAAAAAAAAAAAAAEAAAAZHJzL1BLAwQUAAAACACHTuJAZkzKQ9cAAAAJ&#10;AQAADwAAAGRycy9kb3ducmV2LnhtbE2PT0vEMBTE74LfITzBm5ukq1Zr0wUVL7J0scqes01sg81L&#10;aLJ//PY+T3ocZpj5Tb06+Ykd7JxcQAVyIYBZ7INxOCj4eH+5ugOWskajp4BWwbdNsGrOz2pdmXDE&#10;N3vo8sCoBFOlFYw5x4rz1I/W67QI0SJ5n2H2OpOcB25mfaRyP/FCiFvutUNaGHW0T6Ptv7q9V7CN&#10;KOS6jbntXovN+nHjts+tU+ryQooHYNme8l8YfvEJHRpi2oU9msQmBddlSehZQSGBkX8vliWwHemb&#10;pQTe1Pz/g+YHUEsDBBQAAAAIAIdO4kCLdjqNLwIAAIIEAAAOAAAAZHJzL2Uyb0RvYy54bWytVMtu&#10;2zAQvBfoPxC813rUj0aIHAQxXBRIm6BpP4CmKIsoyWWXtGX367uinNRJe8ihOghc7XI4M7vU5dXB&#10;GrZXGDS4mheTnDPlJDTabWv+/dv63QfOQhSuEQacqvlRBX61fPvmsveVKqED0yhkBOJC1fuadzH6&#10;KsuC7JQVYQJeOUq2gFZECnGbNSh6QrcmK/N8nvWAjUeQKgT6uhqT/ISIrwGEttVSrUDurHJxREVl&#10;RCRJodM+8GVi27ZKxru2DSoyU3NSGtObDqH1Znhny0tRbVH4TssTBfEaCi80WaEdHfoEtRJRsB3q&#10;v6CslggB2jiRYLNRSHKEVBT5C28eOuFV0kJWB/9kevh/sPLL/h6ZbmgSOHPCUsO/kmnCbY1ixWLw&#10;p/ehorIHf4+DwuBvQf4IzMFNR2XqGhH6TomGWBVDffZswxAE2so2/WdoCF7sIiSrDi3aAZBMYIfU&#10;keNTR9QhMkkfy0U+nc5nnEnKleXs/byYpTNE9bjdY4gfFVg2LGqOxD7Bi/1tiAMdUT2WJPpgdLPW&#10;xqQAt5sbg2wvaDzW6Tmhh/My41hf84tZOUvIz3LhHCJPz78grI50a4y2JOO8yLiBh0qTeuL76Njo&#10;/AaaI7mHMI4uXVxadIC/OOtpbGsefu4EKs7MJ0cduCim02HOUzCdLUoK8DyzOc8IJwmq5pGzcXkT&#10;x7ux86i3HZ1UJMUOrqlrrU5+DvxGVqde02gmm0/XaJj98zhV/fl1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kzKQ9cAAAAJAQAADwAAAAAAAAABACAAAAAiAAAAZHJzL2Rvd25yZXYueG1sUEsB&#10;AhQAFAAAAAgAh07iQIt2Oo0vAgAAggQAAA4AAAAAAAAAAQAgAAAAJgEAAGRycy9lMm9Eb2MueG1s&#10;UEsFBgAAAAAGAAYAWQEAAMcFAAAAAA==&#10;">
            <v:path/>
            <v:fill focussize="0,0"/>
            <v:stroke miterlimit="2"/>
            <v:imagedata o:title=""/>
            <o:lock v:ext="edit"/>
          </v:rect>
        </w:pict>
      </w:r>
      <w:r>
        <w:rPr>
          <w:rFonts w:ascii="仿宋_GB2312" w:eastAsia="仿宋_GB2312"/>
          <w:sz w:val="24"/>
          <w:szCs w:val="24"/>
        </w:rPr>
        <w:pict>
          <v:rect id="Rectangle 16" o:spid="_x0000_s1027" o:spt="1" style="position:absolute;left:0pt;margin-left:-3.6pt;margin-top:1.05pt;height:125.5pt;width:208.5pt;z-index:-251656192;mso-width-relative:page;mso-height-relative:page;" coordsize="21600,21600" o:gfxdata="UEsDBAoAAAAAAIdO4kAAAAAAAAAAAAAAAAAEAAAAZHJzL1BLAwQUAAAACACHTuJA+lTUD9YAAAAI&#10;AQAADwAAAGRycy9kb3ducmV2LnhtbE2Py07DMBRE90j8g3WR2LW2wzvEqQSIDapSkVZdu7FJLOJr&#10;K3Yf/D2XVVmOZjRzplqc/MgOdkouoAI5F8AsdsE47BVs1u+zR2ApazR6DGgV/NgEi/ryotKlCUf8&#10;tIc294xKMJVawZBzLDlP3WC9TvMQLZL3FSavM8mp52bSRyr3Iy+EuOdeO6SFQUf7Otjuu917BduI&#10;Qi6bmJv2o1gtX1Zu+9Y4pa6vpHgGlu0pn8Pwh0/oUBPTLuzRJDYqmD0UlFRQSGBk34onerIjfXcj&#10;gdcV/3+g/gVQSwMEFAAAAAgAh07iQLR/YTcvAgAAggQAAA4AAABkcnMvZTJvRG9jLnhtbK1UwW7b&#10;MAy9D9g/CLovjr0kXYw4RZGiw4BuLdbtAxRZjoVJokYpcbKvHy0nWdrt0MN8MESTenrvkfLiem8N&#10;2ykMGlzF89GYM+Uk1NptKv792927D5yFKFwtDDhV8YMK/Hr59s2i86UqoAVTK2QE4kLZ+Yq3Mfoy&#10;y4JslRVhBF45SjaAVkQKcZPVKDpCtyYrxuNZ1gHWHkGqEOjr7ZDkR0R8DSA0jZbqFuTWKhcHVFRG&#10;RJIUWu0DXya2TaNkfGiaoCIzFSelMb3pEFqv+3e2XIhyg8K3Wh4piNdQeKHJCu3o0DPUrYiCbVH/&#10;BWW1RAjQxJEEmw1CkiOkIh+/8OapFV4lLWR18GfTw/+DlV92j8h0XfGCMycsNfwrmSbcxiiWz3p/&#10;Oh9KKnvyj9grDP4e5I/AHKxaKlM3iNC1StTEKu/rs2cb+iDQVrbuPkNN8GIbIVm1b9D2gGQC26eO&#10;HM4dUfvIJH0sZpOr+ZSaJSlXFNP3s3yazhDlabvHED8qsKxfVByJfYIXu/sQezqiPJUk+mB0faeN&#10;SQFu1iuDbCdoPO7Sc0QPl2XGsa7i82kxTcjPcuESYpyef0FYHenWGG1JxmWRcT0PlSb1yPfk2OD8&#10;GuoDuYcwjC5dXFq0gL8462hsKx5+bgUqzswnRx2Y55NJP+cpmEyvCgrwMrO+zAgnCarikbNhuYrD&#10;3dh61JuWTsqTYgc31LVGJz97fgOrY69pNJPNx2vUz/5lnKr+/Dq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6VNQP1gAAAAgBAAAPAAAAAAAAAAEAIAAAACIAAABkcnMvZG93bnJldi54bWxQSwEC&#10;FAAUAAAACACHTuJAtH9hNy8CAACCBAAADgAAAAAAAAABACAAAAAlAQAAZHJzL2Uyb0RvYy54bWxQ&#10;SwUGAAAAAAYABgBZAQAAxgUAAAAA&#10;">
            <v:path/>
            <v:fill focussize="0,0"/>
            <v:stroke miterlimit="2"/>
            <v:imagedata o:title=""/>
            <o:lock v:ext="edit"/>
          </v:rect>
        </w:pict>
      </w:r>
    </w:p>
    <w:p w14:paraId="54BFEC41">
      <w:pPr>
        <w:spacing w:line="540" w:lineRule="exact"/>
        <w:contextualSpacing/>
        <w:rPr>
          <w:rFonts w:ascii="仿宋_GB2312" w:eastAsia="仿宋_GB2312"/>
          <w:sz w:val="24"/>
          <w:szCs w:val="24"/>
        </w:rPr>
      </w:pPr>
    </w:p>
    <w:p w14:paraId="5AC715F0">
      <w:pPr>
        <w:spacing w:line="540" w:lineRule="exact"/>
        <w:contextualSpacing/>
        <w:rPr>
          <w:rFonts w:ascii="仿宋_GB2312" w:eastAsia="仿宋_GB2312"/>
          <w:sz w:val="24"/>
          <w:szCs w:val="24"/>
        </w:rPr>
      </w:pPr>
    </w:p>
    <w:p w14:paraId="6BE6AF02">
      <w:pPr>
        <w:spacing w:line="540" w:lineRule="exact"/>
        <w:contextualSpacing/>
        <w:rPr>
          <w:rFonts w:ascii="仿宋_GB2312" w:eastAsia="仿宋_GB2312"/>
          <w:sz w:val="24"/>
          <w:szCs w:val="24"/>
        </w:rPr>
      </w:pPr>
    </w:p>
    <w:p w14:paraId="4AADDE7A">
      <w:pPr>
        <w:spacing w:line="540" w:lineRule="exact"/>
        <w:contextualSpacing/>
        <w:rPr>
          <w:rFonts w:ascii="仿宋_GB2312" w:eastAsia="仿宋_GB2312"/>
          <w:sz w:val="28"/>
          <w:szCs w:val="28"/>
        </w:rPr>
      </w:pPr>
    </w:p>
    <w:p w14:paraId="28ACE479">
      <w:pPr>
        <w:spacing w:line="540" w:lineRule="exact"/>
        <w:contextualSpacing/>
        <w:rPr>
          <w:rFonts w:ascii="仿宋_GB2312" w:eastAsia="仿宋_GB2312"/>
          <w:sz w:val="28"/>
          <w:szCs w:val="28"/>
        </w:rPr>
      </w:pPr>
    </w:p>
    <w:p w14:paraId="73F9C732">
      <w:pPr>
        <w:spacing w:line="540" w:lineRule="exact"/>
        <w:contextualSpacing/>
        <w:rPr>
          <w:rFonts w:ascii="仿宋_GB2312" w:eastAsia="仿宋_GB2312"/>
          <w:sz w:val="28"/>
          <w:szCs w:val="28"/>
        </w:rPr>
      </w:pPr>
    </w:p>
    <w:p w14:paraId="2C4D7967">
      <w:pPr>
        <w:spacing w:line="540" w:lineRule="exact"/>
        <w:contextualSpacing/>
        <w:rPr>
          <w:rFonts w:ascii="仿宋_GB2312" w:eastAsia="仿宋_GB2312"/>
          <w:sz w:val="28"/>
          <w:szCs w:val="28"/>
        </w:rPr>
      </w:pPr>
    </w:p>
    <w:p w14:paraId="04AED55C">
      <w:pPr>
        <w:spacing w:line="540" w:lineRule="exact"/>
        <w:contextualSpacing/>
        <w:rPr>
          <w:rFonts w:ascii="仿宋_GB2312" w:eastAsia="仿宋_GB2312"/>
          <w:sz w:val="28"/>
          <w:szCs w:val="28"/>
        </w:rPr>
      </w:pPr>
    </w:p>
    <w:p w14:paraId="7503499F">
      <w:pPr>
        <w:spacing w:line="540" w:lineRule="exact"/>
        <w:contextualSpacing/>
        <w:rPr>
          <w:rFonts w:ascii="仿宋_GB2312" w:eastAsia="仿宋_GB2312"/>
          <w:sz w:val="28"/>
          <w:szCs w:val="28"/>
        </w:rPr>
      </w:pPr>
    </w:p>
    <w:p w14:paraId="0AF5BE6B">
      <w:pPr>
        <w:spacing w:line="540" w:lineRule="exact"/>
        <w:contextualSpacing/>
        <w:rPr>
          <w:rFonts w:ascii="仿宋_GB2312" w:eastAsia="仿宋_GB2312"/>
          <w:sz w:val="28"/>
          <w:szCs w:val="28"/>
        </w:rPr>
      </w:pPr>
    </w:p>
    <w:p w14:paraId="05A12B0C">
      <w:pPr>
        <w:spacing w:line="540" w:lineRule="exact"/>
        <w:contextualSpacing/>
        <w:rPr>
          <w:rFonts w:ascii="仿宋_GB2312" w:eastAsia="仿宋_GB2312"/>
          <w:sz w:val="28"/>
          <w:szCs w:val="28"/>
        </w:rPr>
      </w:pPr>
      <w:r>
        <w:rPr>
          <w:rFonts w:hint="eastAsia" w:ascii="仿宋_GB2312" w:eastAsia="仿宋_GB2312"/>
          <w:sz w:val="28"/>
          <w:szCs w:val="28"/>
        </w:rPr>
        <w:t>附件5：</w:t>
      </w:r>
    </w:p>
    <w:p w14:paraId="4AB57595">
      <w:pPr>
        <w:spacing w:line="540" w:lineRule="exact"/>
        <w:contextualSpacing/>
        <w:jc w:val="center"/>
        <w:rPr>
          <w:rFonts w:ascii="仿宋_GB2312" w:eastAsia="仿宋_GB2312"/>
          <w:b/>
          <w:sz w:val="24"/>
          <w:szCs w:val="24"/>
        </w:rPr>
      </w:pPr>
      <w:r>
        <w:rPr>
          <w:rFonts w:hint="eastAsia" w:ascii="仿宋_GB2312" w:eastAsia="仿宋_GB2312"/>
          <w:b/>
          <w:sz w:val="24"/>
          <w:szCs w:val="24"/>
        </w:rPr>
        <w:t>中小企业声明函（服务）</w:t>
      </w:r>
    </w:p>
    <w:p w14:paraId="3AFADFA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本公司（联合体）郑重声明，根据《政府采购促进中小企业发展管理办法》（财库</w:t>
      </w:r>
      <w:r>
        <w:rPr>
          <w:rFonts w:hint="eastAsia" w:ascii="仿宋_GB2312"/>
          <w:sz w:val="24"/>
          <w:szCs w:val="24"/>
        </w:rPr>
        <w:t>﹝</w:t>
      </w:r>
      <w:r>
        <w:rPr>
          <w:rFonts w:hint="eastAsia" w:ascii="仿宋_GB2312" w:eastAsia="仿宋_GB2312"/>
          <w:sz w:val="24"/>
          <w:szCs w:val="24"/>
        </w:rPr>
        <w:t>2020</w:t>
      </w:r>
      <w:r>
        <w:rPr>
          <w:rFonts w:hint="eastAsia" w:ascii="仿宋_GB2312"/>
          <w:sz w:val="24"/>
          <w:szCs w:val="24"/>
        </w:rPr>
        <w:t>﹞</w:t>
      </w:r>
      <w:r>
        <w:rPr>
          <w:rFonts w:hint="eastAsia" w:ascii="仿宋_GB2312" w:eastAsia="仿宋_GB2312"/>
          <w:sz w:val="24"/>
          <w:szCs w:val="24"/>
        </w:rPr>
        <w:t>46 号）的规定，本公司（联合体）参加 （舟山市体育中心（舟山市全民健身中心）） 的 （舟山市体育场、体育馆物业管理服务</w:t>
      </w:r>
      <w:r>
        <w:rPr>
          <w:rFonts w:hint="eastAsia" w:ascii="仿宋_GB2312" w:eastAsia="仿宋_GB2312"/>
          <w:sz w:val="24"/>
          <w:szCs w:val="24"/>
          <w:lang w:eastAsia="zh-CN"/>
        </w:rPr>
        <w:t>（</w:t>
      </w:r>
      <w:r>
        <w:rPr>
          <w:rFonts w:hint="eastAsia" w:ascii="仿宋_GB2312" w:eastAsia="仿宋_GB2312"/>
          <w:sz w:val="24"/>
          <w:szCs w:val="24"/>
          <w:lang w:val="en-US" w:eastAsia="zh-CN"/>
        </w:rPr>
        <w:t>重新招标</w:t>
      </w:r>
      <w:r>
        <w:rPr>
          <w:rFonts w:hint="eastAsia" w:ascii="仿宋_GB2312" w:eastAsia="仿宋_GB2312"/>
          <w:sz w:val="24"/>
          <w:szCs w:val="24"/>
          <w:lang w:eastAsia="zh-CN"/>
        </w:rPr>
        <w:t>）</w:t>
      </w:r>
      <w:r>
        <w:rPr>
          <w:rFonts w:hint="eastAsia" w:ascii="仿宋_GB2312" w:eastAsia="仿宋_GB2312"/>
          <w:sz w:val="24"/>
          <w:szCs w:val="24"/>
        </w:rPr>
        <w:t>）采购活动，服务全部由符合政策要求的中小企业承接。相关企业（含联合体中的中小企业、签订分包意向协议的中小企业）的具体情况如下：</w:t>
      </w:r>
    </w:p>
    <w:p w14:paraId="5136579D">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 </w:t>
      </w:r>
      <w:r>
        <w:rPr>
          <w:rFonts w:hint="eastAsia" w:ascii="仿宋_GB2312" w:eastAsia="仿宋_GB2312"/>
          <w:sz w:val="24"/>
          <w:szCs w:val="24"/>
          <w:u w:val="single"/>
        </w:rPr>
        <w:t>物业管理服务</w:t>
      </w:r>
      <w:r>
        <w:rPr>
          <w:rFonts w:hint="eastAsia" w:ascii="仿宋_GB2312" w:eastAsia="仿宋_GB2312"/>
          <w:sz w:val="24"/>
          <w:szCs w:val="24"/>
        </w:rPr>
        <w:t>，属于</w:t>
      </w:r>
      <w:r>
        <w:rPr>
          <w:rFonts w:hint="eastAsia" w:ascii="仿宋_GB2312" w:eastAsia="仿宋_GB2312"/>
          <w:sz w:val="24"/>
          <w:szCs w:val="24"/>
          <w:u w:val="single"/>
        </w:rPr>
        <w:t>物业管理行业</w:t>
      </w:r>
      <w:r>
        <w:rPr>
          <w:rFonts w:hint="eastAsia" w:ascii="仿宋_GB2312" w:eastAsia="仿宋_GB2312"/>
          <w:sz w:val="24"/>
          <w:szCs w:val="24"/>
        </w:rPr>
        <w:t>；承接企业为 (</w:t>
      </w:r>
      <w:r>
        <w:rPr>
          <w:rFonts w:hint="eastAsia" w:ascii="仿宋_GB2312" w:eastAsia="仿宋_GB2312"/>
          <w:sz w:val="24"/>
          <w:szCs w:val="24"/>
          <w:u w:val="single"/>
        </w:rPr>
        <w:t>企业名称</w:t>
      </w:r>
      <w:r>
        <w:rPr>
          <w:rFonts w:hint="eastAsia" w:ascii="仿宋_GB2312" w:eastAsia="仿宋_GB2312"/>
          <w:sz w:val="24"/>
          <w:szCs w:val="24"/>
        </w:rPr>
        <w:t>)，从业人员</w:t>
      </w:r>
      <w:r>
        <w:rPr>
          <w:rFonts w:hint="eastAsia" w:ascii="仿宋_GB2312" w:eastAsia="仿宋_GB2312"/>
          <w:sz w:val="24"/>
          <w:szCs w:val="24"/>
          <w:u w:val="single"/>
          <w:lang w:val="en-US" w:eastAsia="zh-CN"/>
        </w:rPr>
        <w:t xml:space="preserve">   </w:t>
      </w:r>
      <w:r>
        <w:rPr>
          <w:rFonts w:hint="eastAsia" w:ascii="仿宋_GB2312" w:eastAsia="仿宋_GB2312"/>
          <w:sz w:val="24"/>
          <w:szCs w:val="24"/>
        </w:rPr>
        <w:t>人，营业收入为</w:t>
      </w:r>
      <w:r>
        <w:rPr>
          <w:rFonts w:hint="eastAsia" w:ascii="仿宋_GB2312" w:eastAsia="仿宋_GB2312"/>
          <w:sz w:val="24"/>
          <w:szCs w:val="24"/>
          <w:u w:val="single"/>
          <w:lang w:val="en-US" w:eastAsia="zh-CN"/>
        </w:rPr>
        <w:t xml:space="preserve">   </w:t>
      </w:r>
      <w:r>
        <w:rPr>
          <w:rFonts w:hint="eastAsia" w:ascii="仿宋_GB2312" w:eastAsia="仿宋_GB2312"/>
          <w:sz w:val="24"/>
          <w:szCs w:val="24"/>
        </w:rPr>
        <w:t>万元，资产总额为</w:t>
      </w:r>
      <w:r>
        <w:rPr>
          <w:rFonts w:hint="eastAsia" w:ascii="仿宋_GB2312" w:eastAsia="仿宋_GB2312"/>
          <w:sz w:val="24"/>
          <w:szCs w:val="24"/>
          <w:u w:val="single"/>
          <w:lang w:val="en-US" w:eastAsia="zh-CN"/>
        </w:rPr>
        <w:t xml:space="preserve">   </w:t>
      </w:r>
      <w:r>
        <w:rPr>
          <w:rFonts w:hint="eastAsia" w:ascii="仿宋_GB2312" w:eastAsia="仿宋_GB2312"/>
          <w:sz w:val="24"/>
          <w:szCs w:val="24"/>
        </w:rPr>
        <w:t>万元，属于（</w:t>
      </w:r>
      <w:r>
        <w:rPr>
          <w:rFonts w:hint="eastAsia" w:ascii="仿宋_GB2312" w:eastAsia="仿宋_GB2312"/>
          <w:sz w:val="24"/>
          <w:szCs w:val="24"/>
          <w:u w:val="single"/>
        </w:rPr>
        <w:t>中型企业、小型企业、微型企业</w:t>
      </w:r>
      <w:r>
        <w:rPr>
          <w:rFonts w:hint="eastAsia" w:ascii="仿宋_GB2312" w:eastAsia="仿宋_GB2312"/>
          <w:sz w:val="24"/>
          <w:szCs w:val="24"/>
        </w:rPr>
        <w:t>） ；</w:t>
      </w:r>
    </w:p>
    <w:p w14:paraId="463A333C">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以上企业，不属于大企业的分支机构，不存在控股股东为大企业的情形，也不存在与大企业的负责人为同一人的情形。</w:t>
      </w:r>
    </w:p>
    <w:p w14:paraId="303A9125">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本企业对上述声明内容的真实性负责。如有虚假，将依法承担相应责任。</w:t>
      </w:r>
    </w:p>
    <w:p w14:paraId="5D762F65">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14:paraId="3B62141E">
      <w:pPr>
        <w:spacing w:line="500" w:lineRule="exact"/>
        <w:ind w:firstLine="5520" w:firstLineChars="2300"/>
        <w:contextualSpacing/>
        <w:rPr>
          <w:rFonts w:ascii="仿宋_GB2312" w:eastAsia="仿宋_GB2312"/>
          <w:sz w:val="24"/>
          <w:szCs w:val="24"/>
        </w:rPr>
      </w:pPr>
      <w:r>
        <w:rPr>
          <w:rFonts w:hint="eastAsia" w:ascii="仿宋_GB2312" w:eastAsia="仿宋_GB2312"/>
          <w:sz w:val="24"/>
          <w:szCs w:val="24"/>
        </w:rPr>
        <w:t>日 期：</w:t>
      </w:r>
    </w:p>
    <w:p w14:paraId="1BF3A8E5">
      <w:pPr>
        <w:spacing w:line="460" w:lineRule="exact"/>
        <w:contextualSpacing/>
        <w:rPr>
          <w:rFonts w:ascii="仿宋_GB2312" w:eastAsia="仿宋_GB2312"/>
          <w:sz w:val="24"/>
          <w:szCs w:val="24"/>
        </w:rPr>
      </w:pPr>
      <w:r>
        <w:rPr>
          <w:rFonts w:hint="eastAsia" w:ascii="仿宋_GB2312" w:eastAsia="仿宋_GB2312"/>
          <w:sz w:val="24"/>
          <w:szCs w:val="24"/>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39B1609">
      <w:pPr>
        <w:spacing w:line="360" w:lineRule="auto"/>
        <w:ind w:right="420" w:firstLine="480" w:firstLineChars="200"/>
        <w:rPr>
          <w:rFonts w:ascii="仿宋_GB2312" w:eastAsia="仿宋_GB2312"/>
          <w:sz w:val="24"/>
          <w:szCs w:val="24"/>
        </w:rPr>
      </w:pPr>
      <w:r>
        <w:rPr>
          <w:rFonts w:hint="eastAsia" w:ascii="仿宋_GB2312" w:eastAsia="仿宋_GB2312"/>
          <w:sz w:val="24"/>
          <w:szCs w:val="24"/>
        </w:rPr>
        <w:t>2.填写要求：①“标的名称”、“采购文件中明确的所属行业”依据招标文件第二部分投标人须知前附表中“采购标的及其对应的中小企业划分标准所属行业”的指引逐一填写，“承建（承接）企业”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37A4484A">
      <w:pPr>
        <w:spacing w:line="360" w:lineRule="auto"/>
        <w:ind w:right="420" w:firstLine="480" w:firstLineChars="200"/>
        <w:rPr>
          <w:rFonts w:ascii="仿宋_GB2312" w:eastAsia="仿宋_GB2312"/>
          <w:sz w:val="24"/>
          <w:szCs w:val="24"/>
        </w:rPr>
      </w:pPr>
    </w:p>
    <w:p w14:paraId="6FE15F20">
      <w:pPr>
        <w:spacing w:line="360" w:lineRule="auto"/>
        <w:ind w:right="420" w:firstLine="480" w:firstLineChars="200"/>
        <w:rPr>
          <w:rFonts w:ascii="仿宋_GB2312" w:eastAsia="仿宋_GB2312"/>
          <w:sz w:val="24"/>
          <w:szCs w:val="24"/>
        </w:rPr>
      </w:pPr>
    </w:p>
    <w:p w14:paraId="51549923">
      <w:pPr>
        <w:autoSpaceDE w:val="0"/>
        <w:autoSpaceDN w:val="0"/>
        <w:rPr>
          <w:rFonts w:ascii="仿宋_GB2312" w:hAnsi="宋体" w:eastAsia="仿宋_GB2312" w:cs="宋体"/>
          <w:spacing w:val="6"/>
          <w:sz w:val="28"/>
          <w:szCs w:val="28"/>
        </w:rPr>
      </w:pPr>
    </w:p>
    <w:p w14:paraId="272D8738">
      <w:pPr>
        <w:autoSpaceDE w:val="0"/>
        <w:autoSpaceDN w:val="0"/>
        <w:rPr>
          <w:rFonts w:ascii="仿宋_GB2312" w:hAnsi="宋体" w:eastAsia="仿宋_GB2312" w:cs="宋体"/>
          <w:spacing w:val="6"/>
          <w:sz w:val="28"/>
          <w:szCs w:val="28"/>
        </w:rPr>
      </w:pPr>
      <w:r>
        <w:rPr>
          <w:rFonts w:hint="eastAsia" w:ascii="仿宋_GB2312" w:hAnsi="宋体" w:eastAsia="仿宋_GB2312" w:cs="宋体"/>
          <w:spacing w:val="6"/>
          <w:sz w:val="28"/>
          <w:szCs w:val="28"/>
        </w:rPr>
        <w:t>附件6：</w:t>
      </w:r>
    </w:p>
    <w:p w14:paraId="03F8B65D">
      <w:pPr>
        <w:autoSpaceDE w:val="0"/>
        <w:autoSpaceDN w:val="0"/>
        <w:jc w:val="center"/>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联合协议</w:t>
      </w:r>
    </w:p>
    <w:p w14:paraId="729E4EF5">
      <w:pPr>
        <w:widowControl/>
        <w:spacing w:line="360" w:lineRule="auto"/>
        <w:ind w:firstLine="482" w:firstLineChars="200"/>
        <w:jc w:val="left"/>
        <w:rPr>
          <w:rFonts w:ascii="仿宋_GB2312" w:hAnsi="宋体" w:eastAsia="仿宋_GB2312" w:cs="宋体"/>
          <w:b/>
          <w:sz w:val="24"/>
          <w:szCs w:val="24"/>
        </w:rPr>
      </w:pPr>
      <w:r>
        <w:rPr>
          <w:rFonts w:hint="eastAsia" w:ascii="仿宋_GB2312" w:hAnsi="宋体" w:eastAsia="仿宋_GB2312" w:cs="宋体"/>
          <w:b/>
          <w:sz w:val="24"/>
          <w:szCs w:val="24"/>
        </w:rPr>
        <w:t>（以联合体形式投标的，提供联合协议；本项目不接受联合体投标或者投标人不以联合体形式投标的，则不需要提供）</w:t>
      </w:r>
    </w:p>
    <w:p w14:paraId="10C7C53F">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（联合体所有成员名称）</w:t>
      </w:r>
      <w:r>
        <w:rPr>
          <w:rFonts w:hint="eastAsia" w:ascii="仿宋_GB2312" w:hAnsi="宋体" w:eastAsia="仿宋_GB2312" w:cs="宋体"/>
          <w:kern w:val="0"/>
          <w:sz w:val="24"/>
          <w:szCs w:val="24"/>
        </w:rPr>
        <w:t>自愿</w:t>
      </w:r>
      <w:r>
        <w:rPr>
          <w:rFonts w:hint="eastAsia" w:ascii="仿宋_GB2312" w:hAnsi="宋体" w:eastAsia="仿宋_GB2312" w:cs="宋体"/>
          <w:kern w:val="0"/>
          <w:sz w:val="24"/>
          <w:szCs w:val="24"/>
          <w:lang w:val="zh-CN"/>
        </w:rPr>
        <w:t>组成一个联合体，以一个投标人的身份</w:t>
      </w:r>
      <w:r>
        <w:rPr>
          <w:rFonts w:hint="eastAsia" w:ascii="仿宋_GB2312" w:hAnsi="宋体" w:eastAsia="仿宋_GB2312" w:cs="宋体"/>
          <w:kern w:val="0"/>
          <w:sz w:val="24"/>
          <w:szCs w:val="24"/>
        </w:rPr>
        <w:t>参加</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u w:val="single"/>
        </w:rPr>
        <w:t>（项目编号）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 xml:space="preserve">投标。 </w:t>
      </w:r>
    </w:p>
    <w:p w14:paraId="1DD8DCF1">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一、各方一致决定，</w:t>
      </w:r>
      <w:r>
        <w:rPr>
          <w:rFonts w:hint="eastAsia" w:ascii="仿宋_GB2312" w:hAnsi="宋体" w:eastAsia="仿宋_GB2312" w:cs="宋体"/>
          <w:kern w:val="0"/>
          <w:sz w:val="24"/>
          <w:szCs w:val="24"/>
          <w:u w:val="single"/>
        </w:rPr>
        <w:t>（某联合体成员名称）</w:t>
      </w:r>
      <w:r>
        <w:rPr>
          <w:rFonts w:hint="eastAsia" w:ascii="仿宋_GB2312" w:hAnsi="宋体" w:eastAsia="仿宋_GB2312" w:cs="宋体"/>
          <w:kern w:val="0"/>
          <w:sz w:val="24"/>
          <w:szCs w:val="24"/>
        </w:rPr>
        <w:t>为联合体</w:t>
      </w:r>
      <w:r>
        <w:rPr>
          <w:rFonts w:hint="eastAsia" w:ascii="仿宋_GB2312" w:hAnsi="宋体" w:eastAsia="仿宋_GB2312" w:cs="宋体"/>
          <w:kern w:val="0"/>
          <w:sz w:val="24"/>
          <w:szCs w:val="24"/>
          <w:lang w:val="zh-CN"/>
        </w:rPr>
        <w:t>牵头人</w:t>
      </w:r>
      <w:r>
        <w:rPr>
          <w:rFonts w:hint="eastAsia" w:ascii="仿宋_GB2312" w:hAnsi="宋体" w:eastAsia="仿宋_GB2312" w:cs="宋体"/>
          <w:sz w:val="24"/>
          <w:szCs w:val="24"/>
        </w:rPr>
        <w:t>，代表所有联合体成员负责投标和合同实施阶段的主办、协调工作</w:t>
      </w:r>
      <w:r>
        <w:rPr>
          <w:rFonts w:hint="eastAsia" w:ascii="仿宋_GB2312" w:hAnsi="宋体" w:eastAsia="仿宋_GB2312" w:cs="宋体"/>
          <w:kern w:val="0"/>
          <w:sz w:val="24"/>
          <w:szCs w:val="24"/>
          <w:lang w:val="zh-CN"/>
        </w:rPr>
        <w:t>。</w:t>
      </w:r>
    </w:p>
    <w:p w14:paraId="76CDDE5A">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w:t>
      </w:r>
      <w:r>
        <w:rPr>
          <w:rFonts w:hint="eastAsia" w:ascii="仿宋_GB2312" w:hAnsi="宋体" w:eastAsia="仿宋_GB2312" w:cs="宋体"/>
          <w:sz w:val="24"/>
          <w:szCs w:val="24"/>
        </w:rPr>
        <w:t>所有联合体成员各方签署授权书，授权书载明的</w:t>
      </w:r>
      <w:r>
        <w:rPr>
          <w:rFonts w:hint="eastAsia" w:ascii="仿宋_GB2312" w:hAnsi="宋体" w:eastAsia="仿宋_GB2312" w:cs="宋体"/>
          <w:kern w:val="0"/>
          <w:sz w:val="24"/>
          <w:szCs w:val="24"/>
          <w:lang w:val="zh-CN"/>
        </w:rPr>
        <w:t>授权代表根据招标文件规定及投标内容而对采购人、采购代理机构所作的任何合法承诺，包括书面澄清及相应等均对联合投标各方产生约束力。</w:t>
      </w:r>
    </w:p>
    <w:p w14:paraId="7FDAD1BF">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三、本次联合投标中，分工如下：</w:t>
      </w:r>
    </w:p>
    <w:p w14:paraId="00FD36E3">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（联合体成员1）</w:t>
      </w:r>
      <w:r>
        <w:rPr>
          <w:rFonts w:hint="eastAsia" w:ascii="仿宋_GB2312" w:hAnsi="宋体" w:eastAsia="仿宋_GB2312" w:cs="宋体"/>
          <w:kern w:val="0"/>
          <w:sz w:val="24"/>
          <w:szCs w:val="24"/>
          <w:lang w:val="zh-CN"/>
        </w:rPr>
        <w:t>承担的工作和义务为：；</w:t>
      </w:r>
    </w:p>
    <w:p w14:paraId="4AA2BC9F">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（联合体成员2）</w:t>
      </w:r>
      <w:r>
        <w:rPr>
          <w:rFonts w:hint="eastAsia" w:ascii="仿宋_GB2312" w:hAnsi="宋体" w:eastAsia="仿宋_GB2312" w:cs="宋体"/>
          <w:kern w:val="0"/>
          <w:sz w:val="24"/>
          <w:szCs w:val="24"/>
          <w:lang w:val="zh-CN"/>
        </w:rPr>
        <w:t>承担的工作和义务为：；</w:t>
      </w:r>
    </w:p>
    <w:p w14:paraId="13FBC360">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w:t>
      </w:r>
    </w:p>
    <w:p w14:paraId="3199C975">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四、联合体成员中小企业合同份额。</w:t>
      </w:r>
    </w:p>
    <w:p w14:paraId="2F3D597F">
      <w:pPr>
        <w:spacing w:line="360" w:lineRule="auto"/>
        <w:ind w:firstLine="480" w:firstLineChars="200"/>
        <w:rPr>
          <w:rFonts w:ascii="仿宋_GB2312" w:hAnsi="宋体" w:eastAsia="仿宋_GB2312" w:cs="宋体"/>
          <w:b/>
          <w:bCs/>
          <w:kern w:val="0"/>
          <w:sz w:val="24"/>
          <w:szCs w:val="24"/>
          <w:lang w:val="zh-CN"/>
        </w:rPr>
      </w:pPr>
      <w:r>
        <w:rPr>
          <w:rFonts w:hint="eastAsia" w:ascii="仿宋_GB2312" w:hAnsi="宋体" w:eastAsia="仿宋_GB2312" w:cs="宋体"/>
          <w:kern w:val="0"/>
          <w:sz w:val="24"/>
          <w:szCs w:val="24"/>
          <w:u w:val="single"/>
        </w:rPr>
        <w:t>（</w:t>
      </w:r>
      <w:bookmarkStart w:id="402" w:name="_Hlk101131882"/>
      <w:r>
        <w:rPr>
          <w:rFonts w:hint="eastAsia" w:ascii="仿宋_GB2312" w:hAnsi="宋体" w:eastAsia="仿宋_GB2312" w:cs="宋体"/>
          <w:kern w:val="0"/>
          <w:sz w:val="24"/>
          <w:szCs w:val="24"/>
          <w:u w:val="single"/>
        </w:rPr>
        <w:t>联合体成员X,……</w:t>
      </w:r>
      <w:bookmarkEnd w:id="402"/>
      <w:r>
        <w:rPr>
          <w:rFonts w:hint="eastAsia" w:ascii="仿宋_GB2312" w:hAnsi="宋体" w:eastAsia="仿宋_GB2312" w:cs="宋体"/>
          <w:kern w:val="0"/>
          <w:sz w:val="24"/>
          <w:szCs w:val="24"/>
          <w:u w:val="single"/>
        </w:rPr>
        <w:t>）</w:t>
      </w:r>
      <w:r>
        <w:rPr>
          <w:rFonts w:hint="eastAsia" w:ascii="仿宋_GB2312" w:hAnsi="宋体" w:eastAsia="仿宋_GB2312" w:cs="宋体"/>
          <w:kern w:val="0"/>
          <w:sz w:val="24"/>
          <w:szCs w:val="24"/>
        </w:rPr>
        <w:t>提供的服务由中小微企业承接，其合同份额占到合同总金额%以上</w:t>
      </w:r>
      <w:r>
        <w:rPr>
          <w:rFonts w:hint="eastAsia" w:ascii="仿宋_GB2312" w:hAnsi="宋体" w:eastAsia="仿宋_GB2312" w:cs="宋体"/>
          <w:kern w:val="0"/>
          <w:sz w:val="24"/>
          <w:szCs w:val="24"/>
          <w:lang w:val="zh-CN"/>
        </w:rPr>
        <w:t>。</w:t>
      </w:r>
      <w:bookmarkStart w:id="403" w:name="_Hlk101133173"/>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宋体" w:eastAsia="仿宋_GB2312" w:cs="宋体"/>
          <w:b/>
          <w:bCs/>
          <w:kern w:val="0"/>
          <w:sz w:val="24"/>
          <w:szCs w:val="24"/>
          <w:lang w:val="zh-CN"/>
        </w:rPr>
        <w:t>）</w:t>
      </w:r>
      <w:bookmarkEnd w:id="403"/>
    </w:p>
    <w:p w14:paraId="5A2EE29E">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五、如果中标，</w:t>
      </w:r>
      <w:r>
        <w:rPr>
          <w:rFonts w:hint="eastAsia" w:ascii="仿宋_GB2312" w:hAnsi="宋体" w:eastAsia="仿宋_GB2312" w:cs="宋体"/>
          <w:sz w:val="24"/>
          <w:szCs w:val="24"/>
        </w:rPr>
        <w:t>联合体各成员方共同与采购人签订合同，并就采购合同约定的事项对采购人承担连带责任。</w:t>
      </w:r>
    </w:p>
    <w:p w14:paraId="58F8C68C">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六、有关本次联合投标的其他事宜：</w:t>
      </w:r>
    </w:p>
    <w:p w14:paraId="016AB72C">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1、联合体各方不再单独参加或者与其他供应商另外组成联合体参加同一合同项下的政府采购活动。</w:t>
      </w:r>
    </w:p>
    <w:p w14:paraId="7ABE2F2B">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2、联合体中有同类资质的各方按照联合体分工承担相同工作的，按照资质等级较低的供应商确定资质等级。</w:t>
      </w:r>
    </w:p>
    <w:p w14:paraId="5D3308C2">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3、本协议提交采购人、采购代理机构后，联合体各方不得以任何形式对上述内容进行修改或撤销。</w:t>
      </w:r>
    </w:p>
    <w:p w14:paraId="2D350BC8">
      <w:pPr>
        <w:snapToGrid w:val="0"/>
        <w:spacing w:line="360" w:lineRule="auto"/>
        <w:ind w:firstLine="5040" w:firstLineChars="2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14:paraId="0CEFB132">
      <w:pPr>
        <w:snapToGrid w:val="0"/>
        <w:spacing w:line="360" w:lineRule="auto"/>
        <w:ind w:firstLine="5040" w:firstLineChars="2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14:paraId="2D081B80">
      <w:pPr>
        <w:snapToGrid w:val="0"/>
        <w:spacing w:line="360" w:lineRule="auto"/>
        <w:ind w:right="960"/>
        <w:jc w:val="center"/>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 xml:space="preserve">                   ……</w:t>
      </w:r>
    </w:p>
    <w:p w14:paraId="445C9604">
      <w:pPr>
        <w:snapToGrid w:val="0"/>
        <w:spacing w:line="360" w:lineRule="auto"/>
        <w:jc w:val="righ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日期：  年  月   日</w:t>
      </w:r>
    </w:p>
    <w:p w14:paraId="61626028">
      <w:pPr>
        <w:snapToGrid w:val="0"/>
        <w:spacing w:line="360" w:lineRule="auto"/>
        <w:rPr>
          <w:rFonts w:ascii="仿宋_GB2312" w:hAnsi="宋体" w:eastAsia="仿宋_GB2312" w:cs="宋体"/>
          <w:spacing w:val="6"/>
          <w:sz w:val="28"/>
          <w:szCs w:val="28"/>
        </w:rPr>
      </w:pPr>
      <w:r>
        <w:rPr>
          <w:rFonts w:hint="eastAsia" w:ascii="仿宋_GB2312" w:hAnsi="宋体" w:eastAsia="仿宋_GB2312" w:cs="宋体"/>
          <w:spacing w:val="6"/>
          <w:sz w:val="28"/>
          <w:szCs w:val="28"/>
        </w:rPr>
        <w:t>附件7：</w:t>
      </w:r>
    </w:p>
    <w:p w14:paraId="05588507">
      <w:pPr>
        <w:snapToGrid w:val="0"/>
        <w:spacing w:line="360" w:lineRule="auto"/>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分包意向协议</w:t>
      </w:r>
    </w:p>
    <w:p w14:paraId="05590F12">
      <w:pPr>
        <w:widowControl/>
        <w:spacing w:line="360" w:lineRule="auto"/>
        <w:jc w:val="left"/>
        <w:rPr>
          <w:rFonts w:ascii="仿宋_GB2312" w:hAnsi="宋体" w:eastAsia="仿宋_GB2312" w:cs="宋体"/>
          <w:sz w:val="24"/>
          <w:szCs w:val="24"/>
        </w:rPr>
      </w:pPr>
      <w:r>
        <w:rPr>
          <w:rFonts w:hint="eastAsia" w:ascii="仿宋_GB2312" w:hAnsi="宋体" w:eastAsia="仿宋_GB2312" w:cs="宋体"/>
          <w:sz w:val="24"/>
          <w:szCs w:val="24"/>
        </w:rPr>
        <w:t>（</w:t>
      </w:r>
      <w:r>
        <w:rPr>
          <w:rFonts w:hint="eastAsia" w:ascii="仿宋_GB2312" w:hAnsi="宋体" w:eastAsia="仿宋_GB2312" w:cs="宋体"/>
          <w:b/>
          <w:sz w:val="24"/>
          <w:szCs w:val="24"/>
        </w:rPr>
        <w:t>中标后以分包方式履行合同的，提供分包意向协议；采购人不同意分包或者投标人中标后不以分包方式履行合同的，则不需要提供。</w:t>
      </w:r>
      <w:r>
        <w:rPr>
          <w:rFonts w:hint="eastAsia" w:ascii="仿宋_GB2312" w:hAnsi="宋体" w:eastAsia="仿宋_GB2312" w:cs="宋体"/>
          <w:sz w:val="24"/>
          <w:szCs w:val="24"/>
        </w:rPr>
        <w:t>）</w:t>
      </w:r>
    </w:p>
    <w:p w14:paraId="2DDA484F">
      <w:pPr>
        <w:snapToGrid w:val="0"/>
        <w:spacing w:line="360" w:lineRule="auto"/>
        <w:ind w:firstLine="600" w:firstLineChars="25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lang w:val="zh-CN"/>
        </w:rPr>
        <w:t>若成为</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u w:val="single"/>
        </w:rPr>
        <w:t>（项目编号）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的中标供应商，将依法采取分包方式履行合同。</w:t>
      </w: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rPr>
        <w:t>与</w:t>
      </w:r>
      <w:r>
        <w:rPr>
          <w:rFonts w:hint="eastAsia" w:ascii="仿宋_GB2312" w:hAnsi="宋体" w:eastAsia="仿宋_GB2312" w:cs="宋体"/>
          <w:kern w:val="0"/>
          <w:sz w:val="24"/>
          <w:szCs w:val="24"/>
          <w:u w:val="single"/>
        </w:rPr>
        <w:t>（所有分包供应商名称）</w:t>
      </w:r>
      <w:r>
        <w:rPr>
          <w:rFonts w:hint="eastAsia" w:ascii="仿宋_GB2312" w:hAnsi="宋体" w:eastAsia="仿宋_GB2312" w:cs="宋体"/>
          <w:kern w:val="0"/>
          <w:sz w:val="24"/>
          <w:szCs w:val="24"/>
        </w:rPr>
        <w:t>达成分包意向协议</w:t>
      </w:r>
      <w:r>
        <w:rPr>
          <w:rFonts w:hint="eastAsia" w:ascii="仿宋_GB2312" w:hAnsi="宋体" w:eastAsia="仿宋_GB2312" w:cs="宋体"/>
          <w:kern w:val="0"/>
          <w:sz w:val="24"/>
          <w:szCs w:val="24"/>
          <w:lang w:val="zh-CN"/>
        </w:rPr>
        <w:t xml:space="preserve">。 </w:t>
      </w:r>
    </w:p>
    <w:p w14:paraId="5F87CEFA">
      <w:pPr>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一、</w:t>
      </w:r>
      <w:r>
        <w:rPr>
          <w:rFonts w:hint="eastAsia" w:ascii="仿宋_GB2312" w:hAnsi="仿宋_GB2312" w:eastAsia="仿宋_GB2312" w:cs="仿宋_GB2312"/>
          <w:color w:val="auto"/>
          <w:kern w:val="0"/>
          <w:sz w:val="24"/>
          <w:szCs w:val="24"/>
          <w:highlight w:val="none"/>
          <w:u w:val="single"/>
          <w:lang w:val="zh-CN"/>
        </w:rPr>
        <w:t>（投标人名称）</w:t>
      </w:r>
      <w:r>
        <w:rPr>
          <w:rFonts w:hint="eastAsia" w:ascii="仿宋_GB2312" w:hAnsi="仿宋_GB2312" w:eastAsia="仿宋_GB2312" w:cs="仿宋_GB2312"/>
          <w:color w:val="auto"/>
          <w:kern w:val="0"/>
          <w:sz w:val="24"/>
          <w:szCs w:val="24"/>
          <w:highlight w:val="none"/>
          <w:u w:val="none"/>
          <w:lang w:val="zh-CN"/>
        </w:rPr>
        <w:t>将工作</w:t>
      </w:r>
      <w:r>
        <w:rPr>
          <w:rFonts w:hint="eastAsia" w:ascii="仿宋_GB2312" w:hAnsi="仿宋_GB2312" w:eastAsia="仿宋_GB2312" w:cs="仿宋_GB2312"/>
          <w:color w:val="auto"/>
          <w:kern w:val="0"/>
          <w:sz w:val="24"/>
          <w:szCs w:val="24"/>
          <w:highlight w:val="none"/>
          <w:lang w:val="zh-CN"/>
        </w:rPr>
        <w:t>分包如下：</w:t>
      </w:r>
      <w:r>
        <w:rPr>
          <w:rFonts w:hint="eastAsia" w:ascii="仿宋_GB2312" w:hAnsi="仿宋_GB2312" w:eastAsia="仿宋_GB2312" w:cs="仿宋_GB2312"/>
          <w:b/>
          <w:bCs/>
          <w:i w:val="0"/>
          <w:iCs w:val="0"/>
          <w:color w:val="auto"/>
          <w:kern w:val="0"/>
          <w:sz w:val="24"/>
          <w:szCs w:val="24"/>
          <w:highlight w:val="none"/>
          <w:lang w:val="zh-CN"/>
        </w:rPr>
        <w:t>（注：投标人只能将招标文件第二部分中“前附表”的“分包”规定的工作进行分包）</w:t>
      </w:r>
    </w:p>
    <w:p w14:paraId="4C99ECF9">
      <w:pPr>
        <w:snapToGrid w:val="0"/>
        <w:spacing w:line="360" w:lineRule="auto"/>
        <w:ind w:firstLine="576"/>
        <w:rPr>
          <w:rFonts w:hint="eastAsia" w:ascii="仿宋_GB2312" w:hAnsi="仿宋_GB2312" w:eastAsia="仿宋_GB2312" w:cs="仿宋_GB2312"/>
          <w:color w:val="auto"/>
          <w:kern w:val="0"/>
          <w:sz w:val="24"/>
          <w:szCs w:val="24"/>
          <w:highlight w:val="none"/>
          <w:lang w:val="zh-CN" w:eastAsia="zh-CN"/>
        </w:rPr>
      </w:pPr>
      <w:r>
        <w:rPr>
          <w:rFonts w:hint="eastAsia" w:ascii="仿宋_GB2312" w:hAnsi="仿宋_GB2312" w:eastAsia="仿宋_GB2312" w:cs="仿宋_GB2312"/>
          <w:color w:val="auto"/>
          <w:kern w:val="0"/>
          <w:sz w:val="24"/>
          <w:szCs w:val="24"/>
          <w:highlight w:val="none"/>
          <w:lang w:val="zh-CN"/>
        </w:rPr>
        <w:t>将</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kern w:val="0"/>
          <w:sz w:val="24"/>
          <w:szCs w:val="24"/>
          <w:highlight w:val="none"/>
          <w:u w:val="single"/>
        </w:rPr>
        <w:t xml:space="preserve"> XX工作内容   </w:t>
      </w:r>
      <w:r>
        <w:rPr>
          <w:rFonts w:hint="eastAsia" w:ascii="仿宋_GB2312" w:hAnsi="仿宋_GB2312" w:eastAsia="仿宋_GB2312" w:cs="仿宋_GB2312"/>
          <w:color w:val="auto"/>
          <w:sz w:val="24"/>
          <w:szCs w:val="24"/>
          <w:highlight w:val="none"/>
        </w:rPr>
        <w:t>分包给</w:t>
      </w:r>
      <w:r>
        <w:rPr>
          <w:rFonts w:hint="eastAsia" w:ascii="仿宋_GB2312" w:hAnsi="仿宋_GB2312" w:eastAsia="仿宋_GB2312" w:cs="仿宋_GB2312"/>
          <w:color w:val="auto"/>
          <w:kern w:val="0"/>
          <w:sz w:val="24"/>
          <w:szCs w:val="24"/>
          <w:highlight w:val="none"/>
          <w:u w:val="single"/>
        </w:rPr>
        <w:t>（分包供应商1名称）</w:t>
      </w:r>
      <w:r>
        <w:rPr>
          <w:rFonts w:hint="eastAsia" w:ascii="仿宋_GB2312" w:hAnsi="仿宋_GB2312" w:eastAsia="仿宋_GB2312" w:cs="仿宋_GB2312"/>
          <w:color w:val="auto"/>
          <w:kern w:val="0"/>
          <w:sz w:val="24"/>
          <w:szCs w:val="24"/>
          <w:highlight w:val="none"/>
          <w:u w:val="single"/>
          <w:lang w:eastAsia="zh-CN"/>
        </w:rPr>
        <w:t>；</w:t>
      </w:r>
    </w:p>
    <w:p w14:paraId="7FDE4ABB">
      <w:pPr>
        <w:snapToGrid w:val="0"/>
        <w:spacing w:line="360" w:lineRule="auto"/>
        <w:ind w:firstLine="576"/>
        <w:rPr>
          <w:rFonts w:hint="eastAsia" w:ascii="仿宋_GB2312" w:hAnsi="仿宋_GB2312" w:eastAsia="仿宋_GB2312" w:cs="仿宋_GB2312"/>
          <w:color w:val="auto"/>
          <w:kern w:val="0"/>
          <w:sz w:val="24"/>
          <w:szCs w:val="24"/>
          <w:highlight w:val="none"/>
          <w:u w:val="single"/>
        </w:rPr>
      </w:pPr>
      <w:r>
        <w:rPr>
          <w:rFonts w:hint="eastAsia" w:ascii="仿宋_GB2312" w:hAnsi="仿宋_GB2312" w:eastAsia="仿宋_GB2312" w:cs="仿宋_GB2312"/>
          <w:color w:val="auto"/>
          <w:kern w:val="0"/>
          <w:sz w:val="24"/>
          <w:szCs w:val="24"/>
          <w:highlight w:val="none"/>
          <w:lang w:val="zh-CN"/>
        </w:rPr>
        <w:t>将</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kern w:val="0"/>
          <w:sz w:val="24"/>
          <w:szCs w:val="24"/>
          <w:highlight w:val="none"/>
          <w:u w:val="single"/>
        </w:rPr>
        <w:t xml:space="preserve"> XX工作内容   </w:t>
      </w:r>
      <w:r>
        <w:rPr>
          <w:rFonts w:hint="eastAsia" w:ascii="仿宋_GB2312" w:hAnsi="仿宋_GB2312" w:eastAsia="仿宋_GB2312" w:cs="仿宋_GB2312"/>
          <w:color w:val="auto"/>
          <w:sz w:val="24"/>
          <w:szCs w:val="24"/>
          <w:highlight w:val="none"/>
        </w:rPr>
        <w:t>分包给</w:t>
      </w:r>
      <w:r>
        <w:rPr>
          <w:rFonts w:hint="eastAsia" w:ascii="仿宋_GB2312" w:hAnsi="仿宋_GB2312" w:eastAsia="仿宋_GB2312" w:cs="仿宋_GB2312"/>
          <w:color w:val="auto"/>
          <w:kern w:val="0"/>
          <w:sz w:val="24"/>
          <w:szCs w:val="24"/>
          <w:highlight w:val="none"/>
          <w:u w:val="single"/>
        </w:rPr>
        <w:t>（分包供应商</w:t>
      </w:r>
      <w:r>
        <w:rPr>
          <w:rFonts w:hint="eastAsia" w:ascii="仿宋_GB2312" w:hAnsi="仿宋_GB2312" w:eastAsia="仿宋_GB2312" w:cs="仿宋_GB2312"/>
          <w:color w:val="auto"/>
          <w:kern w:val="0"/>
          <w:sz w:val="24"/>
          <w:szCs w:val="24"/>
          <w:highlight w:val="none"/>
          <w:u w:val="single"/>
          <w:lang w:val="en-US" w:eastAsia="zh-CN"/>
        </w:rPr>
        <w:t>2</w:t>
      </w:r>
      <w:r>
        <w:rPr>
          <w:rFonts w:hint="eastAsia" w:ascii="仿宋_GB2312" w:hAnsi="仿宋_GB2312" w:eastAsia="仿宋_GB2312" w:cs="仿宋_GB2312"/>
          <w:color w:val="auto"/>
          <w:kern w:val="0"/>
          <w:sz w:val="24"/>
          <w:szCs w:val="24"/>
          <w:highlight w:val="none"/>
          <w:u w:val="single"/>
        </w:rPr>
        <w:t>名称）</w:t>
      </w:r>
      <w:r>
        <w:rPr>
          <w:rFonts w:hint="eastAsia" w:ascii="仿宋_GB2312" w:hAnsi="仿宋_GB2312" w:eastAsia="仿宋_GB2312" w:cs="仿宋_GB2312"/>
          <w:color w:val="auto"/>
          <w:kern w:val="0"/>
          <w:sz w:val="24"/>
          <w:szCs w:val="24"/>
          <w:highlight w:val="none"/>
          <w:u w:val="single"/>
          <w:lang w:eastAsia="zh-CN"/>
        </w:rPr>
        <w:t>；</w:t>
      </w:r>
    </w:p>
    <w:p w14:paraId="0CAC2A92">
      <w:pPr>
        <w:pStyle w:val="2"/>
        <w:ind w:left="664" w:leftChars="316" w:firstLine="229" w:firstLineChars="95"/>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p w14:paraId="27F8EA0C">
      <w:pPr>
        <w:tabs>
          <w:tab w:val="left" w:pos="432"/>
        </w:tabs>
        <w:snapToGrid w:val="0"/>
        <w:ind w:left="664" w:leftChars="316" w:firstLine="228" w:firstLineChars="95"/>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highlight w:val="none"/>
          <w:u w:val="none"/>
          <w:lang w:eastAsia="zh-CN"/>
        </w:rPr>
        <w:t>以上分包供应商</w:t>
      </w:r>
      <w:r>
        <w:rPr>
          <w:rFonts w:hint="eastAsia" w:ascii="仿宋_GB2312" w:hAnsi="仿宋_GB2312" w:eastAsia="仿宋_GB2312" w:cs="仿宋_GB2312"/>
          <w:color w:val="auto"/>
          <w:kern w:val="0"/>
          <w:sz w:val="24"/>
          <w:highlight w:val="none"/>
          <w:u w:val="none"/>
          <w:lang w:val="zh-CN"/>
        </w:rPr>
        <w:t>具备所承</w:t>
      </w:r>
      <w:r>
        <w:rPr>
          <w:rFonts w:hint="eastAsia" w:ascii="仿宋_GB2312" w:hAnsi="仿宋_GB2312" w:eastAsia="仿宋_GB2312" w:cs="仿宋_GB2312"/>
          <w:color w:val="auto"/>
          <w:kern w:val="0"/>
          <w:sz w:val="24"/>
          <w:highlight w:val="none"/>
          <w:u w:val="none"/>
        </w:rPr>
        <w:t>担</w:t>
      </w:r>
      <w:r>
        <w:rPr>
          <w:rFonts w:hint="eastAsia" w:ascii="仿宋_GB2312" w:hAnsi="仿宋_GB2312" w:eastAsia="仿宋_GB2312" w:cs="仿宋_GB2312"/>
          <w:color w:val="auto"/>
          <w:kern w:val="0"/>
          <w:sz w:val="24"/>
          <w:highlight w:val="none"/>
          <w:u w:val="none"/>
          <w:lang w:val="zh-CN"/>
        </w:rPr>
        <w:t>分包工作内容相应的资质条件且不得再次分包。</w:t>
      </w:r>
    </w:p>
    <w:p w14:paraId="2EBA6864">
      <w:pPr>
        <w:rPr>
          <w:rFonts w:ascii="仿宋_GB2312" w:eastAsia="仿宋_GB2312"/>
          <w:sz w:val="24"/>
          <w:szCs w:val="24"/>
        </w:rPr>
      </w:pPr>
    </w:p>
    <w:p w14:paraId="18161CAA">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二、分包供应商中小企业合同份额</w:t>
      </w:r>
      <w:r>
        <w:rPr>
          <w:rFonts w:hint="eastAsia" w:ascii="仿宋_GB2312" w:hAnsi="仿宋_GB2312" w:eastAsia="仿宋_GB2312" w:cs="仿宋_GB2312"/>
          <w:b/>
          <w:bCs/>
          <w:color w:val="auto"/>
          <w:kern w:val="0"/>
          <w:sz w:val="24"/>
          <w:highlight w:val="none"/>
          <w:lang w:val="zh-CN"/>
        </w:rPr>
        <w:t>（</w:t>
      </w:r>
      <w:r>
        <w:rPr>
          <w:rFonts w:hint="eastAsia" w:ascii="仿宋_GB2312" w:hAnsi="仿宋_GB2312" w:eastAsia="仿宋_GB2312" w:cs="仿宋_GB2312"/>
          <w:b/>
          <w:bCs/>
          <w:color w:val="auto"/>
          <w:kern w:val="0"/>
          <w:sz w:val="24"/>
          <w:highlight w:val="none"/>
          <w:lang w:val="en-US" w:eastAsia="zh-CN"/>
        </w:rPr>
        <w:t>根据项目具体情况二选一填写）</w:t>
      </w:r>
      <w:r>
        <w:rPr>
          <w:rFonts w:hint="eastAsia" w:ascii="仿宋_GB2312" w:hAnsi="仿宋_GB2312" w:eastAsia="仿宋_GB2312" w:cs="仿宋_GB2312"/>
          <w:color w:val="auto"/>
          <w:kern w:val="0"/>
          <w:sz w:val="24"/>
          <w:highlight w:val="none"/>
          <w:lang w:val="en-US" w:eastAsia="zh-CN"/>
        </w:rPr>
        <w:t>。</w:t>
      </w:r>
    </w:p>
    <w:p w14:paraId="265FA040">
      <w:pPr>
        <w:snapToGrid w:val="0"/>
        <w:spacing w:line="360" w:lineRule="auto"/>
        <w:ind w:firstLine="576"/>
        <w:rPr>
          <w:rFonts w:ascii="仿宋_GB2312" w:hAnsi="宋体" w:eastAsia="仿宋_GB2312" w:cs="宋体"/>
          <w:b/>
          <w:kern w:val="0"/>
          <w:sz w:val="24"/>
          <w:szCs w:val="24"/>
          <w:lang w:val="zh-CN"/>
        </w:rPr>
      </w:pPr>
      <w:r>
        <w:rPr>
          <w:rFonts w:hint="eastAsia" w:ascii="仿宋_GB2312" w:hAnsi="宋体" w:eastAsia="仿宋_GB2312" w:cs="宋体"/>
          <w:kern w:val="0"/>
          <w:sz w:val="24"/>
          <w:szCs w:val="24"/>
        </w:rPr>
        <w:t>（一）</w:t>
      </w:r>
      <w:r>
        <w:rPr>
          <w:rFonts w:hint="eastAsia" w:ascii="仿宋_GB2312" w:hAnsi="宋体" w:eastAsia="仿宋_GB2312" w:cs="宋体"/>
          <w:kern w:val="0"/>
          <w:sz w:val="24"/>
          <w:szCs w:val="24"/>
          <w:u w:val="single"/>
        </w:rPr>
        <w:t>（分包供应商X,……）提供的服务全部由小微企业承接，</w:t>
      </w:r>
      <w:r>
        <w:rPr>
          <w:rFonts w:hint="eastAsia" w:ascii="仿宋_GB2312" w:hAnsi="宋体" w:eastAsia="仿宋_GB2312" w:cs="宋体"/>
          <w:kern w:val="0"/>
          <w:sz w:val="24"/>
          <w:szCs w:val="24"/>
        </w:rPr>
        <w:t>其合同份额占到合同总金额%以上</w:t>
      </w:r>
      <w:r>
        <w:rPr>
          <w:rFonts w:hint="eastAsia" w:ascii="仿宋_GB2312" w:hAnsi="宋体" w:eastAsia="仿宋_GB2312" w:cs="宋体"/>
          <w:sz w:val="24"/>
          <w:szCs w:val="24"/>
        </w:rPr>
        <w:t>。</w:t>
      </w:r>
      <w:r>
        <w:rPr>
          <w:rFonts w:hint="eastAsia" w:ascii="仿宋_GB2312" w:hAnsi="宋体" w:eastAsia="仿宋_GB2312" w:cs="宋体"/>
          <w:b/>
          <w:kern w:val="0"/>
          <w:sz w:val="24"/>
          <w:szCs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宋体" w:eastAsia="仿宋_GB2312" w:cs="宋体"/>
          <w:b/>
          <w:sz w:val="24"/>
          <w:szCs w:val="24"/>
        </w:rPr>
        <w:t>拟享受以上价格扣除政策的，填写有关内容。</w:t>
      </w:r>
      <w:r>
        <w:rPr>
          <w:rFonts w:hint="eastAsia" w:ascii="仿宋_GB2312" w:hAnsi="宋体" w:eastAsia="仿宋_GB2312" w:cs="宋体"/>
          <w:b/>
          <w:kern w:val="0"/>
          <w:sz w:val="24"/>
          <w:szCs w:val="24"/>
          <w:lang w:val="zh-CN"/>
        </w:rPr>
        <w:t>）</w:t>
      </w:r>
    </w:p>
    <w:p w14:paraId="01A8B1F5">
      <w:pPr>
        <w:spacing w:line="360" w:lineRule="auto"/>
        <w:ind w:firstLine="480" w:firstLineChars="200"/>
        <w:rPr>
          <w:rFonts w:ascii="仿宋_GB2312" w:hAnsi="宋体" w:eastAsia="仿宋_GB2312" w:cs="宋体"/>
          <w:b/>
          <w:bCs/>
          <w:kern w:val="0"/>
          <w:sz w:val="24"/>
          <w:szCs w:val="24"/>
          <w:lang w:val="zh-CN"/>
        </w:rPr>
      </w:pPr>
      <w:r>
        <w:rPr>
          <w:rFonts w:hint="eastAsia" w:ascii="仿宋_GB2312" w:hAnsi="宋体" w:eastAsia="仿宋_GB2312" w:cs="宋体"/>
          <w:sz w:val="24"/>
          <w:szCs w:val="24"/>
        </w:rPr>
        <w:t>（二）中小企业合同金额达到%，小微企业合同金额达到%</w:t>
      </w:r>
      <w:r>
        <w:rPr>
          <w:rFonts w:hint="eastAsia" w:ascii="仿宋_GB2312" w:hAnsi="宋体" w:eastAsia="仿宋_GB2312" w:cs="宋体"/>
          <w:kern w:val="0"/>
          <w:sz w:val="24"/>
          <w:szCs w:val="24"/>
          <w:lang w:val="zh-CN"/>
        </w:rPr>
        <w:t>。</w:t>
      </w:r>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要求合同分包形式参加的项目或采购包，供应商按招标文件第一部分招标公告申请人的资格要求中规定的</w:t>
      </w:r>
      <w:r>
        <w:rPr>
          <w:rFonts w:hint="eastAsia" w:ascii="仿宋_GB2312" w:hAnsi="宋体" w:eastAsia="仿宋_GB2312" w:cs="宋体"/>
          <w:b/>
          <w:kern w:val="0"/>
          <w:sz w:val="24"/>
          <w:szCs w:val="24"/>
          <w:lang w:val="zh-CN"/>
        </w:rPr>
        <w:t>分包意向协议</w:t>
      </w:r>
      <w:r>
        <w:rPr>
          <w:rFonts w:hint="eastAsia" w:ascii="仿宋_GB2312" w:hAnsi="宋体" w:eastAsia="仿宋_GB2312" w:cs="宋体"/>
          <w:b/>
          <w:bCs/>
          <w:sz w:val="24"/>
          <w:szCs w:val="24"/>
        </w:rPr>
        <w:t>中中小企业、小微企业合同金额应当达到的比例要求填写。</w:t>
      </w:r>
      <w:r>
        <w:rPr>
          <w:rFonts w:hint="eastAsia" w:ascii="仿宋_GB2312" w:hAnsi="宋体" w:eastAsia="仿宋_GB2312" w:cs="宋体"/>
          <w:b/>
          <w:bCs/>
          <w:kern w:val="0"/>
          <w:sz w:val="24"/>
          <w:szCs w:val="24"/>
          <w:lang w:val="zh-CN"/>
        </w:rPr>
        <w:t>）</w:t>
      </w:r>
    </w:p>
    <w:p w14:paraId="1D97142C">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三、分包工作履行期限、地点、方式</w:t>
      </w:r>
    </w:p>
    <w:p w14:paraId="2FADD83F">
      <w:pPr>
        <w:snapToGrid w:val="0"/>
        <w:spacing w:line="360" w:lineRule="auto"/>
        <w:ind w:firstLine="576"/>
        <w:rPr>
          <w:rFonts w:ascii="仿宋_GB2312" w:hAnsi="宋体" w:eastAsia="仿宋_GB2312" w:cs="宋体"/>
          <w:sz w:val="24"/>
          <w:szCs w:val="24"/>
          <w:u w:val="single"/>
        </w:rPr>
      </w:pPr>
    </w:p>
    <w:p w14:paraId="6FA752DC">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四、质量</w:t>
      </w:r>
    </w:p>
    <w:p w14:paraId="15DCB09F">
      <w:pPr>
        <w:snapToGrid w:val="0"/>
        <w:spacing w:line="360" w:lineRule="auto"/>
        <w:ind w:firstLine="576"/>
        <w:rPr>
          <w:rFonts w:ascii="仿宋_GB2312" w:hAnsi="宋体" w:eastAsia="仿宋_GB2312" w:cs="宋体"/>
          <w:kern w:val="0"/>
          <w:sz w:val="24"/>
          <w:szCs w:val="24"/>
          <w:lang w:val="zh-CN"/>
        </w:rPr>
      </w:pPr>
    </w:p>
    <w:p w14:paraId="5E8B248B">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五、价款或者报酬</w:t>
      </w:r>
    </w:p>
    <w:p w14:paraId="2BA33EFC">
      <w:pPr>
        <w:snapToGrid w:val="0"/>
        <w:spacing w:line="360" w:lineRule="auto"/>
        <w:ind w:left="573" w:leftChars="273"/>
        <w:rPr>
          <w:rFonts w:ascii="仿宋_GB2312" w:hAnsi="宋体" w:eastAsia="仿宋_GB2312" w:cs="宋体"/>
          <w:kern w:val="0"/>
          <w:sz w:val="24"/>
          <w:szCs w:val="24"/>
          <w:lang w:val="zh-CN"/>
        </w:rPr>
      </w:pPr>
    </w:p>
    <w:p w14:paraId="4D4E5742">
      <w:pPr>
        <w:snapToGrid w:val="0"/>
        <w:spacing w:line="360" w:lineRule="auto"/>
        <w:ind w:left="573" w:leftChars="273"/>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六、违约责任</w:t>
      </w:r>
    </w:p>
    <w:p w14:paraId="3D4B513B">
      <w:pPr>
        <w:snapToGrid w:val="0"/>
        <w:spacing w:line="360" w:lineRule="auto"/>
        <w:ind w:firstLine="576"/>
        <w:rPr>
          <w:rFonts w:ascii="仿宋_GB2312" w:hAnsi="宋体" w:eastAsia="仿宋_GB2312" w:cs="宋体"/>
          <w:kern w:val="0"/>
          <w:sz w:val="24"/>
          <w:szCs w:val="24"/>
          <w:lang w:val="zh-CN"/>
        </w:rPr>
      </w:pPr>
    </w:p>
    <w:p w14:paraId="0246D426">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七、争议解决的办法</w:t>
      </w:r>
    </w:p>
    <w:p w14:paraId="233F695E">
      <w:pPr>
        <w:snapToGrid w:val="0"/>
        <w:spacing w:line="360" w:lineRule="auto"/>
        <w:ind w:firstLine="576"/>
        <w:rPr>
          <w:rFonts w:ascii="仿宋_GB2312" w:hAnsi="宋体" w:eastAsia="仿宋_GB2312" w:cs="宋体"/>
          <w:kern w:val="0"/>
          <w:sz w:val="24"/>
          <w:szCs w:val="24"/>
          <w:lang w:val="zh-CN"/>
        </w:rPr>
      </w:pPr>
    </w:p>
    <w:p w14:paraId="1C673611">
      <w:pPr>
        <w:snapToGrid w:val="0"/>
        <w:spacing w:line="360" w:lineRule="auto"/>
        <w:ind w:firstLine="576"/>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八、其他</w:t>
      </w:r>
    </w:p>
    <w:p w14:paraId="6B45B309">
      <w:pPr>
        <w:snapToGrid w:val="0"/>
        <w:spacing w:line="360" w:lineRule="auto"/>
        <w:ind w:firstLine="576"/>
        <w:rPr>
          <w:rFonts w:ascii="仿宋_GB2312" w:hAnsi="宋体" w:eastAsia="仿宋_GB2312" w:cs="宋体"/>
          <w:kern w:val="0"/>
          <w:sz w:val="24"/>
          <w:szCs w:val="24"/>
          <w:lang w:val="zh-CN"/>
        </w:rPr>
      </w:pPr>
    </w:p>
    <w:p w14:paraId="37431280">
      <w:pPr>
        <w:snapToGrid w:val="0"/>
        <w:spacing w:line="360" w:lineRule="auto"/>
        <w:ind w:left="5758" w:leftChars="342" w:hanging="5040" w:hangingChars="2100"/>
        <w:rPr>
          <w:rFonts w:ascii="仿宋_GB2312" w:hAnsi="宋体" w:eastAsia="仿宋_GB2312" w:cs="宋体"/>
          <w:kern w:val="0"/>
          <w:sz w:val="24"/>
          <w:szCs w:val="24"/>
          <w:lang w:val="zh-CN"/>
        </w:rPr>
      </w:pPr>
    </w:p>
    <w:p w14:paraId="182815C8">
      <w:pPr>
        <w:snapToGrid w:val="0"/>
        <w:spacing w:line="360" w:lineRule="auto"/>
        <w:ind w:left="5758" w:leftChars="342" w:hanging="5040" w:hangingChars="2100"/>
        <w:rPr>
          <w:rFonts w:ascii="仿宋_GB2312" w:hAnsi="宋体" w:eastAsia="仿宋_GB2312" w:cs="宋体"/>
          <w:kern w:val="0"/>
          <w:sz w:val="24"/>
          <w:szCs w:val="24"/>
          <w:lang w:val="zh-CN"/>
        </w:rPr>
      </w:pPr>
    </w:p>
    <w:p w14:paraId="684A2574">
      <w:pPr>
        <w:snapToGrid w:val="0"/>
        <w:spacing w:line="360" w:lineRule="auto"/>
        <w:ind w:left="5746" w:leftChars="2622" w:hanging="240" w:hangingChars="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投标人名称(电子签名)：</w:t>
      </w:r>
    </w:p>
    <w:p w14:paraId="5AE84EAA">
      <w:pPr>
        <w:snapToGrid w:val="0"/>
        <w:spacing w:line="360" w:lineRule="auto"/>
        <w:jc w:val="righ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分包供应商名称(电子签名/公章)：</w:t>
      </w:r>
    </w:p>
    <w:p w14:paraId="17518F74">
      <w:pPr>
        <w:snapToGrid w:val="0"/>
        <w:spacing w:line="360" w:lineRule="auto"/>
        <w:ind w:firstLine="5760" w:firstLineChars="2400"/>
        <w:rPr>
          <w:rFonts w:ascii="仿宋_GB2312" w:hAnsi="宋体" w:eastAsia="仿宋_GB2312" w:cs="宋体"/>
          <w:sz w:val="24"/>
          <w:szCs w:val="24"/>
        </w:rPr>
      </w:pPr>
      <w:r>
        <w:rPr>
          <w:rFonts w:hint="eastAsia" w:ascii="仿宋_GB2312" w:hAnsi="宋体" w:eastAsia="仿宋_GB2312" w:cs="宋体"/>
          <w:kern w:val="0"/>
          <w:sz w:val="24"/>
          <w:szCs w:val="24"/>
          <w:lang w:val="zh-CN"/>
        </w:rPr>
        <w:t>……</w:t>
      </w:r>
    </w:p>
    <w:p w14:paraId="0AD3EBC2">
      <w:pPr>
        <w:pStyle w:val="4"/>
      </w:pPr>
      <w:r>
        <w:rPr>
          <w:rFonts w:hint="eastAsia"/>
          <w:kern w:val="0"/>
          <w:lang w:val="zh-CN"/>
        </w:rPr>
        <w:t xml:space="preserve">                                        日期：  年  月   日</w:t>
      </w:r>
    </w:p>
    <w:p w14:paraId="62E9FA61">
      <w:pPr>
        <w:spacing w:line="540" w:lineRule="exact"/>
        <w:contextualSpacing/>
        <w:jc w:val="center"/>
        <w:rPr>
          <w:rFonts w:ascii="仿宋_GB2312" w:eastAsia="仿宋_GB2312"/>
          <w:b/>
          <w:sz w:val="24"/>
          <w:szCs w:val="24"/>
        </w:rPr>
      </w:pPr>
    </w:p>
    <w:p w14:paraId="3B46CDAD">
      <w:pPr>
        <w:spacing w:line="540" w:lineRule="exact"/>
        <w:contextualSpacing/>
        <w:jc w:val="center"/>
        <w:rPr>
          <w:rFonts w:ascii="仿宋_GB2312" w:eastAsia="仿宋_GB2312"/>
          <w:b/>
          <w:sz w:val="24"/>
          <w:szCs w:val="24"/>
        </w:rPr>
      </w:pPr>
    </w:p>
    <w:p w14:paraId="7D22C884">
      <w:pPr>
        <w:spacing w:line="540" w:lineRule="exact"/>
        <w:contextualSpacing/>
        <w:jc w:val="center"/>
        <w:rPr>
          <w:rFonts w:ascii="仿宋_GB2312" w:eastAsia="仿宋_GB2312"/>
          <w:b/>
          <w:sz w:val="24"/>
          <w:szCs w:val="24"/>
        </w:rPr>
      </w:pPr>
    </w:p>
    <w:p w14:paraId="01AC9A82">
      <w:pPr>
        <w:spacing w:line="540" w:lineRule="exact"/>
        <w:contextualSpacing/>
        <w:jc w:val="center"/>
        <w:rPr>
          <w:rFonts w:ascii="仿宋_GB2312" w:eastAsia="仿宋_GB2312"/>
          <w:b/>
          <w:sz w:val="24"/>
          <w:szCs w:val="24"/>
        </w:rPr>
      </w:pPr>
    </w:p>
    <w:p w14:paraId="0BF63D54">
      <w:pPr>
        <w:spacing w:line="540" w:lineRule="exact"/>
        <w:contextualSpacing/>
        <w:jc w:val="center"/>
        <w:rPr>
          <w:rFonts w:ascii="仿宋_GB2312" w:eastAsia="仿宋_GB2312"/>
          <w:b/>
          <w:sz w:val="24"/>
          <w:szCs w:val="24"/>
        </w:rPr>
      </w:pPr>
    </w:p>
    <w:p w14:paraId="532FD57B">
      <w:pPr>
        <w:spacing w:line="540" w:lineRule="exact"/>
        <w:contextualSpacing/>
        <w:jc w:val="center"/>
        <w:rPr>
          <w:rFonts w:ascii="仿宋_GB2312" w:eastAsia="仿宋_GB2312"/>
          <w:b/>
          <w:sz w:val="24"/>
          <w:szCs w:val="24"/>
        </w:rPr>
      </w:pPr>
    </w:p>
    <w:p w14:paraId="7A8D63B4">
      <w:pPr>
        <w:spacing w:line="540" w:lineRule="exact"/>
        <w:contextualSpacing/>
        <w:jc w:val="center"/>
        <w:rPr>
          <w:rFonts w:ascii="仿宋_GB2312" w:eastAsia="仿宋_GB2312"/>
          <w:b/>
          <w:sz w:val="24"/>
          <w:szCs w:val="24"/>
        </w:rPr>
      </w:pPr>
    </w:p>
    <w:p w14:paraId="533EE9F1">
      <w:pPr>
        <w:spacing w:line="540" w:lineRule="exact"/>
        <w:contextualSpacing/>
        <w:jc w:val="center"/>
        <w:rPr>
          <w:rFonts w:ascii="仿宋_GB2312" w:eastAsia="仿宋_GB2312"/>
          <w:b/>
          <w:sz w:val="24"/>
          <w:szCs w:val="24"/>
        </w:rPr>
      </w:pPr>
    </w:p>
    <w:p w14:paraId="41BB38C4">
      <w:pPr>
        <w:spacing w:line="540" w:lineRule="exact"/>
        <w:contextualSpacing/>
        <w:jc w:val="center"/>
        <w:rPr>
          <w:rFonts w:ascii="仿宋_GB2312" w:eastAsia="仿宋_GB2312"/>
          <w:b/>
          <w:sz w:val="24"/>
          <w:szCs w:val="24"/>
        </w:rPr>
      </w:pPr>
    </w:p>
    <w:p w14:paraId="57B51A2E">
      <w:pPr>
        <w:pStyle w:val="4"/>
      </w:pPr>
    </w:p>
    <w:p w14:paraId="3D9EC44A">
      <w:pPr>
        <w:pStyle w:val="5"/>
      </w:pPr>
    </w:p>
    <w:p w14:paraId="46D237E1"/>
    <w:p w14:paraId="440935EC">
      <w:pPr>
        <w:spacing w:line="540" w:lineRule="exact"/>
        <w:contextualSpacing/>
        <w:jc w:val="center"/>
        <w:rPr>
          <w:rFonts w:ascii="仿宋_GB2312" w:eastAsia="仿宋_GB2312"/>
          <w:b/>
          <w:sz w:val="24"/>
          <w:szCs w:val="24"/>
        </w:rPr>
      </w:pPr>
      <w:r>
        <w:rPr>
          <w:rFonts w:hint="eastAsia" w:ascii="仿宋_GB2312" w:eastAsia="仿宋_GB2312"/>
          <w:b/>
          <w:sz w:val="24"/>
          <w:szCs w:val="24"/>
        </w:rPr>
        <w:t>政  采  贷</w:t>
      </w:r>
    </w:p>
    <w:p w14:paraId="575E420E">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1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1F7E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1BAB0895">
            <w:pPr>
              <w:spacing w:line="400" w:lineRule="exact"/>
              <w:contextualSpacing/>
              <w:rPr>
                <w:rFonts w:ascii="仿宋_GB2312" w:eastAsia="仿宋_GB2312"/>
                <w:sz w:val="24"/>
              </w:rPr>
            </w:pPr>
            <w:r>
              <w:rPr>
                <w:rFonts w:hint="eastAsia" w:ascii="仿宋_GB2312" w:eastAsia="仿宋_GB2312"/>
                <w:sz w:val="24"/>
              </w:rPr>
              <w:t>舟山市政府采购信用融资合作银行</w:t>
            </w:r>
          </w:p>
        </w:tc>
      </w:tr>
      <w:tr w14:paraId="22EC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268896E5">
            <w:pPr>
              <w:spacing w:line="400" w:lineRule="exact"/>
              <w:contextualSpacing/>
              <w:jc w:val="center"/>
              <w:rPr>
                <w:rFonts w:ascii="仿宋_GB2312" w:eastAsia="仿宋_GB2312"/>
                <w:sz w:val="24"/>
              </w:rPr>
            </w:pPr>
            <w:r>
              <w:rPr>
                <w:rFonts w:hint="eastAsia" w:ascii="仿宋_GB2312" w:eastAsia="仿宋_GB2312"/>
                <w:sz w:val="24"/>
              </w:rPr>
              <w:t>银行名称</w:t>
            </w:r>
          </w:p>
        </w:tc>
        <w:tc>
          <w:tcPr>
            <w:tcW w:w="3975" w:type="dxa"/>
            <w:vAlign w:val="center"/>
          </w:tcPr>
          <w:p w14:paraId="57417C83">
            <w:pPr>
              <w:spacing w:line="400" w:lineRule="exact"/>
              <w:contextualSpacing/>
              <w:jc w:val="center"/>
              <w:rPr>
                <w:rFonts w:ascii="仿宋_GB2312" w:eastAsia="仿宋_GB2312"/>
                <w:sz w:val="24"/>
              </w:rPr>
            </w:pPr>
            <w:r>
              <w:rPr>
                <w:rFonts w:hint="eastAsia" w:ascii="仿宋_GB2312" w:eastAsia="仿宋_GB2312"/>
                <w:sz w:val="24"/>
              </w:rPr>
              <w:t>各银行介绍的产品特点</w:t>
            </w:r>
          </w:p>
        </w:tc>
        <w:tc>
          <w:tcPr>
            <w:tcW w:w="2220" w:type="dxa"/>
            <w:vAlign w:val="center"/>
          </w:tcPr>
          <w:p w14:paraId="1E21B2CD">
            <w:pPr>
              <w:spacing w:line="400" w:lineRule="exact"/>
              <w:contextualSpacing/>
              <w:jc w:val="center"/>
              <w:rPr>
                <w:rFonts w:ascii="仿宋_GB2312" w:eastAsia="仿宋_GB2312"/>
                <w:sz w:val="24"/>
              </w:rPr>
            </w:pPr>
            <w:r>
              <w:rPr>
                <w:rFonts w:hint="eastAsia" w:ascii="仿宋_GB2312" w:eastAsia="仿宋_GB2312"/>
                <w:sz w:val="24"/>
              </w:rPr>
              <w:t>经办人</w:t>
            </w:r>
          </w:p>
        </w:tc>
        <w:tc>
          <w:tcPr>
            <w:tcW w:w="1908" w:type="dxa"/>
            <w:vAlign w:val="center"/>
          </w:tcPr>
          <w:p w14:paraId="796B664C">
            <w:pPr>
              <w:spacing w:line="400" w:lineRule="exact"/>
              <w:contextualSpacing/>
              <w:jc w:val="center"/>
              <w:rPr>
                <w:rFonts w:ascii="仿宋_GB2312" w:eastAsia="仿宋_GB2312"/>
                <w:sz w:val="24"/>
              </w:rPr>
            </w:pPr>
            <w:r>
              <w:rPr>
                <w:rFonts w:hint="eastAsia" w:ascii="仿宋_GB2312" w:eastAsia="仿宋_GB2312"/>
                <w:sz w:val="24"/>
              </w:rPr>
              <w:t>联系方式</w:t>
            </w:r>
          </w:p>
        </w:tc>
      </w:tr>
      <w:tr w14:paraId="4184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95CD4E7">
            <w:pPr>
              <w:spacing w:line="400" w:lineRule="exact"/>
              <w:contextualSpacing/>
              <w:rPr>
                <w:rFonts w:ascii="仿宋_GB2312" w:eastAsia="仿宋_GB2312"/>
                <w:sz w:val="24"/>
              </w:rPr>
            </w:pPr>
            <w:r>
              <w:rPr>
                <w:rFonts w:hint="eastAsia" w:ascii="仿宋_GB2312" w:eastAsia="仿宋_GB2312"/>
                <w:sz w:val="24"/>
              </w:rPr>
              <w:t>中国工商银行股份有限公司舟山分行</w:t>
            </w:r>
          </w:p>
        </w:tc>
        <w:tc>
          <w:tcPr>
            <w:tcW w:w="3975" w:type="dxa"/>
          </w:tcPr>
          <w:p w14:paraId="02516274">
            <w:pPr>
              <w:numPr>
                <w:ilvl w:val="0"/>
                <w:numId w:val="4"/>
              </w:numPr>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融资额度高，融资金额最高可至订单金额70%，线上申请，随借随还。2.融资利率低，最低可至当期LPR利率。</w:t>
            </w:r>
          </w:p>
          <w:p w14:paraId="296A7CBF">
            <w:pPr>
              <w:spacing w:line="400" w:lineRule="exact"/>
              <w:contextualSpacing/>
              <w:rPr>
                <w:rFonts w:ascii="仿宋_GB2312" w:eastAsia="仿宋_GB2312"/>
                <w:sz w:val="24"/>
              </w:rPr>
            </w:pPr>
            <w:r>
              <w:rPr>
                <w:rFonts w:hint="eastAsia" w:ascii="仿宋_GB2312" w:hAnsi="仿宋_GB2312" w:eastAsia="仿宋_GB2312" w:cs="仿宋_GB2312"/>
                <w:sz w:val="24"/>
                <w:szCs w:val="24"/>
              </w:rPr>
              <w:t>3.担保方式灵活，以政府采购合同进行融资，无需另外抵押。</w:t>
            </w:r>
          </w:p>
        </w:tc>
        <w:tc>
          <w:tcPr>
            <w:tcW w:w="2220" w:type="dxa"/>
            <w:vAlign w:val="center"/>
          </w:tcPr>
          <w:p w14:paraId="78116824">
            <w:pPr>
              <w:spacing w:line="400" w:lineRule="exact"/>
              <w:contextualSpacing/>
              <w:jc w:val="center"/>
              <w:rPr>
                <w:rFonts w:ascii="仿宋_GB2312" w:eastAsia="仿宋_GB2312"/>
                <w:sz w:val="24"/>
              </w:rPr>
            </w:pPr>
            <w:r>
              <w:rPr>
                <w:rFonts w:hint="eastAsia" w:ascii="仿宋_GB2312" w:eastAsia="仿宋_GB2312"/>
                <w:sz w:val="24"/>
              </w:rPr>
              <w:t>柳超颖</w:t>
            </w:r>
          </w:p>
        </w:tc>
        <w:tc>
          <w:tcPr>
            <w:tcW w:w="1908" w:type="dxa"/>
            <w:vAlign w:val="center"/>
          </w:tcPr>
          <w:p w14:paraId="568312B5">
            <w:pPr>
              <w:spacing w:line="400" w:lineRule="exact"/>
              <w:contextualSpacing/>
              <w:rPr>
                <w:rFonts w:ascii="仿宋_GB2312" w:eastAsia="仿宋_GB2312"/>
                <w:sz w:val="24"/>
              </w:rPr>
            </w:pPr>
            <w:r>
              <w:rPr>
                <w:rFonts w:hint="eastAsia" w:ascii="仿宋_GB2312" w:eastAsia="仿宋_GB2312"/>
                <w:sz w:val="24"/>
              </w:rPr>
              <w:t>0580-2166242, 15858076468</w:t>
            </w:r>
          </w:p>
        </w:tc>
      </w:tr>
      <w:tr w14:paraId="72C5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338D5CA2">
            <w:pPr>
              <w:spacing w:line="400" w:lineRule="exact"/>
              <w:contextualSpacing/>
              <w:rPr>
                <w:rFonts w:ascii="仿宋_GB2312" w:eastAsia="仿宋_GB2312"/>
                <w:sz w:val="24"/>
              </w:rPr>
            </w:pPr>
            <w:r>
              <w:rPr>
                <w:rFonts w:hint="eastAsia" w:ascii="仿宋_GB2312" w:eastAsia="仿宋_GB2312"/>
                <w:sz w:val="24"/>
              </w:rPr>
              <w:t>中国建设银行股份有限公司舟山分行</w:t>
            </w:r>
          </w:p>
        </w:tc>
        <w:tc>
          <w:tcPr>
            <w:tcW w:w="3975" w:type="dxa"/>
          </w:tcPr>
          <w:p w14:paraId="09DF33B8">
            <w:pPr>
              <w:numPr>
                <w:ilvl w:val="0"/>
                <w:numId w:val="5"/>
              </w:numPr>
              <w:spacing w:line="400" w:lineRule="exact"/>
              <w:contextualSpacing/>
              <w:rPr>
                <w:rFonts w:ascii="仿宋_GB2312" w:eastAsia="仿宋_GB2312"/>
                <w:sz w:val="24"/>
              </w:rPr>
            </w:pPr>
            <w:r>
              <w:rPr>
                <w:rFonts w:hint="eastAsia" w:ascii="仿宋_GB2312" w:eastAsia="仿宋_GB2312"/>
                <w:sz w:val="24"/>
              </w:rPr>
              <w:t>快速便捷：全流程线上操作，通过浙江省政府采购网数据审核信用额度，建行供应链平台快速放款。</w:t>
            </w:r>
          </w:p>
          <w:p w14:paraId="2049639C">
            <w:pPr>
              <w:numPr>
                <w:ilvl w:val="0"/>
                <w:numId w:val="5"/>
              </w:numPr>
              <w:spacing w:line="400" w:lineRule="exact"/>
              <w:contextualSpacing/>
              <w:rPr>
                <w:rFonts w:ascii="仿宋_GB2312" w:eastAsia="仿宋_GB2312"/>
                <w:sz w:val="24"/>
              </w:rPr>
            </w:pPr>
            <w:r>
              <w:rPr>
                <w:rFonts w:hint="eastAsia" w:ascii="仿宋_GB2312" w:eastAsia="仿宋_GB2312"/>
                <w:sz w:val="24"/>
              </w:rPr>
              <w:t>申请额度高：单笔融资额度最高可达政府采购合同金额的90%，单户额度最高可达3000万。</w:t>
            </w:r>
          </w:p>
          <w:p w14:paraId="00E59BC9">
            <w:pPr>
              <w:numPr>
                <w:ilvl w:val="0"/>
                <w:numId w:val="5"/>
              </w:numPr>
              <w:spacing w:line="400" w:lineRule="exact"/>
              <w:contextualSpacing/>
              <w:rPr>
                <w:rFonts w:ascii="仿宋_GB2312" w:eastAsia="仿宋_GB2312"/>
                <w:sz w:val="24"/>
              </w:rPr>
            </w:pPr>
            <w:r>
              <w:rPr>
                <w:rFonts w:hint="eastAsia" w:ascii="仿宋_GB2312" w:eastAsia="仿宋_GB2312"/>
                <w:sz w:val="24"/>
              </w:rPr>
              <w:t>无需额外抵押：以浙江省政府采购网备案公示的政府采购合同进行融资，无需额外抵押担保。</w:t>
            </w:r>
          </w:p>
          <w:p w14:paraId="525462DD">
            <w:pPr>
              <w:numPr>
                <w:ilvl w:val="0"/>
                <w:numId w:val="5"/>
              </w:numPr>
              <w:spacing w:line="400" w:lineRule="exact"/>
              <w:contextualSpacing/>
              <w:rPr>
                <w:rFonts w:ascii="仿宋_GB2312" w:eastAsia="仿宋_GB2312"/>
                <w:sz w:val="24"/>
              </w:rPr>
            </w:pPr>
            <w:r>
              <w:rPr>
                <w:rFonts w:hint="eastAsia" w:ascii="仿宋_GB2312" w:eastAsia="仿宋_GB2312"/>
                <w:sz w:val="24"/>
              </w:rPr>
              <w:t>利率优惠：给予流动资金贷款最优惠利率。</w:t>
            </w:r>
          </w:p>
        </w:tc>
        <w:tc>
          <w:tcPr>
            <w:tcW w:w="2220" w:type="dxa"/>
            <w:vAlign w:val="center"/>
          </w:tcPr>
          <w:p w14:paraId="60FA5115">
            <w:pPr>
              <w:spacing w:line="400" w:lineRule="exact"/>
              <w:contextualSpacing/>
              <w:jc w:val="center"/>
              <w:rPr>
                <w:rFonts w:ascii="仿宋_GB2312" w:eastAsia="仿宋_GB2312"/>
                <w:sz w:val="24"/>
              </w:rPr>
            </w:pPr>
            <w:r>
              <w:rPr>
                <w:rFonts w:hint="eastAsia" w:ascii="仿宋_GB2312" w:eastAsia="仿宋_GB2312"/>
                <w:sz w:val="24"/>
              </w:rPr>
              <w:t>普陀片区：蔡妮妮</w:t>
            </w:r>
          </w:p>
          <w:p w14:paraId="5C26958C">
            <w:pPr>
              <w:spacing w:line="400" w:lineRule="exact"/>
              <w:contextualSpacing/>
              <w:jc w:val="center"/>
              <w:rPr>
                <w:rFonts w:ascii="仿宋_GB2312" w:eastAsia="仿宋_GB2312"/>
                <w:sz w:val="24"/>
              </w:rPr>
            </w:pPr>
            <w:r>
              <w:rPr>
                <w:rFonts w:hint="eastAsia" w:ascii="仿宋_GB2312" w:eastAsia="仿宋_GB2312"/>
                <w:sz w:val="24"/>
              </w:rPr>
              <w:t>定海片区：杨莹</w:t>
            </w:r>
          </w:p>
          <w:p w14:paraId="4AC81757">
            <w:pPr>
              <w:spacing w:line="400" w:lineRule="exact"/>
              <w:contextualSpacing/>
              <w:jc w:val="center"/>
              <w:rPr>
                <w:rFonts w:ascii="仿宋_GB2312" w:eastAsia="仿宋_GB2312"/>
                <w:sz w:val="24"/>
              </w:rPr>
            </w:pPr>
            <w:r>
              <w:rPr>
                <w:rFonts w:hint="eastAsia" w:ascii="仿宋_GB2312" w:eastAsia="仿宋_GB2312"/>
                <w:sz w:val="24"/>
              </w:rPr>
              <w:t>自贸区片区：方晓</w:t>
            </w:r>
          </w:p>
        </w:tc>
        <w:tc>
          <w:tcPr>
            <w:tcW w:w="1908" w:type="dxa"/>
            <w:vAlign w:val="center"/>
          </w:tcPr>
          <w:p w14:paraId="5CFB37B9">
            <w:pPr>
              <w:spacing w:line="400" w:lineRule="exact"/>
              <w:contextualSpacing/>
              <w:rPr>
                <w:rFonts w:ascii="仿宋_GB2312" w:eastAsia="仿宋_GB2312"/>
                <w:sz w:val="24"/>
              </w:rPr>
            </w:pPr>
            <w:r>
              <w:rPr>
                <w:rFonts w:hint="eastAsia" w:ascii="仿宋_GB2312" w:eastAsia="仿宋_GB2312"/>
                <w:sz w:val="24"/>
              </w:rPr>
              <w:t>普陀片区：13957201791</w:t>
            </w:r>
          </w:p>
          <w:p w14:paraId="021F2D92">
            <w:pPr>
              <w:spacing w:line="400" w:lineRule="exact"/>
              <w:contextualSpacing/>
              <w:rPr>
                <w:rFonts w:ascii="仿宋_GB2312" w:eastAsia="仿宋_GB2312"/>
                <w:sz w:val="24"/>
              </w:rPr>
            </w:pPr>
            <w:r>
              <w:rPr>
                <w:rFonts w:hint="eastAsia" w:ascii="仿宋_GB2312" w:eastAsia="仿宋_GB2312"/>
                <w:sz w:val="24"/>
              </w:rPr>
              <w:t>定海片区：13655803997</w:t>
            </w:r>
          </w:p>
          <w:p w14:paraId="1F271C24">
            <w:pPr>
              <w:spacing w:line="400" w:lineRule="exact"/>
              <w:contextualSpacing/>
              <w:rPr>
                <w:rFonts w:ascii="仿宋_GB2312" w:eastAsia="仿宋_GB2312"/>
                <w:sz w:val="24"/>
              </w:rPr>
            </w:pPr>
            <w:r>
              <w:rPr>
                <w:rFonts w:hint="eastAsia" w:ascii="仿宋_GB2312" w:eastAsia="仿宋_GB2312"/>
                <w:sz w:val="24"/>
              </w:rPr>
              <w:t>自贸区片区：13587086324</w:t>
            </w:r>
          </w:p>
        </w:tc>
      </w:tr>
      <w:tr w14:paraId="1E29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22D2494">
            <w:pPr>
              <w:spacing w:line="400" w:lineRule="exact"/>
              <w:contextualSpacing/>
              <w:rPr>
                <w:rFonts w:ascii="仿宋_GB2312" w:eastAsia="仿宋_GB2312"/>
                <w:sz w:val="24"/>
              </w:rPr>
            </w:pPr>
            <w:r>
              <w:rPr>
                <w:rFonts w:hint="eastAsia" w:ascii="仿宋_GB2312" w:eastAsia="仿宋_GB2312"/>
                <w:sz w:val="24"/>
              </w:rPr>
              <w:t>杭州银行股份有限公司舟山市分行</w:t>
            </w:r>
          </w:p>
        </w:tc>
        <w:tc>
          <w:tcPr>
            <w:tcW w:w="3975" w:type="dxa"/>
          </w:tcPr>
          <w:p w14:paraId="30E6A40F">
            <w:pPr>
              <w:spacing w:line="400" w:lineRule="exact"/>
              <w:contextualSpacing/>
              <w:rPr>
                <w:rFonts w:ascii="仿宋_GB2312" w:eastAsia="仿宋_GB2312"/>
                <w:sz w:val="24"/>
              </w:rPr>
            </w:pPr>
            <w:r>
              <w:rPr>
                <w:rFonts w:hint="eastAsia" w:ascii="仿宋_GB2312" w:eastAsia="仿宋_GB2312"/>
                <w:sz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6826E090">
            <w:pPr>
              <w:spacing w:line="400" w:lineRule="exact"/>
              <w:contextualSpacing/>
              <w:jc w:val="center"/>
              <w:rPr>
                <w:rFonts w:ascii="仿宋_GB2312" w:eastAsia="仿宋_GB2312"/>
                <w:sz w:val="24"/>
              </w:rPr>
            </w:pPr>
            <w:r>
              <w:rPr>
                <w:rFonts w:hint="eastAsia" w:ascii="仿宋_GB2312" w:eastAsia="仿宋_GB2312"/>
                <w:sz w:val="24"/>
              </w:rPr>
              <w:t>方经理</w:t>
            </w:r>
          </w:p>
        </w:tc>
        <w:tc>
          <w:tcPr>
            <w:tcW w:w="1908" w:type="dxa"/>
            <w:vAlign w:val="center"/>
          </w:tcPr>
          <w:p w14:paraId="03E34ECE">
            <w:pPr>
              <w:spacing w:line="400" w:lineRule="exact"/>
              <w:contextualSpacing/>
              <w:rPr>
                <w:rFonts w:ascii="仿宋_GB2312" w:eastAsia="仿宋_GB2312"/>
                <w:sz w:val="24"/>
              </w:rPr>
            </w:pPr>
            <w:r>
              <w:rPr>
                <w:rFonts w:hint="eastAsia" w:ascii="仿宋_GB2312" w:eastAsia="仿宋_GB2312"/>
                <w:sz w:val="24"/>
              </w:rPr>
              <w:t>0580-2185201，18205800451</w:t>
            </w:r>
          </w:p>
        </w:tc>
      </w:tr>
      <w:tr w14:paraId="58AF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E542308">
            <w:pPr>
              <w:spacing w:line="400" w:lineRule="exact"/>
              <w:contextualSpacing/>
              <w:rPr>
                <w:rFonts w:ascii="仿宋_GB2312" w:eastAsia="仿宋_GB2312"/>
                <w:sz w:val="24"/>
              </w:rPr>
            </w:pPr>
            <w:r>
              <w:rPr>
                <w:rFonts w:hint="eastAsia" w:ascii="仿宋_GB2312" w:eastAsia="仿宋_GB2312"/>
                <w:sz w:val="24"/>
              </w:rPr>
              <w:t>招商银行股份有限公司浙江自贸试验区舟山分行</w:t>
            </w:r>
          </w:p>
        </w:tc>
        <w:tc>
          <w:tcPr>
            <w:tcW w:w="3975" w:type="dxa"/>
          </w:tcPr>
          <w:p w14:paraId="7EC3E5FD">
            <w:pPr>
              <w:spacing w:line="400" w:lineRule="exact"/>
              <w:rPr>
                <w:rFonts w:ascii="仿宋_GB2312" w:eastAsia="仿宋_GB2312"/>
              </w:rPr>
            </w:pPr>
            <w:r>
              <w:rPr>
                <w:rFonts w:hint="eastAsia" w:ascii="仿宋_GB2312" w:hAnsi="仿宋_GB2312" w:eastAsia="仿宋_GB2312" w:cs="仿宋_GB2312"/>
                <w:sz w:val="24"/>
                <w:szCs w:val="24"/>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6BC0E19F">
            <w:pPr>
              <w:spacing w:line="400" w:lineRule="exact"/>
              <w:contextualSpacing/>
              <w:jc w:val="center"/>
              <w:rPr>
                <w:rFonts w:ascii="仿宋_GB2312" w:eastAsia="仿宋_GB2312"/>
                <w:sz w:val="24"/>
              </w:rPr>
            </w:pPr>
            <w:r>
              <w:rPr>
                <w:rFonts w:hint="eastAsia" w:ascii="仿宋_GB2312" w:eastAsia="仿宋_GB2312"/>
                <w:sz w:val="24"/>
              </w:rPr>
              <w:t>李玲</w:t>
            </w:r>
          </w:p>
        </w:tc>
        <w:tc>
          <w:tcPr>
            <w:tcW w:w="1908" w:type="dxa"/>
            <w:vAlign w:val="center"/>
          </w:tcPr>
          <w:p w14:paraId="4D744EA9">
            <w:pPr>
              <w:spacing w:line="400" w:lineRule="exact"/>
              <w:contextualSpacing/>
              <w:rPr>
                <w:rFonts w:ascii="仿宋_GB2312" w:eastAsia="仿宋_GB2312"/>
                <w:sz w:val="24"/>
              </w:rPr>
            </w:pPr>
            <w:r>
              <w:rPr>
                <w:rFonts w:hint="eastAsia" w:ascii="仿宋_GB2312" w:eastAsia="仿宋_GB2312"/>
                <w:sz w:val="24"/>
              </w:rPr>
              <w:t>0580-2061710，13957227971</w:t>
            </w:r>
          </w:p>
        </w:tc>
      </w:tr>
      <w:tr w14:paraId="1FFD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08EAED4E">
            <w:pPr>
              <w:spacing w:line="400" w:lineRule="exact"/>
              <w:contextualSpacing/>
              <w:rPr>
                <w:rFonts w:ascii="仿宋_GB2312" w:eastAsia="仿宋_GB2312"/>
                <w:sz w:val="24"/>
              </w:rPr>
            </w:pPr>
            <w:r>
              <w:rPr>
                <w:rFonts w:hint="eastAsia" w:ascii="仿宋_GB2312" w:eastAsia="仿宋_GB2312"/>
                <w:sz w:val="24"/>
              </w:rPr>
              <w:t>温州银行股份有限公司舟山市分行</w:t>
            </w:r>
          </w:p>
        </w:tc>
        <w:tc>
          <w:tcPr>
            <w:tcW w:w="3975" w:type="dxa"/>
          </w:tcPr>
          <w:p w14:paraId="62EDA47C">
            <w:pPr>
              <w:numPr>
                <w:ilvl w:val="0"/>
                <w:numId w:val="6"/>
              </w:numPr>
              <w:spacing w:line="400" w:lineRule="exact"/>
              <w:contextualSpacing/>
              <w:rPr>
                <w:rFonts w:ascii="仿宋_GB2312" w:eastAsia="仿宋_GB2312"/>
                <w:sz w:val="24"/>
              </w:rPr>
            </w:pPr>
            <w:r>
              <w:rPr>
                <w:rFonts w:hint="eastAsia" w:ascii="仿宋_GB2312" w:eastAsia="仿宋_GB2312"/>
                <w:sz w:val="24"/>
              </w:rPr>
              <w:t>单户授信敞口最高不超过1000万元，且最高额度核定一般不超过借款人（含实际控制人控制的其他经营实体）最近13个月合计有效中标合同金额的70%。</w:t>
            </w:r>
          </w:p>
          <w:p w14:paraId="5C3B5B2D">
            <w:pPr>
              <w:numPr>
                <w:ilvl w:val="0"/>
                <w:numId w:val="6"/>
              </w:numPr>
              <w:spacing w:line="400" w:lineRule="exact"/>
              <w:contextualSpacing/>
              <w:rPr>
                <w:rFonts w:ascii="仿宋_GB2312" w:eastAsia="仿宋_GB2312"/>
                <w:sz w:val="24"/>
              </w:rPr>
            </w:pPr>
            <w:r>
              <w:rPr>
                <w:rFonts w:hint="eastAsia" w:ascii="仿宋_GB2312" w:eastAsia="仿宋_GB2312"/>
                <w:sz w:val="24"/>
              </w:rPr>
              <w:t>单笔借款额度最高不超过1000万元，单笔业务授信额度不超过“政采云平台”提供的中标通知书承载的中标金额或本次申请授信提供的采购合同金额的80%，且用信金额不超过采购合同未付金额的80%。</w:t>
            </w:r>
          </w:p>
          <w:p w14:paraId="20B66F07">
            <w:pPr>
              <w:numPr>
                <w:ilvl w:val="0"/>
                <w:numId w:val="6"/>
              </w:numPr>
              <w:spacing w:line="400" w:lineRule="exact"/>
              <w:contextualSpacing/>
              <w:rPr>
                <w:rFonts w:ascii="仿宋_GB2312" w:eastAsia="仿宋_GB2312"/>
                <w:sz w:val="24"/>
              </w:rPr>
            </w:pPr>
            <w:r>
              <w:rPr>
                <w:rFonts w:hint="eastAsia" w:ascii="仿宋_GB2312" w:eastAsia="仿宋_GB2312"/>
                <w:sz w:val="24"/>
              </w:rPr>
              <w:t>借款人中标采购人自行采购项目并向我行发起授信申请的，单笔业务授信敞口不超500万元，且不超过借款人中标通知书承载的中标金额或本次申请授信提供的采购合同的80%。</w:t>
            </w:r>
          </w:p>
          <w:p w14:paraId="7AA2D8BA">
            <w:pPr>
              <w:numPr>
                <w:ilvl w:val="0"/>
                <w:numId w:val="6"/>
              </w:numPr>
              <w:spacing w:line="400" w:lineRule="exact"/>
              <w:contextualSpacing/>
              <w:rPr>
                <w:rFonts w:ascii="仿宋_GB2312" w:eastAsia="仿宋_GB2312"/>
                <w:sz w:val="24"/>
              </w:rPr>
            </w:pPr>
            <w:r>
              <w:rPr>
                <w:rFonts w:hint="eastAsia" w:ascii="仿宋_GB2312" w:eastAsia="仿宋_GB2312"/>
                <w:sz w:val="24"/>
              </w:rPr>
              <w:t>符合我行采购人资质的，且负债率不超75%，配合应收账款质押登记确认的，并可出具确认函，单笔借款额度可按不超过采购合同的90%办理。</w:t>
            </w:r>
          </w:p>
        </w:tc>
        <w:tc>
          <w:tcPr>
            <w:tcW w:w="2220" w:type="dxa"/>
            <w:vAlign w:val="center"/>
          </w:tcPr>
          <w:p w14:paraId="2ED32E9C">
            <w:pPr>
              <w:spacing w:line="400" w:lineRule="exact"/>
              <w:contextualSpacing/>
              <w:jc w:val="center"/>
              <w:rPr>
                <w:rFonts w:ascii="仿宋_GB2312" w:eastAsia="仿宋_GB2312"/>
                <w:sz w:val="24"/>
              </w:rPr>
            </w:pPr>
            <w:r>
              <w:rPr>
                <w:rFonts w:hint="eastAsia" w:ascii="仿宋_GB2312" w:eastAsia="仿宋_GB2312"/>
                <w:sz w:val="24"/>
              </w:rPr>
              <w:t>郑贤栋</w:t>
            </w:r>
          </w:p>
        </w:tc>
        <w:tc>
          <w:tcPr>
            <w:tcW w:w="1908" w:type="dxa"/>
            <w:vAlign w:val="center"/>
          </w:tcPr>
          <w:p w14:paraId="7328D3DC">
            <w:pPr>
              <w:spacing w:line="400" w:lineRule="exact"/>
              <w:contextualSpacing/>
              <w:rPr>
                <w:rFonts w:ascii="仿宋_GB2312" w:eastAsia="仿宋_GB2312"/>
                <w:sz w:val="24"/>
              </w:rPr>
            </w:pPr>
            <w:r>
              <w:rPr>
                <w:rFonts w:hint="eastAsia" w:ascii="仿宋_GB2312" w:eastAsia="仿宋_GB2312"/>
                <w:sz w:val="24"/>
              </w:rPr>
              <w:t>0580—8866086</w:t>
            </w:r>
          </w:p>
        </w:tc>
      </w:tr>
      <w:tr w14:paraId="29BC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A7464F0">
            <w:pPr>
              <w:spacing w:line="400" w:lineRule="exact"/>
              <w:contextualSpacing/>
              <w:rPr>
                <w:rFonts w:ascii="仿宋_GB2312" w:eastAsia="仿宋_GB2312"/>
                <w:sz w:val="24"/>
              </w:rPr>
            </w:pPr>
            <w:r>
              <w:rPr>
                <w:rFonts w:hint="eastAsia" w:ascii="仿宋_GB2312" w:eastAsia="仿宋_GB2312"/>
                <w:sz w:val="24"/>
              </w:rPr>
              <w:t>交通银行股份有限公司舟山分行</w:t>
            </w:r>
          </w:p>
        </w:tc>
        <w:tc>
          <w:tcPr>
            <w:tcW w:w="3975" w:type="dxa"/>
          </w:tcPr>
          <w:p w14:paraId="729F9B36">
            <w:pPr>
              <w:spacing w:line="400" w:lineRule="exact"/>
              <w:contextualSpacing/>
              <w:rPr>
                <w:rFonts w:ascii="仿宋_GB2312" w:eastAsia="仿宋_GB2312"/>
                <w:sz w:val="24"/>
              </w:rPr>
            </w:pPr>
            <w:r>
              <w:rPr>
                <w:rFonts w:hint="eastAsia" w:ascii="仿宋_GB2312" w:hAnsi="仿宋_GB2312" w:eastAsia="仿宋_GB2312" w:cs="仿宋_GB2312"/>
                <w:sz w:val="24"/>
                <w:szCs w:val="24"/>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_GB2312" w:eastAsia="仿宋_GB2312"/>
              </w:rPr>
              <w:t>PR。</w:t>
            </w:r>
          </w:p>
        </w:tc>
        <w:tc>
          <w:tcPr>
            <w:tcW w:w="2220" w:type="dxa"/>
            <w:vAlign w:val="center"/>
          </w:tcPr>
          <w:p w14:paraId="173F7180">
            <w:pPr>
              <w:spacing w:line="400" w:lineRule="exact"/>
              <w:contextualSpacing/>
              <w:jc w:val="center"/>
              <w:rPr>
                <w:rFonts w:ascii="仿宋_GB2312" w:eastAsia="仿宋_GB2312"/>
                <w:sz w:val="24"/>
              </w:rPr>
            </w:pPr>
            <w:r>
              <w:rPr>
                <w:rFonts w:hint="eastAsia" w:ascii="仿宋_GB2312" w:eastAsia="仿宋_GB2312"/>
                <w:sz w:val="24"/>
              </w:rPr>
              <w:t>赵争艳</w:t>
            </w:r>
          </w:p>
        </w:tc>
        <w:tc>
          <w:tcPr>
            <w:tcW w:w="1908" w:type="dxa"/>
            <w:vAlign w:val="center"/>
          </w:tcPr>
          <w:p w14:paraId="7F7DF9C1">
            <w:pPr>
              <w:spacing w:line="400" w:lineRule="exact"/>
              <w:contextualSpacing/>
              <w:rPr>
                <w:rFonts w:ascii="仿宋_GB2312" w:eastAsia="仿宋_GB2312"/>
                <w:sz w:val="24"/>
              </w:rPr>
            </w:pPr>
            <w:r>
              <w:rPr>
                <w:rFonts w:hint="eastAsia" w:ascii="仿宋_GB2312" w:eastAsia="仿宋_GB2312"/>
                <w:sz w:val="24"/>
              </w:rPr>
              <w:t>0580-2260728</w:t>
            </w:r>
          </w:p>
          <w:p w14:paraId="0A6EA79D">
            <w:pPr>
              <w:spacing w:line="400" w:lineRule="exact"/>
              <w:contextualSpacing/>
              <w:rPr>
                <w:rFonts w:ascii="仿宋_GB2312" w:eastAsia="仿宋_GB2312"/>
                <w:sz w:val="24"/>
              </w:rPr>
            </w:pPr>
            <w:r>
              <w:rPr>
                <w:rFonts w:hint="eastAsia" w:ascii="仿宋_GB2312" w:eastAsia="仿宋_GB2312"/>
                <w:sz w:val="24"/>
              </w:rPr>
              <w:t>13758007280</w:t>
            </w:r>
          </w:p>
        </w:tc>
      </w:tr>
      <w:tr w14:paraId="62CA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EB9A9E2">
            <w:pPr>
              <w:spacing w:line="400" w:lineRule="exact"/>
              <w:contextualSpacing/>
              <w:rPr>
                <w:rFonts w:ascii="仿宋_GB2312" w:eastAsia="仿宋_GB2312"/>
                <w:sz w:val="24"/>
              </w:rPr>
            </w:pPr>
            <w:r>
              <w:rPr>
                <w:rFonts w:hint="eastAsia" w:ascii="仿宋_GB2312" w:eastAsia="仿宋_GB2312"/>
                <w:sz w:val="24"/>
              </w:rPr>
              <w:t>中信银行股份有限公司舟山分行</w:t>
            </w:r>
          </w:p>
        </w:tc>
        <w:tc>
          <w:tcPr>
            <w:tcW w:w="3975" w:type="dxa"/>
          </w:tcPr>
          <w:p w14:paraId="08890549">
            <w:pPr>
              <w:spacing w:line="400" w:lineRule="exact"/>
              <w:contextualSpacing/>
              <w:rPr>
                <w:rFonts w:ascii="仿宋_GB2312" w:eastAsia="仿宋_GB2312"/>
                <w:sz w:val="24"/>
              </w:rPr>
            </w:pPr>
            <w:r>
              <w:rPr>
                <w:rFonts w:hint="eastAsia" w:ascii="仿宋_GB2312" w:eastAsia="仿宋_GB2312"/>
                <w:sz w:val="24"/>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199A05C6">
            <w:pPr>
              <w:spacing w:line="400" w:lineRule="exact"/>
              <w:contextualSpacing/>
              <w:jc w:val="center"/>
              <w:rPr>
                <w:rFonts w:ascii="仿宋_GB2312" w:eastAsia="仿宋_GB2312"/>
                <w:sz w:val="24"/>
              </w:rPr>
            </w:pPr>
            <w:r>
              <w:rPr>
                <w:rFonts w:hint="eastAsia" w:ascii="仿宋_GB2312" w:eastAsia="仿宋_GB2312"/>
                <w:sz w:val="24"/>
              </w:rPr>
              <w:t>黄丽</w:t>
            </w:r>
          </w:p>
        </w:tc>
        <w:tc>
          <w:tcPr>
            <w:tcW w:w="1908" w:type="dxa"/>
            <w:vAlign w:val="center"/>
          </w:tcPr>
          <w:p w14:paraId="7E9A3FD0">
            <w:pPr>
              <w:spacing w:line="400" w:lineRule="exact"/>
              <w:contextualSpacing/>
              <w:rPr>
                <w:rFonts w:ascii="仿宋_GB2312" w:eastAsia="仿宋_GB2312"/>
                <w:sz w:val="24"/>
              </w:rPr>
            </w:pPr>
            <w:r>
              <w:rPr>
                <w:rFonts w:hint="eastAsia" w:ascii="仿宋_GB2312" w:eastAsia="仿宋_GB2312"/>
                <w:sz w:val="24"/>
              </w:rPr>
              <w:t>13905808032</w:t>
            </w:r>
          </w:p>
        </w:tc>
      </w:tr>
      <w:tr w14:paraId="49E0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3B97168">
            <w:pPr>
              <w:spacing w:line="400" w:lineRule="exact"/>
              <w:contextualSpacing/>
              <w:rPr>
                <w:rFonts w:ascii="仿宋_GB2312" w:eastAsia="仿宋_GB2312"/>
                <w:sz w:val="24"/>
              </w:rPr>
            </w:pPr>
            <w:r>
              <w:rPr>
                <w:rFonts w:hint="eastAsia" w:ascii="仿宋_GB2312" w:eastAsia="仿宋_GB2312"/>
                <w:sz w:val="24"/>
              </w:rPr>
              <w:t>泰隆银行舟山市分行</w:t>
            </w:r>
          </w:p>
        </w:tc>
        <w:tc>
          <w:tcPr>
            <w:tcW w:w="3975" w:type="dxa"/>
          </w:tcPr>
          <w:p w14:paraId="3A2D679B">
            <w:pPr>
              <w:spacing w:line="400" w:lineRule="exact"/>
              <w:contextualSpacing/>
              <w:rPr>
                <w:rFonts w:ascii="仿宋_GB2312" w:eastAsia="仿宋_GB2312"/>
                <w:sz w:val="24"/>
              </w:rPr>
            </w:pPr>
            <w:r>
              <w:rPr>
                <w:rFonts w:hint="eastAsia" w:ascii="仿宋_GB2312" w:eastAsia="仿宋_GB2312"/>
                <w:sz w:val="24"/>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0DA10BB1">
            <w:pPr>
              <w:spacing w:line="400" w:lineRule="exact"/>
              <w:contextualSpacing/>
              <w:jc w:val="center"/>
              <w:rPr>
                <w:rFonts w:ascii="仿宋_GB2312" w:eastAsia="仿宋_GB2312"/>
                <w:sz w:val="24"/>
              </w:rPr>
            </w:pPr>
            <w:r>
              <w:rPr>
                <w:rFonts w:hint="eastAsia" w:ascii="仿宋_GB2312" w:eastAsia="仿宋_GB2312"/>
                <w:sz w:val="24"/>
              </w:rPr>
              <w:t>胡亢宇</w:t>
            </w:r>
          </w:p>
        </w:tc>
        <w:tc>
          <w:tcPr>
            <w:tcW w:w="1908" w:type="dxa"/>
            <w:vAlign w:val="center"/>
          </w:tcPr>
          <w:p w14:paraId="3D9F9A7A">
            <w:pPr>
              <w:spacing w:line="400" w:lineRule="exact"/>
              <w:contextualSpacing/>
              <w:rPr>
                <w:rFonts w:ascii="仿宋_GB2312" w:eastAsia="仿宋_GB2312"/>
                <w:sz w:val="24"/>
              </w:rPr>
            </w:pPr>
            <w:r>
              <w:rPr>
                <w:rFonts w:hint="eastAsia" w:ascii="仿宋_GB2312" w:eastAsia="仿宋_GB2312"/>
                <w:sz w:val="24"/>
              </w:rPr>
              <w:t>17605868703</w:t>
            </w:r>
          </w:p>
        </w:tc>
      </w:tr>
      <w:tr w14:paraId="56AF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709E6CD">
            <w:pPr>
              <w:spacing w:line="400" w:lineRule="exact"/>
              <w:contextualSpacing/>
              <w:rPr>
                <w:rFonts w:ascii="仿宋_GB2312" w:eastAsia="仿宋_GB2312"/>
                <w:sz w:val="24"/>
              </w:rPr>
            </w:pPr>
            <w:r>
              <w:rPr>
                <w:rFonts w:hint="eastAsia" w:ascii="仿宋_GB2312" w:eastAsia="仿宋_GB2312"/>
                <w:sz w:val="24"/>
              </w:rPr>
              <w:t>中国农业银行股份有限公司舟山分行</w:t>
            </w:r>
          </w:p>
        </w:tc>
        <w:tc>
          <w:tcPr>
            <w:tcW w:w="3975" w:type="dxa"/>
          </w:tcPr>
          <w:p w14:paraId="64F9D755">
            <w:pPr>
              <w:spacing w:line="400" w:lineRule="exact"/>
              <w:contextualSpacing/>
              <w:rPr>
                <w:rFonts w:ascii="仿宋_GB2312" w:eastAsia="仿宋_GB2312"/>
                <w:sz w:val="24"/>
              </w:rPr>
            </w:pPr>
            <w:r>
              <w:rPr>
                <w:rFonts w:hint="eastAsia" w:ascii="仿宋_GB2312" w:eastAsia="仿宋_GB2312"/>
                <w:sz w:val="24"/>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53A3C5C1">
            <w:pPr>
              <w:spacing w:line="400" w:lineRule="exact"/>
              <w:contextualSpacing/>
              <w:jc w:val="center"/>
              <w:rPr>
                <w:rFonts w:ascii="仿宋_GB2312" w:eastAsia="仿宋_GB2312"/>
                <w:sz w:val="24"/>
              </w:rPr>
            </w:pPr>
            <w:r>
              <w:rPr>
                <w:rFonts w:hint="eastAsia" w:ascii="仿宋_GB2312" w:eastAsia="仿宋_GB2312"/>
                <w:sz w:val="24"/>
              </w:rPr>
              <w:t>苏华瞻</w:t>
            </w:r>
          </w:p>
        </w:tc>
        <w:tc>
          <w:tcPr>
            <w:tcW w:w="1908" w:type="dxa"/>
            <w:vAlign w:val="center"/>
          </w:tcPr>
          <w:p w14:paraId="320C2051">
            <w:pPr>
              <w:spacing w:line="400" w:lineRule="exact"/>
              <w:contextualSpacing/>
              <w:jc w:val="center"/>
              <w:rPr>
                <w:rFonts w:ascii="仿宋_GB2312" w:eastAsia="仿宋_GB2312"/>
                <w:sz w:val="24"/>
              </w:rPr>
            </w:pPr>
            <w:r>
              <w:rPr>
                <w:rFonts w:hint="eastAsia" w:ascii="仿宋_GB2312" w:eastAsia="仿宋_GB2312"/>
                <w:sz w:val="24"/>
              </w:rPr>
              <w:t>13967228926</w:t>
            </w:r>
          </w:p>
        </w:tc>
      </w:tr>
      <w:tr w14:paraId="43EC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8647074">
            <w:pPr>
              <w:spacing w:line="400" w:lineRule="exact"/>
              <w:contextualSpacing/>
              <w:rPr>
                <w:rFonts w:ascii="仿宋_GB2312" w:eastAsia="仿宋_GB2312"/>
                <w:sz w:val="24"/>
              </w:rPr>
            </w:pPr>
            <w:r>
              <w:rPr>
                <w:rFonts w:hint="eastAsia" w:ascii="仿宋_GB2312" w:eastAsia="仿宋_GB2312"/>
                <w:sz w:val="24"/>
              </w:rPr>
              <w:t>中国邮政储蓄银行股份有限公司舟山市分行</w:t>
            </w:r>
          </w:p>
        </w:tc>
        <w:tc>
          <w:tcPr>
            <w:tcW w:w="3975" w:type="dxa"/>
          </w:tcPr>
          <w:p w14:paraId="361D35BC">
            <w:pPr>
              <w:tabs>
                <w:tab w:val="left" w:pos="0"/>
              </w:tabs>
              <w:spacing w:line="400" w:lineRule="exact"/>
              <w:rPr>
                <w:rFonts w:ascii="仿宋_GB2312" w:eastAsia="仿宋_GB2312"/>
                <w:sz w:val="24"/>
              </w:rPr>
            </w:pPr>
            <w:r>
              <w:rPr>
                <w:rFonts w:hint="eastAsia" w:ascii="仿宋_GB2312" w:hAnsi="Times New Roman" w:eastAsia="仿宋_GB2312"/>
                <w:sz w:val="24"/>
              </w:rPr>
              <w:t>符合我行基本准入，授信额度使用期最高为2年，单户授信最高为500万，担保方式</w:t>
            </w:r>
            <w:r>
              <w:rPr>
                <w:rFonts w:hint="eastAsia" w:ascii="仿宋_GB2312" w:eastAsia="仿宋_GB2312"/>
                <w:sz w:val="24"/>
              </w:rPr>
              <w:t>享受信用贷款执行</w:t>
            </w:r>
            <w:r>
              <w:rPr>
                <w:rFonts w:hint="eastAsia" w:ascii="仿宋_GB2312" w:hAnsi="Times New Roman" w:eastAsia="仿宋_GB2312"/>
                <w:sz w:val="24"/>
              </w:rPr>
              <w:t>，利率最低可至当期LPR ，有无还本续贷，12月份线上产品可以自主自贷。</w:t>
            </w:r>
          </w:p>
        </w:tc>
        <w:tc>
          <w:tcPr>
            <w:tcW w:w="2220" w:type="dxa"/>
            <w:vAlign w:val="center"/>
          </w:tcPr>
          <w:p w14:paraId="316D7D95">
            <w:pPr>
              <w:spacing w:line="400" w:lineRule="exact"/>
              <w:contextualSpacing/>
              <w:jc w:val="center"/>
              <w:rPr>
                <w:rFonts w:ascii="仿宋_GB2312" w:eastAsia="仿宋_GB2312"/>
                <w:sz w:val="24"/>
              </w:rPr>
            </w:pPr>
            <w:r>
              <w:rPr>
                <w:rFonts w:hint="eastAsia" w:ascii="仿宋_GB2312" w:eastAsia="仿宋_GB2312"/>
                <w:sz w:val="24"/>
              </w:rPr>
              <w:t>蒋志燕</w:t>
            </w:r>
          </w:p>
        </w:tc>
        <w:tc>
          <w:tcPr>
            <w:tcW w:w="1908" w:type="dxa"/>
            <w:vAlign w:val="center"/>
          </w:tcPr>
          <w:p w14:paraId="3AF69D05">
            <w:pPr>
              <w:spacing w:line="400" w:lineRule="exact"/>
              <w:contextualSpacing/>
              <w:rPr>
                <w:rFonts w:ascii="仿宋_GB2312" w:eastAsia="仿宋_GB2312"/>
                <w:sz w:val="24"/>
              </w:rPr>
            </w:pPr>
            <w:r>
              <w:rPr>
                <w:rFonts w:hint="eastAsia" w:ascii="仿宋_GB2312" w:eastAsia="仿宋_GB2312"/>
                <w:sz w:val="24"/>
              </w:rPr>
              <w:t>13732527321</w:t>
            </w:r>
          </w:p>
        </w:tc>
      </w:tr>
    </w:tbl>
    <w:p w14:paraId="6848CD67">
      <w:pPr>
        <w:spacing w:line="360" w:lineRule="auto"/>
        <w:contextualSpacing/>
        <w:rPr>
          <w:rFonts w:ascii="仿宋_GB2312" w:eastAsia="仿宋_GB2312"/>
          <w:sz w:val="24"/>
        </w:rPr>
      </w:pPr>
      <w:r>
        <w:rPr>
          <w:rFonts w:hint="eastAsia" w:ascii="仿宋_GB2312" w:eastAsia="仿宋_GB2312"/>
          <w:sz w:val="24"/>
        </w:rPr>
        <w:t>1. 一般步骤</w:t>
      </w:r>
    </w:p>
    <w:p w14:paraId="6BFB1A16">
      <w:pPr>
        <w:spacing w:line="360" w:lineRule="auto"/>
        <w:contextualSpacing/>
        <w:rPr>
          <w:rFonts w:ascii="仿宋_GB2312" w:eastAsia="仿宋_GB2312"/>
          <w:sz w:val="24"/>
        </w:rPr>
      </w:pPr>
      <w:r>
        <w:rPr>
          <w:rFonts w:hint="eastAsia" w:ascii="仿宋_GB2312" w:eastAsia="仿宋_GB2312"/>
          <w:sz w:val="24"/>
        </w:rPr>
        <w:t>（1）供应商先与银行对接，办理融资前期手续；</w:t>
      </w:r>
    </w:p>
    <w:p w14:paraId="7F03359B">
      <w:pPr>
        <w:spacing w:line="360" w:lineRule="auto"/>
        <w:contextualSpacing/>
        <w:rPr>
          <w:rFonts w:ascii="仿宋_GB2312" w:eastAsia="仿宋_GB2312"/>
          <w:sz w:val="24"/>
        </w:rPr>
      </w:pPr>
      <w:r>
        <w:rPr>
          <w:rFonts w:hint="eastAsia" w:ascii="仿宋_GB2312" w:eastAsia="仿宋_GB2312"/>
          <w:sz w:val="24"/>
        </w:rPr>
        <w:t>（2）供应商成交后，凭成交通知书等材料，向相关合作银行发出融资申请；</w:t>
      </w:r>
    </w:p>
    <w:p w14:paraId="5798EABA">
      <w:pPr>
        <w:spacing w:line="360" w:lineRule="auto"/>
        <w:contextualSpacing/>
        <w:rPr>
          <w:rFonts w:ascii="仿宋_GB2312" w:eastAsia="仿宋_GB2312"/>
          <w:sz w:val="24"/>
        </w:rPr>
      </w:pPr>
      <w:r>
        <w:rPr>
          <w:rFonts w:hint="eastAsia" w:ascii="仿宋_GB2312" w:eastAsia="仿宋_GB2312"/>
          <w:sz w:val="24"/>
        </w:rPr>
        <w:t>（3）银行、供应商线上办理审批、放贷事宜。</w:t>
      </w:r>
    </w:p>
    <w:p w14:paraId="615CA4A8">
      <w:pPr>
        <w:spacing w:line="360" w:lineRule="auto"/>
        <w:contextualSpacing/>
        <w:rPr>
          <w:rFonts w:ascii="仿宋_GB2312" w:eastAsia="仿宋_GB2312"/>
          <w:sz w:val="24"/>
        </w:rPr>
      </w:pPr>
      <w:r>
        <w:rPr>
          <w:rFonts w:hint="eastAsia" w:ascii="仿宋_GB2312" w:eastAsia="仿宋_GB2312"/>
          <w:sz w:val="24"/>
        </w:rPr>
        <w:t>2. 注意事项</w:t>
      </w:r>
    </w:p>
    <w:p w14:paraId="4229526E">
      <w:pPr>
        <w:spacing w:line="360" w:lineRule="auto"/>
        <w:contextualSpacing/>
        <w:rPr>
          <w:rFonts w:ascii="仿宋_GB2312" w:eastAsia="仿宋_GB2312"/>
          <w:sz w:val="24"/>
        </w:rPr>
      </w:pPr>
      <w:r>
        <w:rPr>
          <w:rFonts w:hint="eastAsia" w:ascii="仿宋_GB2312" w:eastAsia="仿宋_GB2312"/>
          <w:sz w:val="24"/>
        </w:rPr>
        <w:t>（1）成交供应商需确保政府采购合同的收款账户与融资银行开户账户一致。</w:t>
      </w:r>
    </w:p>
    <w:p w14:paraId="1FB628AD">
      <w:pPr>
        <w:spacing w:line="360" w:lineRule="auto"/>
        <w:contextualSpacing/>
        <w:rPr>
          <w:rFonts w:ascii="仿宋_GB2312" w:eastAsia="仿宋_GB2312"/>
          <w:sz w:val="24"/>
        </w:rPr>
      </w:pPr>
      <w:r>
        <w:rPr>
          <w:rFonts w:hint="eastAsia" w:ascii="仿宋_GB2312" w:eastAsia="仿宋_GB2312"/>
          <w:sz w:val="24"/>
        </w:rPr>
        <w:t>（2）用于政府采购信用融资的政府采购合同，应当包含如下条款：“第   条：</w:t>
      </w:r>
    </w:p>
    <w:p w14:paraId="0DA73891">
      <w:pPr>
        <w:spacing w:line="360" w:lineRule="auto"/>
        <w:contextualSpacing/>
        <w:rPr>
          <w:rFonts w:ascii="仿宋_GB2312" w:eastAsia="仿宋_GB2312"/>
          <w:sz w:val="24"/>
        </w:rPr>
      </w:pPr>
      <w:r>
        <w:rPr>
          <w:rFonts w:hint="eastAsia" w:ascii="仿宋_GB2312" w:eastAsia="仿宋_GB2312"/>
          <w:sz w:val="24"/>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14:paraId="72997FF7">
      <w:pPr>
        <w:spacing w:line="540" w:lineRule="exact"/>
        <w:contextualSpacing/>
        <w:rPr>
          <w:rFonts w:ascii="仿宋_GB2312" w:eastAsia="仿宋_GB2312"/>
          <w:sz w:val="24"/>
          <w:szCs w:val="24"/>
        </w:rPr>
      </w:pPr>
    </w:p>
    <w:p w14:paraId="5074F616">
      <w:pPr>
        <w:rPr>
          <w:rFonts w:ascii="仿宋_GB2312" w:eastAsia="仿宋_GB2312"/>
          <w:sz w:val="24"/>
          <w:szCs w:val="24"/>
        </w:rPr>
      </w:pPr>
    </w:p>
    <w:p w14:paraId="101CF071">
      <w:pPr>
        <w:rPr>
          <w:rFonts w:ascii="仿宋_GB2312" w:eastAsia="仿宋_GB2312"/>
        </w:rPr>
      </w:pPr>
    </w:p>
    <w:p w14:paraId="6E4449F3">
      <w:pPr>
        <w:rPr>
          <w:rFonts w:ascii="仿宋_GB2312" w:eastAsia="仿宋_GB2312"/>
        </w:rPr>
      </w:pPr>
    </w:p>
    <w:p w14:paraId="745A5CEF">
      <w:pPr>
        <w:rPr>
          <w:rFonts w:ascii="仿宋_GB2312" w:eastAsia="仿宋_GB2312"/>
        </w:rPr>
      </w:pPr>
    </w:p>
    <w:p w14:paraId="24F071CD">
      <w:pPr>
        <w:rPr>
          <w:rFonts w:ascii="仿宋_GB2312" w:eastAsia="仿宋_GB2312"/>
        </w:rPr>
      </w:pPr>
    </w:p>
    <w:p w14:paraId="082ACAFC">
      <w:pPr>
        <w:rPr>
          <w:rFonts w:ascii="仿宋_GB2312" w:eastAsia="仿宋_GB2312"/>
        </w:rPr>
      </w:pPr>
    </w:p>
    <w:p w14:paraId="5E1AACA2">
      <w:pPr>
        <w:snapToGrid w:val="0"/>
        <w:spacing w:line="360" w:lineRule="auto"/>
        <w:rPr>
          <w:rFonts w:ascii="仿宋_GB2312" w:hAnsi="宋体" w:eastAsia="仿宋_GB2312" w:cs="宋体"/>
          <w:kern w:val="0"/>
          <w:sz w:val="24"/>
          <w:szCs w:val="24"/>
          <w:lang w:val="zh-CN"/>
        </w:rPr>
      </w:pPr>
    </w:p>
    <w:p w14:paraId="2E4EBA80"/>
    <w:sectPr>
      <w:headerReference r:id="rId15" w:type="first"/>
      <w:footerReference r:id="rId17" w:type="first"/>
      <w:footerReference r:id="rId16" w:type="even"/>
      <w:pgSz w:w="11906" w:h="16838"/>
      <w:pgMar w:top="1276" w:right="1418" w:bottom="1247" w:left="1418" w:header="851" w:footer="533"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18FB6">
    <w:pPr>
      <w:pStyle w:val="9"/>
      <w:jc w:val="center"/>
    </w:pPr>
    <w:r>
      <w:fldChar w:fldCharType="begin"/>
    </w:r>
    <w:r>
      <w:instrText xml:space="preserve"> PAGE   \* MERGEFORMAT </w:instrText>
    </w:r>
    <w:r>
      <w:fldChar w:fldCharType="separate"/>
    </w:r>
    <w:r>
      <w:rPr>
        <w:lang w:val="zh-CN"/>
      </w:rPr>
      <w:t>37</w:t>
    </w:r>
    <w:r>
      <w:rPr>
        <w:lang w:val="zh-CN"/>
      </w:rPr>
      <w:fldChar w:fldCharType="end"/>
    </w:r>
  </w:p>
  <w:p w14:paraId="45C08B2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93133">
    <w:r>
      <w:fldChar w:fldCharType="begin"/>
    </w:r>
    <w:r>
      <w:instrText xml:space="preserve">PAGE  </w:instrText>
    </w:r>
    <w:r>
      <w:fldChar w:fldCharType="end"/>
    </w:r>
  </w:p>
  <w:p w14:paraId="54A02EE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10D0">
    <w:pPr>
      <w:pStyle w:val="9"/>
      <w:jc w:val="center"/>
    </w:pPr>
    <w:r>
      <w:fldChar w:fldCharType="begin"/>
    </w:r>
    <w:r>
      <w:instrText xml:space="preserve">PAGE   \* MERGEFORMAT</w:instrText>
    </w:r>
    <w:r>
      <w:fldChar w:fldCharType="separate"/>
    </w:r>
    <w:r>
      <w:rPr>
        <w:lang w:val="zh-CN"/>
      </w:rPr>
      <w:t>22</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AC040">
    <w:pPr>
      <w:pStyle w:val="9"/>
      <w:jc w:val="center"/>
    </w:pPr>
    <w:r>
      <w:fldChar w:fldCharType="begin"/>
    </w:r>
    <w:r>
      <w:instrText xml:space="preserve"> PAGE   \* MERGEFORMAT </w:instrText>
    </w:r>
    <w:r>
      <w:fldChar w:fldCharType="separate"/>
    </w:r>
    <w:r>
      <w:rPr>
        <w:lang w:val="zh-CN"/>
      </w:rPr>
      <w:t>61</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4EC72">
    <w:pPr>
      <w:pStyle w:val="9"/>
      <w:jc w:val="center"/>
    </w:pPr>
    <w:r>
      <w:fldChar w:fldCharType="begin"/>
    </w:r>
    <w:r>
      <w:instrText xml:space="preserve"> PAGE   \* MERGEFORMAT </w:instrText>
    </w:r>
    <w:r>
      <w:fldChar w:fldCharType="separate"/>
    </w:r>
    <w:r>
      <w:rPr>
        <w:lang w:val="zh-CN"/>
      </w:rPr>
      <w:t>50</w:t>
    </w:r>
    <w:r>
      <w:rPr>
        <w:lang w:val="zh-CN"/>
      </w:rPr>
      <w:fldChar w:fldCharType="end"/>
    </w:r>
  </w:p>
  <w:p w14:paraId="792A20E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BBA93">
    <w:pPr>
      <w:pStyle w:val="9"/>
      <w:jc w:val="center"/>
    </w:pPr>
    <w:r>
      <w:fldChar w:fldCharType="begin"/>
    </w:r>
    <w:r>
      <w:instrText xml:space="preserve"> PAGE   \* MERGEFORMAT </w:instrText>
    </w:r>
    <w:r>
      <w:fldChar w:fldCharType="separate"/>
    </w:r>
    <w:r>
      <w:rPr>
        <w:lang w:val="zh-CN"/>
      </w:rPr>
      <w:t>78</w:t>
    </w:r>
    <w:r>
      <w:rPr>
        <w:lang w:val="zh-CN"/>
      </w:rPr>
      <w:fldChar w:fldCharType="end"/>
    </w:r>
  </w:p>
  <w:p w14:paraId="5B0A17B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91ACA">
    <w:pPr>
      <w:pStyle w:val="9"/>
      <w:jc w:val="center"/>
    </w:pPr>
    <w:r>
      <w:fldChar w:fldCharType="begin"/>
    </w:r>
    <w:r>
      <w:instrText xml:space="preserve"> PAGE   \* MERGEFORMAT </w:instrText>
    </w:r>
    <w:r>
      <w:fldChar w:fldCharType="separate"/>
    </w:r>
    <w:r>
      <w:rPr>
        <w:lang w:val="zh-CN"/>
      </w:rPr>
      <w:t>62</w:t>
    </w:r>
    <w:r>
      <w:rPr>
        <w:lang w:val="zh-CN"/>
      </w:rPr>
      <w:fldChar w:fldCharType="end"/>
    </w:r>
  </w:p>
  <w:p w14:paraId="2E30E41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E4F3E">
    <w:r>
      <w:fldChar w:fldCharType="begin"/>
    </w:r>
    <w:r>
      <w:instrText xml:space="preserve">PAGE  </w:instrText>
    </w:r>
    <w:r>
      <w:fldChar w:fldCharType="end"/>
    </w:r>
  </w:p>
  <w:p w14:paraId="6D2183F2"/>
  <w:p w14:paraId="43FFA139"/>
  <w:p w14:paraId="33F33FA4"/>
  <w:p w14:paraId="4D9A682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580E4">
    <w:pPr>
      <w:pStyle w:val="9"/>
      <w:jc w:val="center"/>
    </w:pPr>
    <w:r>
      <w:fldChar w:fldCharType="begin"/>
    </w:r>
    <w:r>
      <w:instrText xml:space="preserve"> PAGE   \* MERGEFORMAT </w:instrText>
    </w:r>
    <w:r>
      <w:fldChar w:fldCharType="separate"/>
    </w:r>
    <w:r>
      <w:rPr>
        <w:lang w:val="zh-CN"/>
      </w:rPr>
      <w:t>63</w:t>
    </w:r>
    <w:r>
      <w:rPr>
        <w:lang w:val="zh-CN"/>
      </w:rPr>
      <w:fldChar w:fldCharType="end"/>
    </w:r>
  </w:p>
  <w:p w14:paraId="57BB5565"/>
  <w:p w14:paraId="3BE7452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C9C38">
    <w:r>
      <w:t></w:t>
    </w:r>
  </w:p>
  <w:p w14:paraId="66BA11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05CDE">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35FE9">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78B0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8E4F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8BDE4">
    <w:r>
      <w:rPr>
        <w:rFonts w:cs="Calibri"/>
      </w:rPr>
      <w:t></w:t>
    </w:r>
  </w:p>
  <w:p w14:paraId="5A95C9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4DE15"/>
    <w:multiLevelType w:val="singleLevel"/>
    <w:tmpl w:val="0C34DE15"/>
    <w:lvl w:ilvl="0" w:tentative="0">
      <w:start w:val="1"/>
      <w:numFmt w:val="decimal"/>
      <w:lvlText w:val="%1."/>
      <w:lvlJc w:val="left"/>
      <w:pPr>
        <w:tabs>
          <w:tab w:val="left" w:pos="312"/>
        </w:tabs>
      </w:pPr>
    </w:lvl>
  </w:abstractNum>
  <w:abstractNum w:abstractNumId="1">
    <w:nsid w:val="19693563"/>
    <w:multiLevelType w:val="singleLevel"/>
    <w:tmpl w:val="19693563"/>
    <w:lvl w:ilvl="0" w:tentative="0">
      <w:start w:val="1"/>
      <w:numFmt w:val="decimal"/>
      <w:suff w:val="nothing"/>
      <w:lvlText w:val="（%1）"/>
      <w:lvlJc w:val="left"/>
    </w:lvl>
  </w:abstractNum>
  <w:abstractNum w:abstractNumId="2">
    <w:nsid w:val="225A8346"/>
    <w:multiLevelType w:val="singleLevel"/>
    <w:tmpl w:val="225A8346"/>
    <w:lvl w:ilvl="0" w:tentative="0">
      <w:start w:val="1"/>
      <w:numFmt w:val="decimal"/>
      <w:lvlText w:val="%1."/>
      <w:lvlJc w:val="left"/>
      <w:pPr>
        <w:tabs>
          <w:tab w:val="left" w:pos="312"/>
        </w:tabs>
      </w:pPr>
    </w:lvl>
  </w:abstractNum>
  <w:abstractNum w:abstractNumId="3">
    <w:nsid w:val="3A396284"/>
    <w:multiLevelType w:val="multilevel"/>
    <w:tmpl w:val="3A39628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DD4552D"/>
    <w:multiLevelType w:val="singleLevel"/>
    <w:tmpl w:val="4DD4552D"/>
    <w:lvl w:ilvl="0" w:tentative="0">
      <w:start w:val="1"/>
      <w:numFmt w:val="decimal"/>
      <w:lvlText w:val="%1."/>
      <w:lvlJc w:val="left"/>
      <w:pPr>
        <w:tabs>
          <w:tab w:val="left" w:pos="312"/>
        </w:tabs>
      </w:pPr>
    </w:lvl>
  </w:abstractNum>
  <w:abstractNum w:abstractNumId="5">
    <w:nsid w:val="6709765B"/>
    <w:multiLevelType w:val="singleLevel"/>
    <w:tmpl w:val="6709765B"/>
    <w:lvl w:ilvl="0" w:tentative="0">
      <w:start w:val="4"/>
      <w:numFmt w:val="chineseCounting"/>
      <w:suff w:val="space"/>
      <w:lvlText w:val="第%1部分"/>
      <w:lvlJc w:val="left"/>
      <w:rPr>
        <w:rFonts w:hint="eastAsi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435D2"/>
    <w:rsid w:val="0011272B"/>
    <w:rsid w:val="001A59C7"/>
    <w:rsid w:val="00292CC0"/>
    <w:rsid w:val="002B12F3"/>
    <w:rsid w:val="002D2536"/>
    <w:rsid w:val="002F5345"/>
    <w:rsid w:val="003100DC"/>
    <w:rsid w:val="003435D2"/>
    <w:rsid w:val="0036573A"/>
    <w:rsid w:val="003D676E"/>
    <w:rsid w:val="00404821"/>
    <w:rsid w:val="004140B0"/>
    <w:rsid w:val="00522D07"/>
    <w:rsid w:val="00553B0D"/>
    <w:rsid w:val="00587363"/>
    <w:rsid w:val="0067778A"/>
    <w:rsid w:val="006872AA"/>
    <w:rsid w:val="007945E3"/>
    <w:rsid w:val="00833B34"/>
    <w:rsid w:val="00860C02"/>
    <w:rsid w:val="00871FD3"/>
    <w:rsid w:val="00880BD0"/>
    <w:rsid w:val="008E182A"/>
    <w:rsid w:val="00A209F0"/>
    <w:rsid w:val="00B61FDA"/>
    <w:rsid w:val="00B950AA"/>
    <w:rsid w:val="00C41E5B"/>
    <w:rsid w:val="00CB3E51"/>
    <w:rsid w:val="00EE25E0"/>
    <w:rsid w:val="00F379B5"/>
    <w:rsid w:val="00FA694F"/>
    <w:rsid w:val="00FF592A"/>
    <w:rsid w:val="0142420C"/>
    <w:rsid w:val="02EC7C66"/>
    <w:rsid w:val="0BBF3EBF"/>
    <w:rsid w:val="0C05611E"/>
    <w:rsid w:val="11B2324D"/>
    <w:rsid w:val="18BE81F2"/>
    <w:rsid w:val="19813464"/>
    <w:rsid w:val="1A8E1D32"/>
    <w:rsid w:val="1FDF44CA"/>
    <w:rsid w:val="203D58CB"/>
    <w:rsid w:val="2859006F"/>
    <w:rsid w:val="29857899"/>
    <w:rsid w:val="2BFE1041"/>
    <w:rsid w:val="301A450E"/>
    <w:rsid w:val="304A27C8"/>
    <w:rsid w:val="39AB0493"/>
    <w:rsid w:val="3BFDAEB4"/>
    <w:rsid w:val="3D7600F7"/>
    <w:rsid w:val="3DE41EB3"/>
    <w:rsid w:val="3F4268BF"/>
    <w:rsid w:val="41E0670E"/>
    <w:rsid w:val="455C7F66"/>
    <w:rsid w:val="49351E29"/>
    <w:rsid w:val="4D011BE0"/>
    <w:rsid w:val="50CD4EF0"/>
    <w:rsid w:val="57AA7AA4"/>
    <w:rsid w:val="5DE7CAEA"/>
    <w:rsid w:val="5F35379D"/>
    <w:rsid w:val="61471ACE"/>
    <w:rsid w:val="68FA0FC6"/>
    <w:rsid w:val="6C362FA1"/>
    <w:rsid w:val="6CCF77B5"/>
    <w:rsid w:val="6CEF1234"/>
    <w:rsid w:val="6EC654A3"/>
    <w:rsid w:val="6FD77DCC"/>
    <w:rsid w:val="7523553D"/>
    <w:rsid w:val="75DFC151"/>
    <w:rsid w:val="769F67B7"/>
    <w:rsid w:val="76FFB245"/>
    <w:rsid w:val="776E6EF8"/>
    <w:rsid w:val="77FF21E3"/>
    <w:rsid w:val="7AE957D2"/>
    <w:rsid w:val="7B3BB075"/>
    <w:rsid w:val="7CDF4EDC"/>
    <w:rsid w:val="7DEE1F9F"/>
    <w:rsid w:val="7E794F52"/>
    <w:rsid w:val="7ED64016"/>
    <w:rsid w:val="7EFF8BFD"/>
    <w:rsid w:val="7FB843B2"/>
    <w:rsid w:val="9F7EBE3E"/>
    <w:rsid w:val="BA7B23C6"/>
    <w:rsid w:val="C2C7C19C"/>
    <w:rsid w:val="CF7D065C"/>
    <w:rsid w:val="DFFE529D"/>
    <w:rsid w:val="F27F83FD"/>
    <w:rsid w:val="F95E5620"/>
    <w:rsid w:val="FDFD14D4"/>
    <w:rsid w:val="FE6BBCD5"/>
    <w:rsid w:val="FEF3AD3F"/>
    <w:rsid w:val="FF3FDCB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keepNext/>
      <w:keepLines/>
      <w:spacing w:before="260" w:after="260" w:line="412" w:lineRule="auto"/>
      <w:outlineLvl w:val="1"/>
    </w:pPr>
    <w:rPr>
      <w:rFonts w:ascii="Arial" w:hAnsi="Arial"/>
      <w:b/>
      <w:sz w:val="32"/>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unhideWhenUsed/>
    <w:qFormat/>
    <w:uiPriority w:val="99"/>
    <w:pPr>
      <w:spacing w:after="120" w:line="360" w:lineRule="auto"/>
    </w:pPr>
    <w:rPr>
      <w:rFonts w:ascii="仿宋" w:hAnsi="仿宋" w:eastAsia="仿宋" w:cs="仿宋"/>
      <w:sz w:val="24"/>
      <w:szCs w:val="24"/>
    </w:rPr>
  </w:style>
  <w:style w:type="paragraph" w:styleId="5">
    <w:name w:val="Subtitle"/>
    <w:basedOn w:val="1"/>
    <w:next w:val="1"/>
    <w:qFormat/>
    <w:uiPriority w:val="11"/>
    <w:pPr>
      <w:adjustRightInd w:val="0"/>
      <w:snapToGrid w:val="0"/>
      <w:spacing w:before="240" w:after="480"/>
      <w:jc w:val="left"/>
    </w:pPr>
    <w:rPr>
      <w:rFonts w:ascii="仿宋_GB2312" w:hAnsi="Arial" w:eastAsia="仿宋_GB2312"/>
      <w:bCs/>
      <w:kern w:val="28"/>
      <w:sz w:val="24"/>
      <w:szCs w:val="24"/>
    </w:rPr>
  </w:style>
  <w:style w:type="paragraph" w:styleId="6">
    <w:name w:val="Plain Text"/>
    <w:basedOn w:val="1"/>
    <w:next w:val="1"/>
    <w:qFormat/>
    <w:uiPriority w:val="0"/>
    <w:rPr>
      <w:rFonts w:ascii="宋体" w:hAnsi="Courier New" w:eastAsia="Times New Roman" w:cs="宋体"/>
      <w:sz w:val="30"/>
      <w:szCs w:val="30"/>
    </w:rPr>
  </w:style>
  <w:style w:type="paragraph" w:styleId="7">
    <w:name w:val="Date"/>
    <w:basedOn w:val="1"/>
    <w:next w:val="1"/>
    <w:link w:val="15"/>
    <w:semiHidden/>
    <w:unhideWhenUsed/>
    <w:qFormat/>
    <w:uiPriority w:val="99"/>
    <w:pPr>
      <w:ind w:left="100" w:leftChars="2500"/>
    </w:pPr>
  </w:style>
  <w:style w:type="paragraph" w:styleId="8">
    <w:name w:val="Balloon Text"/>
    <w:basedOn w:val="1"/>
    <w:link w:val="19"/>
    <w:semiHidden/>
    <w:unhideWhenUsed/>
    <w:qFormat/>
    <w:uiPriority w:val="99"/>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Hyperlink"/>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character" w:customStyle="1" w:styleId="15">
    <w:name w:val="日期 Char"/>
    <w:basedOn w:val="12"/>
    <w:link w:val="7"/>
    <w:semiHidden/>
    <w:qFormat/>
    <w:uiPriority w:val="99"/>
  </w:style>
  <w:style w:type="paragraph" w:customStyle="1" w:styleId="16">
    <w:name w:val="表格文字"/>
    <w:basedOn w:val="1"/>
    <w:next w:val="4"/>
    <w:qFormat/>
    <w:uiPriority w:val="0"/>
    <w:pPr>
      <w:ind w:firstLine="200" w:firstLineChars="200"/>
    </w:pPr>
    <w:rPr>
      <w:rFonts w:ascii="Arial" w:hAnsi="Arial"/>
      <w:spacing w:val="-5"/>
      <w:kern w:val="0"/>
      <w:sz w:val="24"/>
      <w:szCs w:val="20"/>
    </w:rPr>
  </w:style>
  <w:style w:type="paragraph" w:customStyle="1" w:styleId="17">
    <w:name w:val="列出段落1"/>
    <w:basedOn w:val="1"/>
    <w:qFormat/>
    <w:uiPriority w:val="34"/>
    <w:pPr>
      <w:ind w:firstLine="420" w:firstLineChars="200"/>
    </w:pPr>
  </w:style>
  <w:style w:type="paragraph" w:styleId="18">
    <w:name w:val="List Paragraph"/>
    <w:basedOn w:val="1"/>
    <w:qFormat/>
    <w:uiPriority w:val="99"/>
    <w:pPr>
      <w:ind w:left="823" w:hanging="269"/>
    </w:pPr>
    <w:rPr>
      <w:rFonts w:ascii="仿宋" w:hAnsi="仿宋" w:eastAsia="仿宋" w:cs="仿宋"/>
      <w:lang w:val="zh-CN" w:bidi="zh-CN"/>
    </w:rPr>
  </w:style>
  <w:style w:type="character" w:customStyle="1" w:styleId="19">
    <w:name w:val="批注框文本 Char"/>
    <w:basedOn w:val="12"/>
    <w:link w:val="8"/>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76</Pages>
  <Words>19343</Words>
  <Characters>20569</Characters>
  <Lines>341</Lines>
  <Paragraphs>96</Paragraphs>
  <TotalTime>5</TotalTime>
  <ScaleCrop>false</ScaleCrop>
  <LinksUpToDate>false</LinksUpToDate>
  <CharactersWithSpaces>20767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2023-12-12T19:37:00Z</dcterms:created>
  <dc:creator>User</dc:creator>
  <cp:lastModifiedBy>伊</cp:lastModifiedBy>
  <dcterms:modified xsi:type="dcterms:W3CDTF">2025-06-26T06:50:44Z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60EFE87497EA42E184CD2886994E69F1_12</vt:lpwstr>
  </property>
  <property fmtid="{D5CDD505-2E9C-101B-9397-08002B2CF9AE}" pid="4" name="KSOTemplateDocerSaveRecord">
    <vt:lpwstr>eyJoZGlkIjoiODIwY2ZmYzVlZjU0MmRjNTM2NjM4ZjRhZGVjMGY5M2EiLCJ1c2VySWQiOiI5MzA4MzY1OTQifQ==</vt:lpwstr>
  </property>
</Properties>
</file>