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sz w:val="24"/>
          <w:szCs w:val="24"/>
        </w:rPr>
      </w:pPr>
    </w:p>
    <w:p>
      <w:pPr>
        <w:jc w:val="center"/>
        <w:rPr>
          <w:rFonts w:ascii="Times New Roman" w:hAnsi="Times New Roman" w:eastAsia="宋体"/>
          <w:spacing w:val="6"/>
          <w:sz w:val="30"/>
          <w:szCs w:val="30"/>
        </w:rPr>
      </w:pPr>
      <w:r>
        <w:rPr>
          <w:rFonts w:ascii="宋体" w:hAnsi="宋体" w:eastAsia="宋体"/>
          <w:spacing w:val="6"/>
          <w:sz w:val="30"/>
          <w:szCs w:val="30"/>
        </w:rPr>
        <w:t>招标编号：510107202100089</w:t>
      </w:r>
    </w:p>
    <w:p>
      <w:pPr>
        <w:jc w:val="center"/>
        <w:rPr>
          <w:rFonts w:ascii="宋体" w:hAnsi="宋体" w:eastAsia="宋体"/>
          <w:szCs w:val="21"/>
        </w:rPr>
      </w:pPr>
    </w:p>
    <w:p>
      <w:pPr>
        <w:jc w:val="cente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jc w:val="center"/>
        <w:rPr>
          <w:rFonts w:ascii="宋体" w:hAnsi="宋体" w:eastAsia="宋体"/>
          <w:b/>
          <w:bCs/>
          <w:sz w:val="44"/>
          <w:szCs w:val="44"/>
        </w:rPr>
      </w:pPr>
      <w:r>
        <w:rPr>
          <w:rFonts w:hint="eastAsia" w:ascii="宋体" w:hAnsi="宋体" w:eastAsia="宋体"/>
          <w:b/>
          <w:bCs/>
          <w:sz w:val="44"/>
          <w:szCs w:val="44"/>
        </w:rPr>
        <w:t>成都市武侯区人民政府华兴街道办事处城镇公共卫生环卫服务采购项目</w:t>
      </w: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jc w:val="center"/>
        <w:rPr>
          <w:rFonts w:ascii="宋体" w:hAnsi="宋体" w:eastAsia="宋体"/>
          <w:b/>
          <w:bCs/>
          <w:sz w:val="52"/>
          <w:szCs w:val="52"/>
        </w:rPr>
      </w:pPr>
      <w:r>
        <w:rPr>
          <w:rFonts w:ascii="宋体" w:hAnsi="宋体" w:eastAsia="宋体"/>
          <w:b/>
          <w:bCs/>
          <w:sz w:val="52"/>
          <w:szCs w:val="52"/>
        </w:rPr>
        <w:t>招</w:t>
      </w:r>
    </w:p>
    <w:p>
      <w:pPr>
        <w:jc w:val="center"/>
        <w:rPr>
          <w:rFonts w:ascii="宋体" w:hAnsi="宋体" w:eastAsia="宋体"/>
          <w:b/>
          <w:bCs/>
          <w:sz w:val="52"/>
          <w:szCs w:val="52"/>
        </w:rPr>
      </w:pPr>
      <w:r>
        <w:rPr>
          <w:rFonts w:ascii="宋体" w:hAnsi="宋体" w:eastAsia="宋体"/>
          <w:b/>
          <w:bCs/>
          <w:sz w:val="52"/>
          <w:szCs w:val="52"/>
        </w:rPr>
        <w:t>标</w:t>
      </w:r>
    </w:p>
    <w:p>
      <w:pPr>
        <w:tabs>
          <w:tab w:val="center" w:pos="4213"/>
          <w:tab w:val="left" w:pos="5569"/>
        </w:tabs>
        <w:jc w:val="left"/>
        <w:rPr>
          <w:rFonts w:ascii="宋体" w:hAnsi="宋体" w:eastAsia="宋体"/>
          <w:b/>
          <w:bCs/>
          <w:sz w:val="52"/>
          <w:szCs w:val="52"/>
        </w:rPr>
      </w:pPr>
      <w:r>
        <w:rPr>
          <w:rFonts w:hint="eastAsia" w:ascii="宋体" w:hAnsi="宋体" w:eastAsia="宋体"/>
          <w:b/>
          <w:bCs/>
          <w:sz w:val="52"/>
          <w:szCs w:val="52"/>
        </w:rPr>
        <w:tab/>
      </w:r>
      <w:r>
        <w:rPr>
          <w:rFonts w:ascii="宋体" w:hAnsi="宋体" w:eastAsia="宋体"/>
          <w:b/>
          <w:bCs/>
          <w:sz w:val="52"/>
          <w:szCs w:val="52"/>
        </w:rPr>
        <w:t>文</w:t>
      </w:r>
      <w:r>
        <w:rPr>
          <w:rFonts w:hint="eastAsia" w:ascii="宋体" w:hAnsi="宋体" w:eastAsia="宋体"/>
          <w:b/>
          <w:bCs/>
          <w:sz w:val="52"/>
          <w:szCs w:val="52"/>
        </w:rPr>
        <w:tab/>
      </w:r>
    </w:p>
    <w:p>
      <w:pPr>
        <w:tabs>
          <w:tab w:val="center" w:pos="4213"/>
          <w:tab w:val="left" w:pos="5569"/>
        </w:tabs>
        <w:jc w:val="center"/>
        <w:rPr>
          <w:rFonts w:ascii="宋体" w:hAnsi="宋体" w:eastAsia="宋体"/>
          <w:b/>
          <w:bCs/>
          <w:sz w:val="52"/>
          <w:szCs w:val="52"/>
        </w:rPr>
      </w:pPr>
      <w:r>
        <w:rPr>
          <w:rFonts w:ascii="宋体" w:hAnsi="宋体" w:eastAsia="宋体"/>
          <w:b/>
          <w:bCs/>
          <w:sz w:val="52"/>
          <w:szCs w:val="52"/>
        </w:rPr>
        <w:t>件</w:t>
      </w:r>
    </w:p>
    <w:p>
      <w:pPr>
        <w:rPr>
          <w:rFonts w:ascii="宋体" w:hAnsi="宋体" w:eastAsia="宋体"/>
          <w:szCs w:val="21"/>
        </w:rPr>
      </w:pPr>
    </w:p>
    <w:p>
      <w:pPr>
        <w:rPr>
          <w:rFonts w:ascii="宋体" w:hAnsi="宋体" w:eastAsia="宋体"/>
          <w:szCs w:val="21"/>
        </w:rPr>
      </w:pPr>
    </w:p>
    <w:p>
      <w:pPr>
        <w:jc w:val="center"/>
        <w:rPr>
          <w:rFonts w:ascii="宋体" w:hAnsi="宋体" w:eastAsia="宋体"/>
          <w:szCs w:val="21"/>
        </w:rPr>
      </w:pPr>
    </w:p>
    <w:p>
      <w:pPr>
        <w:jc w:val="center"/>
        <w:rPr>
          <w:rFonts w:ascii="宋体" w:hAnsi="宋体" w:eastAsia="宋体"/>
          <w:sz w:val="24"/>
          <w:szCs w:val="24"/>
        </w:rPr>
      </w:pPr>
    </w:p>
    <w:p>
      <w:pPr>
        <w:jc w:val="center"/>
        <w:rPr>
          <w:rFonts w:ascii="宋体" w:hAnsi="宋体" w:eastAsia="宋体"/>
          <w:sz w:val="24"/>
          <w:szCs w:val="24"/>
        </w:rPr>
      </w:pPr>
    </w:p>
    <w:p>
      <w:pPr>
        <w:spacing w:line="360" w:lineRule="auto"/>
        <w:jc w:val="center"/>
        <w:rPr>
          <w:rFonts w:ascii="Times New Roman" w:hAnsi="Times New Roman" w:eastAsia="Times New Roman"/>
          <w:spacing w:val="10"/>
          <w:sz w:val="36"/>
          <w:szCs w:val="36"/>
        </w:rPr>
      </w:pPr>
      <w:r>
        <w:rPr>
          <w:rFonts w:ascii="宋体" w:hAnsi="宋体" w:eastAsia="宋体"/>
          <w:spacing w:val="10"/>
          <w:sz w:val="36"/>
          <w:szCs w:val="36"/>
        </w:rPr>
        <w:t>中国</w:t>
      </w:r>
      <w:r>
        <w:rPr>
          <w:rFonts w:ascii="Times New Roman" w:hAnsi="Times New Roman" w:eastAsia="Times New Roman"/>
          <w:spacing w:val="10"/>
          <w:sz w:val="36"/>
          <w:szCs w:val="36"/>
        </w:rPr>
        <w:t>.</w:t>
      </w:r>
      <w:r>
        <w:rPr>
          <w:rFonts w:ascii="宋体" w:hAnsi="宋体" w:eastAsia="宋体"/>
          <w:spacing w:val="10"/>
          <w:sz w:val="36"/>
          <w:szCs w:val="36"/>
        </w:rPr>
        <w:t>四川</w:t>
      </w:r>
      <w:r>
        <w:rPr>
          <w:rFonts w:ascii="Times New Roman" w:hAnsi="Times New Roman" w:eastAsia="Times New Roman"/>
          <w:spacing w:val="10"/>
          <w:sz w:val="36"/>
          <w:szCs w:val="36"/>
        </w:rPr>
        <w:t>(</w:t>
      </w:r>
      <w:r>
        <w:rPr>
          <w:rFonts w:hint="eastAsia" w:ascii="宋体" w:hAnsi="宋体" w:eastAsia="宋体"/>
          <w:spacing w:val="10"/>
          <w:sz w:val="36"/>
          <w:szCs w:val="36"/>
        </w:rPr>
        <w:t>武侯区</w:t>
      </w:r>
      <w:r>
        <w:rPr>
          <w:rFonts w:ascii="Times New Roman" w:hAnsi="Times New Roman" w:eastAsia="Times New Roman"/>
          <w:spacing w:val="10"/>
          <w:sz w:val="36"/>
          <w:szCs w:val="36"/>
        </w:rPr>
        <w:t>)</w:t>
      </w:r>
    </w:p>
    <w:p>
      <w:pPr>
        <w:spacing w:line="360" w:lineRule="auto"/>
        <w:jc w:val="center"/>
        <w:rPr>
          <w:rFonts w:ascii="宋体" w:hAnsi="宋体" w:eastAsia="宋体"/>
          <w:spacing w:val="10"/>
          <w:sz w:val="36"/>
          <w:szCs w:val="36"/>
        </w:rPr>
      </w:pPr>
      <w:r>
        <w:rPr>
          <w:rFonts w:hint="eastAsia" w:ascii="宋体" w:hAnsi="宋体" w:eastAsia="宋体"/>
          <w:spacing w:val="10"/>
          <w:sz w:val="36"/>
          <w:szCs w:val="36"/>
        </w:rPr>
        <w:t>成都市武侯区人民政府华兴街道办事处</w:t>
      </w:r>
    </w:p>
    <w:p>
      <w:pPr>
        <w:spacing w:line="360" w:lineRule="auto"/>
        <w:jc w:val="center"/>
        <w:rPr>
          <w:rFonts w:ascii="宋体" w:hAnsi="宋体" w:eastAsia="宋体"/>
          <w:spacing w:val="6"/>
          <w:sz w:val="36"/>
          <w:szCs w:val="36"/>
        </w:rPr>
      </w:pPr>
      <w:r>
        <w:rPr>
          <w:rFonts w:ascii="宋体" w:hAnsi="宋体" w:eastAsia="宋体"/>
          <w:spacing w:val="6"/>
          <w:sz w:val="36"/>
          <w:szCs w:val="36"/>
        </w:rPr>
        <w:t>中金招标有限责任公司共同编制</w:t>
      </w:r>
    </w:p>
    <w:p>
      <w:pPr>
        <w:spacing w:line="360" w:lineRule="auto"/>
        <w:jc w:val="center"/>
        <w:rPr>
          <w:rFonts w:ascii="宋体" w:hAnsi="宋体" w:eastAsia="宋体"/>
          <w:spacing w:val="6"/>
          <w:sz w:val="36"/>
          <w:szCs w:val="36"/>
        </w:rPr>
      </w:pPr>
      <w:r>
        <w:rPr>
          <w:rFonts w:ascii="宋体" w:hAnsi="宋体" w:eastAsia="宋体"/>
          <w:spacing w:val="6"/>
          <w:sz w:val="36"/>
          <w:szCs w:val="36"/>
        </w:rPr>
        <w:t>2021年0</w:t>
      </w:r>
      <w:bookmarkStart w:id="66" w:name="_GoBack"/>
      <w:bookmarkEnd w:id="66"/>
      <w:r>
        <w:rPr>
          <w:rFonts w:hint="eastAsia" w:ascii="宋体" w:hAnsi="宋体" w:eastAsia="宋体"/>
          <w:spacing w:val="6"/>
          <w:sz w:val="36"/>
          <w:szCs w:val="36"/>
        </w:rPr>
        <w:t>5</w:t>
      </w:r>
      <w:r>
        <w:rPr>
          <w:rFonts w:ascii="宋体" w:hAnsi="宋体" w:eastAsia="宋体"/>
          <w:spacing w:val="6"/>
          <w:sz w:val="36"/>
          <w:szCs w:val="36"/>
        </w:rPr>
        <w:t>月</w:t>
      </w:r>
    </w:p>
    <w:p>
      <w:pPr>
        <w:spacing w:line="360" w:lineRule="auto"/>
        <w:jc w:val="center"/>
        <w:rPr>
          <w:rFonts w:ascii="宋体" w:hAnsi="宋体" w:eastAsia="宋体"/>
          <w:sz w:val="36"/>
          <w:szCs w:val="36"/>
        </w:rPr>
      </w:pPr>
    </w:p>
    <w:p>
      <w:pPr>
        <w:spacing w:line="360" w:lineRule="auto"/>
        <w:jc w:val="center"/>
        <w:rPr>
          <w:rFonts w:ascii="宋体" w:hAnsi="宋体" w:eastAsia="宋体" w:cs="宋体"/>
          <w:bCs/>
          <w:sz w:val="36"/>
        </w:rPr>
      </w:pPr>
      <w:bookmarkStart w:id="0" w:name="_Toc361754243"/>
      <w:bookmarkStart w:id="1" w:name="_Toc387913675"/>
      <w:bookmarkStart w:id="2" w:name="_Toc431201058"/>
      <w:bookmarkStart w:id="3" w:name="_Toc436832059"/>
      <w:bookmarkStart w:id="4" w:name="_Toc495254067"/>
      <w:bookmarkStart w:id="5" w:name="_Toc369265491"/>
      <w:bookmarkStart w:id="6" w:name="_Toc406530523"/>
      <w:bookmarkStart w:id="7" w:name="_Toc361753695"/>
      <w:bookmarkStart w:id="8" w:name="_Toc437511969"/>
      <w:bookmarkStart w:id="9" w:name="_Toc454962817"/>
      <w:bookmarkStart w:id="10" w:name="_Toc9419320"/>
      <w:bookmarkStart w:id="11" w:name="_Toc457288358"/>
      <w:bookmarkStart w:id="12" w:name="_Toc370976771"/>
      <w:bookmarkStart w:id="13" w:name="_Toc361753931"/>
      <w:bookmarkStart w:id="14" w:name="_Toc390094626"/>
      <w:r>
        <w:rPr>
          <w:rFonts w:hint="eastAsia" w:ascii="宋体" w:hAnsi="宋体" w:eastAsia="宋体" w:cs="宋体"/>
          <w:bCs/>
          <w:sz w:val="36"/>
        </w:rPr>
        <w:t>目    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13"/>
        <w:tabs>
          <w:tab w:val="right" w:leader="dot" w:pos="8306"/>
          <w:tab w:val="clear" w:pos="8949"/>
        </w:tabs>
      </w:pPr>
      <w:r>
        <w:rPr>
          <w:rFonts w:hint="eastAsia" w:ascii="宋体" w:hAnsi="宋体" w:eastAsia="宋体" w:cs="宋体"/>
          <w:lang w:val="zh-CN"/>
        </w:rPr>
        <w:fldChar w:fldCharType="begin"/>
      </w:r>
      <w:r>
        <w:rPr>
          <w:rFonts w:hint="eastAsia" w:ascii="宋体" w:hAnsi="宋体" w:eastAsia="宋体" w:cs="宋体"/>
          <w:lang w:val="zh-CN"/>
        </w:rPr>
        <w:instrText xml:space="preserve">TOC \o "1-2" \h \u </w:instrText>
      </w:r>
      <w:r>
        <w:rPr>
          <w:rFonts w:hint="eastAsia" w:ascii="宋体" w:hAnsi="宋体" w:eastAsia="宋体" w:cs="宋体"/>
          <w:lang w:val="zh-CN"/>
        </w:rPr>
        <w:fldChar w:fldCharType="separate"/>
      </w:r>
      <w:r>
        <w:fldChar w:fldCharType="begin"/>
      </w:r>
      <w:r>
        <w:instrText xml:space="preserve"> HYPERLINK \l "_Toc7297" </w:instrText>
      </w:r>
      <w:r>
        <w:fldChar w:fldCharType="separate"/>
      </w:r>
      <w:r>
        <w:rPr>
          <w:rFonts w:ascii="宋体" w:hAnsi="宋体" w:eastAsia="宋体"/>
          <w:szCs w:val="32"/>
        </w:rPr>
        <w:t>第一章投标邀请</w:t>
      </w:r>
      <w:r>
        <w:tab/>
      </w:r>
      <w:r>
        <w:fldChar w:fldCharType="begin"/>
      </w:r>
      <w:r>
        <w:instrText xml:space="preserve"> PAGEREF _Toc7297 \h </w:instrText>
      </w:r>
      <w:r>
        <w:fldChar w:fldCharType="separate"/>
      </w:r>
      <w:r>
        <w:t>3</w:t>
      </w:r>
      <w:r>
        <w:fldChar w:fldCharType="end"/>
      </w:r>
      <w:r>
        <w:fldChar w:fldCharType="end"/>
      </w:r>
    </w:p>
    <w:p>
      <w:pPr>
        <w:pStyle w:val="13"/>
        <w:tabs>
          <w:tab w:val="right" w:leader="dot" w:pos="8306"/>
          <w:tab w:val="clear" w:pos="8949"/>
        </w:tabs>
      </w:pPr>
      <w:r>
        <w:fldChar w:fldCharType="begin"/>
      </w:r>
      <w:r>
        <w:instrText xml:space="preserve"> HYPERLINK \l "_Toc7599" </w:instrText>
      </w:r>
      <w:r>
        <w:fldChar w:fldCharType="separate"/>
      </w:r>
      <w:r>
        <w:rPr>
          <w:rFonts w:ascii="宋体" w:hAnsi="宋体" w:eastAsia="宋体"/>
          <w:szCs w:val="32"/>
        </w:rPr>
        <w:t>第二章投标人须知</w:t>
      </w:r>
      <w:r>
        <w:tab/>
      </w:r>
      <w:r>
        <w:fldChar w:fldCharType="begin"/>
      </w:r>
      <w:r>
        <w:instrText xml:space="preserve"> PAGEREF _Toc7599 \h </w:instrText>
      </w:r>
      <w:r>
        <w:fldChar w:fldCharType="separate"/>
      </w:r>
      <w:r>
        <w:t>5</w:t>
      </w:r>
      <w:r>
        <w:fldChar w:fldCharType="end"/>
      </w:r>
      <w:r>
        <w:fldChar w:fldCharType="end"/>
      </w:r>
    </w:p>
    <w:p>
      <w:pPr>
        <w:pStyle w:val="14"/>
        <w:tabs>
          <w:tab w:val="right" w:leader="dot" w:pos="8306"/>
        </w:tabs>
      </w:pPr>
      <w:r>
        <w:fldChar w:fldCharType="begin"/>
      </w:r>
      <w:r>
        <w:instrText xml:space="preserve"> HYPERLINK \l "_Toc31392" </w:instrText>
      </w:r>
      <w:r>
        <w:fldChar w:fldCharType="separate"/>
      </w:r>
      <w:r>
        <w:rPr>
          <w:rFonts w:ascii="宋体" w:hAnsi="宋体"/>
          <w:szCs w:val="28"/>
        </w:rPr>
        <w:t>一、投标人须知附表</w:t>
      </w:r>
      <w:r>
        <w:tab/>
      </w:r>
      <w:r>
        <w:fldChar w:fldCharType="begin"/>
      </w:r>
      <w:r>
        <w:instrText xml:space="preserve"> PAGEREF _Toc31392 \h </w:instrText>
      </w:r>
      <w:r>
        <w:fldChar w:fldCharType="separate"/>
      </w:r>
      <w:r>
        <w:t>5</w:t>
      </w:r>
      <w:r>
        <w:fldChar w:fldCharType="end"/>
      </w:r>
      <w:r>
        <w:fldChar w:fldCharType="end"/>
      </w:r>
    </w:p>
    <w:p>
      <w:pPr>
        <w:pStyle w:val="14"/>
        <w:tabs>
          <w:tab w:val="right" w:leader="dot" w:pos="8306"/>
        </w:tabs>
      </w:pPr>
      <w:r>
        <w:fldChar w:fldCharType="begin"/>
      </w:r>
      <w:r>
        <w:instrText xml:space="preserve"> HYPERLINK \l "_Toc29582" </w:instrText>
      </w:r>
      <w:r>
        <w:fldChar w:fldCharType="separate"/>
      </w:r>
      <w:r>
        <w:rPr>
          <w:rFonts w:ascii="宋体" w:hAnsi="宋体"/>
          <w:szCs w:val="28"/>
        </w:rPr>
        <w:t>二、总  则</w:t>
      </w:r>
      <w:r>
        <w:tab/>
      </w:r>
      <w:r>
        <w:fldChar w:fldCharType="begin"/>
      </w:r>
      <w:r>
        <w:instrText xml:space="preserve"> PAGEREF _Toc29582 \h </w:instrText>
      </w:r>
      <w:r>
        <w:fldChar w:fldCharType="separate"/>
      </w:r>
      <w:r>
        <w:t>11</w:t>
      </w:r>
      <w:r>
        <w:fldChar w:fldCharType="end"/>
      </w:r>
      <w:r>
        <w:fldChar w:fldCharType="end"/>
      </w:r>
    </w:p>
    <w:p>
      <w:pPr>
        <w:pStyle w:val="14"/>
        <w:tabs>
          <w:tab w:val="right" w:leader="dot" w:pos="8306"/>
        </w:tabs>
      </w:pPr>
      <w:r>
        <w:fldChar w:fldCharType="begin"/>
      </w:r>
      <w:r>
        <w:instrText xml:space="preserve"> HYPERLINK \l "_Toc1523" </w:instrText>
      </w:r>
      <w:r>
        <w:fldChar w:fldCharType="separate"/>
      </w:r>
      <w:r>
        <w:rPr>
          <w:rFonts w:ascii="宋体" w:hAnsi="宋体"/>
          <w:szCs w:val="28"/>
        </w:rPr>
        <w:t>三、招标文件</w:t>
      </w:r>
      <w:r>
        <w:tab/>
      </w:r>
      <w:r>
        <w:fldChar w:fldCharType="begin"/>
      </w:r>
      <w:r>
        <w:instrText xml:space="preserve"> PAGEREF _Toc1523 \h </w:instrText>
      </w:r>
      <w:r>
        <w:fldChar w:fldCharType="separate"/>
      </w:r>
      <w:r>
        <w:t>12</w:t>
      </w:r>
      <w:r>
        <w:fldChar w:fldCharType="end"/>
      </w:r>
      <w:r>
        <w:fldChar w:fldCharType="end"/>
      </w:r>
    </w:p>
    <w:p>
      <w:pPr>
        <w:pStyle w:val="14"/>
        <w:tabs>
          <w:tab w:val="right" w:leader="dot" w:pos="8306"/>
        </w:tabs>
      </w:pPr>
      <w:r>
        <w:fldChar w:fldCharType="begin"/>
      </w:r>
      <w:r>
        <w:instrText xml:space="preserve"> HYPERLINK \l "_Toc4582" </w:instrText>
      </w:r>
      <w:r>
        <w:fldChar w:fldCharType="separate"/>
      </w:r>
      <w:r>
        <w:rPr>
          <w:rFonts w:ascii="宋体" w:hAnsi="宋体"/>
          <w:szCs w:val="28"/>
        </w:rPr>
        <w:t>四、投标文件</w:t>
      </w:r>
      <w:r>
        <w:tab/>
      </w:r>
      <w:r>
        <w:fldChar w:fldCharType="begin"/>
      </w:r>
      <w:r>
        <w:instrText xml:space="preserve"> PAGEREF _Toc4582 \h </w:instrText>
      </w:r>
      <w:r>
        <w:fldChar w:fldCharType="separate"/>
      </w:r>
      <w:r>
        <w:t>13</w:t>
      </w:r>
      <w:r>
        <w:fldChar w:fldCharType="end"/>
      </w:r>
      <w:r>
        <w:fldChar w:fldCharType="end"/>
      </w:r>
    </w:p>
    <w:p>
      <w:pPr>
        <w:pStyle w:val="14"/>
        <w:tabs>
          <w:tab w:val="right" w:leader="dot" w:pos="8306"/>
        </w:tabs>
      </w:pPr>
      <w:r>
        <w:fldChar w:fldCharType="begin"/>
      </w:r>
      <w:r>
        <w:instrText xml:space="preserve"> HYPERLINK \l "_Toc13461" </w:instrText>
      </w:r>
      <w:r>
        <w:fldChar w:fldCharType="separate"/>
      </w:r>
      <w:r>
        <w:rPr>
          <w:rFonts w:ascii="宋体" w:hAnsi="宋体"/>
          <w:szCs w:val="28"/>
        </w:rPr>
        <w:t>五、开标和中标</w:t>
      </w:r>
      <w:r>
        <w:tab/>
      </w:r>
      <w:r>
        <w:fldChar w:fldCharType="begin"/>
      </w:r>
      <w:r>
        <w:instrText xml:space="preserve"> PAGEREF _Toc13461 \h </w:instrText>
      </w:r>
      <w:r>
        <w:fldChar w:fldCharType="separate"/>
      </w:r>
      <w:r>
        <w:t>18</w:t>
      </w:r>
      <w:r>
        <w:fldChar w:fldCharType="end"/>
      </w:r>
      <w:r>
        <w:fldChar w:fldCharType="end"/>
      </w:r>
    </w:p>
    <w:p>
      <w:pPr>
        <w:pStyle w:val="14"/>
        <w:tabs>
          <w:tab w:val="right" w:leader="dot" w:pos="8306"/>
        </w:tabs>
      </w:pPr>
      <w:r>
        <w:fldChar w:fldCharType="begin"/>
      </w:r>
      <w:r>
        <w:instrText xml:space="preserve"> HYPERLINK \l "_Toc2341" </w:instrText>
      </w:r>
      <w:r>
        <w:fldChar w:fldCharType="separate"/>
      </w:r>
      <w:r>
        <w:rPr>
          <w:rFonts w:ascii="宋体" w:hAnsi="宋体"/>
          <w:szCs w:val="28"/>
        </w:rPr>
        <w:t>六、签订及履行合同和验收</w:t>
      </w:r>
      <w:r>
        <w:tab/>
      </w:r>
      <w:r>
        <w:fldChar w:fldCharType="begin"/>
      </w:r>
      <w:r>
        <w:instrText xml:space="preserve"> PAGEREF _Toc2341 \h </w:instrText>
      </w:r>
      <w:r>
        <w:fldChar w:fldCharType="separate"/>
      </w:r>
      <w:r>
        <w:t>20</w:t>
      </w:r>
      <w:r>
        <w:fldChar w:fldCharType="end"/>
      </w:r>
      <w:r>
        <w:fldChar w:fldCharType="end"/>
      </w:r>
    </w:p>
    <w:p>
      <w:pPr>
        <w:pStyle w:val="14"/>
        <w:tabs>
          <w:tab w:val="right" w:leader="dot" w:pos="8306"/>
        </w:tabs>
      </w:pPr>
      <w:r>
        <w:fldChar w:fldCharType="begin"/>
      </w:r>
      <w:r>
        <w:instrText xml:space="preserve"> HYPERLINK \l "_Toc25869" </w:instrText>
      </w:r>
      <w:r>
        <w:fldChar w:fldCharType="separate"/>
      </w:r>
      <w:r>
        <w:rPr>
          <w:rFonts w:ascii="宋体" w:hAnsi="宋体"/>
          <w:szCs w:val="28"/>
        </w:rPr>
        <w:t>七、投标纪律要求</w:t>
      </w:r>
      <w:r>
        <w:tab/>
      </w:r>
      <w:r>
        <w:fldChar w:fldCharType="begin"/>
      </w:r>
      <w:r>
        <w:instrText xml:space="preserve"> PAGEREF _Toc25869 \h </w:instrText>
      </w:r>
      <w:r>
        <w:fldChar w:fldCharType="separate"/>
      </w:r>
      <w:r>
        <w:t>22</w:t>
      </w:r>
      <w:r>
        <w:fldChar w:fldCharType="end"/>
      </w:r>
      <w:r>
        <w:fldChar w:fldCharType="end"/>
      </w:r>
    </w:p>
    <w:p>
      <w:pPr>
        <w:pStyle w:val="14"/>
        <w:tabs>
          <w:tab w:val="right" w:leader="dot" w:pos="8306"/>
        </w:tabs>
      </w:pPr>
      <w:r>
        <w:fldChar w:fldCharType="begin"/>
      </w:r>
      <w:r>
        <w:instrText xml:space="preserve"> HYPERLINK \l "_Toc22076" </w:instrText>
      </w:r>
      <w:r>
        <w:fldChar w:fldCharType="separate"/>
      </w:r>
      <w:r>
        <w:rPr>
          <w:rFonts w:ascii="宋体" w:hAnsi="宋体"/>
          <w:szCs w:val="28"/>
        </w:rPr>
        <w:t>八、询问、质疑和投诉</w:t>
      </w:r>
      <w:r>
        <w:tab/>
      </w:r>
      <w:r>
        <w:fldChar w:fldCharType="begin"/>
      </w:r>
      <w:r>
        <w:instrText xml:space="preserve"> PAGEREF _Toc22076 \h </w:instrText>
      </w:r>
      <w:r>
        <w:fldChar w:fldCharType="separate"/>
      </w:r>
      <w:r>
        <w:t>23</w:t>
      </w:r>
      <w:r>
        <w:fldChar w:fldCharType="end"/>
      </w:r>
      <w:r>
        <w:fldChar w:fldCharType="end"/>
      </w:r>
    </w:p>
    <w:p>
      <w:pPr>
        <w:pStyle w:val="14"/>
        <w:tabs>
          <w:tab w:val="right" w:leader="dot" w:pos="8306"/>
        </w:tabs>
      </w:pPr>
      <w:r>
        <w:fldChar w:fldCharType="begin"/>
      </w:r>
      <w:r>
        <w:instrText xml:space="preserve"> HYPERLINK \l "_Toc32493" </w:instrText>
      </w:r>
      <w:r>
        <w:fldChar w:fldCharType="separate"/>
      </w:r>
      <w:r>
        <w:rPr>
          <w:rFonts w:ascii="宋体" w:hAnsi="宋体"/>
          <w:szCs w:val="28"/>
        </w:rPr>
        <w:t>九、投标人信用查询</w:t>
      </w:r>
      <w:r>
        <w:tab/>
      </w:r>
      <w:r>
        <w:fldChar w:fldCharType="begin"/>
      </w:r>
      <w:r>
        <w:instrText xml:space="preserve"> PAGEREF _Toc32493 \h </w:instrText>
      </w:r>
      <w:r>
        <w:fldChar w:fldCharType="separate"/>
      </w:r>
      <w:r>
        <w:t>23</w:t>
      </w:r>
      <w:r>
        <w:fldChar w:fldCharType="end"/>
      </w:r>
      <w:r>
        <w:fldChar w:fldCharType="end"/>
      </w:r>
    </w:p>
    <w:p>
      <w:pPr>
        <w:pStyle w:val="14"/>
        <w:tabs>
          <w:tab w:val="right" w:leader="dot" w:pos="8306"/>
        </w:tabs>
      </w:pPr>
      <w:r>
        <w:fldChar w:fldCharType="begin"/>
      </w:r>
      <w:r>
        <w:instrText xml:space="preserve"> HYPERLINK \l "_Toc12112" </w:instrText>
      </w:r>
      <w:r>
        <w:fldChar w:fldCharType="separate"/>
      </w:r>
      <w:r>
        <w:rPr>
          <w:rFonts w:ascii="宋体" w:hAnsi="宋体"/>
          <w:szCs w:val="28"/>
        </w:rPr>
        <w:t>十、其他</w:t>
      </w:r>
      <w:r>
        <w:tab/>
      </w:r>
      <w:r>
        <w:fldChar w:fldCharType="begin"/>
      </w:r>
      <w:r>
        <w:instrText xml:space="preserve"> PAGEREF _Toc12112 \h </w:instrText>
      </w:r>
      <w:r>
        <w:fldChar w:fldCharType="separate"/>
      </w:r>
      <w:r>
        <w:t>23</w:t>
      </w:r>
      <w:r>
        <w:fldChar w:fldCharType="end"/>
      </w:r>
      <w:r>
        <w:fldChar w:fldCharType="end"/>
      </w:r>
    </w:p>
    <w:p>
      <w:pPr>
        <w:pStyle w:val="13"/>
        <w:tabs>
          <w:tab w:val="right" w:leader="dot" w:pos="8306"/>
          <w:tab w:val="clear" w:pos="8949"/>
        </w:tabs>
      </w:pPr>
      <w:r>
        <w:fldChar w:fldCharType="begin"/>
      </w:r>
      <w:r>
        <w:instrText xml:space="preserve"> HYPERLINK \l "_Toc310" </w:instrText>
      </w:r>
      <w:r>
        <w:fldChar w:fldCharType="separate"/>
      </w:r>
      <w:r>
        <w:rPr>
          <w:rFonts w:ascii="宋体" w:hAnsi="宋体" w:eastAsia="宋体"/>
          <w:szCs w:val="32"/>
        </w:rPr>
        <w:t>第三章投标文件格式</w:t>
      </w:r>
      <w:r>
        <w:tab/>
      </w:r>
      <w:r>
        <w:fldChar w:fldCharType="begin"/>
      </w:r>
      <w:r>
        <w:instrText xml:space="preserve"> PAGEREF _Toc310 \h </w:instrText>
      </w:r>
      <w:r>
        <w:fldChar w:fldCharType="separate"/>
      </w:r>
      <w:r>
        <w:t>24</w:t>
      </w:r>
      <w:r>
        <w:fldChar w:fldCharType="end"/>
      </w:r>
      <w:r>
        <w:fldChar w:fldCharType="end"/>
      </w:r>
    </w:p>
    <w:p>
      <w:pPr>
        <w:pStyle w:val="14"/>
        <w:tabs>
          <w:tab w:val="right" w:leader="dot" w:pos="8306"/>
        </w:tabs>
      </w:pPr>
      <w:r>
        <w:fldChar w:fldCharType="begin"/>
      </w:r>
      <w:r>
        <w:instrText xml:space="preserve"> HYPERLINK \l "_Toc31496" </w:instrText>
      </w:r>
      <w:r>
        <w:fldChar w:fldCharType="separate"/>
      </w:r>
      <w:r>
        <w:t>第一部分   《资格性投标文件》格式</w:t>
      </w:r>
      <w:r>
        <w:tab/>
      </w:r>
      <w:r>
        <w:fldChar w:fldCharType="begin"/>
      </w:r>
      <w:r>
        <w:instrText xml:space="preserve"> PAGEREF _Toc31496 \h </w:instrText>
      </w:r>
      <w:r>
        <w:fldChar w:fldCharType="separate"/>
      </w:r>
      <w:r>
        <w:t>25</w:t>
      </w:r>
      <w:r>
        <w:fldChar w:fldCharType="end"/>
      </w:r>
      <w:r>
        <w:fldChar w:fldCharType="end"/>
      </w:r>
    </w:p>
    <w:p>
      <w:pPr>
        <w:pStyle w:val="14"/>
        <w:tabs>
          <w:tab w:val="right" w:leader="dot" w:pos="8306"/>
        </w:tabs>
      </w:pPr>
      <w:r>
        <w:fldChar w:fldCharType="begin"/>
      </w:r>
      <w:r>
        <w:instrText xml:space="preserve"> HYPERLINK \l "_Toc13556" </w:instrText>
      </w:r>
      <w:r>
        <w:fldChar w:fldCharType="separate"/>
      </w:r>
      <w:r>
        <w:t>第二部分   《其它响应性投标文件》格式</w:t>
      </w:r>
      <w:r>
        <w:tab/>
      </w:r>
      <w:r>
        <w:fldChar w:fldCharType="begin"/>
      </w:r>
      <w:r>
        <w:instrText xml:space="preserve"> PAGEREF _Toc13556 \h </w:instrText>
      </w:r>
      <w:r>
        <w:fldChar w:fldCharType="separate"/>
      </w:r>
      <w:r>
        <w:t>32</w:t>
      </w:r>
      <w:r>
        <w:fldChar w:fldCharType="end"/>
      </w:r>
      <w:r>
        <w:fldChar w:fldCharType="end"/>
      </w:r>
    </w:p>
    <w:p>
      <w:pPr>
        <w:pStyle w:val="13"/>
        <w:tabs>
          <w:tab w:val="right" w:leader="dot" w:pos="8306"/>
          <w:tab w:val="clear" w:pos="8949"/>
        </w:tabs>
      </w:pPr>
      <w:r>
        <w:fldChar w:fldCharType="begin"/>
      </w:r>
      <w:r>
        <w:instrText xml:space="preserve"> HYPERLINK \l "_Toc28475" </w:instrText>
      </w:r>
      <w:r>
        <w:fldChar w:fldCharType="separate"/>
      </w:r>
      <w:r>
        <w:rPr>
          <w:rFonts w:ascii="宋体" w:hAnsi="宋体" w:eastAsia="宋体"/>
          <w:szCs w:val="32"/>
        </w:rPr>
        <w:t>第四章投标人的资格、资质性及其他类似效力要求</w:t>
      </w:r>
      <w:r>
        <w:tab/>
      </w:r>
      <w:r>
        <w:fldChar w:fldCharType="begin"/>
      </w:r>
      <w:r>
        <w:instrText xml:space="preserve"> PAGEREF _Toc28475 \h </w:instrText>
      </w:r>
      <w:r>
        <w:fldChar w:fldCharType="separate"/>
      </w:r>
      <w:r>
        <w:t>46</w:t>
      </w:r>
      <w:r>
        <w:fldChar w:fldCharType="end"/>
      </w:r>
      <w:r>
        <w:fldChar w:fldCharType="end"/>
      </w:r>
    </w:p>
    <w:p>
      <w:pPr>
        <w:pStyle w:val="13"/>
        <w:tabs>
          <w:tab w:val="right" w:leader="dot" w:pos="8306"/>
          <w:tab w:val="clear" w:pos="8949"/>
        </w:tabs>
      </w:pPr>
      <w:r>
        <w:fldChar w:fldCharType="begin"/>
      </w:r>
      <w:r>
        <w:instrText xml:space="preserve"> HYPERLINK \l "_Toc11702" </w:instrText>
      </w:r>
      <w:r>
        <w:fldChar w:fldCharType="separate"/>
      </w:r>
      <w:r>
        <w:rPr>
          <w:rFonts w:ascii="宋体" w:hAnsi="宋体" w:eastAsia="宋体"/>
          <w:szCs w:val="32"/>
        </w:rPr>
        <w:t>第五章招标项目技术、商务及其他要求</w:t>
      </w:r>
      <w:r>
        <w:tab/>
      </w:r>
      <w:r>
        <w:fldChar w:fldCharType="begin"/>
      </w:r>
      <w:r>
        <w:instrText xml:space="preserve"> PAGEREF _Toc11702 \h </w:instrText>
      </w:r>
      <w:r>
        <w:fldChar w:fldCharType="separate"/>
      </w:r>
      <w:r>
        <w:t>49</w:t>
      </w:r>
      <w:r>
        <w:fldChar w:fldCharType="end"/>
      </w:r>
      <w:r>
        <w:fldChar w:fldCharType="end"/>
      </w:r>
    </w:p>
    <w:p>
      <w:pPr>
        <w:pStyle w:val="14"/>
        <w:tabs>
          <w:tab w:val="right" w:leader="dot" w:pos="8306"/>
        </w:tabs>
      </w:pPr>
      <w:r>
        <w:fldChar w:fldCharType="begin"/>
      </w:r>
      <w:r>
        <w:instrText xml:space="preserve"> HYPERLINK \l "_Toc31235" </w:instrText>
      </w:r>
      <w:r>
        <w:fldChar w:fldCharType="separate"/>
      </w:r>
      <w:r>
        <w:t>一、项目概况</w:t>
      </w:r>
      <w:r>
        <w:tab/>
      </w:r>
      <w:r>
        <w:fldChar w:fldCharType="begin"/>
      </w:r>
      <w:r>
        <w:instrText xml:space="preserve"> PAGEREF _Toc31235 \h </w:instrText>
      </w:r>
      <w:r>
        <w:fldChar w:fldCharType="separate"/>
      </w:r>
      <w:r>
        <w:t>49</w:t>
      </w:r>
      <w:r>
        <w:fldChar w:fldCharType="end"/>
      </w:r>
      <w:r>
        <w:fldChar w:fldCharType="end"/>
      </w:r>
    </w:p>
    <w:p>
      <w:pPr>
        <w:pStyle w:val="14"/>
        <w:tabs>
          <w:tab w:val="right" w:leader="dot" w:pos="8306"/>
        </w:tabs>
      </w:pPr>
      <w:r>
        <w:fldChar w:fldCharType="begin"/>
      </w:r>
      <w:r>
        <w:instrText xml:space="preserve"> HYPERLINK \l "_Toc20174" </w:instrText>
      </w:r>
      <w:r>
        <w:fldChar w:fldCharType="separate"/>
      </w:r>
      <w:r>
        <w:rPr>
          <w:rFonts w:hint="eastAsia"/>
        </w:rPr>
        <w:t>二</w:t>
      </w:r>
      <w:r>
        <w:t>、</w:t>
      </w:r>
      <w:r>
        <w:rPr>
          <w:rFonts w:hint="eastAsia"/>
        </w:rPr>
        <w:t>服务内容</w:t>
      </w:r>
      <w:r>
        <w:tab/>
      </w:r>
      <w:r>
        <w:fldChar w:fldCharType="begin"/>
      </w:r>
      <w:r>
        <w:instrText xml:space="preserve"> PAGEREF _Toc20174 \h </w:instrText>
      </w:r>
      <w:r>
        <w:fldChar w:fldCharType="separate"/>
      </w:r>
      <w:r>
        <w:t>49</w:t>
      </w:r>
      <w:r>
        <w:fldChar w:fldCharType="end"/>
      </w:r>
      <w:r>
        <w:fldChar w:fldCharType="end"/>
      </w:r>
    </w:p>
    <w:p>
      <w:pPr>
        <w:pStyle w:val="14"/>
        <w:tabs>
          <w:tab w:val="right" w:leader="dot" w:pos="8306"/>
        </w:tabs>
      </w:pPr>
      <w:r>
        <w:fldChar w:fldCharType="begin"/>
      </w:r>
      <w:r>
        <w:instrText xml:space="preserve"> HYPERLINK \l "_Toc28808" </w:instrText>
      </w:r>
      <w:r>
        <w:fldChar w:fldCharType="separate"/>
      </w:r>
      <w:r>
        <w:rPr>
          <w:rFonts w:hint="eastAsia"/>
        </w:rPr>
        <w:t>三、服务范围</w:t>
      </w:r>
      <w:r>
        <w:tab/>
      </w:r>
      <w:r>
        <w:fldChar w:fldCharType="begin"/>
      </w:r>
      <w:r>
        <w:instrText xml:space="preserve"> PAGEREF _Toc28808 \h </w:instrText>
      </w:r>
      <w:r>
        <w:fldChar w:fldCharType="separate"/>
      </w:r>
      <w:r>
        <w:t>49</w:t>
      </w:r>
      <w:r>
        <w:fldChar w:fldCharType="end"/>
      </w:r>
      <w:r>
        <w:fldChar w:fldCharType="end"/>
      </w:r>
    </w:p>
    <w:p>
      <w:pPr>
        <w:pStyle w:val="14"/>
        <w:tabs>
          <w:tab w:val="right" w:leader="dot" w:pos="8306"/>
        </w:tabs>
      </w:pPr>
      <w:r>
        <w:fldChar w:fldCharType="begin"/>
      </w:r>
      <w:r>
        <w:instrText xml:space="preserve"> HYPERLINK \l "_Toc889" </w:instrText>
      </w:r>
      <w:r>
        <w:fldChar w:fldCharType="separate"/>
      </w:r>
      <w:r>
        <w:rPr>
          <w:rFonts w:hint="eastAsia"/>
        </w:rPr>
        <w:t>四、人员及机具配备要求（实质性要求）</w:t>
      </w:r>
      <w:r>
        <w:tab/>
      </w:r>
      <w:r>
        <w:fldChar w:fldCharType="begin"/>
      </w:r>
      <w:r>
        <w:instrText xml:space="preserve"> PAGEREF _Toc889 \h </w:instrText>
      </w:r>
      <w:r>
        <w:fldChar w:fldCharType="separate"/>
      </w:r>
      <w:r>
        <w:t>60</w:t>
      </w:r>
      <w:r>
        <w:fldChar w:fldCharType="end"/>
      </w:r>
      <w:r>
        <w:fldChar w:fldCharType="end"/>
      </w:r>
    </w:p>
    <w:p>
      <w:pPr>
        <w:pStyle w:val="14"/>
        <w:tabs>
          <w:tab w:val="right" w:leader="dot" w:pos="8306"/>
        </w:tabs>
      </w:pPr>
      <w:r>
        <w:fldChar w:fldCharType="begin"/>
      </w:r>
      <w:r>
        <w:instrText xml:space="preserve"> HYPERLINK \l "_Toc6397" </w:instrText>
      </w:r>
      <w:r>
        <w:fldChar w:fldCharType="separate"/>
      </w:r>
      <w:r>
        <w:rPr>
          <w:rFonts w:hint="eastAsia"/>
        </w:rPr>
        <w:t>五、其他要求（实质性要求）</w:t>
      </w:r>
      <w:r>
        <w:tab/>
      </w:r>
      <w:r>
        <w:fldChar w:fldCharType="begin"/>
      </w:r>
      <w:r>
        <w:instrText xml:space="preserve"> PAGEREF _Toc6397 \h </w:instrText>
      </w:r>
      <w:r>
        <w:fldChar w:fldCharType="separate"/>
      </w:r>
      <w:r>
        <w:t>61</w:t>
      </w:r>
      <w:r>
        <w:fldChar w:fldCharType="end"/>
      </w:r>
      <w:r>
        <w:fldChar w:fldCharType="end"/>
      </w:r>
    </w:p>
    <w:p>
      <w:pPr>
        <w:pStyle w:val="14"/>
        <w:tabs>
          <w:tab w:val="right" w:leader="dot" w:pos="8306"/>
        </w:tabs>
      </w:pPr>
      <w:r>
        <w:fldChar w:fldCharType="begin"/>
      </w:r>
      <w:r>
        <w:instrText xml:space="preserve"> HYPERLINK \l "_Toc2398" </w:instrText>
      </w:r>
      <w:r>
        <w:fldChar w:fldCharType="separate"/>
      </w:r>
      <w:r>
        <w:rPr>
          <w:rFonts w:hint="eastAsia"/>
        </w:rPr>
        <w:t>六、商务要求（实质性要求）</w:t>
      </w:r>
      <w:r>
        <w:tab/>
      </w:r>
      <w:r>
        <w:fldChar w:fldCharType="begin"/>
      </w:r>
      <w:r>
        <w:instrText xml:space="preserve"> PAGEREF _Toc2398 \h </w:instrText>
      </w:r>
      <w:r>
        <w:fldChar w:fldCharType="separate"/>
      </w:r>
      <w:r>
        <w:t>63</w:t>
      </w:r>
      <w:r>
        <w:fldChar w:fldCharType="end"/>
      </w:r>
      <w:r>
        <w:fldChar w:fldCharType="end"/>
      </w:r>
    </w:p>
    <w:p>
      <w:pPr>
        <w:pStyle w:val="14"/>
        <w:tabs>
          <w:tab w:val="right" w:leader="dot" w:pos="8306"/>
        </w:tabs>
      </w:pPr>
      <w:r>
        <w:fldChar w:fldCharType="begin"/>
      </w:r>
      <w:r>
        <w:instrText xml:space="preserve"> HYPERLINK \l "_Toc4513" </w:instrText>
      </w:r>
      <w:r>
        <w:fldChar w:fldCharType="separate"/>
      </w:r>
      <w:r>
        <w:rPr>
          <w:rFonts w:hint="eastAsia"/>
        </w:rPr>
        <w:t>七、服务标准</w:t>
      </w:r>
      <w:r>
        <w:tab/>
      </w:r>
      <w:r>
        <w:fldChar w:fldCharType="begin"/>
      </w:r>
      <w:r>
        <w:instrText xml:space="preserve"> PAGEREF _Toc4513 \h </w:instrText>
      </w:r>
      <w:r>
        <w:fldChar w:fldCharType="separate"/>
      </w:r>
      <w:r>
        <w:t>64</w:t>
      </w:r>
      <w:r>
        <w:fldChar w:fldCharType="end"/>
      </w:r>
      <w:r>
        <w:fldChar w:fldCharType="end"/>
      </w:r>
    </w:p>
    <w:p>
      <w:pPr>
        <w:pStyle w:val="14"/>
        <w:tabs>
          <w:tab w:val="right" w:leader="dot" w:pos="8306"/>
        </w:tabs>
      </w:pPr>
      <w:r>
        <w:fldChar w:fldCharType="begin"/>
      </w:r>
      <w:r>
        <w:instrText xml:space="preserve"> HYPERLINK \l "_Toc26639" </w:instrText>
      </w:r>
      <w:r>
        <w:fldChar w:fldCharType="separate"/>
      </w:r>
      <w:r>
        <w:rPr>
          <w:rFonts w:hint="eastAsia"/>
        </w:rPr>
        <w:t>八、</w:t>
      </w:r>
      <w:r>
        <w:t>考核标准及考核制度</w:t>
      </w:r>
      <w:r>
        <w:rPr>
          <w:rFonts w:hint="eastAsia"/>
        </w:rPr>
        <w:t>（实质性要求）</w:t>
      </w:r>
      <w:r>
        <w:tab/>
      </w:r>
      <w:r>
        <w:fldChar w:fldCharType="begin"/>
      </w:r>
      <w:r>
        <w:instrText xml:space="preserve"> PAGEREF _Toc26639 \h </w:instrText>
      </w:r>
      <w:r>
        <w:fldChar w:fldCharType="separate"/>
      </w:r>
      <w:r>
        <w:t>78</w:t>
      </w:r>
      <w:r>
        <w:fldChar w:fldCharType="end"/>
      </w:r>
      <w:r>
        <w:fldChar w:fldCharType="end"/>
      </w:r>
    </w:p>
    <w:p>
      <w:pPr>
        <w:pStyle w:val="13"/>
        <w:tabs>
          <w:tab w:val="right" w:leader="dot" w:pos="8306"/>
          <w:tab w:val="clear" w:pos="8949"/>
        </w:tabs>
      </w:pPr>
      <w:r>
        <w:fldChar w:fldCharType="begin"/>
      </w:r>
      <w:r>
        <w:instrText xml:space="preserve"> HYPERLINK \l "_Toc25806" </w:instrText>
      </w:r>
      <w:r>
        <w:fldChar w:fldCharType="separate"/>
      </w:r>
      <w:r>
        <w:rPr>
          <w:rFonts w:ascii="宋体" w:hAnsi="宋体" w:eastAsia="宋体"/>
          <w:szCs w:val="32"/>
        </w:rPr>
        <w:t>第六章评标办法</w:t>
      </w:r>
      <w:r>
        <w:tab/>
      </w:r>
      <w:r>
        <w:fldChar w:fldCharType="begin"/>
      </w:r>
      <w:r>
        <w:instrText xml:space="preserve"> PAGEREF _Toc25806 \h </w:instrText>
      </w:r>
      <w:r>
        <w:fldChar w:fldCharType="separate"/>
      </w:r>
      <w:r>
        <w:t>85</w:t>
      </w:r>
      <w:r>
        <w:fldChar w:fldCharType="end"/>
      </w:r>
      <w:r>
        <w:fldChar w:fldCharType="end"/>
      </w:r>
    </w:p>
    <w:p>
      <w:pPr>
        <w:pStyle w:val="14"/>
        <w:tabs>
          <w:tab w:val="right" w:leader="dot" w:pos="8306"/>
        </w:tabs>
      </w:pPr>
      <w:r>
        <w:fldChar w:fldCharType="begin"/>
      </w:r>
      <w:r>
        <w:instrText xml:space="preserve"> HYPERLINK \l "_Toc17767" </w:instrText>
      </w:r>
      <w:r>
        <w:fldChar w:fldCharType="separate"/>
      </w:r>
      <w:r>
        <w:rPr>
          <w:rFonts w:ascii="宋体" w:hAnsi="宋体"/>
        </w:rPr>
        <w:t>1. 总则</w:t>
      </w:r>
      <w:r>
        <w:tab/>
      </w:r>
      <w:r>
        <w:fldChar w:fldCharType="begin"/>
      </w:r>
      <w:r>
        <w:instrText xml:space="preserve"> PAGEREF _Toc17767 \h </w:instrText>
      </w:r>
      <w:r>
        <w:fldChar w:fldCharType="separate"/>
      </w:r>
      <w:r>
        <w:t>85</w:t>
      </w:r>
      <w:r>
        <w:fldChar w:fldCharType="end"/>
      </w:r>
      <w:r>
        <w:fldChar w:fldCharType="end"/>
      </w:r>
    </w:p>
    <w:p>
      <w:pPr>
        <w:pStyle w:val="14"/>
        <w:tabs>
          <w:tab w:val="right" w:leader="dot" w:pos="8306"/>
        </w:tabs>
      </w:pPr>
      <w:r>
        <w:fldChar w:fldCharType="begin"/>
      </w:r>
      <w:r>
        <w:instrText xml:space="preserve"> HYPERLINK \l "_Toc23117" </w:instrText>
      </w:r>
      <w:r>
        <w:fldChar w:fldCharType="separate"/>
      </w:r>
      <w:r>
        <w:rPr>
          <w:rFonts w:ascii="宋体" w:hAnsi="宋体"/>
        </w:rPr>
        <w:t>2. 评标方法</w:t>
      </w:r>
      <w:r>
        <w:tab/>
      </w:r>
      <w:r>
        <w:fldChar w:fldCharType="begin"/>
      </w:r>
      <w:r>
        <w:instrText xml:space="preserve"> PAGEREF _Toc23117 \h </w:instrText>
      </w:r>
      <w:r>
        <w:fldChar w:fldCharType="separate"/>
      </w:r>
      <w:r>
        <w:t>85</w:t>
      </w:r>
      <w:r>
        <w:fldChar w:fldCharType="end"/>
      </w:r>
      <w:r>
        <w:fldChar w:fldCharType="end"/>
      </w:r>
    </w:p>
    <w:p>
      <w:pPr>
        <w:pStyle w:val="14"/>
        <w:tabs>
          <w:tab w:val="right" w:leader="dot" w:pos="8306"/>
        </w:tabs>
      </w:pPr>
      <w:r>
        <w:fldChar w:fldCharType="begin"/>
      </w:r>
      <w:r>
        <w:instrText xml:space="preserve"> HYPERLINK \l "_Toc1528" </w:instrText>
      </w:r>
      <w:r>
        <w:fldChar w:fldCharType="separate"/>
      </w:r>
      <w:r>
        <w:rPr>
          <w:rFonts w:ascii="宋体" w:hAnsi="宋体"/>
        </w:rPr>
        <w:t>3. 评标程序</w:t>
      </w:r>
      <w:r>
        <w:tab/>
      </w:r>
      <w:r>
        <w:fldChar w:fldCharType="begin"/>
      </w:r>
      <w:r>
        <w:instrText xml:space="preserve"> PAGEREF _Toc1528 \h </w:instrText>
      </w:r>
      <w:r>
        <w:fldChar w:fldCharType="separate"/>
      </w:r>
      <w:r>
        <w:t>85</w:t>
      </w:r>
      <w:r>
        <w:fldChar w:fldCharType="end"/>
      </w:r>
      <w:r>
        <w:fldChar w:fldCharType="end"/>
      </w:r>
    </w:p>
    <w:p>
      <w:pPr>
        <w:pStyle w:val="14"/>
        <w:tabs>
          <w:tab w:val="right" w:leader="dot" w:pos="8306"/>
        </w:tabs>
      </w:pPr>
      <w:r>
        <w:fldChar w:fldCharType="begin"/>
      </w:r>
      <w:r>
        <w:instrText xml:space="preserve"> HYPERLINK \l "_Toc22672" </w:instrText>
      </w:r>
      <w:r>
        <w:fldChar w:fldCharType="separate"/>
      </w:r>
      <w:r>
        <w:rPr>
          <w:rFonts w:ascii="宋体" w:hAnsi="宋体"/>
        </w:rPr>
        <w:t>4. 评标细则及标准</w:t>
      </w:r>
      <w:r>
        <w:tab/>
      </w:r>
      <w:r>
        <w:fldChar w:fldCharType="begin"/>
      </w:r>
      <w:r>
        <w:instrText xml:space="preserve"> PAGEREF _Toc22672 \h </w:instrText>
      </w:r>
      <w:r>
        <w:fldChar w:fldCharType="separate"/>
      </w:r>
      <w:r>
        <w:t>90</w:t>
      </w:r>
      <w:r>
        <w:fldChar w:fldCharType="end"/>
      </w:r>
      <w:r>
        <w:fldChar w:fldCharType="end"/>
      </w:r>
    </w:p>
    <w:p>
      <w:pPr>
        <w:pStyle w:val="14"/>
        <w:tabs>
          <w:tab w:val="right" w:leader="dot" w:pos="8306"/>
        </w:tabs>
      </w:pPr>
      <w:r>
        <w:fldChar w:fldCharType="begin"/>
      </w:r>
      <w:r>
        <w:instrText xml:space="preserve"> HYPERLINK \l "_Toc25073" </w:instrText>
      </w:r>
      <w:r>
        <w:fldChar w:fldCharType="separate"/>
      </w:r>
      <w:r>
        <w:rPr>
          <w:rFonts w:ascii="宋体" w:hAnsi="宋体"/>
        </w:rPr>
        <w:t>5. 废 标</w:t>
      </w:r>
      <w:r>
        <w:tab/>
      </w:r>
      <w:r>
        <w:fldChar w:fldCharType="begin"/>
      </w:r>
      <w:r>
        <w:instrText xml:space="preserve"> PAGEREF _Toc25073 \h </w:instrText>
      </w:r>
      <w:r>
        <w:fldChar w:fldCharType="separate"/>
      </w:r>
      <w:r>
        <w:t>93</w:t>
      </w:r>
      <w:r>
        <w:fldChar w:fldCharType="end"/>
      </w:r>
      <w:r>
        <w:fldChar w:fldCharType="end"/>
      </w:r>
    </w:p>
    <w:p>
      <w:pPr>
        <w:pStyle w:val="14"/>
        <w:tabs>
          <w:tab w:val="right" w:leader="dot" w:pos="8306"/>
        </w:tabs>
      </w:pPr>
      <w:r>
        <w:fldChar w:fldCharType="begin"/>
      </w:r>
      <w:r>
        <w:instrText xml:space="preserve"> HYPERLINK \l "_Toc31874" </w:instrText>
      </w:r>
      <w:r>
        <w:fldChar w:fldCharType="separate"/>
      </w:r>
      <w:r>
        <w:rPr>
          <w:rFonts w:ascii="宋体" w:hAnsi="宋体"/>
        </w:rPr>
        <w:t>6. 定标</w:t>
      </w:r>
      <w:r>
        <w:tab/>
      </w:r>
      <w:r>
        <w:fldChar w:fldCharType="begin"/>
      </w:r>
      <w:r>
        <w:instrText xml:space="preserve"> PAGEREF _Toc31874 \h </w:instrText>
      </w:r>
      <w:r>
        <w:fldChar w:fldCharType="separate"/>
      </w:r>
      <w:r>
        <w:t>94</w:t>
      </w:r>
      <w:r>
        <w:fldChar w:fldCharType="end"/>
      </w:r>
      <w:r>
        <w:fldChar w:fldCharType="end"/>
      </w:r>
    </w:p>
    <w:p>
      <w:pPr>
        <w:pStyle w:val="14"/>
        <w:tabs>
          <w:tab w:val="right" w:leader="dot" w:pos="8306"/>
        </w:tabs>
      </w:pPr>
      <w:r>
        <w:fldChar w:fldCharType="begin"/>
      </w:r>
      <w:r>
        <w:instrText xml:space="preserve"> HYPERLINK \l "_Toc6687" </w:instrText>
      </w:r>
      <w:r>
        <w:fldChar w:fldCharType="separate"/>
      </w:r>
      <w:r>
        <w:rPr>
          <w:rFonts w:ascii="宋体" w:hAnsi="宋体"/>
        </w:rPr>
        <w:t>7. 评标专家在政府采购活动中应承担的义务</w:t>
      </w:r>
      <w:r>
        <w:tab/>
      </w:r>
      <w:r>
        <w:fldChar w:fldCharType="begin"/>
      </w:r>
      <w:r>
        <w:instrText xml:space="preserve"> PAGEREF _Toc6687 \h </w:instrText>
      </w:r>
      <w:r>
        <w:fldChar w:fldCharType="separate"/>
      </w:r>
      <w:r>
        <w:t>95</w:t>
      </w:r>
      <w:r>
        <w:fldChar w:fldCharType="end"/>
      </w:r>
      <w:r>
        <w:fldChar w:fldCharType="end"/>
      </w:r>
    </w:p>
    <w:p>
      <w:pPr>
        <w:pStyle w:val="14"/>
        <w:tabs>
          <w:tab w:val="right" w:leader="dot" w:pos="8306"/>
        </w:tabs>
      </w:pPr>
      <w:r>
        <w:fldChar w:fldCharType="begin"/>
      </w:r>
      <w:r>
        <w:instrText xml:space="preserve"> HYPERLINK \l "_Toc1291" </w:instrText>
      </w:r>
      <w:r>
        <w:fldChar w:fldCharType="separate"/>
      </w:r>
      <w:r>
        <w:rPr>
          <w:rFonts w:ascii="宋体" w:hAnsi="宋体"/>
        </w:rPr>
        <w:t>8. 评审专家在政府采购活动中应当遵守的工作纪律</w:t>
      </w:r>
      <w:r>
        <w:tab/>
      </w:r>
      <w:r>
        <w:fldChar w:fldCharType="begin"/>
      </w:r>
      <w:r>
        <w:instrText xml:space="preserve"> PAGEREF _Toc1291 \h </w:instrText>
      </w:r>
      <w:r>
        <w:fldChar w:fldCharType="separate"/>
      </w:r>
      <w:r>
        <w:t>95</w:t>
      </w:r>
      <w:r>
        <w:fldChar w:fldCharType="end"/>
      </w:r>
      <w:r>
        <w:fldChar w:fldCharType="end"/>
      </w:r>
    </w:p>
    <w:p>
      <w:pPr>
        <w:pStyle w:val="13"/>
        <w:tabs>
          <w:tab w:val="right" w:leader="dot" w:pos="8306"/>
          <w:tab w:val="clear" w:pos="8949"/>
        </w:tabs>
        <w:rPr>
          <w:bCs/>
        </w:rPr>
      </w:pPr>
      <w:r>
        <w:fldChar w:fldCharType="begin"/>
      </w:r>
      <w:r>
        <w:instrText xml:space="preserve"> HYPERLINK \l "_Toc5615" </w:instrText>
      </w:r>
      <w:r>
        <w:fldChar w:fldCharType="separate"/>
      </w:r>
      <w:r>
        <w:rPr>
          <w:rFonts w:ascii="宋体" w:hAnsi="宋体" w:eastAsia="宋体"/>
          <w:szCs w:val="32"/>
        </w:rPr>
        <w:t>第七章合同主要条款</w:t>
      </w:r>
      <w:r>
        <w:tab/>
      </w:r>
      <w:r>
        <w:fldChar w:fldCharType="begin"/>
      </w:r>
      <w:r>
        <w:instrText xml:space="preserve"> PAGEREF _Toc5615 \h </w:instrText>
      </w:r>
      <w:r>
        <w:fldChar w:fldCharType="separate"/>
      </w:r>
      <w:r>
        <w:t>96</w:t>
      </w:r>
      <w:r>
        <w:fldChar w:fldCharType="end"/>
      </w:r>
      <w:r>
        <w:fldChar w:fldCharType="end"/>
      </w:r>
      <w:r>
        <w:rPr>
          <w:rFonts w:hint="eastAsia" w:ascii="宋体" w:hAnsi="宋体" w:eastAsia="宋体" w:cs="宋体"/>
          <w:lang w:val="zh-CN"/>
        </w:rPr>
        <w:fldChar w:fldCharType="end"/>
      </w:r>
      <w:r>
        <w:rPr>
          <w:rFonts w:ascii="宋体" w:hAnsi="宋体" w:eastAsia="宋体"/>
          <w:sz w:val="32"/>
          <w:szCs w:val="32"/>
        </w:rPr>
        <w:br w:type="page"/>
      </w:r>
    </w:p>
    <w:p>
      <w:pPr>
        <w:pStyle w:val="4"/>
        <w:spacing w:before="0" w:after="0"/>
        <w:ind w:left="60" w:firstLine="420"/>
        <w:jc w:val="center"/>
        <w:rPr>
          <w:rFonts w:ascii="宋体" w:hAnsi="宋体" w:eastAsia="宋体"/>
          <w:color w:val="auto"/>
          <w:sz w:val="32"/>
          <w:szCs w:val="32"/>
        </w:rPr>
      </w:pPr>
      <w:bookmarkStart w:id="15" w:name="_Toc7297"/>
      <w:r>
        <w:rPr>
          <w:rFonts w:ascii="宋体" w:hAnsi="宋体" w:eastAsia="宋体"/>
          <w:color w:val="auto"/>
          <w:sz w:val="32"/>
          <w:szCs w:val="32"/>
        </w:rPr>
        <w:t>第一章投标邀请</w:t>
      </w:r>
      <w:bookmarkEnd w:id="15"/>
    </w:p>
    <w:p>
      <w:pPr>
        <w:spacing w:line="360" w:lineRule="auto"/>
        <w:ind w:firstLine="480" w:firstLineChars="200"/>
        <w:jc w:val="left"/>
        <w:rPr>
          <w:rFonts w:ascii="宋体" w:hAnsi="宋体" w:eastAsia="宋体"/>
          <w:sz w:val="24"/>
          <w:szCs w:val="24"/>
        </w:rPr>
      </w:pPr>
      <w:r>
        <w:rPr>
          <w:rFonts w:ascii="宋体" w:hAnsi="宋体" w:eastAsia="宋体"/>
          <w:sz w:val="24"/>
          <w:szCs w:val="24"/>
          <w:u w:val="single"/>
        </w:rPr>
        <w:t>中金招标有限责任公司</w:t>
      </w:r>
      <w:r>
        <w:rPr>
          <w:rFonts w:ascii="宋体" w:hAnsi="宋体" w:eastAsia="宋体"/>
          <w:sz w:val="24"/>
          <w:szCs w:val="24"/>
        </w:rPr>
        <w:t>（采购代理机构）受</w:t>
      </w:r>
      <w:r>
        <w:rPr>
          <w:rFonts w:hint="eastAsia" w:ascii="宋体" w:hAnsi="宋体" w:eastAsia="宋体"/>
          <w:sz w:val="24"/>
          <w:szCs w:val="24"/>
          <w:u w:val="single"/>
        </w:rPr>
        <w:t>成都市武侯区人民政府华兴街道办事处</w:t>
      </w:r>
      <w:r>
        <w:rPr>
          <w:rFonts w:ascii="宋体" w:hAnsi="宋体" w:eastAsia="宋体"/>
          <w:sz w:val="24"/>
          <w:szCs w:val="24"/>
        </w:rPr>
        <w:t>（采购人）委托，拟对</w:t>
      </w:r>
      <w:r>
        <w:rPr>
          <w:rFonts w:hint="eastAsia" w:ascii="宋体" w:hAnsi="宋体" w:eastAsia="宋体"/>
          <w:sz w:val="24"/>
          <w:szCs w:val="24"/>
          <w:u w:val="single"/>
        </w:rPr>
        <w:t>成都市武侯区人民政府华兴街道办事处城镇公共卫生环卫服务采购项目</w:t>
      </w:r>
      <w:r>
        <w:rPr>
          <w:rFonts w:ascii="宋体" w:hAnsi="宋体" w:eastAsia="宋体"/>
          <w:sz w:val="24"/>
          <w:szCs w:val="24"/>
        </w:rPr>
        <w:t>进行国内公开招标，兹邀请符合本次招标要求的供应商参加投标。</w:t>
      </w:r>
    </w:p>
    <w:p>
      <w:pPr>
        <w:spacing w:line="360" w:lineRule="auto"/>
        <w:ind w:firstLine="482" w:firstLineChars="200"/>
        <w:rPr>
          <w:rFonts w:ascii="宋体" w:hAnsi="宋体" w:eastAsia="宋体"/>
          <w:sz w:val="24"/>
          <w:szCs w:val="24"/>
        </w:rPr>
      </w:pPr>
      <w:r>
        <w:rPr>
          <w:rFonts w:ascii="宋体" w:hAnsi="宋体" w:eastAsia="宋体"/>
          <w:b/>
          <w:bCs/>
          <w:sz w:val="24"/>
          <w:szCs w:val="24"/>
        </w:rPr>
        <w:t>一、招标编号：</w:t>
      </w:r>
      <w:r>
        <w:rPr>
          <w:rFonts w:hint="eastAsia" w:ascii="宋体" w:hAnsi="宋体" w:eastAsia="宋体"/>
          <w:sz w:val="24"/>
          <w:szCs w:val="24"/>
        </w:rPr>
        <w:t>510107202100089</w:t>
      </w:r>
    </w:p>
    <w:p>
      <w:pPr>
        <w:spacing w:line="360" w:lineRule="auto"/>
        <w:ind w:firstLine="482" w:firstLineChars="200"/>
        <w:rPr>
          <w:rFonts w:ascii="宋体" w:hAnsi="宋体" w:eastAsia="宋体"/>
          <w:sz w:val="24"/>
          <w:szCs w:val="24"/>
        </w:rPr>
      </w:pPr>
      <w:r>
        <w:rPr>
          <w:rFonts w:ascii="宋体" w:hAnsi="宋体" w:eastAsia="宋体"/>
          <w:b/>
          <w:bCs/>
          <w:sz w:val="24"/>
          <w:szCs w:val="24"/>
        </w:rPr>
        <w:t>二、招标项目：</w:t>
      </w:r>
      <w:r>
        <w:rPr>
          <w:rFonts w:hint="eastAsia" w:ascii="宋体" w:hAnsi="宋体" w:eastAsia="宋体"/>
          <w:sz w:val="24"/>
          <w:szCs w:val="24"/>
        </w:rPr>
        <w:t>成都市武侯区人民政府华兴街道办事处城镇公共卫生环卫服务采购项目。</w:t>
      </w:r>
    </w:p>
    <w:p>
      <w:pPr>
        <w:spacing w:line="360" w:lineRule="auto"/>
        <w:ind w:firstLine="482" w:firstLineChars="200"/>
        <w:rPr>
          <w:rFonts w:ascii="宋体" w:hAnsi="宋体"/>
          <w:b/>
          <w:color w:val="FF0000"/>
          <w:sz w:val="22"/>
        </w:rPr>
      </w:pPr>
      <w:r>
        <w:rPr>
          <w:rFonts w:ascii="宋体" w:hAnsi="宋体" w:eastAsia="宋体"/>
          <w:b/>
          <w:bCs/>
          <w:sz w:val="24"/>
          <w:szCs w:val="24"/>
        </w:rPr>
        <w:t>三、资金来源：</w:t>
      </w:r>
      <w:r>
        <w:rPr>
          <w:rFonts w:hint="eastAsia" w:ascii="宋体" w:hAnsi="宋体" w:eastAsia="宋体"/>
          <w:sz w:val="24"/>
          <w:szCs w:val="24"/>
        </w:rPr>
        <w:t>财政性资金，政府采购实施计划备案表号：（20</w:t>
      </w:r>
      <w:r>
        <w:rPr>
          <w:rFonts w:ascii="宋体" w:hAnsi="宋体" w:eastAsia="宋体"/>
          <w:sz w:val="24"/>
          <w:szCs w:val="24"/>
        </w:rPr>
        <w:t>21</w:t>
      </w:r>
      <w:r>
        <w:rPr>
          <w:rFonts w:hint="eastAsia" w:ascii="宋体" w:hAnsi="宋体" w:eastAsia="宋体"/>
          <w:sz w:val="24"/>
          <w:szCs w:val="24"/>
        </w:rPr>
        <w:t>）</w:t>
      </w:r>
      <w:r>
        <w:rPr>
          <w:rFonts w:ascii="宋体" w:hAnsi="宋体" w:eastAsia="宋体"/>
          <w:sz w:val="24"/>
          <w:szCs w:val="24"/>
        </w:rPr>
        <w:t>0177</w:t>
      </w:r>
      <w:r>
        <w:rPr>
          <w:rFonts w:hint="eastAsia" w:ascii="宋体" w:hAnsi="宋体" w:eastAsia="宋体"/>
          <w:sz w:val="24"/>
          <w:szCs w:val="24"/>
        </w:rPr>
        <w:t>。预算品目：城镇公共卫生服务。本项目服务期限为三年，合同一年一签。</w:t>
      </w:r>
    </w:p>
    <w:p>
      <w:pPr>
        <w:spacing w:line="360" w:lineRule="auto"/>
        <w:ind w:left="3665" w:leftChars="227" w:hanging="3188" w:hangingChars="1323"/>
        <w:rPr>
          <w:rFonts w:ascii="宋体" w:hAnsi="宋体" w:eastAsia="宋体"/>
          <w:sz w:val="24"/>
          <w:szCs w:val="24"/>
        </w:rPr>
      </w:pPr>
      <w:r>
        <w:rPr>
          <w:rFonts w:ascii="宋体" w:hAnsi="宋体" w:eastAsia="宋体"/>
          <w:b/>
          <w:bCs/>
          <w:sz w:val="24"/>
          <w:szCs w:val="24"/>
        </w:rPr>
        <w:t>四、招标项目简介：</w:t>
      </w:r>
      <w:r>
        <w:rPr>
          <w:rFonts w:ascii="宋体" w:hAnsi="宋体" w:eastAsia="宋体"/>
          <w:sz w:val="24"/>
          <w:szCs w:val="24"/>
        </w:rPr>
        <w:t>（采购需求详见招标文件第</w:t>
      </w:r>
      <w:r>
        <w:rPr>
          <w:rFonts w:hint="eastAsia" w:ascii="宋体" w:hAnsi="宋体" w:eastAsia="宋体"/>
          <w:sz w:val="24"/>
          <w:szCs w:val="24"/>
        </w:rPr>
        <w:t>五</w:t>
      </w:r>
      <w:r>
        <w:rPr>
          <w:rFonts w:ascii="宋体" w:hAnsi="宋体" w:eastAsia="宋体"/>
          <w:sz w:val="24"/>
          <w:szCs w:val="24"/>
        </w:rPr>
        <w:t>章）</w:t>
      </w:r>
    </w:p>
    <w:p>
      <w:pPr>
        <w:spacing w:line="360" w:lineRule="auto"/>
        <w:ind w:firstLine="480" w:firstLineChars="200"/>
      </w:pPr>
      <w:r>
        <w:rPr>
          <w:rFonts w:hint="eastAsia" w:ascii="宋体" w:hAnsi="宋体" w:eastAsia="宋体"/>
          <w:sz w:val="24"/>
          <w:szCs w:val="24"/>
        </w:rPr>
        <w:t>成都市武侯区人民政府华兴街道办事处城镇公共卫生环卫服务采购项目主要包括道路清扫保洁作业、垃圾分类收集清运、大件垃圾收集等内容</w:t>
      </w:r>
      <w:r>
        <w:rPr>
          <w:rFonts w:hint="eastAsia" w:ascii="宋体" w:hAnsi="宋体" w:eastAsia="宋体"/>
          <w:kern w:val="0"/>
          <w:sz w:val="24"/>
          <w:szCs w:val="24"/>
        </w:rPr>
        <w:t>。</w:t>
      </w:r>
    </w:p>
    <w:p>
      <w:pPr>
        <w:spacing w:line="360" w:lineRule="auto"/>
        <w:ind w:firstLine="482" w:firstLineChars="200"/>
        <w:jc w:val="left"/>
        <w:rPr>
          <w:rFonts w:ascii="宋体" w:hAnsi="宋体" w:eastAsia="宋体"/>
          <w:b/>
          <w:bCs/>
          <w:sz w:val="24"/>
          <w:szCs w:val="24"/>
        </w:rPr>
      </w:pPr>
      <w:r>
        <w:rPr>
          <w:rFonts w:ascii="宋体" w:hAnsi="宋体" w:eastAsia="宋体"/>
          <w:b/>
          <w:bCs/>
          <w:sz w:val="24"/>
          <w:szCs w:val="24"/>
        </w:rPr>
        <w:t>五、供应商参加本次政府采购活动应具备下列条件：</w:t>
      </w:r>
    </w:p>
    <w:p>
      <w:pPr>
        <w:spacing w:after="50" w:line="420" w:lineRule="exact"/>
        <w:ind w:firstLine="480" w:firstLineChars="200"/>
        <w:rPr>
          <w:rFonts w:ascii="宋体" w:hAnsi="宋体" w:eastAsia="宋体"/>
          <w:sz w:val="24"/>
          <w:szCs w:val="24"/>
        </w:rPr>
      </w:pPr>
      <w:r>
        <w:rPr>
          <w:rFonts w:ascii="宋体" w:hAnsi="宋体" w:eastAsia="宋体"/>
          <w:sz w:val="24"/>
          <w:szCs w:val="24"/>
        </w:rPr>
        <w:t>(一) 符合《政府采购法》第二十二条规定的条件；</w:t>
      </w:r>
    </w:p>
    <w:p>
      <w:pPr>
        <w:spacing w:after="50" w:line="420" w:lineRule="exact"/>
        <w:ind w:firstLine="480" w:firstLineChars="200"/>
        <w:rPr>
          <w:rFonts w:ascii="宋体" w:hAnsi="宋体" w:eastAsia="宋体"/>
          <w:sz w:val="24"/>
          <w:szCs w:val="24"/>
        </w:rPr>
      </w:pPr>
      <w:r>
        <w:rPr>
          <w:rFonts w:ascii="宋体" w:hAnsi="宋体" w:eastAsia="宋体"/>
          <w:sz w:val="24"/>
          <w:szCs w:val="24"/>
        </w:rPr>
        <w:t>(二) 本项目特定资格条件：</w:t>
      </w:r>
    </w:p>
    <w:p>
      <w:pPr>
        <w:spacing w:after="50" w:line="420" w:lineRule="exact"/>
        <w:ind w:left="420" w:leftChars="200" w:firstLine="571" w:firstLineChars="238"/>
        <w:rPr>
          <w:rFonts w:ascii="宋体" w:hAnsi="宋体" w:eastAsia="宋体"/>
          <w:sz w:val="24"/>
          <w:szCs w:val="24"/>
        </w:rPr>
      </w:pPr>
      <w:r>
        <w:rPr>
          <w:rFonts w:ascii="宋体" w:hAnsi="宋体" w:eastAsia="宋体"/>
          <w:sz w:val="24"/>
          <w:szCs w:val="24"/>
        </w:rPr>
        <w:t>1、未被列入失信被执行人、重大税收违法案件当事人名单、政府采购严重违法失信行为记录名单；</w:t>
      </w:r>
    </w:p>
    <w:p>
      <w:pPr>
        <w:spacing w:after="50" w:line="420" w:lineRule="exact"/>
        <w:ind w:left="420" w:leftChars="200" w:firstLine="571" w:firstLineChars="238"/>
        <w:rPr>
          <w:rFonts w:ascii="宋体" w:hAnsi="宋体" w:eastAsia="宋体"/>
          <w:sz w:val="24"/>
          <w:szCs w:val="24"/>
        </w:rPr>
      </w:pPr>
      <w:r>
        <w:rPr>
          <w:rFonts w:ascii="宋体" w:hAnsi="宋体" w:eastAsia="宋体"/>
          <w:sz w:val="24"/>
          <w:szCs w:val="24"/>
        </w:rPr>
        <w:t>2、在行贿犯罪信息查询期限内，投标人及其现任法定代表人、主要负责人没有行贿犯罪记录；</w:t>
      </w:r>
    </w:p>
    <w:p>
      <w:pPr>
        <w:spacing w:after="50" w:line="420" w:lineRule="exact"/>
        <w:ind w:firstLine="960" w:firstLineChars="400"/>
        <w:rPr>
          <w:rFonts w:ascii="宋体" w:hAnsi="宋体" w:eastAsia="宋体"/>
          <w:sz w:val="24"/>
          <w:szCs w:val="24"/>
        </w:rPr>
      </w:pPr>
      <w:r>
        <w:rPr>
          <w:rFonts w:ascii="宋体" w:hAnsi="宋体" w:eastAsia="宋体"/>
          <w:sz w:val="24"/>
          <w:szCs w:val="24"/>
        </w:rPr>
        <w:t>3、本项目</w:t>
      </w:r>
      <w:r>
        <w:rPr>
          <w:rFonts w:hint="eastAsia" w:ascii="宋体" w:hAnsi="宋体" w:eastAsia="宋体"/>
          <w:sz w:val="24"/>
          <w:szCs w:val="24"/>
        </w:rPr>
        <w:t>不</w:t>
      </w:r>
      <w:r>
        <w:rPr>
          <w:rFonts w:ascii="宋体" w:hAnsi="宋体" w:eastAsia="宋体"/>
          <w:sz w:val="24"/>
          <w:szCs w:val="24"/>
        </w:rPr>
        <w:t>接受联合体参与投标。</w:t>
      </w:r>
    </w:p>
    <w:p>
      <w:pPr>
        <w:spacing w:after="50" w:line="420" w:lineRule="exact"/>
        <w:ind w:firstLine="480" w:firstLineChars="200"/>
        <w:rPr>
          <w:rFonts w:ascii="微软雅黑" w:hAnsi="微软雅黑" w:eastAsia="宋体"/>
          <w:szCs w:val="21"/>
        </w:rPr>
      </w:pPr>
      <w:r>
        <w:rPr>
          <w:rFonts w:ascii="宋体" w:hAnsi="宋体" w:eastAsia="宋体"/>
          <w:sz w:val="24"/>
          <w:szCs w:val="24"/>
        </w:rPr>
        <w:t>（三）根据采购项目提出的特殊条件</w:t>
      </w:r>
      <w:r>
        <w:rPr>
          <w:rFonts w:ascii="Times New Roman" w:hAnsi="Times New Roman" w:eastAsia="Times New Roman"/>
          <w:sz w:val="24"/>
          <w:szCs w:val="24"/>
        </w:rPr>
        <w:t>:</w:t>
      </w:r>
      <w:r>
        <w:rPr>
          <w:rFonts w:hint="eastAsia" w:ascii="Times New Roman" w:hAnsi="Times New Roman" w:eastAsia="宋体"/>
          <w:sz w:val="24"/>
          <w:szCs w:val="24"/>
        </w:rPr>
        <w:t>无。</w:t>
      </w:r>
    </w:p>
    <w:p>
      <w:pPr>
        <w:spacing w:after="50" w:line="360" w:lineRule="auto"/>
        <w:ind w:firstLine="482" w:firstLineChars="200"/>
        <w:rPr>
          <w:rFonts w:ascii="宋体" w:hAnsi="宋体" w:eastAsia="宋体"/>
          <w:b/>
          <w:bCs/>
          <w:sz w:val="24"/>
          <w:szCs w:val="24"/>
        </w:rPr>
      </w:pPr>
      <w:r>
        <w:rPr>
          <w:rFonts w:ascii="宋体" w:hAnsi="宋体" w:eastAsia="宋体"/>
          <w:b/>
          <w:bCs/>
          <w:sz w:val="24"/>
          <w:szCs w:val="24"/>
        </w:rPr>
        <w:t>六、招标文件获取时间、地点：</w:t>
      </w:r>
    </w:p>
    <w:p>
      <w:pPr>
        <w:spacing w:after="50" w:line="420" w:lineRule="exact"/>
        <w:ind w:right="-111" w:rightChars="-53" w:firstLine="480" w:firstLineChars="200"/>
        <w:jc w:val="left"/>
        <w:rPr>
          <w:rFonts w:ascii="宋体" w:hAnsi="宋体" w:eastAsia="宋体"/>
          <w:sz w:val="24"/>
          <w:szCs w:val="24"/>
        </w:rPr>
      </w:pPr>
      <w:r>
        <w:rPr>
          <w:rFonts w:ascii="宋体" w:hAnsi="宋体" w:eastAsia="宋体"/>
          <w:sz w:val="24"/>
          <w:szCs w:val="24"/>
        </w:rPr>
        <w:t>招标文件自</w:t>
      </w:r>
      <w:r>
        <w:rPr>
          <w:rFonts w:hint="eastAsia" w:ascii="宋体" w:hAnsi="宋体" w:eastAsia="宋体"/>
          <w:sz w:val="24"/>
          <w:szCs w:val="24"/>
        </w:rPr>
        <w:t>2021</w:t>
      </w:r>
      <w:r>
        <w:rPr>
          <w:rFonts w:ascii="宋体" w:hAnsi="宋体" w:eastAsia="宋体"/>
          <w:sz w:val="24"/>
          <w:szCs w:val="24"/>
        </w:rPr>
        <w:t>年</w:t>
      </w:r>
      <w:r>
        <w:rPr>
          <w:rFonts w:hint="eastAsia" w:ascii="宋体" w:hAnsi="宋体" w:eastAsia="宋体"/>
          <w:sz w:val="24"/>
          <w:szCs w:val="24"/>
        </w:rPr>
        <w:t>0</w:t>
      </w:r>
      <w:r>
        <w:rPr>
          <w:rFonts w:hint="eastAsia" w:ascii="宋体" w:hAnsi="宋体" w:eastAsia="宋体"/>
          <w:sz w:val="24"/>
          <w:szCs w:val="24"/>
          <w:lang w:val="en-US" w:eastAsia="zh-CN"/>
        </w:rPr>
        <w:t>6</w:t>
      </w:r>
      <w:r>
        <w:rPr>
          <w:rFonts w:ascii="宋体" w:hAnsi="宋体" w:eastAsia="宋体"/>
          <w:sz w:val="24"/>
          <w:szCs w:val="24"/>
        </w:rPr>
        <w:t>月</w:t>
      </w:r>
      <w:r>
        <w:rPr>
          <w:rFonts w:hint="eastAsia" w:ascii="宋体" w:hAnsi="宋体" w:eastAsia="宋体"/>
          <w:sz w:val="24"/>
          <w:szCs w:val="24"/>
          <w:lang w:val="en-US" w:eastAsia="zh-CN"/>
        </w:rPr>
        <w:t>01</w:t>
      </w:r>
      <w:r>
        <w:rPr>
          <w:rFonts w:hint="eastAsia" w:ascii="宋体" w:hAnsi="宋体" w:eastAsia="宋体" w:cs="宋体"/>
          <w:sz w:val="24"/>
          <w:szCs w:val="24"/>
        </w:rPr>
        <w:t>至2021</w:t>
      </w:r>
      <w:r>
        <w:rPr>
          <w:rFonts w:ascii="宋体" w:hAnsi="宋体" w:eastAsia="宋体"/>
          <w:sz w:val="24"/>
          <w:szCs w:val="24"/>
        </w:rPr>
        <w:t>年</w:t>
      </w:r>
      <w:r>
        <w:rPr>
          <w:rFonts w:hint="eastAsia" w:ascii="宋体" w:hAnsi="宋体" w:eastAsia="宋体"/>
          <w:sz w:val="24"/>
          <w:szCs w:val="24"/>
        </w:rPr>
        <w:t>0</w:t>
      </w:r>
      <w:r>
        <w:rPr>
          <w:rFonts w:hint="eastAsia" w:ascii="宋体" w:hAnsi="宋体" w:eastAsia="宋体"/>
          <w:sz w:val="24"/>
          <w:szCs w:val="24"/>
          <w:lang w:val="en-US" w:eastAsia="zh-CN"/>
        </w:rPr>
        <w:t>6</w:t>
      </w:r>
      <w:r>
        <w:rPr>
          <w:rFonts w:ascii="宋体" w:hAnsi="宋体" w:eastAsia="宋体"/>
          <w:sz w:val="24"/>
          <w:szCs w:val="24"/>
        </w:rPr>
        <w:t>月</w:t>
      </w:r>
      <w:r>
        <w:rPr>
          <w:rFonts w:hint="eastAsia" w:ascii="宋体" w:hAnsi="宋体" w:eastAsia="宋体"/>
          <w:sz w:val="24"/>
          <w:szCs w:val="24"/>
          <w:lang w:val="en-US" w:eastAsia="zh-CN"/>
        </w:rPr>
        <w:t>07</w:t>
      </w:r>
      <w:r>
        <w:rPr>
          <w:rFonts w:ascii="宋体" w:hAnsi="宋体" w:eastAsia="宋体"/>
          <w:sz w:val="24"/>
          <w:szCs w:val="24"/>
        </w:rPr>
        <w:t>日上午</w:t>
      </w:r>
      <w:r>
        <w:rPr>
          <w:rFonts w:ascii="Times New Roman" w:hAnsi="Times New Roman" w:eastAsia="Times New Roman"/>
          <w:sz w:val="24"/>
          <w:szCs w:val="24"/>
        </w:rPr>
        <w:t>09</w:t>
      </w:r>
      <w:r>
        <w:rPr>
          <w:rFonts w:ascii="宋体" w:hAnsi="宋体" w:eastAsia="宋体"/>
          <w:sz w:val="24"/>
          <w:szCs w:val="24"/>
        </w:rPr>
        <w:t>:00-12:00，下午13:00- 17:00（北京时间，法定节假日除外）在成都市高新区天晖路晶科一号</w:t>
      </w:r>
      <w:r>
        <w:rPr>
          <w:rFonts w:ascii="Times New Roman" w:hAnsi="Times New Roman" w:eastAsia="Times New Roman"/>
          <w:sz w:val="24"/>
          <w:szCs w:val="24"/>
        </w:rPr>
        <w:t>20</w:t>
      </w:r>
      <w:r>
        <w:rPr>
          <w:rFonts w:ascii="宋体" w:hAnsi="宋体" w:eastAsia="宋体"/>
          <w:sz w:val="24"/>
          <w:szCs w:val="24"/>
        </w:rPr>
        <w:t>楼中金招标有限责任公司现场获取或通过邮寄方式远程获取（邮寄办理的请电话联系</w:t>
      </w:r>
      <w:r>
        <w:rPr>
          <w:rFonts w:ascii="Times New Roman" w:hAnsi="Times New Roman" w:eastAsia="Times New Roman"/>
          <w:sz w:val="24"/>
          <w:szCs w:val="24"/>
        </w:rPr>
        <w:t>028-84469198</w:t>
      </w:r>
      <w:r>
        <w:rPr>
          <w:rFonts w:ascii="宋体" w:hAnsi="宋体" w:eastAsia="宋体"/>
          <w:sz w:val="24"/>
          <w:szCs w:val="24"/>
        </w:rPr>
        <w:t>）。</w:t>
      </w:r>
    </w:p>
    <w:p>
      <w:pPr>
        <w:spacing w:after="50" w:line="420" w:lineRule="exact"/>
        <w:ind w:firstLine="480" w:firstLineChars="200"/>
        <w:jc w:val="left"/>
        <w:rPr>
          <w:rFonts w:ascii="宋体" w:hAnsi="宋体" w:eastAsia="宋体"/>
          <w:sz w:val="24"/>
          <w:szCs w:val="24"/>
        </w:rPr>
      </w:pPr>
      <w:r>
        <w:rPr>
          <w:rFonts w:ascii="宋体" w:hAnsi="宋体" w:eastAsia="宋体"/>
          <w:sz w:val="24"/>
          <w:szCs w:val="24"/>
        </w:rPr>
        <w:t>供应商报名时须提供下列有效证明文件：</w:t>
      </w:r>
    </w:p>
    <w:p>
      <w:pPr>
        <w:spacing w:after="187" w:line="420" w:lineRule="exact"/>
        <w:ind w:firstLine="480" w:firstLineChars="200"/>
        <w:rPr>
          <w:rFonts w:ascii="宋体" w:hAnsi="宋体" w:eastAsia="宋体"/>
          <w:sz w:val="24"/>
          <w:szCs w:val="24"/>
        </w:rPr>
      </w:pPr>
      <w:r>
        <w:rPr>
          <w:rFonts w:ascii="宋体" w:hAnsi="宋体" w:eastAsia="宋体"/>
          <w:sz w:val="24"/>
          <w:szCs w:val="24"/>
        </w:rPr>
        <w:t>1、单位介绍信[注明被介绍人姓名，项目名称及编号，包件号（若有）办理事项内容及被介绍人身份证复印件加盖公章（鲜章），查验被介绍人身份证原件。</w:t>
      </w:r>
    </w:p>
    <w:p>
      <w:pPr>
        <w:spacing w:after="187" w:line="420" w:lineRule="exact"/>
        <w:ind w:firstLine="480" w:firstLineChars="200"/>
        <w:rPr>
          <w:rFonts w:ascii="宋体" w:hAnsi="宋体" w:eastAsia="宋体"/>
          <w:sz w:val="24"/>
          <w:szCs w:val="24"/>
        </w:rPr>
      </w:pPr>
      <w:r>
        <w:rPr>
          <w:rFonts w:ascii="宋体" w:hAnsi="宋体" w:eastAsia="宋体"/>
          <w:sz w:val="24"/>
          <w:szCs w:val="24"/>
        </w:rPr>
        <w:t>2、供应商为自然人的，只需提供本人身份证明（本人身份证复印件一份，查验身份证原件）。</w:t>
      </w:r>
    </w:p>
    <w:p>
      <w:pPr>
        <w:spacing w:after="187" w:line="420" w:lineRule="exact"/>
        <w:ind w:firstLine="482" w:firstLineChars="200"/>
        <w:rPr>
          <w:rFonts w:ascii="宋体" w:hAnsi="宋体" w:eastAsia="宋体"/>
          <w:sz w:val="24"/>
          <w:szCs w:val="24"/>
        </w:rPr>
      </w:pPr>
      <w:r>
        <w:rPr>
          <w:rFonts w:ascii="宋体" w:hAnsi="宋体" w:eastAsia="宋体"/>
          <w:b/>
          <w:bCs/>
          <w:sz w:val="24"/>
          <w:szCs w:val="24"/>
        </w:rPr>
        <w:t>七、投标截止时间和开标时间：</w:t>
      </w:r>
      <w:r>
        <w:rPr>
          <w:rFonts w:ascii="宋体" w:hAnsi="宋体" w:eastAsia="宋体"/>
          <w:sz w:val="24"/>
          <w:szCs w:val="24"/>
          <w:u w:val="single"/>
        </w:rPr>
        <w:t>202</w:t>
      </w:r>
      <w:r>
        <w:rPr>
          <w:rFonts w:hint="eastAsia" w:ascii="宋体" w:hAnsi="宋体" w:eastAsia="宋体"/>
          <w:sz w:val="24"/>
          <w:szCs w:val="24"/>
          <w:u w:val="single"/>
        </w:rPr>
        <w:t>1</w:t>
      </w:r>
      <w:r>
        <w:rPr>
          <w:rFonts w:ascii="宋体" w:hAnsi="宋体" w:eastAsia="宋体"/>
          <w:sz w:val="24"/>
          <w:szCs w:val="24"/>
          <w:u w:val="single"/>
        </w:rPr>
        <w:t>年06月</w:t>
      </w:r>
      <w:r>
        <w:rPr>
          <w:rFonts w:hint="eastAsia" w:ascii="宋体" w:hAnsi="宋体" w:eastAsia="宋体"/>
          <w:sz w:val="24"/>
          <w:szCs w:val="24"/>
          <w:u w:val="single"/>
          <w:lang w:val="en-US" w:eastAsia="zh-CN"/>
        </w:rPr>
        <w:t>23</w:t>
      </w:r>
      <w:r>
        <w:rPr>
          <w:rFonts w:ascii="宋体" w:hAnsi="宋体" w:eastAsia="宋体"/>
          <w:sz w:val="24"/>
          <w:szCs w:val="24"/>
          <w:u w:val="single"/>
        </w:rPr>
        <w:t>日上午</w:t>
      </w:r>
      <w:r>
        <w:rPr>
          <w:rFonts w:hint="eastAsia" w:ascii="宋体" w:hAnsi="宋体" w:eastAsia="宋体"/>
          <w:sz w:val="24"/>
          <w:szCs w:val="24"/>
          <w:u w:val="single"/>
          <w:lang w:val="en-US" w:eastAsia="zh-CN"/>
        </w:rPr>
        <w:t>10</w:t>
      </w:r>
      <w:r>
        <w:rPr>
          <w:rFonts w:ascii="宋体" w:hAnsi="宋体" w:eastAsia="宋体"/>
          <w:sz w:val="24"/>
          <w:szCs w:val="24"/>
          <w:u w:val="single"/>
        </w:rPr>
        <w:t>：</w:t>
      </w:r>
      <w:r>
        <w:rPr>
          <w:rFonts w:hint="eastAsia" w:ascii="宋体" w:hAnsi="宋体" w:eastAsia="宋体"/>
          <w:sz w:val="24"/>
          <w:szCs w:val="24"/>
          <w:u w:val="single"/>
          <w:lang w:val="en-US" w:eastAsia="zh-CN"/>
        </w:rPr>
        <w:t>00</w:t>
      </w:r>
      <w:r>
        <w:rPr>
          <w:rFonts w:ascii="宋体" w:hAnsi="宋体" w:eastAsia="宋体"/>
          <w:sz w:val="24"/>
          <w:szCs w:val="24"/>
        </w:rPr>
        <w:t>（北京时间）。</w:t>
      </w:r>
    </w:p>
    <w:p>
      <w:pPr>
        <w:spacing w:after="187" w:line="420" w:lineRule="exact"/>
        <w:ind w:firstLine="480"/>
        <w:rPr>
          <w:rFonts w:ascii="宋体" w:hAnsi="宋体" w:eastAsia="宋体"/>
          <w:sz w:val="24"/>
          <w:szCs w:val="24"/>
        </w:rPr>
      </w:pPr>
      <w:r>
        <w:rPr>
          <w:rFonts w:ascii="宋体" w:hAnsi="宋体" w:eastAsia="宋体"/>
          <w:sz w:val="24"/>
          <w:szCs w:val="24"/>
        </w:rPr>
        <w:t>投标文件必须在投标截止时间前送达开标地点。逾期送达的投标文件恕不接收。本次招标</w:t>
      </w:r>
      <w:r>
        <w:rPr>
          <w:rFonts w:ascii="宋体" w:hAnsi="宋体" w:eastAsia="宋体"/>
          <w:b/>
          <w:bCs/>
          <w:sz w:val="24"/>
          <w:szCs w:val="24"/>
        </w:rPr>
        <w:t>不接受</w:t>
      </w:r>
      <w:r>
        <w:rPr>
          <w:rFonts w:ascii="宋体" w:hAnsi="宋体" w:eastAsia="宋体"/>
          <w:sz w:val="24"/>
          <w:szCs w:val="24"/>
        </w:rPr>
        <w:t>邮寄的投标文件。</w:t>
      </w:r>
    </w:p>
    <w:p>
      <w:pPr>
        <w:spacing w:after="50" w:line="420" w:lineRule="exact"/>
        <w:ind w:firstLine="487" w:firstLineChars="202"/>
        <w:rPr>
          <w:rFonts w:ascii="宋体" w:hAnsi="宋体" w:eastAsia="宋体"/>
          <w:sz w:val="24"/>
          <w:szCs w:val="24"/>
        </w:rPr>
      </w:pPr>
      <w:r>
        <w:rPr>
          <w:rFonts w:ascii="宋体" w:hAnsi="宋体" w:eastAsia="宋体"/>
          <w:b/>
          <w:bCs/>
          <w:sz w:val="24"/>
          <w:szCs w:val="24"/>
        </w:rPr>
        <w:t>八、开标地点：</w:t>
      </w:r>
      <w:r>
        <w:rPr>
          <w:rFonts w:ascii="宋体" w:hAnsi="宋体" w:eastAsia="宋体"/>
          <w:sz w:val="24"/>
          <w:szCs w:val="24"/>
        </w:rPr>
        <w:t>成都市高新区天晖路</w:t>
      </w:r>
      <w:r>
        <w:rPr>
          <w:rFonts w:ascii="Times New Roman" w:hAnsi="Times New Roman" w:eastAsia="Times New Roman"/>
          <w:sz w:val="24"/>
          <w:szCs w:val="24"/>
        </w:rPr>
        <w:t>360</w:t>
      </w:r>
      <w:r>
        <w:rPr>
          <w:rFonts w:ascii="宋体" w:hAnsi="宋体" w:eastAsia="宋体"/>
          <w:sz w:val="24"/>
          <w:szCs w:val="24"/>
        </w:rPr>
        <w:t>号晶科</w:t>
      </w:r>
      <w:r>
        <w:rPr>
          <w:rFonts w:ascii="Times New Roman" w:hAnsi="Times New Roman" w:eastAsia="Times New Roman"/>
          <w:sz w:val="24"/>
          <w:szCs w:val="24"/>
        </w:rPr>
        <w:t>1</w:t>
      </w:r>
      <w:r>
        <w:rPr>
          <w:rFonts w:ascii="宋体" w:hAnsi="宋体" w:eastAsia="宋体"/>
          <w:sz w:val="24"/>
          <w:szCs w:val="24"/>
        </w:rPr>
        <w:t>号商务楼</w:t>
      </w:r>
      <w:r>
        <w:rPr>
          <w:rFonts w:ascii="Times New Roman" w:hAnsi="Times New Roman" w:eastAsia="Times New Roman"/>
          <w:sz w:val="24"/>
          <w:szCs w:val="24"/>
        </w:rPr>
        <w:t>20</w:t>
      </w:r>
      <w:r>
        <w:rPr>
          <w:rFonts w:ascii="宋体" w:hAnsi="宋体" w:eastAsia="宋体"/>
          <w:sz w:val="24"/>
          <w:szCs w:val="24"/>
        </w:rPr>
        <w:t>楼中金招标有限责任公司四川分公司开标室。</w:t>
      </w:r>
    </w:p>
    <w:p>
      <w:pPr>
        <w:spacing w:line="420" w:lineRule="exact"/>
        <w:ind w:firstLine="482"/>
        <w:rPr>
          <w:rFonts w:ascii="宋体" w:hAnsi="宋体" w:eastAsia="宋体"/>
          <w:b/>
          <w:bCs/>
          <w:sz w:val="24"/>
          <w:szCs w:val="24"/>
        </w:rPr>
      </w:pPr>
      <w:r>
        <w:rPr>
          <w:rFonts w:ascii="宋体" w:hAnsi="宋体" w:eastAsia="宋体"/>
          <w:b/>
          <w:bCs/>
          <w:sz w:val="24"/>
          <w:szCs w:val="24"/>
        </w:rPr>
        <w:t>九、本投标</w:t>
      </w:r>
      <w:r>
        <w:rPr>
          <w:rFonts w:hint="eastAsia" w:ascii="宋体" w:hAnsi="宋体" w:eastAsia="宋体"/>
          <w:b/>
          <w:bCs/>
          <w:sz w:val="24"/>
          <w:szCs w:val="24"/>
        </w:rPr>
        <w:t>公告</w:t>
      </w:r>
      <w:r>
        <w:rPr>
          <w:rFonts w:ascii="宋体" w:hAnsi="宋体" w:eastAsia="宋体"/>
          <w:b/>
          <w:bCs/>
          <w:sz w:val="24"/>
          <w:szCs w:val="24"/>
        </w:rPr>
        <w:t>在四川政府采购网（</w:t>
      </w:r>
      <w:r>
        <w:rPr>
          <w:rFonts w:ascii="Times New Roman" w:hAnsi="Times New Roman" w:eastAsia="Times New Roman"/>
          <w:b/>
          <w:bCs/>
          <w:sz w:val="24"/>
          <w:szCs w:val="24"/>
        </w:rPr>
        <w:t>www.ccgp-sichuan.gov.cn</w:t>
      </w:r>
      <w:r>
        <w:rPr>
          <w:rFonts w:ascii="宋体" w:hAnsi="宋体" w:eastAsia="宋体"/>
          <w:b/>
          <w:bCs/>
          <w:sz w:val="24"/>
          <w:szCs w:val="24"/>
        </w:rPr>
        <w:t>）上以公告形式发布。</w:t>
      </w:r>
    </w:p>
    <w:p>
      <w:pPr>
        <w:spacing w:line="420" w:lineRule="exact"/>
        <w:ind w:firstLine="482"/>
        <w:rPr>
          <w:rFonts w:ascii="Times New Roman" w:hAnsi="Times New Roman" w:eastAsia="Times New Roman"/>
          <w:b/>
          <w:bCs/>
          <w:sz w:val="24"/>
          <w:szCs w:val="24"/>
        </w:rPr>
      </w:pPr>
      <w:r>
        <w:rPr>
          <w:rFonts w:ascii="宋体" w:hAnsi="宋体" w:eastAsia="宋体"/>
          <w:b/>
          <w:bCs/>
          <w:sz w:val="24"/>
          <w:szCs w:val="24"/>
        </w:rPr>
        <w:t>十、联系方式</w:t>
      </w:r>
      <w:r>
        <w:rPr>
          <w:rFonts w:ascii="Times New Roman" w:hAnsi="Times New Roman" w:eastAsia="Times New Roman"/>
          <w:b/>
          <w:bCs/>
          <w:sz w:val="24"/>
          <w:szCs w:val="24"/>
        </w:rPr>
        <w:t>:</w:t>
      </w:r>
    </w:p>
    <w:p>
      <w:pPr>
        <w:spacing w:line="440" w:lineRule="exact"/>
        <w:ind w:firstLine="954" w:firstLineChars="396"/>
        <w:rPr>
          <w:rFonts w:ascii="宋体" w:hAnsi="宋体" w:eastAsia="宋体"/>
          <w:b/>
          <w:bCs/>
          <w:sz w:val="24"/>
          <w:szCs w:val="24"/>
        </w:rPr>
      </w:pPr>
      <w:r>
        <w:rPr>
          <w:rFonts w:ascii="宋体" w:hAnsi="宋体" w:eastAsia="宋体"/>
          <w:b/>
          <w:bCs/>
          <w:sz w:val="24"/>
          <w:szCs w:val="24"/>
        </w:rPr>
        <w:t>采购人：</w:t>
      </w:r>
      <w:r>
        <w:rPr>
          <w:rFonts w:hint="eastAsia" w:ascii="宋体" w:hAnsi="宋体" w:eastAsia="宋体"/>
          <w:b/>
          <w:bCs/>
          <w:sz w:val="24"/>
          <w:szCs w:val="24"/>
        </w:rPr>
        <w:t>成都市武侯区人民政府华兴街道办事处；</w:t>
      </w:r>
    </w:p>
    <w:p>
      <w:pPr>
        <w:spacing w:line="440" w:lineRule="exact"/>
        <w:ind w:firstLine="1200" w:firstLineChars="500"/>
        <w:jc w:val="left"/>
        <w:rPr>
          <w:rFonts w:ascii="宋体" w:hAnsi="宋体" w:eastAsia="宋体"/>
          <w:sz w:val="24"/>
          <w:szCs w:val="24"/>
        </w:rPr>
      </w:pPr>
      <w:r>
        <w:rPr>
          <w:rFonts w:ascii="宋体" w:hAnsi="宋体" w:eastAsia="宋体"/>
          <w:sz w:val="24"/>
          <w:szCs w:val="24"/>
        </w:rPr>
        <w:t>地址：</w:t>
      </w:r>
      <w:r>
        <w:rPr>
          <w:rFonts w:hint="eastAsia" w:ascii="宋体" w:hAnsi="宋体" w:eastAsia="宋体"/>
          <w:sz w:val="24"/>
          <w:szCs w:val="24"/>
        </w:rPr>
        <w:t>成都市武侯区南桥二路99号；</w:t>
      </w:r>
    </w:p>
    <w:p>
      <w:pPr>
        <w:spacing w:line="440" w:lineRule="exact"/>
        <w:ind w:firstLine="1188" w:firstLineChars="495"/>
        <w:rPr>
          <w:rFonts w:ascii="宋体" w:hAnsi="宋体" w:eastAsia="宋体"/>
          <w:sz w:val="24"/>
          <w:szCs w:val="24"/>
        </w:rPr>
      </w:pPr>
      <w:r>
        <w:rPr>
          <w:rFonts w:ascii="宋体" w:hAnsi="宋体" w:eastAsia="宋体"/>
          <w:sz w:val="24"/>
          <w:szCs w:val="24"/>
        </w:rPr>
        <w:t>联系人：</w:t>
      </w:r>
      <w:r>
        <w:rPr>
          <w:rFonts w:hint="eastAsia" w:ascii="宋体" w:hAnsi="宋体" w:eastAsia="宋体"/>
          <w:sz w:val="24"/>
          <w:szCs w:val="24"/>
        </w:rPr>
        <w:t>肖</w:t>
      </w:r>
      <w:r>
        <w:rPr>
          <w:rFonts w:ascii="宋体" w:hAnsi="宋体" w:eastAsia="宋体"/>
          <w:sz w:val="24"/>
          <w:szCs w:val="24"/>
        </w:rPr>
        <w:t>老师</w:t>
      </w:r>
      <w:r>
        <w:rPr>
          <w:rFonts w:hint="eastAsia" w:ascii="宋体" w:hAnsi="宋体" w:eastAsia="宋体"/>
          <w:sz w:val="24"/>
          <w:szCs w:val="24"/>
        </w:rPr>
        <w:t>；</w:t>
      </w:r>
    </w:p>
    <w:p>
      <w:pPr>
        <w:spacing w:line="440" w:lineRule="exact"/>
        <w:ind w:firstLine="1188" w:firstLineChars="495"/>
        <w:rPr>
          <w:rFonts w:ascii="Times New Roman" w:hAnsi="Times New Roman" w:eastAsia="宋体"/>
          <w:sz w:val="24"/>
          <w:szCs w:val="24"/>
        </w:rPr>
      </w:pPr>
      <w:r>
        <w:rPr>
          <w:rFonts w:ascii="宋体" w:hAnsi="宋体" w:eastAsia="宋体"/>
          <w:sz w:val="24"/>
          <w:szCs w:val="24"/>
        </w:rPr>
        <w:t>联系电话：</w:t>
      </w:r>
      <w:r>
        <w:rPr>
          <w:rFonts w:ascii="Times New Roman" w:hAnsi="Times New Roman" w:eastAsia="Times New Roman"/>
          <w:sz w:val="24"/>
          <w:szCs w:val="24"/>
        </w:rPr>
        <w:t>028-</w:t>
      </w:r>
      <w:r>
        <w:rPr>
          <w:rFonts w:ascii="Times New Roman" w:hAnsi="Times New Roman" w:eastAsia="宋体"/>
          <w:sz w:val="24"/>
          <w:szCs w:val="24"/>
        </w:rPr>
        <w:t>85006925；</w:t>
      </w:r>
    </w:p>
    <w:p>
      <w:pPr>
        <w:spacing w:line="420" w:lineRule="exact"/>
        <w:ind w:firstLine="894" w:firstLineChars="371"/>
        <w:rPr>
          <w:rFonts w:ascii="宋体" w:hAnsi="宋体" w:eastAsia="宋体"/>
          <w:sz w:val="24"/>
          <w:szCs w:val="24"/>
        </w:rPr>
      </w:pPr>
      <w:r>
        <w:rPr>
          <w:rFonts w:ascii="宋体" w:hAnsi="宋体" w:eastAsia="宋体"/>
          <w:b/>
          <w:bCs/>
          <w:sz w:val="24"/>
          <w:szCs w:val="24"/>
        </w:rPr>
        <w:t>采购代理机构：中金招标有限责任公司</w:t>
      </w:r>
      <w:r>
        <w:rPr>
          <w:rFonts w:ascii="宋体" w:hAnsi="宋体" w:eastAsia="宋体"/>
          <w:sz w:val="24"/>
          <w:szCs w:val="24"/>
        </w:rPr>
        <w:t>；</w:t>
      </w:r>
    </w:p>
    <w:p>
      <w:pPr>
        <w:spacing w:line="420" w:lineRule="exact"/>
        <w:ind w:firstLine="1200" w:firstLineChars="500"/>
        <w:rPr>
          <w:rFonts w:ascii="宋体" w:hAnsi="宋体" w:eastAsia="宋体"/>
          <w:sz w:val="24"/>
          <w:szCs w:val="24"/>
        </w:rPr>
      </w:pPr>
      <w:r>
        <w:rPr>
          <w:rFonts w:ascii="宋体" w:hAnsi="宋体" w:eastAsia="宋体"/>
          <w:sz w:val="24"/>
          <w:szCs w:val="24"/>
        </w:rPr>
        <w:t>通讯地址：成都市高新区天晖路</w:t>
      </w:r>
      <w:r>
        <w:rPr>
          <w:rFonts w:ascii="Times New Roman" w:hAnsi="Times New Roman" w:eastAsia="Times New Roman"/>
          <w:sz w:val="24"/>
          <w:szCs w:val="24"/>
        </w:rPr>
        <w:t>360</w:t>
      </w:r>
      <w:r>
        <w:rPr>
          <w:rFonts w:ascii="宋体" w:hAnsi="宋体" w:eastAsia="宋体"/>
          <w:sz w:val="24"/>
          <w:szCs w:val="24"/>
        </w:rPr>
        <w:t>号晶科</w:t>
      </w:r>
      <w:r>
        <w:rPr>
          <w:rFonts w:ascii="Times New Roman" w:hAnsi="Times New Roman" w:eastAsia="Times New Roman"/>
          <w:sz w:val="24"/>
          <w:szCs w:val="24"/>
        </w:rPr>
        <w:t>1</w:t>
      </w:r>
      <w:r>
        <w:rPr>
          <w:rFonts w:ascii="宋体" w:hAnsi="宋体" w:eastAsia="宋体"/>
          <w:sz w:val="24"/>
          <w:szCs w:val="24"/>
        </w:rPr>
        <w:t>号商务楼</w:t>
      </w:r>
      <w:r>
        <w:rPr>
          <w:rFonts w:ascii="Times New Roman" w:hAnsi="Times New Roman" w:eastAsia="Times New Roman"/>
          <w:sz w:val="24"/>
          <w:szCs w:val="24"/>
        </w:rPr>
        <w:t>20</w:t>
      </w:r>
      <w:r>
        <w:rPr>
          <w:rFonts w:ascii="宋体" w:hAnsi="宋体" w:eastAsia="宋体"/>
          <w:sz w:val="24"/>
          <w:szCs w:val="24"/>
        </w:rPr>
        <w:t>楼；</w:t>
      </w:r>
    </w:p>
    <w:p>
      <w:pPr>
        <w:spacing w:line="420" w:lineRule="exact"/>
        <w:ind w:firstLine="1200" w:firstLineChars="500"/>
        <w:rPr>
          <w:rFonts w:ascii="宋体" w:hAnsi="宋体" w:eastAsia="宋体"/>
          <w:sz w:val="24"/>
          <w:szCs w:val="24"/>
        </w:rPr>
      </w:pPr>
      <w:r>
        <w:rPr>
          <w:rFonts w:ascii="宋体" w:hAnsi="宋体" w:eastAsia="宋体"/>
          <w:sz w:val="24"/>
          <w:szCs w:val="24"/>
        </w:rPr>
        <w:t>邮政编码：610041；</w:t>
      </w:r>
    </w:p>
    <w:p>
      <w:pPr>
        <w:spacing w:line="420" w:lineRule="exact"/>
        <w:ind w:firstLine="1200" w:firstLineChars="500"/>
        <w:rPr>
          <w:rFonts w:ascii="宋体" w:hAnsi="宋体" w:eastAsia="宋体"/>
          <w:sz w:val="24"/>
          <w:szCs w:val="24"/>
        </w:rPr>
      </w:pPr>
      <w:r>
        <w:rPr>
          <w:rFonts w:ascii="宋体" w:hAnsi="宋体" w:eastAsia="宋体"/>
          <w:sz w:val="24"/>
          <w:szCs w:val="24"/>
        </w:rPr>
        <w:t>电话：</w:t>
      </w:r>
      <w:r>
        <w:rPr>
          <w:rFonts w:ascii="Times New Roman" w:hAnsi="Times New Roman" w:eastAsia="Times New Roman"/>
          <w:sz w:val="24"/>
          <w:szCs w:val="24"/>
        </w:rPr>
        <w:t>028-84469198</w:t>
      </w:r>
      <w:r>
        <w:rPr>
          <w:rFonts w:ascii="宋体" w:hAnsi="宋体" w:eastAsia="宋体"/>
          <w:sz w:val="24"/>
          <w:szCs w:val="24"/>
        </w:rPr>
        <w:t>；</w:t>
      </w:r>
    </w:p>
    <w:p>
      <w:pPr>
        <w:spacing w:line="420" w:lineRule="exact"/>
        <w:ind w:firstLine="1200" w:firstLineChars="500"/>
        <w:rPr>
          <w:rFonts w:ascii="宋体" w:hAnsi="宋体" w:eastAsia="宋体"/>
          <w:sz w:val="24"/>
          <w:szCs w:val="24"/>
        </w:rPr>
      </w:pPr>
      <w:r>
        <w:rPr>
          <w:rFonts w:ascii="宋体" w:hAnsi="宋体" w:eastAsia="宋体"/>
          <w:sz w:val="24"/>
          <w:szCs w:val="24"/>
        </w:rPr>
        <w:t>传真：</w:t>
      </w:r>
      <w:r>
        <w:rPr>
          <w:rFonts w:ascii="Times New Roman" w:hAnsi="Times New Roman" w:eastAsia="Times New Roman"/>
          <w:sz w:val="24"/>
          <w:szCs w:val="24"/>
        </w:rPr>
        <w:t>028-84477537</w:t>
      </w:r>
      <w:r>
        <w:rPr>
          <w:rFonts w:ascii="宋体" w:hAnsi="宋体" w:eastAsia="宋体"/>
          <w:sz w:val="24"/>
          <w:szCs w:val="24"/>
        </w:rPr>
        <w:t>；</w:t>
      </w:r>
    </w:p>
    <w:p>
      <w:pPr>
        <w:spacing w:line="420" w:lineRule="exact"/>
        <w:ind w:firstLine="1200" w:firstLineChars="500"/>
        <w:rPr>
          <w:rFonts w:ascii="宋体" w:hAnsi="宋体" w:eastAsia="宋体"/>
          <w:sz w:val="24"/>
          <w:szCs w:val="24"/>
        </w:rPr>
      </w:pPr>
      <w:r>
        <w:rPr>
          <w:rFonts w:ascii="宋体" w:hAnsi="宋体" w:eastAsia="宋体"/>
          <w:sz w:val="24"/>
          <w:szCs w:val="24"/>
        </w:rPr>
        <w:t>联系人：</w:t>
      </w:r>
      <w:r>
        <w:rPr>
          <w:rFonts w:hint="eastAsia" w:ascii="宋体" w:hAnsi="宋体" w:eastAsia="宋体"/>
          <w:sz w:val="24"/>
          <w:szCs w:val="24"/>
        </w:rPr>
        <w:t>高磊</w:t>
      </w:r>
      <w:r>
        <w:rPr>
          <w:rFonts w:ascii="宋体" w:hAnsi="宋体" w:eastAsia="宋体"/>
          <w:sz w:val="24"/>
          <w:szCs w:val="24"/>
        </w:rPr>
        <w:t>。</w:t>
      </w:r>
    </w:p>
    <w:p>
      <w:pPr>
        <w:spacing w:after="50" w:line="420" w:lineRule="exact"/>
        <w:ind w:firstLine="5640" w:firstLineChars="2350"/>
        <w:jc w:val="right"/>
        <w:rPr>
          <w:rFonts w:ascii="宋体" w:hAnsi="宋体" w:eastAsia="宋体"/>
          <w:sz w:val="24"/>
          <w:szCs w:val="24"/>
        </w:rPr>
      </w:pPr>
      <w:r>
        <w:rPr>
          <w:rFonts w:ascii="Times New Roman" w:hAnsi="Times New Roman" w:eastAsia="Times New Roman"/>
          <w:sz w:val="24"/>
          <w:szCs w:val="24"/>
        </w:rPr>
        <w:t>2021</w:t>
      </w:r>
      <w:r>
        <w:rPr>
          <w:rFonts w:ascii="宋体" w:hAnsi="宋体" w:eastAsia="宋体"/>
          <w:sz w:val="24"/>
          <w:szCs w:val="24"/>
        </w:rPr>
        <w:t>年</w:t>
      </w:r>
      <w:r>
        <w:rPr>
          <w:rFonts w:ascii="Times New Roman" w:hAnsi="Times New Roman" w:eastAsia="Times New Roman"/>
          <w:sz w:val="24"/>
          <w:szCs w:val="24"/>
        </w:rPr>
        <w:t>0</w:t>
      </w:r>
      <w:r>
        <w:rPr>
          <w:rFonts w:hint="eastAsia" w:ascii="Times New Roman" w:hAnsi="Times New Roman" w:eastAsia="宋体"/>
          <w:sz w:val="24"/>
          <w:szCs w:val="24"/>
        </w:rPr>
        <w:t>5</w:t>
      </w:r>
      <w:r>
        <w:rPr>
          <w:rFonts w:ascii="宋体" w:hAnsi="宋体" w:eastAsia="宋体"/>
          <w:sz w:val="24"/>
          <w:szCs w:val="24"/>
        </w:rPr>
        <w:t>月</w:t>
      </w:r>
    </w:p>
    <w:p>
      <w:pPr>
        <w:spacing w:after="50" w:line="420" w:lineRule="exact"/>
        <w:ind w:firstLine="5640" w:firstLineChars="2350"/>
        <w:jc w:val="right"/>
        <w:rPr>
          <w:rFonts w:ascii="宋体" w:hAnsi="宋体" w:eastAsia="宋体"/>
          <w:sz w:val="24"/>
          <w:szCs w:val="24"/>
        </w:rPr>
      </w:pPr>
    </w:p>
    <w:p>
      <w:pPr>
        <w:rPr>
          <w:rFonts w:ascii="宋体" w:hAnsi="宋体" w:eastAsia="宋体"/>
          <w:sz w:val="32"/>
          <w:szCs w:val="32"/>
        </w:rPr>
      </w:pPr>
      <w:r>
        <w:rPr>
          <w:rFonts w:ascii="宋体" w:hAnsi="宋体" w:eastAsia="宋体"/>
          <w:sz w:val="32"/>
          <w:szCs w:val="32"/>
        </w:rPr>
        <w:br w:type="page"/>
      </w:r>
    </w:p>
    <w:p>
      <w:pPr>
        <w:pStyle w:val="4"/>
        <w:spacing w:line="240" w:lineRule="atLeast"/>
        <w:jc w:val="center"/>
        <w:rPr>
          <w:rFonts w:ascii="宋体" w:hAnsi="宋体" w:eastAsia="宋体"/>
          <w:color w:val="auto"/>
          <w:sz w:val="32"/>
          <w:szCs w:val="32"/>
        </w:rPr>
      </w:pPr>
      <w:bookmarkStart w:id="16" w:name="_Toc7599"/>
      <w:r>
        <w:rPr>
          <w:rFonts w:ascii="宋体" w:hAnsi="宋体" w:eastAsia="宋体"/>
          <w:color w:val="auto"/>
          <w:sz w:val="32"/>
          <w:szCs w:val="32"/>
        </w:rPr>
        <w:t>第二章投标人须知</w:t>
      </w:r>
      <w:bookmarkEnd w:id="16"/>
    </w:p>
    <w:p>
      <w:pPr>
        <w:pStyle w:val="5"/>
        <w:spacing w:line="240" w:lineRule="atLeast"/>
        <w:jc w:val="center"/>
        <w:rPr>
          <w:rFonts w:ascii="宋体" w:hAnsi="宋体" w:eastAsia="宋体"/>
          <w:color w:val="auto"/>
          <w:sz w:val="28"/>
          <w:szCs w:val="28"/>
        </w:rPr>
      </w:pPr>
      <w:bookmarkStart w:id="17" w:name="_Toc31392"/>
      <w:r>
        <w:rPr>
          <w:rFonts w:ascii="宋体" w:hAnsi="宋体" w:eastAsia="宋体"/>
          <w:color w:val="auto"/>
          <w:sz w:val="28"/>
          <w:szCs w:val="28"/>
        </w:rPr>
        <w:t>一、投标人须知附表</w:t>
      </w:r>
      <w:bookmarkEnd w:id="17"/>
    </w:p>
    <w:tbl>
      <w:tblPr>
        <w:tblStyle w:val="18"/>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690"/>
        <w:gridCol w:w="2239"/>
        <w:gridCol w:w="6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5" w:hRule="atLeast"/>
          <w:jc w:val="center"/>
        </w:trPr>
        <w:tc>
          <w:tcPr>
            <w:tcW w:w="690" w:type="dxa"/>
            <w:tcBorders>
              <w:top w:val="single" w:color="000000" w:sz="8" w:space="0"/>
              <w:left w:val="single" w:color="000000" w:sz="8" w:space="0"/>
              <w:bottom w:val="single" w:color="000000" w:sz="8" w:space="0"/>
              <w:right w:val="single" w:color="000000" w:sz="8" w:space="0"/>
            </w:tcBorders>
            <w:vAlign w:val="center"/>
          </w:tcPr>
          <w:p>
            <w:pPr>
              <w:spacing w:line="360" w:lineRule="auto"/>
              <w:ind w:left="9"/>
              <w:jc w:val="center"/>
              <w:rPr>
                <w:rFonts w:ascii="宋体" w:hAnsi="宋体" w:eastAsia="宋体"/>
                <w:b/>
                <w:bCs/>
                <w:sz w:val="24"/>
                <w:szCs w:val="24"/>
              </w:rPr>
            </w:pPr>
            <w:r>
              <w:rPr>
                <w:rFonts w:ascii="宋体" w:hAnsi="宋体" w:eastAsia="宋体"/>
                <w:b/>
                <w:bCs/>
                <w:sz w:val="24"/>
                <w:szCs w:val="24"/>
              </w:rPr>
              <w:t>序号</w:t>
            </w:r>
          </w:p>
        </w:tc>
        <w:tc>
          <w:tcPr>
            <w:tcW w:w="2239" w:type="dxa"/>
            <w:tcBorders>
              <w:top w:val="single" w:color="000000" w:sz="8" w:space="0"/>
              <w:left w:val="single" w:color="000000" w:sz="8" w:space="0"/>
              <w:bottom w:val="single" w:color="000000" w:sz="8" w:space="0"/>
              <w:right w:val="single" w:color="000000" w:sz="8" w:space="0"/>
            </w:tcBorders>
            <w:vAlign w:val="center"/>
          </w:tcPr>
          <w:p>
            <w:pPr>
              <w:spacing w:line="360" w:lineRule="auto"/>
              <w:ind w:left="38"/>
              <w:jc w:val="center"/>
              <w:rPr>
                <w:rFonts w:ascii="宋体" w:hAnsi="宋体" w:eastAsia="宋体"/>
                <w:b/>
                <w:bCs/>
                <w:sz w:val="24"/>
                <w:szCs w:val="24"/>
              </w:rPr>
            </w:pPr>
            <w:r>
              <w:rPr>
                <w:rFonts w:ascii="宋体" w:hAnsi="宋体" w:eastAsia="宋体"/>
                <w:b/>
                <w:bCs/>
                <w:sz w:val="24"/>
                <w:szCs w:val="24"/>
              </w:rPr>
              <w:t>条款名称</w:t>
            </w:r>
          </w:p>
        </w:tc>
        <w:tc>
          <w:tcPr>
            <w:tcW w:w="6671" w:type="dxa"/>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rFonts w:ascii="宋体" w:hAnsi="宋体" w:eastAsia="宋体"/>
                <w:b/>
                <w:bCs/>
                <w:sz w:val="24"/>
                <w:szCs w:val="24"/>
              </w:rPr>
            </w:pPr>
            <w:r>
              <w:rPr>
                <w:rFonts w:ascii="宋体" w:hAnsi="宋体" w:eastAsia="宋体"/>
                <w:b/>
                <w:bCs/>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050" w:hRule="atLeast"/>
          <w:jc w:val="center"/>
        </w:trPr>
        <w:tc>
          <w:tcPr>
            <w:tcW w:w="690" w:type="dxa"/>
            <w:vMerge w:val="restart"/>
            <w:tcBorders>
              <w:top w:val="single" w:color="000000" w:sz="8" w:space="0"/>
              <w:left w:val="single" w:color="000000" w:sz="8" w:space="0"/>
              <w:bottom w:val="single" w:color="000000" w:sz="8" w:space="0"/>
              <w:right w:val="single" w:color="000000" w:sz="8" w:space="0"/>
            </w:tcBorders>
            <w:vAlign w:val="center"/>
          </w:tcPr>
          <w:p>
            <w:pPr>
              <w:spacing w:line="360" w:lineRule="auto"/>
              <w:ind w:right="230"/>
              <w:jc w:val="center"/>
              <w:rPr>
                <w:rFonts w:ascii="Times New Roman" w:hAnsi="Times New Roman" w:eastAsia="Times New Roman"/>
                <w:sz w:val="24"/>
                <w:szCs w:val="24"/>
              </w:rPr>
            </w:pPr>
            <w:r>
              <w:rPr>
                <w:rFonts w:ascii="Times New Roman" w:hAnsi="Times New Roman" w:eastAsia="Times New Roman"/>
                <w:sz w:val="24"/>
                <w:szCs w:val="24"/>
              </w:rPr>
              <w:t>1</w:t>
            </w:r>
          </w:p>
        </w:tc>
        <w:tc>
          <w:tcPr>
            <w:tcW w:w="2239" w:type="dxa"/>
            <w:tcBorders>
              <w:top w:val="single" w:color="000000" w:sz="8" w:space="0"/>
              <w:left w:val="single" w:color="000000" w:sz="8" w:space="0"/>
              <w:bottom w:val="single" w:color="000000" w:sz="8" w:space="0"/>
              <w:right w:val="single" w:color="000000" w:sz="8" w:space="0"/>
            </w:tcBorders>
            <w:vAlign w:val="center"/>
          </w:tcPr>
          <w:p>
            <w:pPr>
              <w:spacing w:line="360" w:lineRule="auto"/>
              <w:ind w:left="38"/>
              <w:jc w:val="center"/>
              <w:rPr>
                <w:rFonts w:ascii="宋体" w:hAnsi="宋体" w:eastAsia="宋体"/>
                <w:sz w:val="24"/>
                <w:szCs w:val="24"/>
              </w:rPr>
            </w:pPr>
            <w:r>
              <w:rPr>
                <w:rFonts w:ascii="宋体" w:hAnsi="宋体" w:eastAsia="宋体"/>
                <w:sz w:val="24"/>
                <w:szCs w:val="24"/>
              </w:rPr>
              <w:t>采购预算</w:t>
            </w:r>
          </w:p>
          <w:p>
            <w:pPr>
              <w:spacing w:line="360" w:lineRule="auto"/>
              <w:ind w:left="38"/>
              <w:jc w:val="center"/>
              <w:rPr>
                <w:rFonts w:ascii="宋体" w:hAnsi="宋体" w:eastAsia="宋体"/>
                <w:sz w:val="24"/>
                <w:szCs w:val="24"/>
              </w:rPr>
            </w:pPr>
            <w:r>
              <w:rPr>
                <w:rFonts w:ascii="宋体" w:hAnsi="宋体" w:eastAsia="宋体"/>
                <w:sz w:val="24"/>
                <w:szCs w:val="24"/>
              </w:rPr>
              <w:t>（实质性要求）</w:t>
            </w:r>
          </w:p>
        </w:tc>
        <w:tc>
          <w:tcPr>
            <w:tcW w:w="6671" w:type="dxa"/>
            <w:tcBorders>
              <w:top w:val="single" w:color="000000" w:sz="8" w:space="0"/>
              <w:left w:val="single" w:color="000000" w:sz="8" w:space="0"/>
              <w:bottom w:val="single" w:color="000000" w:sz="8" w:space="0"/>
              <w:right w:val="single" w:color="000000" w:sz="8" w:space="0"/>
            </w:tcBorders>
          </w:tcPr>
          <w:p>
            <w:pPr>
              <w:spacing w:line="360" w:lineRule="auto"/>
              <w:ind w:right="31" w:rightChars="15" w:firstLine="120" w:firstLineChars="50"/>
              <w:rPr>
                <w:rFonts w:ascii="宋体" w:hAnsi="宋体" w:eastAsia="宋体"/>
                <w:sz w:val="24"/>
                <w:szCs w:val="24"/>
              </w:rPr>
            </w:pPr>
            <w:r>
              <w:rPr>
                <w:rFonts w:ascii="宋体" w:hAnsi="宋体" w:eastAsia="宋体"/>
                <w:sz w:val="24"/>
                <w:szCs w:val="24"/>
              </w:rPr>
              <w:t>人民币</w:t>
            </w:r>
            <w:r>
              <w:rPr>
                <w:rFonts w:hint="eastAsia" w:ascii="Times New Roman" w:hAnsi="Times New Roman" w:eastAsia="宋体"/>
                <w:sz w:val="24"/>
                <w:szCs w:val="24"/>
              </w:rPr>
              <w:t>1245.909222万</w:t>
            </w:r>
            <w:r>
              <w:rPr>
                <w:rFonts w:ascii="宋体" w:hAnsi="宋体" w:eastAsia="宋体"/>
                <w:sz w:val="24"/>
                <w:szCs w:val="24"/>
              </w:rPr>
              <w:t>元</w:t>
            </w:r>
            <w:r>
              <w:rPr>
                <w:rFonts w:hint="eastAsia" w:ascii="宋体" w:hAnsi="宋体" w:eastAsia="宋体"/>
                <w:sz w:val="24"/>
                <w:szCs w:val="24"/>
              </w:rPr>
              <w:t>/年</w:t>
            </w:r>
            <w:r>
              <w:rPr>
                <w:rFonts w:ascii="宋体" w:hAnsi="宋体" w:eastAsia="宋体"/>
                <w:sz w:val="24"/>
                <w:szCs w:val="24"/>
              </w:rPr>
              <w:t>；</w:t>
            </w:r>
          </w:p>
          <w:p>
            <w:pPr>
              <w:spacing w:line="360" w:lineRule="auto"/>
              <w:ind w:firstLine="120" w:firstLineChars="50"/>
              <w:rPr>
                <w:rFonts w:ascii="宋体" w:hAnsi="宋体" w:eastAsia="宋体"/>
                <w:sz w:val="24"/>
                <w:szCs w:val="24"/>
              </w:rPr>
            </w:pPr>
            <w:r>
              <w:rPr>
                <w:rFonts w:ascii="宋体" w:hAnsi="宋体" w:eastAsia="宋体"/>
                <w:sz w:val="24"/>
                <w:szCs w:val="24"/>
              </w:rPr>
              <w:t>超过采购预算的投标为无效投标。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5" w:hRule="atLeast"/>
          <w:jc w:val="center"/>
        </w:trPr>
        <w:tc>
          <w:tcPr>
            <w:tcW w:w="690" w:type="dxa"/>
            <w:vMerge w:val="continue"/>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rFonts w:ascii="宋体" w:hAnsi="宋体" w:eastAsia="宋体"/>
                <w:szCs w:val="21"/>
              </w:rPr>
            </w:pPr>
          </w:p>
        </w:tc>
        <w:tc>
          <w:tcPr>
            <w:tcW w:w="2239" w:type="dxa"/>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rFonts w:ascii="宋体" w:hAnsi="宋体" w:eastAsia="宋体"/>
                <w:sz w:val="24"/>
                <w:szCs w:val="24"/>
              </w:rPr>
            </w:pPr>
            <w:r>
              <w:rPr>
                <w:rFonts w:ascii="宋体" w:hAnsi="宋体" w:eastAsia="宋体"/>
                <w:sz w:val="24"/>
                <w:szCs w:val="24"/>
              </w:rPr>
              <w:t>最高限价</w:t>
            </w:r>
          </w:p>
          <w:p>
            <w:pPr>
              <w:spacing w:line="360" w:lineRule="auto"/>
              <w:jc w:val="center"/>
              <w:rPr>
                <w:rFonts w:ascii="宋体" w:hAnsi="宋体" w:eastAsia="宋体"/>
                <w:sz w:val="24"/>
                <w:szCs w:val="24"/>
              </w:rPr>
            </w:pPr>
            <w:r>
              <w:rPr>
                <w:rFonts w:ascii="宋体" w:hAnsi="宋体" w:eastAsia="宋体"/>
                <w:sz w:val="24"/>
                <w:szCs w:val="24"/>
              </w:rPr>
              <w:t>（实质性要求）</w:t>
            </w:r>
          </w:p>
        </w:tc>
        <w:tc>
          <w:tcPr>
            <w:tcW w:w="6671" w:type="dxa"/>
            <w:tcBorders>
              <w:top w:val="single" w:color="000000" w:sz="8" w:space="0"/>
              <w:left w:val="single" w:color="000000" w:sz="8" w:space="0"/>
              <w:bottom w:val="single" w:color="000000" w:sz="8" w:space="0"/>
              <w:right w:val="single" w:color="000000" w:sz="8" w:space="0"/>
            </w:tcBorders>
          </w:tcPr>
          <w:p>
            <w:pPr>
              <w:spacing w:line="360" w:lineRule="auto"/>
              <w:ind w:right="31" w:rightChars="15" w:firstLine="120" w:firstLineChars="50"/>
              <w:rPr>
                <w:rFonts w:ascii="宋体" w:hAnsi="宋体" w:eastAsia="宋体"/>
                <w:sz w:val="24"/>
                <w:szCs w:val="24"/>
              </w:rPr>
            </w:pPr>
            <w:r>
              <w:rPr>
                <w:rFonts w:hint="eastAsia" w:ascii="宋体" w:hAnsi="宋体" w:eastAsia="宋体"/>
                <w:sz w:val="24"/>
                <w:szCs w:val="24"/>
              </w:rPr>
              <w:t>最高限价：人民币</w:t>
            </w:r>
            <w:r>
              <w:rPr>
                <w:rFonts w:hint="eastAsia" w:ascii="Times New Roman" w:hAnsi="Times New Roman" w:eastAsia="宋体"/>
                <w:sz w:val="24"/>
                <w:szCs w:val="24"/>
              </w:rPr>
              <w:t>1245.909222</w:t>
            </w:r>
            <w:r>
              <w:rPr>
                <w:rFonts w:hint="eastAsia" w:ascii="宋体" w:hAnsi="宋体" w:eastAsia="宋体"/>
                <w:sz w:val="24"/>
                <w:szCs w:val="24"/>
              </w:rPr>
              <w:t>万元/年。</w:t>
            </w:r>
          </w:p>
          <w:p>
            <w:pPr>
              <w:spacing w:line="360" w:lineRule="auto"/>
              <w:ind w:firstLine="120" w:firstLineChars="50"/>
              <w:rPr>
                <w:rFonts w:ascii="宋体" w:hAnsi="宋体" w:eastAsia="宋体"/>
                <w:sz w:val="24"/>
                <w:szCs w:val="24"/>
              </w:rPr>
            </w:pPr>
            <w:r>
              <w:rPr>
                <w:rFonts w:ascii="宋体" w:hAnsi="宋体" w:eastAsia="宋体"/>
                <w:sz w:val="24"/>
                <w:szCs w:val="24"/>
              </w:rPr>
              <w:t>超过最高限价的报价为无效投标。</w:t>
            </w:r>
          </w:p>
          <w:p>
            <w:pPr>
              <w:spacing w:line="360" w:lineRule="auto"/>
              <w:ind w:left="118" w:leftChars="56"/>
              <w:rPr>
                <w:rFonts w:ascii="宋体" w:hAnsi="宋体" w:eastAsia="宋体"/>
                <w:kern w:val="0"/>
                <w:sz w:val="24"/>
                <w:szCs w:val="24"/>
              </w:rPr>
            </w:pPr>
            <w:r>
              <w:rPr>
                <w:rFonts w:ascii="宋体" w:hAnsi="宋体" w:eastAsia="宋体"/>
                <w:kern w:val="0"/>
                <w:sz w:val="24"/>
                <w:szCs w:val="24"/>
              </w:rPr>
              <w:t>采购项目分包采购的，在采购金额未超过采购项目总预算金额前提下，采购人可以在评标过程中临时调剂各包采购限价（预算金额不得调整；财政预算明确到各包的不得调整），临时调剂的内容，在评标报告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5" w:hRule="atLeast"/>
          <w:jc w:val="center"/>
        </w:trPr>
        <w:tc>
          <w:tcPr>
            <w:tcW w:w="690" w:type="dxa"/>
            <w:tcBorders>
              <w:top w:val="single" w:color="000000" w:sz="8" w:space="0"/>
              <w:left w:val="single" w:color="000000" w:sz="8" w:space="0"/>
              <w:bottom w:val="single" w:color="000000" w:sz="8" w:space="0"/>
              <w:right w:val="single" w:color="000000" w:sz="8" w:space="0"/>
            </w:tcBorders>
            <w:vAlign w:val="center"/>
          </w:tcPr>
          <w:p>
            <w:pPr>
              <w:spacing w:line="360" w:lineRule="auto"/>
              <w:ind w:right="230"/>
              <w:jc w:val="center"/>
              <w:rPr>
                <w:rFonts w:ascii="Times New Roman" w:hAnsi="Times New Roman" w:eastAsia="Times New Roman"/>
                <w:sz w:val="24"/>
                <w:szCs w:val="24"/>
              </w:rPr>
            </w:pPr>
            <w:r>
              <w:rPr>
                <w:rFonts w:ascii="Times New Roman" w:hAnsi="Times New Roman" w:eastAsia="Times New Roman"/>
                <w:sz w:val="24"/>
                <w:szCs w:val="24"/>
              </w:rPr>
              <w:t>2</w:t>
            </w:r>
          </w:p>
        </w:tc>
        <w:tc>
          <w:tcPr>
            <w:tcW w:w="2239" w:type="dxa"/>
            <w:tcBorders>
              <w:top w:val="single" w:color="000000" w:sz="8" w:space="0"/>
              <w:left w:val="single" w:color="000000" w:sz="8" w:space="0"/>
              <w:bottom w:val="single" w:color="000000" w:sz="8" w:space="0"/>
              <w:right w:val="single" w:color="000000" w:sz="8" w:space="0"/>
            </w:tcBorders>
            <w:vAlign w:val="center"/>
          </w:tcPr>
          <w:p>
            <w:pPr>
              <w:spacing w:line="360" w:lineRule="auto"/>
              <w:ind w:left="38"/>
              <w:jc w:val="center"/>
              <w:rPr>
                <w:rFonts w:ascii="宋体" w:hAnsi="宋体" w:eastAsia="宋体"/>
                <w:sz w:val="24"/>
                <w:szCs w:val="24"/>
              </w:rPr>
            </w:pPr>
            <w:r>
              <w:rPr>
                <w:rFonts w:ascii="宋体" w:hAnsi="宋体" w:eastAsia="宋体"/>
                <w:sz w:val="24"/>
                <w:szCs w:val="24"/>
              </w:rPr>
              <w:t>低于成本价不正当竞争预防措施</w:t>
            </w:r>
          </w:p>
          <w:p>
            <w:pPr>
              <w:spacing w:line="360" w:lineRule="auto"/>
              <w:ind w:left="38"/>
              <w:jc w:val="center"/>
              <w:rPr>
                <w:rFonts w:ascii="宋体" w:hAnsi="宋体" w:eastAsia="宋体"/>
                <w:sz w:val="24"/>
                <w:szCs w:val="24"/>
              </w:rPr>
            </w:pPr>
            <w:r>
              <w:rPr>
                <w:rFonts w:ascii="宋体" w:hAnsi="宋体" w:eastAsia="宋体"/>
                <w:sz w:val="24"/>
                <w:szCs w:val="24"/>
              </w:rPr>
              <w:t>（实质性要求）</w:t>
            </w:r>
          </w:p>
        </w:tc>
        <w:tc>
          <w:tcPr>
            <w:tcW w:w="6671" w:type="dxa"/>
            <w:tcBorders>
              <w:top w:val="single" w:color="000000" w:sz="8" w:space="0"/>
              <w:left w:val="single" w:color="000000" w:sz="8" w:space="0"/>
              <w:bottom w:val="single" w:color="000000" w:sz="8" w:space="0"/>
              <w:right w:val="single" w:color="000000" w:sz="8" w:space="0"/>
            </w:tcBorders>
            <w:vAlign w:val="center"/>
          </w:tcPr>
          <w:p>
            <w:pPr>
              <w:spacing w:line="360" w:lineRule="auto"/>
              <w:ind w:left="118" w:leftChars="56" w:firstLine="480" w:firstLineChars="200"/>
              <w:rPr>
                <w:rFonts w:ascii="宋体" w:hAnsi="宋体" w:eastAsia="宋体"/>
                <w:sz w:val="24"/>
                <w:szCs w:val="24"/>
              </w:rPr>
            </w:pPr>
            <w:r>
              <w:rPr>
                <w:rFonts w:ascii="宋体" w:hAnsi="宋体" w:eastAsia="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360" w:lineRule="auto"/>
              <w:ind w:left="118" w:leftChars="56" w:firstLine="480" w:firstLineChars="200"/>
              <w:rPr>
                <w:rFonts w:ascii="宋体" w:hAnsi="宋体" w:eastAsia="宋体"/>
                <w:sz w:val="24"/>
                <w:szCs w:val="24"/>
              </w:rPr>
            </w:pPr>
            <w:r>
              <w:rPr>
                <w:rFonts w:ascii="宋体" w:hAnsi="宋体" w:eastAsia="宋体"/>
                <w:sz w:val="24"/>
                <w:szCs w:val="24"/>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供应商提交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5" w:hRule="atLeast"/>
          <w:jc w:val="center"/>
        </w:trPr>
        <w:tc>
          <w:tcPr>
            <w:tcW w:w="690" w:type="dxa"/>
            <w:tcBorders>
              <w:top w:val="single" w:color="000000" w:sz="8" w:space="0"/>
              <w:left w:val="single" w:color="000000" w:sz="8" w:space="0"/>
              <w:bottom w:val="single" w:color="000000" w:sz="8" w:space="0"/>
              <w:right w:val="single" w:color="000000" w:sz="8" w:space="0"/>
            </w:tcBorders>
            <w:vAlign w:val="center"/>
          </w:tcPr>
          <w:p>
            <w:pPr>
              <w:spacing w:line="360" w:lineRule="auto"/>
              <w:ind w:right="230"/>
              <w:jc w:val="center"/>
              <w:rPr>
                <w:rFonts w:ascii="Times New Roman" w:hAnsi="Times New Roman" w:eastAsia="Times New Roman"/>
                <w:szCs w:val="21"/>
              </w:rPr>
            </w:pPr>
            <w:r>
              <w:rPr>
                <w:rFonts w:ascii="Times New Roman" w:hAnsi="Times New Roman" w:eastAsia="Times New Roman"/>
                <w:szCs w:val="21"/>
              </w:rPr>
              <w:t>3</w:t>
            </w:r>
          </w:p>
        </w:tc>
        <w:tc>
          <w:tcPr>
            <w:tcW w:w="2239" w:type="dxa"/>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中小企业扶持政策</w:t>
            </w:r>
            <w:r>
              <w:rPr>
                <w:rFonts w:ascii="宋体" w:hAnsi="宋体" w:eastAsia="宋体"/>
                <w:sz w:val="24"/>
                <w:szCs w:val="24"/>
              </w:rPr>
              <w:t>（实质性要求）</w:t>
            </w:r>
          </w:p>
        </w:tc>
        <w:tc>
          <w:tcPr>
            <w:tcW w:w="6671"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ind w:left="120" w:leftChars="57" w:firstLine="98" w:firstLineChars="41"/>
              <w:jc w:val="left"/>
              <w:rPr>
                <w:rFonts w:ascii="宋体" w:hAnsi="宋体" w:eastAsia="宋体" w:cs="Times New Roman"/>
                <w:kern w:val="0"/>
                <w:sz w:val="24"/>
              </w:rPr>
            </w:pPr>
            <w:r>
              <w:rPr>
                <w:rFonts w:hint="eastAsia" w:ascii="宋体" w:hAnsi="宋体" w:eastAsia="宋体" w:cs="Times New Roman"/>
                <w:kern w:val="0"/>
                <w:sz w:val="24"/>
              </w:rPr>
              <w:t>1、根据《政府采购促进中小企业发展管理办法》（财库[2020]46号）、《关于政府采购支持监狱企业发展有关问题的通知》（财库[2014]68号）、《三部门联合发布关于促进残疾人就业政府采购政策的通知》（财库[2017]141号）的规定，对符合文件规定以及符合认定标准的小型和微型企业的价格给予10%的价格扣除，用扣除后的价格参与评标。</w:t>
            </w:r>
          </w:p>
          <w:p>
            <w:pPr>
              <w:widowControl/>
              <w:spacing w:line="360" w:lineRule="auto"/>
              <w:ind w:left="120" w:leftChars="57" w:firstLine="98" w:firstLineChars="41"/>
              <w:jc w:val="left"/>
              <w:rPr>
                <w:rFonts w:ascii="宋体" w:hAnsi="宋体" w:eastAsia="宋体" w:cs="Times New Roman"/>
                <w:kern w:val="0"/>
                <w:sz w:val="24"/>
              </w:rPr>
            </w:pPr>
            <w:r>
              <w:rPr>
                <w:rFonts w:hint="eastAsia" w:ascii="宋体" w:hAnsi="宋体" w:eastAsia="宋体" w:cs="Times New Roman"/>
                <w:kern w:val="0"/>
                <w:sz w:val="24"/>
              </w:rPr>
              <w:t>2、在政府采购活动中，供应商提供的货物、工程或者服务符合下列情形的，享受小微企业价格扣除：</w:t>
            </w:r>
          </w:p>
          <w:p>
            <w:pPr>
              <w:widowControl/>
              <w:spacing w:line="360" w:lineRule="auto"/>
              <w:ind w:left="120" w:leftChars="57" w:firstLine="98" w:firstLineChars="41"/>
              <w:jc w:val="left"/>
              <w:rPr>
                <w:rFonts w:ascii="宋体" w:hAnsi="宋体" w:eastAsia="宋体" w:cs="Times New Roman"/>
                <w:kern w:val="0"/>
                <w:sz w:val="24"/>
              </w:rPr>
            </w:pPr>
            <w:r>
              <w:rPr>
                <w:rFonts w:hint="eastAsia" w:ascii="宋体" w:hAnsi="宋体" w:eastAsia="宋体" w:cs="Times New Roman"/>
                <w:kern w:val="0"/>
                <w:sz w:val="24"/>
              </w:rPr>
              <w:t>（1）在货物采购项目中，货物由小微企业制造，即货物由小微企业生产且使用该小微企业商号或者注册商标；</w:t>
            </w:r>
          </w:p>
          <w:p>
            <w:pPr>
              <w:widowControl/>
              <w:spacing w:line="360" w:lineRule="auto"/>
              <w:ind w:left="120" w:leftChars="57" w:firstLine="98" w:firstLineChars="41"/>
              <w:jc w:val="left"/>
              <w:rPr>
                <w:rFonts w:ascii="宋体" w:hAnsi="宋体" w:eastAsia="宋体" w:cs="Times New Roman"/>
                <w:kern w:val="0"/>
                <w:sz w:val="24"/>
              </w:rPr>
            </w:pPr>
            <w:r>
              <w:rPr>
                <w:rFonts w:hint="eastAsia" w:ascii="宋体" w:hAnsi="宋体" w:eastAsia="宋体" w:cs="Times New Roman"/>
                <w:kern w:val="0"/>
                <w:sz w:val="24"/>
              </w:rPr>
              <w:t>（2）在工程采购项目中，工程由小微企业承建，即工程施工单位为小微企业；</w:t>
            </w:r>
          </w:p>
          <w:p>
            <w:pPr>
              <w:widowControl/>
              <w:spacing w:line="360" w:lineRule="auto"/>
              <w:ind w:left="120" w:leftChars="57" w:firstLine="98" w:firstLineChars="41"/>
              <w:jc w:val="left"/>
              <w:rPr>
                <w:rFonts w:ascii="宋体" w:hAnsi="宋体" w:eastAsia="宋体" w:cs="Times New Roman"/>
                <w:kern w:val="0"/>
                <w:sz w:val="24"/>
              </w:rPr>
            </w:pPr>
            <w:r>
              <w:rPr>
                <w:rFonts w:hint="eastAsia" w:ascii="宋体" w:hAnsi="宋体" w:eastAsia="宋体" w:cs="Times New Roman"/>
                <w:kern w:val="0"/>
                <w:sz w:val="24"/>
              </w:rPr>
              <w:t>（3）在服务采购项目中，服务由小微企业承接，即提供服务的人员为小微企业依照《中华人民共和国劳动合同法》订立劳动合同的从业人员。</w:t>
            </w:r>
          </w:p>
          <w:p>
            <w:pPr>
              <w:widowControl/>
              <w:spacing w:line="360" w:lineRule="auto"/>
              <w:ind w:left="120" w:leftChars="57" w:firstLine="98" w:firstLineChars="41"/>
              <w:jc w:val="left"/>
              <w:rPr>
                <w:rFonts w:ascii="宋体" w:hAnsi="宋体" w:eastAsia="宋体" w:cs="Times New Roman"/>
                <w:kern w:val="0"/>
                <w:sz w:val="24"/>
              </w:rPr>
            </w:pPr>
            <w:r>
              <w:rPr>
                <w:rFonts w:hint="eastAsia" w:ascii="宋体" w:hAnsi="宋体" w:eastAsia="宋体" w:cs="Times New Roman"/>
                <w:kern w:val="0"/>
                <w:sz w:val="24"/>
              </w:rPr>
              <w:t>3、在货物采购项目中，供应商提供的货物既有小微企业制造货物，也有中大型企业制造货物的，不享受小微企业价格扣除。以联合体形式参加政府采购活动，联合体各方均为中小企业的，联合体视同中小企业。其中，联合体各方均为小微企业的，联合体视同小微企业。</w:t>
            </w:r>
          </w:p>
          <w:p>
            <w:pPr>
              <w:widowControl/>
              <w:spacing w:line="360" w:lineRule="auto"/>
              <w:ind w:left="120" w:leftChars="57" w:firstLine="98" w:firstLineChars="41"/>
              <w:jc w:val="left"/>
              <w:rPr>
                <w:rFonts w:ascii="宋体" w:hAnsi="宋体" w:eastAsia="宋体" w:cs="Times New Roman"/>
                <w:kern w:val="0"/>
                <w:sz w:val="24"/>
              </w:rPr>
            </w:pPr>
            <w:r>
              <w:rPr>
                <w:rFonts w:hint="eastAsia" w:ascii="宋体" w:hAnsi="宋体" w:eastAsia="宋体" w:cs="Times New Roman"/>
                <w:kern w:val="0"/>
                <w:sz w:val="24"/>
              </w:rPr>
              <w:t>4、参加政府采购活动的中小企业（符合中小企业划分标准的个体工商户，在政府采购活动中视同中小企业）应据实提供《中小企业声明函》原件；供应商为监狱企业的应据实提供由省级以上监狱管理局、戒毒管理局（含新疆生产建设兵团）出具属于监狱企业的证明文件复印件；参加政府采购活动的残疾人福利性单位应据实提供《残疾人福利性单位声明函》原件。</w:t>
            </w:r>
          </w:p>
          <w:p>
            <w:pPr>
              <w:widowControl/>
              <w:spacing w:line="360" w:lineRule="auto"/>
              <w:ind w:left="120" w:leftChars="57" w:firstLine="98" w:firstLineChars="41"/>
              <w:jc w:val="left"/>
              <w:rPr>
                <w:rFonts w:ascii="宋体" w:hAnsi="宋体" w:eastAsia="宋体" w:cs="Times New Roman"/>
                <w:kern w:val="0"/>
                <w:sz w:val="24"/>
              </w:rPr>
            </w:pPr>
            <w:r>
              <w:rPr>
                <w:rFonts w:hint="eastAsia" w:ascii="宋体" w:hAnsi="宋体" w:eastAsia="宋体" w:cs="Times New Roman"/>
                <w:kern w:val="0"/>
                <w:sz w:val="24"/>
              </w:rPr>
              <w:t>5、接受大中型企业与小微企业组成联合体或者允许大中型企业向一家或者多家小微企业分包的采购项目，对于联合协议或者分包意向协议约定小微企业的合同份额占到合同总金额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30%以上的，采购人、采购代理机构应当对联合体或者大中型企业的报价给予3%的扣除，用扣除后的价格参加评审。</w:t>
            </w:r>
          </w:p>
          <w:p>
            <w:pPr>
              <w:widowControl/>
              <w:spacing w:line="360" w:lineRule="auto"/>
              <w:ind w:left="120" w:leftChars="57" w:firstLine="98" w:firstLineChars="41"/>
              <w:jc w:val="left"/>
              <w:rPr>
                <w:rFonts w:ascii="宋体" w:hAnsi="宋体" w:eastAsia="宋体" w:cs="Times New Roman"/>
                <w:kern w:val="0"/>
                <w:sz w:val="24"/>
              </w:rPr>
            </w:pPr>
            <w:r>
              <w:rPr>
                <w:rFonts w:hint="eastAsia" w:ascii="宋体" w:hAnsi="宋体" w:eastAsia="宋体" w:cs="Times New Roman"/>
                <w:kern w:val="0"/>
                <w:sz w:val="24"/>
              </w:rPr>
              <w:t>组成联合体或者接受分包的小微企业与联合体内其他企业、分包企业之间存在直接控股、管理关系的，不享受价格扣除优惠政策。</w:t>
            </w:r>
          </w:p>
          <w:p>
            <w:pPr>
              <w:widowControl/>
              <w:spacing w:line="360" w:lineRule="auto"/>
              <w:ind w:left="120" w:leftChars="57" w:firstLine="98" w:firstLineChars="41"/>
              <w:jc w:val="left"/>
              <w:rPr>
                <w:rFonts w:ascii="宋体" w:hAnsi="宋体" w:eastAsia="宋体" w:cs="Times New Roman"/>
                <w:kern w:val="0"/>
                <w:sz w:val="24"/>
              </w:rPr>
            </w:pPr>
            <w:r>
              <w:rPr>
                <w:rFonts w:hint="eastAsia" w:ascii="宋体" w:hAnsi="宋体" w:eastAsia="宋体" w:cs="Times New Roman"/>
                <w:kern w:val="0"/>
                <w:sz w:val="24"/>
              </w:rPr>
              <w:t>6、对于经主管预算单位统筹后预留份额专门面向中小企业采购的采购项目，以及预留份额项目中的预留部分采购包除外。</w:t>
            </w:r>
          </w:p>
          <w:p>
            <w:pPr>
              <w:widowControl/>
              <w:spacing w:line="360" w:lineRule="auto"/>
              <w:ind w:left="120" w:leftChars="57" w:firstLine="98" w:firstLineChars="41"/>
              <w:jc w:val="left"/>
              <w:rPr>
                <w:rFonts w:ascii="宋体" w:hAnsi="宋体" w:eastAsia="宋体" w:cs="Times New Roman"/>
                <w:kern w:val="0"/>
                <w:sz w:val="24"/>
              </w:rPr>
            </w:pPr>
            <w:r>
              <w:rPr>
                <w:rFonts w:hint="eastAsia" w:ascii="宋体" w:hAnsi="宋体" w:eastAsia="宋体" w:cs="Times New Roman"/>
                <w:kern w:val="0"/>
                <w:sz w:val="24"/>
              </w:rPr>
              <w:t>7、根据《中小企业划型标准规定》（工信部联企业[2011]300号），本项目采购标的所属行业为</w:t>
            </w:r>
            <w:r>
              <w:rPr>
                <w:rFonts w:hint="eastAsia" w:ascii="宋体" w:hAnsi="宋体" w:eastAsia="宋体" w:cs="Times New Roman"/>
                <w:b/>
                <w:kern w:val="0"/>
                <w:sz w:val="24"/>
              </w:rPr>
              <w:t>：</w:t>
            </w:r>
            <w:r>
              <w:rPr>
                <w:rFonts w:hint="eastAsia" w:ascii="宋体" w:hAnsi="宋体" w:eastAsia="宋体" w:cs="Times New Roman"/>
                <w:b/>
                <w:kern w:val="0"/>
                <w:sz w:val="24"/>
                <w:u w:val="single"/>
              </w:rPr>
              <w:t>其他未列明行业</w:t>
            </w:r>
            <w:r>
              <w:rPr>
                <w:rFonts w:hint="eastAsia" w:ascii="宋体" w:hAnsi="宋体" w:eastAsia="宋体" w:cs="Times New Roman"/>
                <w:kern w:val="0"/>
                <w:sz w:val="24"/>
              </w:rPr>
              <w:t>。</w:t>
            </w:r>
          </w:p>
          <w:p>
            <w:pPr>
              <w:widowControl/>
              <w:spacing w:line="360" w:lineRule="auto"/>
              <w:ind w:left="120" w:leftChars="57" w:right="17" w:rightChars="8" w:firstLine="480" w:firstLineChars="200"/>
              <w:jc w:val="left"/>
              <w:rPr>
                <w:rFonts w:ascii="宋体" w:hAnsi="宋体" w:eastAsia="宋体"/>
                <w:sz w:val="24"/>
                <w:szCs w:val="24"/>
              </w:rPr>
            </w:pPr>
            <w:r>
              <w:rPr>
                <w:rFonts w:hint="eastAsia" w:ascii="宋体" w:hAnsi="宋体" w:eastAsia="宋体" w:cs="Times New Roman"/>
                <w:kern w:val="0"/>
                <w:sz w:val="24"/>
              </w:rPr>
              <w:t>注：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5" w:hRule="atLeast"/>
          <w:jc w:val="center"/>
        </w:trPr>
        <w:tc>
          <w:tcPr>
            <w:tcW w:w="690" w:type="dxa"/>
            <w:tcBorders>
              <w:top w:val="single" w:color="000000" w:sz="8" w:space="0"/>
              <w:left w:val="single" w:color="000000" w:sz="8" w:space="0"/>
              <w:bottom w:val="single" w:color="000000" w:sz="8" w:space="0"/>
              <w:right w:val="single" w:color="000000" w:sz="8" w:space="0"/>
            </w:tcBorders>
            <w:vAlign w:val="center"/>
          </w:tcPr>
          <w:p>
            <w:pPr>
              <w:spacing w:line="360" w:lineRule="auto"/>
              <w:ind w:right="230"/>
              <w:jc w:val="center"/>
              <w:rPr>
                <w:rFonts w:ascii="Times New Roman" w:hAnsi="Times New Roman" w:eastAsia="Times New Roman"/>
                <w:szCs w:val="21"/>
              </w:rPr>
            </w:pPr>
            <w:r>
              <w:rPr>
                <w:rFonts w:ascii="Times New Roman" w:hAnsi="Times New Roman" w:eastAsia="Times New Roman"/>
                <w:szCs w:val="21"/>
              </w:rPr>
              <w:t>4</w:t>
            </w:r>
          </w:p>
        </w:tc>
        <w:tc>
          <w:tcPr>
            <w:tcW w:w="2239" w:type="dxa"/>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rFonts w:ascii="Times New Roman" w:hAnsi="Times New Roman" w:eastAsia="Times New Roman"/>
                <w:sz w:val="23"/>
                <w:szCs w:val="23"/>
              </w:rPr>
            </w:pPr>
            <w:r>
              <w:rPr>
                <w:rFonts w:ascii="宋体" w:hAnsi="宋体" w:eastAsia="宋体"/>
                <w:sz w:val="23"/>
                <w:szCs w:val="23"/>
              </w:rPr>
              <w:t>政府采购节能、环保、无线局域网产品（本项目不适用）</w:t>
            </w:r>
          </w:p>
          <w:p>
            <w:pPr>
              <w:spacing w:line="360" w:lineRule="auto"/>
              <w:jc w:val="center"/>
              <w:rPr>
                <w:rFonts w:ascii="宋体" w:hAnsi="宋体" w:eastAsia="宋体"/>
                <w:sz w:val="24"/>
                <w:szCs w:val="24"/>
              </w:rPr>
            </w:pPr>
          </w:p>
        </w:tc>
        <w:tc>
          <w:tcPr>
            <w:tcW w:w="6671" w:type="dxa"/>
            <w:tcBorders>
              <w:top w:val="single" w:color="000000" w:sz="8" w:space="0"/>
              <w:left w:val="single" w:color="000000" w:sz="8" w:space="0"/>
              <w:bottom w:val="single" w:color="000000" w:sz="8" w:space="0"/>
              <w:right w:val="single" w:color="000000" w:sz="8" w:space="0"/>
            </w:tcBorders>
            <w:vAlign w:val="center"/>
          </w:tcPr>
          <w:p>
            <w:pPr>
              <w:spacing w:line="360" w:lineRule="auto"/>
              <w:ind w:left="118" w:leftChars="56" w:firstLine="21" w:firstLineChars="9"/>
              <w:jc w:val="left"/>
              <w:rPr>
                <w:rFonts w:ascii="宋体" w:hAnsi="宋体" w:eastAsia="宋体"/>
                <w:kern w:val="0"/>
                <w:sz w:val="24"/>
                <w:szCs w:val="24"/>
              </w:rPr>
            </w:pPr>
            <w:r>
              <w:rPr>
                <w:rFonts w:ascii="宋体" w:hAnsi="宋体" w:eastAsia="宋体"/>
                <w:kern w:val="0"/>
                <w:sz w:val="24"/>
                <w:szCs w:val="24"/>
              </w:rPr>
              <w:t>1、节能、环保产品政府采购政策：</w:t>
            </w:r>
          </w:p>
          <w:p>
            <w:pPr>
              <w:spacing w:line="360" w:lineRule="auto"/>
              <w:ind w:left="118" w:leftChars="56" w:firstLine="501" w:firstLineChars="209"/>
              <w:jc w:val="left"/>
              <w:rPr>
                <w:rFonts w:ascii="宋体" w:hAnsi="宋体" w:eastAsia="宋体"/>
                <w:kern w:val="0"/>
                <w:sz w:val="24"/>
                <w:szCs w:val="24"/>
              </w:rPr>
            </w:pPr>
            <w:r>
              <w:rPr>
                <w:rFonts w:ascii="宋体" w:hAnsi="宋体" w:eastAsia="宋体"/>
                <w:kern w:val="0"/>
                <w:sz w:val="24"/>
                <w:szCs w:val="24"/>
              </w:rPr>
              <w:t>根据《财政部发展改革委生态环境部市场监管总局关于调整优化节能产品、环境标志产品政府采购执行机制的通知》（财库〔</w:t>
            </w:r>
            <w:r>
              <w:rPr>
                <w:rFonts w:ascii="Times New Roman" w:hAnsi="Times New Roman" w:eastAsia="Times New Roman"/>
                <w:kern w:val="0"/>
                <w:sz w:val="24"/>
                <w:szCs w:val="24"/>
              </w:rPr>
              <w:t>2019</w:t>
            </w:r>
            <w:r>
              <w:rPr>
                <w:rFonts w:ascii="宋体" w:hAnsi="宋体" w:eastAsia="宋体"/>
                <w:kern w:val="0"/>
                <w:sz w:val="24"/>
                <w:szCs w:val="24"/>
              </w:rPr>
              <w:t>〕</w:t>
            </w:r>
            <w:r>
              <w:rPr>
                <w:rFonts w:ascii="Times New Roman" w:hAnsi="Times New Roman" w:eastAsia="Times New Roman"/>
                <w:kern w:val="0"/>
                <w:sz w:val="24"/>
                <w:szCs w:val="24"/>
              </w:rPr>
              <w:t>9</w:t>
            </w:r>
            <w:r>
              <w:rPr>
                <w:rFonts w:ascii="宋体" w:hAnsi="宋体" w:eastAsia="宋体"/>
                <w:kern w:val="0"/>
                <w:sz w:val="24"/>
                <w:szCs w:val="24"/>
              </w:rPr>
              <w:t>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spacing w:line="360" w:lineRule="auto"/>
              <w:ind w:left="118" w:leftChars="56" w:firstLine="501" w:firstLineChars="209"/>
              <w:jc w:val="left"/>
              <w:rPr>
                <w:rFonts w:ascii="宋体" w:hAnsi="宋体" w:eastAsia="宋体"/>
                <w:b/>
                <w:bCs/>
                <w:kern w:val="0"/>
                <w:sz w:val="24"/>
                <w:szCs w:val="24"/>
              </w:rPr>
            </w:pPr>
            <w:r>
              <w:rPr>
                <w:rFonts w:ascii="宋体" w:hAnsi="宋体" w:eastAsia="宋体"/>
                <w:kern w:val="0"/>
                <w:sz w:val="24"/>
                <w:szCs w:val="24"/>
              </w:rPr>
              <w:t>本项目采购的产品属于品目清单强制采购范围的，供应商应按上述要求提供产品认证证书复印件并加盖供应商单位公章（鲜章），否则投标无效。</w:t>
            </w:r>
            <w:r>
              <w:rPr>
                <w:rFonts w:ascii="宋体" w:hAnsi="宋体" w:eastAsia="宋体"/>
                <w:b/>
                <w:bCs/>
                <w:kern w:val="0"/>
                <w:sz w:val="24"/>
                <w:szCs w:val="24"/>
              </w:rPr>
              <w:t>（实质性要求）</w:t>
            </w:r>
          </w:p>
          <w:p>
            <w:pPr>
              <w:spacing w:line="360" w:lineRule="auto"/>
              <w:ind w:left="118" w:leftChars="56" w:firstLine="501" w:firstLineChars="209"/>
              <w:jc w:val="left"/>
              <w:rPr>
                <w:rFonts w:ascii="宋体" w:hAnsi="宋体" w:eastAsia="宋体"/>
                <w:kern w:val="0"/>
                <w:sz w:val="24"/>
                <w:szCs w:val="24"/>
              </w:rPr>
            </w:pPr>
            <w:r>
              <w:rPr>
                <w:rFonts w:ascii="宋体" w:hAnsi="宋体" w:eastAsia="宋体"/>
                <w:kern w:val="0"/>
                <w:sz w:val="24"/>
                <w:szCs w:val="24"/>
              </w:rPr>
              <w:t>注：对政府采购节能产品、环境标志产品实施品目清单管理。财政部、发展改革委、生态环境部等部门确定实施政府优先采购和强制采购的产品类别，以品目清单的形式发布并适时调整。</w:t>
            </w:r>
          </w:p>
          <w:p>
            <w:pPr>
              <w:spacing w:line="360" w:lineRule="auto"/>
              <w:ind w:firstLine="240" w:firstLineChars="100"/>
              <w:jc w:val="left"/>
              <w:rPr>
                <w:rFonts w:ascii="宋体" w:hAnsi="宋体" w:eastAsia="宋体"/>
                <w:kern w:val="0"/>
                <w:sz w:val="24"/>
                <w:szCs w:val="24"/>
              </w:rPr>
            </w:pPr>
            <w:r>
              <w:rPr>
                <w:rFonts w:ascii="宋体" w:hAnsi="宋体" w:eastAsia="宋体"/>
                <w:kern w:val="0"/>
                <w:sz w:val="24"/>
                <w:szCs w:val="24"/>
              </w:rPr>
              <w:t>2、无线局域网产品：</w:t>
            </w:r>
          </w:p>
          <w:p>
            <w:pPr>
              <w:spacing w:line="360" w:lineRule="auto"/>
              <w:ind w:left="118" w:leftChars="56" w:firstLine="21" w:firstLineChars="9"/>
              <w:jc w:val="left"/>
              <w:rPr>
                <w:rFonts w:ascii="宋体" w:hAnsi="宋体" w:eastAsia="宋体"/>
                <w:kern w:val="0"/>
                <w:sz w:val="24"/>
                <w:szCs w:val="24"/>
              </w:rPr>
            </w:pPr>
            <w:r>
              <w:rPr>
                <w:rFonts w:ascii="宋体" w:hAnsi="宋体" w:eastAsia="宋体"/>
                <w:kern w:val="0"/>
                <w:sz w:val="24"/>
                <w:szCs w:val="24"/>
              </w:rPr>
              <w:t>根据《无线局域网产品政府采购实施意见》（财库〔</w:t>
            </w:r>
            <w:r>
              <w:rPr>
                <w:rFonts w:ascii="Times New Roman" w:hAnsi="Times New Roman" w:eastAsia="Times New Roman"/>
                <w:kern w:val="0"/>
                <w:sz w:val="24"/>
                <w:szCs w:val="24"/>
              </w:rPr>
              <w:t>2005</w:t>
            </w:r>
            <w:r>
              <w:rPr>
                <w:rFonts w:ascii="宋体" w:hAnsi="宋体" w:eastAsia="宋体"/>
                <w:kern w:val="0"/>
                <w:sz w:val="24"/>
                <w:szCs w:val="24"/>
              </w:rPr>
              <w:t>〕</w:t>
            </w:r>
            <w:r>
              <w:rPr>
                <w:rFonts w:ascii="Times New Roman" w:hAnsi="Times New Roman" w:eastAsia="Times New Roman"/>
                <w:kern w:val="0"/>
                <w:sz w:val="24"/>
                <w:szCs w:val="24"/>
              </w:rPr>
              <w:t>366</w:t>
            </w:r>
            <w:r>
              <w:rPr>
                <w:rFonts w:ascii="宋体" w:hAnsi="宋体" w:eastAsia="宋体"/>
                <w:kern w:val="0"/>
                <w:sz w:val="24"/>
                <w:szCs w:val="24"/>
              </w:rPr>
              <w:t>号）的规定，采购人用财政性资金采购无线局域网产品和含有无线局域网功能的计算机、通信设备、打印机、复印机、投影仪等产品的，应当优先采购符合国家无线局域网安全标准（</w:t>
            </w:r>
            <w:r>
              <w:rPr>
                <w:rFonts w:ascii="Times New Roman" w:hAnsi="Times New Roman" w:eastAsia="Times New Roman"/>
                <w:kern w:val="0"/>
                <w:sz w:val="24"/>
                <w:szCs w:val="24"/>
              </w:rPr>
              <w:t>GB 15629</w:t>
            </w:r>
            <w:r>
              <w:rPr>
                <w:rFonts w:ascii="宋体" w:hAnsi="宋体" w:eastAsia="宋体"/>
                <w:kern w:val="0"/>
                <w:sz w:val="24"/>
                <w:szCs w:val="24"/>
              </w:rPr>
              <w:t>．</w:t>
            </w:r>
            <w:r>
              <w:rPr>
                <w:rFonts w:ascii="Times New Roman" w:hAnsi="Times New Roman" w:eastAsia="Times New Roman"/>
                <w:kern w:val="0"/>
                <w:sz w:val="24"/>
                <w:szCs w:val="24"/>
              </w:rPr>
              <w:t>11/1102</w:t>
            </w:r>
            <w:r>
              <w:rPr>
                <w:rFonts w:ascii="宋体" w:hAnsi="宋体" w:eastAsia="宋体"/>
                <w:kern w:val="0"/>
                <w:sz w:val="24"/>
                <w:szCs w:val="24"/>
              </w:rPr>
              <w:t>）并通过国家产品认证的产品。其中，国家有特殊信息安全要求的项目必须采购认证产品。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5" w:hRule="atLeast"/>
          <w:jc w:val="center"/>
        </w:trPr>
        <w:tc>
          <w:tcPr>
            <w:tcW w:w="690" w:type="dxa"/>
            <w:tcBorders>
              <w:top w:val="single" w:color="000000" w:sz="8" w:space="0"/>
              <w:left w:val="single" w:color="000000" w:sz="8" w:space="0"/>
              <w:bottom w:val="single" w:color="000000" w:sz="8" w:space="0"/>
              <w:right w:val="single" w:color="000000" w:sz="8" w:space="0"/>
            </w:tcBorders>
            <w:vAlign w:val="center"/>
          </w:tcPr>
          <w:p>
            <w:pPr>
              <w:spacing w:line="360" w:lineRule="auto"/>
              <w:ind w:right="230"/>
              <w:jc w:val="center"/>
              <w:rPr>
                <w:rFonts w:ascii="Times New Roman" w:hAnsi="Times New Roman" w:eastAsia="Times New Roman"/>
                <w:szCs w:val="21"/>
              </w:rPr>
            </w:pPr>
            <w:r>
              <w:rPr>
                <w:rFonts w:ascii="Times New Roman" w:hAnsi="Times New Roman" w:eastAsia="Times New Roman"/>
                <w:szCs w:val="21"/>
              </w:rPr>
              <w:t>5</w:t>
            </w:r>
          </w:p>
        </w:tc>
        <w:tc>
          <w:tcPr>
            <w:tcW w:w="2239" w:type="dxa"/>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rFonts w:ascii="宋体" w:hAnsi="宋体" w:eastAsia="宋体"/>
                <w:sz w:val="23"/>
                <w:szCs w:val="23"/>
              </w:rPr>
            </w:pPr>
            <w:r>
              <w:rPr>
                <w:rFonts w:ascii="宋体" w:hAnsi="宋体" w:eastAsia="宋体"/>
                <w:sz w:val="23"/>
                <w:szCs w:val="23"/>
              </w:rPr>
              <w:t>是否允许进口产品参与竞争</w:t>
            </w:r>
          </w:p>
        </w:tc>
        <w:tc>
          <w:tcPr>
            <w:tcW w:w="6671" w:type="dxa"/>
            <w:tcBorders>
              <w:top w:val="single" w:color="000000" w:sz="8" w:space="0"/>
              <w:left w:val="single" w:color="000000" w:sz="8" w:space="0"/>
              <w:bottom w:val="single" w:color="000000" w:sz="8" w:space="0"/>
              <w:right w:val="single" w:color="000000" w:sz="8" w:space="0"/>
            </w:tcBorders>
            <w:vAlign w:val="center"/>
          </w:tcPr>
          <w:p>
            <w:pPr>
              <w:spacing w:line="360" w:lineRule="auto"/>
              <w:ind w:left="118" w:leftChars="56"/>
              <w:jc w:val="left"/>
              <w:rPr>
                <w:rFonts w:ascii="宋体" w:hAnsi="宋体" w:eastAsia="宋体"/>
                <w:kern w:val="0"/>
                <w:sz w:val="24"/>
                <w:szCs w:val="24"/>
              </w:rPr>
            </w:pPr>
            <w:r>
              <w:rPr>
                <w:rFonts w:ascii="宋体" w:hAnsi="宋体" w:eastAsia="宋体"/>
                <w:kern w:val="0"/>
                <w:sz w:val="24"/>
                <w:szCs w:val="24"/>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5" w:hRule="atLeast"/>
          <w:jc w:val="center"/>
        </w:trPr>
        <w:tc>
          <w:tcPr>
            <w:tcW w:w="690" w:type="dxa"/>
            <w:tcBorders>
              <w:top w:val="single" w:color="000000" w:sz="8" w:space="0"/>
              <w:left w:val="single" w:color="000000" w:sz="8" w:space="0"/>
              <w:bottom w:val="single" w:color="000000" w:sz="8" w:space="0"/>
              <w:right w:val="single" w:color="000000" w:sz="8" w:space="0"/>
            </w:tcBorders>
            <w:vAlign w:val="center"/>
          </w:tcPr>
          <w:p>
            <w:pPr>
              <w:spacing w:before="72" w:after="72" w:line="360" w:lineRule="auto"/>
              <w:ind w:right="264"/>
              <w:jc w:val="center"/>
              <w:rPr>
                <w:rFonts w:ascii="Times New Roman" w:hAnsi="Times New Roman" w:eastAsia="Times New Roman"/>
                <w:sz w:val="24"/>
                <w:szCs w:val="24"/>
              </w:rPr>
            </w:pPr>
            <w:r>
              <w:rPr>
                <w:rFonts w:ascii="Times New Roman" w:hAnsi="Times New Roman" w:eastAsia="Times New Roman"/>
                <w:sz w:val="24"/>
                <w:szCs w:val="24"/>
              </w:rPr>
              <w:t>6</w:t>
            </w:r>
          </w:p>
        </w:tc>
        <w:tc>
          <w:tcPr>
            <w:tcW w:w="2239" w:type="dxa"/>
            <w:tcBorders>
              <w:top w:val="single" w:color="000000" w:sz="8" w:space="0"/>
              <w:left w:val="single" w:color="000000" w:sz="8" w:space="0"/>
              <w:bottom w:val="single" w:color="000000" w:sz="8" w:space="0"/>
              <w:right w:val="single" w:color="000000" w:sz="8" w:space="0"/>
            </w:tcBorders>
            <w:vAlign w:val="center"/>
          </w:tcPr>
          <w:p>
            <w:pPr>
              <w:spacing w:line="360" w:lineRule="auto"/>
              <w:ind w:left="105" w:leftChars="50" w:right="105" w:rightChars="50"/>
              <w:jc w:val="center"/>
              <w:rPr>
                <w:rFonts w:ascii="宋体" w:hAnsi="宋体" w:eastAsia="宋体"/>
                <w:kern w:val="0"/>
                <w:sz w:val="24"/>
                <w:szCs w:val="24"/>
              </w:rPr>
            </w:pPr>
            <w:r>
              <w:rPr>
                <w:rFonts w:ascii="宋体" w:hAnsi="宋体" w:eastAsia="宋体"/>
                <w:kern w:val="0"/>
                <w:sz w:val="24"/>
                <w:szCs w:val="24"/>
              </w:rPr>
              <w:t>评标情况公告</w:t>
            </w:r>
          </w:p>
        </w:tc>
        <w:tc>
          <w:tcPr>
            <w:tcW w:w="6671" w:type="dxa"/>
            <w:tcBorders>
              <w:top w:val="single" w:color="000000" w:sz="8" w:space="0"/>
              <w:left w:val="single" w:color="000000" w:sz="8" w:space="0"/>
              <w:bottom w:val="single" w:color="000000" w:sz="8" w:space="0"/>
              <w:right w:val="single" w:color="000000" w:sz="8" w:space="0"/>
            </w:tcBorders>
            <w:vAlign w:val="center"/>
          </w:tcPr>
          <w:p>
            <w:pPr>
              <w:spacing w:line="360" w:lineRule="auto"/>
              <w:ind w:left="118" w:leftChars="56"/>
              <w:jc w:val="left"/>
              <w:rPr>
                <w:rFonts w:ascii="宋体" w:hAnsi="宋体" w:eastAsia="宋体"/>
                <w:kern w:val="0"/>
                <w:sz w:val="24"/>
                <w:szCs w:val="24"/>
              </w:rPr>
            </w:pPr>
            <w:r>
              <w:rPr>
                <w:rFonts w:ascii="宋体" w:hAnsi="宋体" w:eastAsia="宋体"/>
                <w:kern w:val="0"/>
                <w:sz w:val="24"/>
                <w:szCs w:val="24"/>
              </w:rPr>
              <w:t>所有供应商投标文件资格性、符合性检查情况、采用综合评分法时的总得分和分项汇总得分情况、评标结果等将在四川政府采购网上采购结果公告栏中予以公告。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5" w:hRule="atLeast"/>
          <w:jc w:val="center"/>
        </w:trPr>
        <w:tc>
          <w:tcPr>
            <w:tcW w:w="690" w:type="dxa"/>
            <w:tcBorders>
              <w:top w:val="single" w:color="000000" w:sz="8" w:space="0"/>
              <w:left w:val="single" w:color="000000" w:sz="8" w:space="0"/>
              <w:bottom w:val="single" w:color="000000" w:sz="8" w:space="0"/>
              <w:right w:val="single" w:color="000000" w:sz="8" w:space="0"/>
            </w:tcBorders>
            <w:vAlign w:val="center"/>
          </w:tcPr>
          <w:p>
            <w:pPr>
              <w:spacing w:line="360" w:lineRule="auto"/>
              <w:ind w:right="230"/>
              <w:jc w:val="center"/>
              <w:rPr>
                <w:rFonts w:ascii="Times New Roman" w:hAnsi="Times New Roman" w:eastAsia="Times New Roman"/>
                <w:sz w:val="24"/>
                <w:szCs w:val="24"/>
              </w:rPr>
            </w:pPr>
            <w:r>
              <w:rPr>
                <w:rFonts w:ascii="Times New Roman" w:hAnsi="Times New Roman" w:eastAsia="Times New Roman"/>
                <w:sz w:val="24"/>
                <w:szCs w:val="24"/>
              </w:rPr>
              <w:t>7</w:t>
            </w:r>
          </w:p>
        </w:tc>
        <w:tc>
          <w:tcPr>
            <w:tcW w:w="2239" w:type="dxa"/>
            <w:tcBorders>
              <w:top w:val="single" w:color="000000" w:sz="8" w:space="0"/>
              <w:left w:val="single" w:color="000000" w:sz="8" w:space="0"/>
              <w:bottom w:val="single" w:color="000000" w:sz="8" w:space="0"/>
              <w:right w:val="single" w:color="000000" w:sz="8" w:space="0"/>
            </w:tcBorders>
            <w:vAlign w:val="center"/>
          </w:tcPr>
          <w:p>
            <w:pPr>
              <w:spacing w:line="360" w:lineRule="auto"/>
              <w:ind w:left="96"/>
              <w:jc w:val="center"/>
              <w:rPr>
                <w:rFonts w:ascii="宋体" w:hAnsi="宋体" w:eastAsia="宋体"/>
                <w:sz w:val="24"/>
                <w:szCs w:val="24"/>
              </w:rPr>
            </w:pPr>
            <w:r>
              <w:rPr>
                <w:rFonts w:ascii="宋体" w:hAnsi="宋体" w:eastAsia="宋体"/>
                <w:sz w:val="24"/>
                <w:szCs w:val="24"/>
              </w:rPr>
              <w:t>投标保证金</w:t>
            </w:r>
          </w:p>
        </w:tc>
        <w:tc>
          <w:tcPr>
            <w:tcW w:w="6671" w:type="dxa"/>
            <w:tcBorders>
              <w:top w:val="single" w:color="000000" w:sz="8" w:space="0"/>
              <w:left w:val="single" w:color="000000" w:sz="8" w:space="0"/>
              <w:bottom w:val="single" w:color="000000" w:sz="8" w:space="0"/>
              <w:right w:val="single" w:color="000000" w:sz="8" w:space="0"/>
            </w:tcBorders>
            <w:vAlign w:val="center"/>
          </w:tcPr>
          <w:p>
            <w:pPr>
              <w:spacing w:line="360" w:lineRule="auto"/>
              <w:ind w:left="118" w:leftChars="56"/>
              <w:rPr>
                <w:rFonts w:ascii="宋体" w:hAnsi="宋体" w:eastAsia="宋体"/>
                <w:sz w:val="24"/>
                <w:szCs w:val="24"/>
              </w:rPr>
            </w:pPr>
            <w:r>
              <w:rPr>
                <w:rFonts w:ascii="宋体" w:hAnsi="宋体" w:eastAsia="宋体"/>
                <w:sz w:val="24"/>
                <w:szCs w:val="24"/>
              </w:rPr>
              <w:t>本项目不做要求。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16" w:hRule="atLeast"/>
          <w:jc w:val="center"/>
        </w:trPr>
        <w:tc>
          <w:tcPr>
            <w:tcW w:w="690" w:type="dxa"/>
            <w:tcBorders>
              <w:top w:val="single" w:color="000000" w:sz="8" w:space="0"/>
              <w:left w:val="single" w:color="000000" w:sz="8" w:space="0"/>
              <w:bottom w:val="single" w:color="000000" w:sz="8" w:space="0"/>
              <w:right w:val="single" w:color="000000" w:sz="8" w:space="0"/>
            </w:tcBorders>
            <w:vAlign w:val="center"/>
          </w:tcPr>
          <w:p>
            <w:pPr>
              <w:spacing w:line="360" w:lineRule="auto"/>
              <w:ind w:right="230"/>
              <w:jc w:val="center"/>
              <w:rPr>
                <w:rFonts w:ascii="宋体" w:hAnsi="宋体" w:eastAsia="宋体"/>
                <w:kern w:val="0"/>
                <w:sz w:val="24"/>
                <w:szCs w:val="24"/>
              </w:rPr>
            </w:pPr>
            <w:r>
              <w:rPr>
                <w:rFonts w:ascii="宋体" w:hAnsi="宋体" w:eastAsia="宋体"/>
                <w:kern w:val="0"/>
                <w:sz w:val="24"/>
                <w:szCs w:val="24"/>
              </w:rPr>
              <w:t>8</w:t>
            </w:r>
          </w:p>
        </w:tc>
        <w:tc>
          <w:tcPr>
            <w:tcW w:w="2239" w:type="dxa"/>
            <w:tcBorders>
              <w:top w:val="single" w:color="000000" w:sz="8" w:space="0"/>
              <w:left w:val="single" w:color="000000" w:sz="8" w:space="0"/>
              <w:bottom w:val="single" w:color="000000" w:sz="8" w:space="0"/>
              <w:right w:val="single" w:color="000000" w:sz="8" w:space="0"/>
            </w:tcBorders>
            <w:vAlign w:val="center"/>
          </w:tcPr>
          <w:p>
            <w:pPr>
              <w:spacing w:line="360" w:lineRule="auto"/>
              <w:ind w:left="96"/>
              <w:jc w:val="center"/>
              <w:rPr>
                <w:rFonts w:ascii="宋体" w:hAnsi="宋体" w:eastAsia="宋体"/>
                <w:kern w:val="0"/>
                <w:sz w:val="24"/>
                <w:szCs w:val="24"/>
              </w:rPr>
            </w:pPr>
            <w:r>
              <w:rPr>
                <w:rFonts w:ascii="宋体" w:hAnsi="宋体" w:eastAsia="宋体"/>
                <w:kern w:val="0"/>
                <w:sz w:val="24"/>
                <w:szCs w:val="24"/>
              </w:rPr>
              <w:t>履约保证金</w:t>
            </w:r>
          </w:p>
        </w:tc>
        <w:tc>
          <w:tcPr>
            <w:tcW w:w="6671" w:type="dxa"/>
            <w:tcBorders>
              <w:top w:val="single" w:color="000000" w:sz="8" w:space="0"/>
              <w:left w:val="single" w:color="000000" w:sz="8" w:space="0"/>
              <w:bottom w:val="single" w:color="000000" w:sz="8" w:space="0"/>
              <w:right w:val="single" w:color="000000" w:sz="8" w:space="0"/>
            </w:tcBorders>
            <w:vAlign w:val="center"/>
          </w:tcPr>
          <w:p>
            <w:pPr>
              <w:pStyle w:val="36"/>
              <w:spacing w:line="360" w:lineRule="auto"/>
              <w:ind w:left="120" w:leftChars="57"/>
              <w:jc w:val="both"/>
              <w:rPr>
                <w:rFonts w:cstheme="minorBidi"/>
              </w:rPr>
            </w:pPr>
            <w:r>
              <w:rPr>
                <w:rFonts w:hint="eastAsia" w:cstheme="minorBidi"/>
              </w:rPr>
              <w:t>金额：采购合同总金额的5%。</w:t>
            </w:r>
          </w:p>
          <w:p>
            <w:pPr>
              <w:pStyle w:val="36"/>
              <w:spacing w:line="360" w:lineRule="auto"/>
              <w:ind w:left="120" w:leftChars="57"/>
              <w:jc w:val="both"/>
              <w:rPr>
                <w:rFonts w:cstheme="minorBidi"/>
              </w:rPr>
            </w:pPr>
            <w:r>
              <w:rPr>
                <w:rFonts w:hint="eastAsia" w:cstheme="minorBidi"/>
              </w:rPr>
              <w:t>中标人收到中标通知书后，签订合同前须提供履约保证金（银行转账或银行保函）到采购人指定账户，履约完毕后采购人无息退还。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0" w:hRule="atLeast"/>
          <w:jc w:val="center"/>
        </w:trPr>
        <w:tc>
          <w:tcPr>
            <w:tcW w:w="690" w:type="dxa"/>
            <w:tcBorders>
              <w:top w:val="single" w:color="000000" w:sz="8" w:space="0"/>
              <w:left w:val="single" w:color="000000" w:sz="8" w:space="0"/>
              <w:bottom w:val="single" w:color="000000" w:sz="8" w:space="0"/>
              <w:right w:val="single" w:color="000000" w:sz="8" w:space="0"/>
            </w:tcBorders>
            <w:vAlign w:val="center"/>
          </w:tcPr>
          <w:p>
            <w:pPr>
              <w:spacing w:line="360" w:lineRule="auto"/>
              <w:ind w:right="264"/>
              <w:jc w:val="center"/>
              <w:rPr>
                <w:rFonts w:ascii="Times New Roman" w:hAnsi="Times New Roman" w:eastAsia="Times New Roman"/>
                <w:sz w:val="24"/>
                <w:szCs w:val="24"/>
              </w:rPr>
            </w:pPr>
            <w:r>
              <w:rPr>
                <w:rFonts w:ascii="Times New Roman" w:hAnsi="Times New Roman" w:eastAsia="Times New Roman"/>
                <w:sz w:val="24"/>
                <w:szCs w:val="24"/>
              </w:rPr>
              <w:t>9</w:t>
            </w:r>
          </w:p>
        </w:tc>
        <w:tc>
          <w:tcPr>
            <w:tcW w:w="2239" w:type="dxa"/>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rFonts w:ascii="宋体" w:hAnsi="宋体" w:eastAsia="宋体"/>
                <w:sz w:val="24"/>
                <w:szCs w:val="24"/>
              </w:rPr>
            </w:pPr>
            <w:r>
              <w:rPr>
                <w:rFonts w:ascii="宋体" w:hAnsi="宋体" w:eastAsia="宋体"/>
                <w:sz w:val="24"/>
                <w:szCs w:val="24"/>
              </w:rPr>
              <w:t>采购文件咨询</w:t>
            </w:r>
          </w:p>
        </w:tc>
        <w:tc>
          <w:tcPr>
            <w:tcW w:w="6671" w:type="dxa"/>
            <w:tcBorders>
              <w:top w:val="single" w:color="000000" w:sz="8" w:space="0"/>
              <w:left w:val="single" w:color="000000" w:sz="8" w:space="0"/>
              <w:bottom w:val="single" w:color="000000" w:sz="8" w:space="0"/>
              <w:right w:val="single" w:color="000000" w:sz="8" w:space="0"/>
            </w:tcBorders>
          </w:tcPr>
          <w:p>
            <w:pPr>
              <w:spacing w:line="276" w:lineRule="auto"/>
              <w:ind w:right="105" w:rightChars="50" w:firstLine="120" w:firstLineChars="50"/>
              <w:rPr>
                <w:rFonts w:ascii="宋体" w:hAnsi="宋体" w:eastAsia="宋体"/>
                <w:sz w:val="24"/>
                <w:szCs w:val="24"/>
              </w:rPr>
            </w:pPr>
            <w:r>
              <w:rPr>
                <w:rFonts w:ascii="宋体" w:hAnsi="宋体" w:eastAsia="宋体"/>
                <w:sz w:val="24"/>
                <w:szCs w:val="24"/>
              </w:rPr>
              <w:t>联系人：</w:t>
            </w:r>
            <w:r>
              <w:rPr>
                <w:rFonts w:hint="eastAsia" w:ascii="宋体" w:hAnsi="宋体" w:eastAsia="宋体"/>
                <w:sz w:val="24"/>
                <w:szCs w:val="24"/>
              </w:rPr>
              <w:t>李</w:t>
            </w:r>
            <w:r>
              <w:rPr>
                <w:rFonts w:ascii="宋体" w:hAnsi="宋体" w:eastAsia="宋体"/>
                <w:sz w:val="24"/>
                <w:szCs w:val="24"/>
              </w:rPr>
              <w:t>老师。       联系电话：028-84469198-</w:t>
            </w:r>
            <w:r>
              <w:rPr>
                <w:rFonts w:hint="eastAsia" w:ascii="宋体" w:hAnsi="宋体" w:eastAsia="宋体"/>
                <w:sz w:val="24"/>
                <w:szCs w:val="24"/>
              </w:rPr>
              <w:t>632</w:t>
            </w:r>
            <w:r>
              <w:rPr>
                <w:rFonts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5" w:hRule="atLeast"/>
          <w:jc w:val="center"/>
        </w:trPr>
        <w:tc>
          <w:tcPr>
            <w:tcW w:w="690" w:type="dxa"/>
            <w:tcBorders>
              <w:top w:val="single" w:color="000000" w:sz="8" w:space="0"/>
              <w:left w:val="single" w:color="000000" w:sz="8" w:space="0"/>
              <w:bottom w:val="single" w:color="000000" w:sz="8" w:space="0"/>
              <w:right w:val="single" w:color="000000" w:sz="8" w:space="0"/>
            </w:tcBorders>
            <w:vAlign w:val="center"/>
          </w:tcPr>
          <w:p>
            <w:pPr>
              <w:spacing w:line="360" w:lineRule="auto"/>
              <w:ind w:right="264"/>
              <w:jc w:val="center"/>
              <w:rPr>
                <w:rFonts w:ascii="Times New Roman" w:hAnsi="Times New Roman" w:eastAsia="Times New Roman"/>
                <w:sz w:val="24"/>
                <w:szCs w:val="24"/>
              </w:rPr>
            </w:pPr>
            <w:r>
              <w:rPr>
                <w:rFonts w:ascii="Times New Roman" w:hAnsi="Times New Roman" w:eastAsia="Times New Roman"/>
                <w:sz w:val="24"/>
                <w:szCs w:val="24"/>
              </w:rPr>
              <w:t>10</w:t>
            </w:r>
          </w:p>
        </w:tc>
        <w:tc>
          <w:tcPr>
            <w:tcW w:w="2239" w:type="dxa"/>
            <w:tcBorders>
              <w:top w:val="single" w:color="000000" w:sz="8" w:space="0"/>
              <w:left w:val="single" w:color="000000" w:sz="8" w:space="0"/>
              <w:bottom w:val="single" w:color="000000" w:sz="8" w:space="0"/>
              <w:right w:val="single" w:color="000000" w:sz="8" w:space="0"/>
            </w:tcBorders>
          </w:tcPr>
          <w:p>
            <w:pPr>
              <w:spacing w:line="360" w:lineRule="auto"/>
              <w:jc w:val="center"/>
              <w:rPr>
                <w:rFonts w:ascii="宋体" w:hAnsi="宋体" w:eastAsia="宋体"/>
                <w:sz w:val="24"/>
                <w:szCs w:val="24"/>
              </w:rPr>
            </w:pPr>
            <w:r>
              <w:rPr>
                <w:rFonts w:ascii="宋体" w:hAnsi="宋体" w:eastAsia="宋体"/>
                <w:sz w:val="24"/>
                <w:szCs w:val="24"/>
              </w:rPr>
              <w:t>开标、评标工作咨询</w:t>
            </w:r>
          </w:p>
        </w:tc>
        <w:tc>
          <w:tcPr>
            <w:tcW w:w="6671" w:type="dxa"/>
            <w:tcBorders>
              <w:top w:val="single" w:color="000000" w:sz="8" w:space="0"/>
              <w:left w:val="single" w:color="000000" w:sz="8" w:space="0"/>
              <w:bottom w:val="single" w:color="000000" w:sz="8" w:space="0"/>
              <w:right w:val="single" w:color="000000" w:sz="8" w:space="0"/>
            </w:tcBorders>
          </w:tcPr>
          <w:p>
            <w:pPr>
              <w:spacing w:line="276" w:lineRule="auto"/>
              <w:ind w:right="105" w:rightChars="50" w:firstLine="120" w:firstLineChars="50"/>
              <w:rPr>
                <w:rFonts w:ascii="宋体" w:hAnsi="宋体" w:eastAsia="宋体"/>
                <w:sz w:val="24"/>
                <w:szCs w:val="24"/>
              </w:rPr>
            </w:pPr>
            <w:r>
              <w:rPr>
                <w:rFonts w:ascii="宋体" w:hAnsi="宋体" w:eastAsia="宋体"/>
                <w:sz w:val="24"/>
                <w:szCs w:val="24"/>
              </w:rPr>
              <w:t>联系人：</w:t>
            </w:r>
            <w:r>
              <w:rPr>
                <w:rFonts w:hint="eastAsia" w:ascii="宋体" w:hAnsi="宋体" w:eastAsia="宋体"/>
                <w:sz w:val="24"/>
                <w:szCs w:val="24"/>
              </w:rPr>
              <w:t>李</w:t>
            </w:r>
            <w:r>
              <w:rPr>
                <w:rFonts w:ascii="宋体" w:hAnsi="宋体" w:eastAsia="宋体"/>
                <w:sz w:val="24"/>
                <w:szCs w:val="24"/>
              </w:rPr>
              <w:t>老师。       联系电话：028-84469198-</w:t>
            </w:r>
            <w:r>
              <w:rPr>
                <w:rFonts w:hint="eastAsia" w:ascii="宋体" w:hAnsi="宋体" w:eastAsia="宋体"/>
                <w:sz w:val="24"/>
                <w:szCs w:val="24"/>
              </w:rPr>
              <w:t>632</w:t>
            </w:r>
            <w:r>
              <w:rPr>
                <w:rFonts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5" w:hRule="atLeast"/>
          <w:jc w:val="center"/>
        </w:trPr>
        <w:tc>
          <w:tcPr>
            <w:tcW w:w="690" w:type="dxa"/>
            <w:tcBorders>
              <w:top w:val="single" w:color="000000" w:sz="8" w:space="0"/>
              <w:left w:val="single" w:color="000000" w:sz="8" w:space="0"/>
              <w:bottom w:val="single" w:color="000000" w:sz="8" w:space="0"/>
              <w:right w:val="single" w:color="000000" w:sz="8" w:space="0"/>
            </w:tcBorders>
            <w:vAlign w:val="center"/>
          </w:tcPr>
          <w:p>
            <w:pPr>
              <w:spacing w:before="72" w:after="72" w:line="360" w:lineRule="auto"/>
              <w:ind w:right="264"/>
              <w:jc w:val="center"/>
              <w:rPr>
                <w:rFonts w:ascii="Times New Roman" w:hAnsi="Times New Roman" w:eastAsia="Times New Roman"/>
                <w:sz w:val="24"/>
                <w:szCs w:val="24"/>
              </w:rPr>
            </w:pPr>
            <w:r>
              <w:rPr>
                <w:rFonts w:ascii="Times New Roman" w:hAnsi="Times New Roman" w:eastAsia="Times New Roman"/>
                <w:sz w:val="24"/>
                <w:szCs w:val="24"/>
              </w:rPr>
              <w:t>11</w:t>
            </w:r>
          </w:p>
        </w:tc>
        <w:tc>
          <w:tcPr>
            <w:tcW w:w="2239" w:type="dxa"/>
            <w:tcBorders>
              <w:top w:val="single" w:color="000000" w:sz="8" w:space="0"/>
              <w:left w:val="single" w:color="000000" w:sz="8" w:space="0"/>
              <w:bottom w:val="single" w:color="000000" w:sz="8" w:space="0"/>
              <w:right w:val="single" w:color="000000" w:sz="8" w:space="0"/>
            </w:tcBorders>
            <w:vAlign w:val="center"/>
          </w:tcPr>
          <w:p>
            <w:pPr>
              <w:spacing w:line="360" w:lineRule="auto"/>
              <w:ind w:left="105" w:leftChars="50" w:right="105" w:rightChars="50"/>
              <w:jc w:val="center"/>
              <w:rPr>
                <w:rFonts w:ascii="宋体" w:hAnsi="宋体" w:eastAsia="宋体"/>
                <w:sz w:val="24"/>
                <w:szCs w:val="24"/>
              </w:rPr>
            </w:pPr>
            <w:r>
              <w:rPr>
                <w:rFonts w:ascii="宋体" w:hAnsi="宋体" w:eastAsia="宋体"/>
                <w:sz w:val="24"/>
                <w:szCs w:val="24"/>
              </w:rPr>
              <w:t>中标通知书领取</w:t>
            </w:r>
          </w:p>
        </w:tc>
        <w:tc>
          <w:tcPr>
            <w:tcW w:w="6671" w:type="dxa"/>
            <w:tcBorders>
              <w:top w:val="single" w:color="000000" w:sz="8" w:space="0"/>
              <w:left w:val="single" w:color="000000" w:sz="8" w:space="0"/>
              <w:bottom w:val="single" w:color="000000" w:sz="8" w:space="0"/>
              <w:right w:val="single" w:color="000000" w:sz="8" w:space="0"/>
            </w:tcBorders>
            <w:vAlign w:val="center"/>
          </w:tcPr>
          <w:p>
            <w:pPr>
              <w:spacing w:line="360" w:lineRule="auto"/>
              <w:ind w:left="118" w:leftChars="56"/>
              <w:rPr>
                <w:rFonts w:ascii="宋体" w:hAnsi="宋体" w:eastAsia="宋体"/>
                <w:sz w:val="24"/>
                <w:szCs w:val="24"/>
              </w:rPr>
            </w:pPr>
            <w:r>
              <w:rPr>
                <w:rFonts w:ascii="宋体" w:hAnsi="宋体" w:eastAsia="宋体"/>
                <w:sz w:val="24"/>
                <w:szCs w:val="24"/>
              </w:rPr>
              <w:t>1、中标公告在四川政府采购网上公告后，中标供应商凭有效身份证明证件（单位介绍信，注明办理中标通知书领取事宜，并带领取人身份证原件）到</w:t>
            </w:r>
            <w:r>
              <w:rPr>
                <w:rFonts w:ascii="宋体" w:hAnsi="宋体" w:eastAsia="宋体"/>
                <w:sz w:val="24"/>
                <w:szCs w:val="24"/>
                <w:u w:val="single"/>
              </w:rPr>
              <w:t>中金招标有限责任公司四川分公司财务室</w:t>
            </w:r>
            <w:r>
              <w:rPr>
                <w:rFonts w:ascii="宋体" w:hAnsi="宋体" w:eastAsia="宋体"/>
                <w:sz w:val="24"/>
                <w:szCs w:val="24"/>
              </w:rPr>
              <w:t>领取中标通知书。</w:t>
            </w:r>
          </w:p>
          <w:p>
            <w:pPr>
              <w:spacing w:line="360" w:lineRule="auto"/>
              <w:ind w:left="118" w:leftChars="56"/>
              <w:rPr>
                <w:rFonts w:ascii="宋体" w:hAnsi="宋体" w:eastAsia="宋体"/>
                <w:sz w:val="24"/>
                <w:szCs w:val="24"/>
              </w:rPr>
            </w:pPr>
            <w:r>
              <w:rPr>
                <w:rFonts w:ascii="宋体" w:hAnsi="宋体" w:eastAsia="宋体"/>
                <w:sz w:val="24"/>
                <w:szCs w:val="24"/>
              </w:rPr>
              <w:t>2、本项目招标代理服务费根据委托代理协议约定，同时按“成本</w:t>
            </w:r>
            <w:r>
              <w:rPr>
                <w:rFonts w:ascii="Times New Roman" w:hAnsi="Times New Roman" w:eastAsia="Times New Roman"/>
                <w:sz w:val="24"/>
                <w:szCs w:val="24"/>
              </w:rPr>
              <w:t>+</w:t>
            </w:r>
            <w:r>
              <w:rPr>
                <w:rFonts w:ascii="宋体" w:hAnsi="宋体" w:eastAsia="宋体"/>
                <w:sz w:val="24"/>
                <w:szCs w:val="24"/>
              </w:rPr>
              <w:t>合理利润”原则，定额</w:t>
            </w:r>
            <w:r>
              <w:rPr>
                <w:rFonts w:hint="eastAsia" w:ascii="宋体" w:hAnsi="宋体" w:eastAsia="宋体"/>
                <w:sz w:val="24"/>
                <w:szCs w:val="24"/>
              </w:rPr>
              <w:t>向</w:t>
            </w:r>
            <w:r>
              <w:rPr>
                <w:rFonts w:hint="eastAsia" w:ascii="宋体" w:hAnsi="宋体" w:eastAsia="宋体"/>
                <w:b/>
                <w:bCs/>
                <w:sz w:val="24"/>
                <w:szCs w:val="24"/>
              </w:rPr>
              <w:t>中标供应商</w:t>
            </w:r>
            <w:r>
              <w:rPr>
                <w:rFonts w:ascii="宋体" w:hAnsi="宋体" w:eastAsia="宋体"/>
                <w:sz w:val="24"/>
                <w:szCs w:val="24"/>
              </w:rPr>
              <w:t>收取人民币：</w:t>
            </w:r>
            <w:r>
              <w:rPr>
                <w:rFonts w:hint="eastAsia" w:ascii="宋体" w:hAnsi="宋体" w:eastAsia="宋体"/>
                <w:sz w:val="24"/>
                <w:szCs w:val="24"/>
              </w:rPr>
              <w:t>45000</w:t>
            </w:r>
            <w:r>
              <w:rPr>
                <w:rFonts w:ascii="宋体" w:hAnsi="宋体" w:eastAsia="宋体"/>
                <w:sz w:val="24"/>
                <w:szCs w:val="24"/>
              </w:rPr>
              <w:t>元</w:t>
            </w:r>
            <w:r>
              <w:rPr>
                <w:rFonts w:hint="eastAsia" w:ascii="宋体" w:hAnsi="宋体" w:eastAsia="宋体"/>
                <w:sz w:val="24"/>
                <w:szCs w:val="24"/>
              </w:rPr>
              <w:t>。</w:t>
            </w:r>
          </w:p>
          <w:p>
            <w:pPr>
              <w:spacing w:line="360" w:lineRule="auto"/>
              <w:ind w:firstLine="120" w:firstLineChars="50"/>
              <w:rPr>
                <w:rFonts w:ascii="宋体" w:hAnsi="宋体" w:eastAsia="宋体"/>
                <w:sz w:val="24"/>
                <w:szCs w:val="24"/>
              </w:rPr>
            </w:pPr>
            <w:r>
              <w:rPr>
                <w:rFonts w:ascii="宋体" w:hAnsi="宋体" w:eastAsia="宋体"/>
                <w:sz w:val="24"/>
                <w:szCs w:val="24"/>
              </w:rPr>
              <w:t>3、代理服务费支付方式如下：</w:t>
            </w:r>
          </w:p>
          <w:p>
            <w:pPr>
              <w:spacing w:line="360" w:lineRule="auto"/>
              <w:ind w:firstLine="120" w:firstLineChars="50"/>
              <w:rPr>
                <w:rFonts w:ascii="宋体" w:hAnsi="宋体" w:eastAsia="宋体"/>
                <w:sz w:val="24"/>
                <w:szCs w:val="24"/>
              </w:rPr>
            </w:pPr>
            <w:r>
              <w:rPr>
                <w:rFonts w:ascii="宋体" w:hAnsi="宋体" w:eastAsia="宋体"/>
                <w:sz w:val="24"/>
                <w:szCs w:val="24"/>
              </w:rPr>
              <w:t>联系人：鲁女士。</w:t>
            </w:r>
          </w:p>
          <w:p>
            <w:pPr>
              <w:spacing w:line="360" w:lineRule="auto"/>
              <w:ind w:firstLine="120" w:firstLineChars="50"/>
              <w:rPr>
                <w:rFonts w:ascii="宋体" w:hAnsi="宋体" w:eastAsia="宋体"/>
                <w:sz w:val="24"/>
                <w:szCs w:val="24"/>
              </w:rPr>
            </w:pPr>
            <w:r>
              <w:rPr>
                <w:rFonts w:ascii="宋体" w:hAnsi="宋体" w:eastAsia="宋体"/>
                <w:sz w:val="24"/>
                <w:szCs w:val="24"/>
              </w:rPr>
              <w:t>联系电话：</w:t>
            </w:r>
            <w:r>
              <w:rPr>
                <w:rFonts w:ascii="Times New Roman" w:hAnsi="Times New Roman" w:eastAsia="Times New Roman"/>
                <w:sz w:val="24"/>
                <w:szCs w:val="24"/>
              </w:rPr>
              <w:t>028-84469198-802</w:t>
            </w:r>
            <w:r>
              <w:rPr>
                <w:rFonts w:ascii="宋体" w:hAnsi="宋体" w:eastAsia="宋体"/>
                <w:sz w:val="24"/>
                <w:szCs w:val="24"/>
              </w:rPr>
              <w:t>。</w:t>
            </w:r>
          </w:p>
          <w:p>
            <w:pPr>
              <w:spacing w:line="360" w:lineRule="auto"/>
              <w:ind w:firstLine="120" w:firstLineChars="50"/>
              <w:rPr>
                <w:rFonts w:ascii="宋体" w:hAnsi="宋体" w:eastAsia="宋体"/>
                <w:sz w:val="24"/>
                <w:szCs w:val="24"/>
              </w:rPr>
            </w:pPr>
            <w:r>
              <w:rPr>
                <w:rFonts w:ascii="宋体" w:hAnsi="宋体" w:eastAsia="宋体"/>
                <w:sz w:val="24"/>
                <w:szCs w:val="24"/>
              </w:rPr>
              <w:t>地址：</w:t>
            </w:r>
            <w:r>
              <w:rPr>
                <w:rFonts w:ascii="宋体" w:hAnsi="宋体" w:eastAsia="宋体"/>
                <w:sz w:val="24"/>
                <w:szCs w:val="24"/>
                <w:u w:val="single"/>
              </w:rPr>
              <w:t>成都市高新区天晖路</w:t>
            </w:r>
            <w:r>
              <w:rPr>
                <w:rFonts w:ascii="Times New Roman" w:hAnsi="Times New Roman" w:eastAsia="Times New Roman"/>
                <w:sz w:val="24"/>
                <w:szCs w:val="24"/>
                <w:u w:val="single"/>
              </w:rPr>
              <w:t>360</w:t>
            </w:r>
            <w:r>
              <w:rPr>
                <w:rFonts w:ascii="宋体" w:hAnsi="宋体" w:eastAsia="宋体"/>
                <w:sz w:val="24"/>
                <w:szCs w:val="24"/>
                <w:u w:val="single"/>
              </w:rPr>
              <w:t>号晶科</w:t>
            </w:r>
            <w:r>
              <w:rPr>
                <w:rFonts w:ascii="Times New Roman" w:hAnsi="Times New Roman" w:eastAsia="Times New Roman"/>
                <w:sz w:val="24"/>
                <w:szCs w:val="24"/>
                <w:u w:val="single"/>
              </w:rPr>
              <w:t>1</w:t>
            </w:r>
            <w:r>
              <w:rPr>
                <w:rFonts w:ascii="宋体" w:hAnsi="宋体" w:eastAsia="宋体"/>
                <w:sz w:val="24"/>
                <w:szCs w:val="24"/>
                <w:u w:val="single"/>
              </w:rPr>
              <w:t>号商务楼</w:t>
            </w:r>
            <w:r>
              <w:rPr>
                <w:rFonts w:ascii="Times New Roman" w:hAnsi="Times New Roman" w:eastAsia="Times New Roman"/>
                <w:sz w:val="24"/>
                <w:szCs w:val="24"/>
                <w:u w:val="single"/>
              </w:rPr>
              <w:t>20</w:t>
            </w:r>
            <w:r>
              <w:rPr>
                <w:rFonts w:ascii="宋体" w:hAnsi="宋体" w:eastAsia="宋体"/>
                <w:sz w:val="24"/>
                <w:szCs w:val="24"/>
                <w:u w:val="single"/>
              </w:rPr>
              <w:t>楼</w:t>
            </w:r>
            <w:r>
              <w:rPr>
                <w:rFonts w:ascii="宋体" w:hAnsi="宋体" w:eastAsia="宋体"/>
                <w:sz w:val="24"/>
                <w:szCs w:val="24"/>
              </w:rPr>
              <w:t>。</w:t>
            </w:r>
          </w:p>
          <w:p>
            <w:pPr>
              <w:spacing w:line="360" w:lineRule="auto"/>
              <w:ind w:firstLine="118" w:firstLineChars="49"/>
              <w:rPr>
                <w:rFonts w:ascii="宋体" w:hAnsi="宋体" w:eastAsia="宋体"/>
                <w:b/>
                <w:bCs/>
                <w:sz w:val="24"/>
                <w:szCs w:val="24"/>
              </w:rPr>
            </w:pPr>
            <w:r>
              <w:rPr>
                <w:rFonts w:ascii="宋体" w:hAnsi="宋体" w:eastAsia="宋体"/>
                <w:b/>
                <w:bCs/>
                <w:sz w:val="24"/>
                <w:szCs w:val="24"/>
              </w:rPr>
              <w:t>中标服务费缴纳账户（请区别于保证金缴纳账户）：</w:t>
            </w:r>
          </w:p>
          <w:p>
            <w:pPr>
              <w:spacing w:line="360" w:lineRule="auto"/>
              <w:ind w:firstLine="120" w:firstLineChars="50"/>
              <w:rPr>
                <w:rFonts w:ascii="宋体" w:hAnsi="宋体" w:eastAsia="宋体"/>
                <w:sz w:val="24"/>
                <w:szCs w:val="24"/>
              </w:rPr>
            </w:pPr>
            <w:r>
              <w:rPr>
                <w:rFonts w:ascii="宋体" w:hAnsi="宋体" w:eastAsia="宋体"/>
                <w:sz w:val="24"/>
                <w:szCs w:val="24"/>
              </w:rPr>
              <w:t>开户名称：中金招标有限责任公司四川分公司；</w:t>
            </w:r>
          </w:p>
          <w:p>
            <w:pPr>
              <w:spacing w:line="360" w:lineRule="auto"/>
              <w:ind w:firstLine="120" w:firstLineChars="50"/>
              <w:rPr>
                <w:rFonts w:ascii="宋体" w:hAnsi="宋体" w:eastAsia="宋体"/>
                <w:sz w:val="24"/>
                <w:szCs w:val="24"/>
              </w:rPr>
            </w:pPr>
            <w:r>
              <w:rPr>
                <w:rFonts w:ascii="宋体" w:hAnsi="宋体" w:eastAsia="宋体"/>
                <w:sz w:val="24"/>
                <w:szCs w:val="24"/>
              </w:rPr>
              <w:t>开户银行：中国民生银行成都东风支行；</w:t>
            </w:r>
          </w:p>
          <w:p>
            <w:pPr>
              <w:spacing w:line="360" w:lineRule="auto"/>
              <w:ind w:firstLine="120" w:firstLineChars="50"/>
              <w:rPr>
                <w:rFonts w:ascii="宋体" w:hAnsi="宋体" w:eastAsia="宋体"/>
                <w:sz w:val="24"/>
                <w:szCs w:val="24"/>
              </w:rPr>
            </w:pPr>
            <w:r>
              <w:rPr>
                <w:rFonts w:ascii="宋体" w:hAnsi="宋体" w:eastAsia="宋体"/>
                <w:sz w:val="24"/>
                <w:szCs w:val="24"/>
              </w:rPr>
              <w:t>帐 号：2006 0142 1000 5610。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5" w:hRule="atLeast"/>
          <w:jc w:val="center"/>
        </w:trPr>
        <w:tc>
          <w:tcPr>
            <w:tcW w:w="690" w:type="dxa"/>
            <w:tcBorders>
              <w:top w:val="single" w:color="000000" w:sz="8" w:space="0"/>
              <w:left w:val="single" w:color="000000" w:sz="8" w:space="0"/>
              <w:bottom w:val="single" w:color="000000" w:sz="8" w:space="0"/>
              <w:right w:val="single" w:color="000000" w:sz="8" w:space="0"/>
            </w:tcBorders>
            <w:vAlign w:val="center"/>
          </w:tcPr>
          <w:p>
            <w:pPr>
              <w:spacing w:line="360" w:lineRule="auto"/>
              <w:ind w:right="264"/>
              <w:jc w:val="center"/>
              <w:rPr>
                <w:rFonts w:ascii="Times New Roman" w:hAnsi="Times New Roman" w:eastAsia="Times New Roman"/>
                <w:sz w:val="24"/>
                <w:szCs w:val="24"/>
              </w:rPr>
            </w:pPr>
            <w:r>
              <w:rPr>
                <w:rFonts w:ascii="Times New Roman" w:hAnsi="Times New Roman" w:eastAsia="Times New Roman"/>
                <w:sz w:val="24"/>
                <w:szCs w:val="24"/>
              </w:rPr>
              <w:t>12</w:t>
            </w:r>
          </w:p>
        </w:tc>
        <w:tc>
          <w:tcPr>
            <w:tcW w:w="2239" w:type="dxa"/>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rFonts w:ascii="宋体" w:hAnsi="宋体" w:eastAsia="宋体"/>
                <w:sz w:val="24"/>
                <w:szCs w:val="24"/>
              </w:rPr>
            </w:pPr>
            <w:r>
              <w:rPr>
                <w:rFonts w:ascii="宋体" w:hAnsi="宋体" w:eastAsia="宋体"/>
                <w:sz w:val="24"/>
                <w:szCs w:val="24"/>
              </w:rPr>
              <w:t>供应商询问</w:t>
            </w:r>
          </w:p>
        </w:tc>
        <w:tc>
          <w:tcPr>
            <w:tcW w:w="6671" w:type="dxa"/>
            <w:tcBorders>
              <w:top w:val="single" w:color="000000" w:sz="8" w:space="0"/>
              <w:left w:val="single" w:color="000000" w:sz="8" w:space="0"/>
              <w:bottom w:val="single" w:color="000000" w:sz="8" w:space="0"/>
              <w:right w:val="single" w:color="000000" w:sz="8" w:space="0"/>
            </w:tcBorders>
          </w:tcPr>
          <w:p>
            <w:pPr>
              <w:spacing w:line="360" w:lineRule="auto"/>
              <w:ind w:firstLine="120" w:firstLineChars="50"/>
              <w:rPr>
                <w:rFonts w:ascii="宋体" w:hAnsi="宋体" w:eastAsia="宋体"/>
                <w:sz w:val="24"/>
                <w:szCs w:val="24"/>
              </w:rPr>
            </w:pPr>
            <w:r>
              <w:rPr>
                <w:rFonts w:ascii="宋体" w:hAnsi="宋体" w:eastAsia="宋体"/>
                <w:sz w:val="24"/>
                <w:szCs w:val="24"/>
              </w:rPr>
              <w:t>根据委托代理协议约定，供应商询问由</w:t>
            </w:r>
            <w:r>
              <w:rPr>
                <w:rFonts w:ascii="宋体" w:hAnsi="宋体" w:eastAsia="宋体"/>
                <w:sz w:val="24"/>
                <w:szCs w:val="24"/>
                <w:u w:val="single"/>
              </w:rPr>
              <w:t>招标代理机构</w:t>
            </w:r>
            <w:r>
              <w:rPr>
                <w:rFonts w:ascii="宋体" w:hAnsi="宋体" w:eastAsia="宋体"/>
                <w:sz w:val="24"/>
                <w:szCs w:val="24"/>
              </w:rPr>
              <w:t>负责答复。</w:t>
            </w:r>
          </w:p>
          <w:p>
            <w:pPr>
              <w:spacing w:line="360" w:lineRule="auto"/>
              <w:ind w:firstLine="120" w:firstLineChars="50"/>
              <w:rPr>
                <w:rFonts w:ascii="宋体" w:hAnsi="宋体" w:eastAsia="宋体"/>
                <w:sz w:val="24"/>
                <w:szCs w:val="24"/>
              </w:rPr>
            </w:pPr>
            <w:r>
              <w:rPr>
                <w:rFonts w:ascii="宋体" w:hAnsi="宋体" w:eastAsia="宋体"/>
                <w:sz w:val="24"/>
                <w:szCs w:val="24"/>
              </w:rPr>
              <w:t>联系人：张女士、肖女士。</w:t>
            </w:r>
          </w:p>
          <w:p>
            <w:pPr>
              <w:spacing w:line="360" w:lineRule="auto"/>
              <w:ind w:firstLine="120" w:firstLineChars="50"/>
              <w:rPr>
                <w:rFonts w:ascii="宋体" w:hAnsi="宋体" w:eastAsia="宋体"/>
                <w:sz w:val="24"/>
                <w:szCs w:val="24"/>
              </w:rPr>
            </w:pPr>
            <w:r>
              <w:rPr>
                <w:rFonts w:ascii="宋体" w:hAnsi="宋体" w:eastAsia="宋体"/>
                <w:sz w:val="24"/>
                <w:szCs w:val="24"/>
              </w:rPr>
              <w:t>联系电话：</w:t>
            </w:r>
            <w:r>
              <w:rPr>
                <w:rFonts w:ascii="Times New Roman" w:hAnsi="Times New Roman" w:eastAsia="Times New Roman"/>
                <w:sz w:val="24"/>
                <w:szCs w:val="24"/>
              </w:rPr>
              <w:t>028-84469198-801</w:t>
            </w:r>
            <w:r>
              <w:rPr>
                <w:rFonts w:ascii="宋体" w:hAnsi="宋体" w:eastAsia="宋体"/>
                <w:sz w:val="24"/>
                <w:szCs w:val="24"/>
              </w:rPr>
              <w:t>。</w:t>
            </w:r>
          </w:p>
          <w:p>
            <w:pPr>
              <w:spacing w:line="360" w:lineRule="auto"/>
              <w:ind w:firstLine="120" w:firstLineChars="50"/>
              <w:rPr>
                <w:rFonts w:ascii="宋体" w:hAnsi="宋体" w:eastAsia="宋体"/>
                <w:sz w:val="24"/>
                <w:szCs w:val="24"/>
              </w:rPr>
            </w:pPr>
            <w:r>
              <w:rPr>
                <w:rFonts w:ascii="宋体" w:hAnsi="宋体" w:eastAsia="宋体"/>
                <w:sz w:val="24"/>
                <w:szCs w:val="24"/>
              </w:rPr>
              <w:t>地址：成都市高新区天晖路</w:t>
            </w:r>
            <w:r>
              <w:rPr>
                <w:rFonts w:ascii="Times New Roman" w:hAnsi="Times New Roman" w:eastAsia="Times New Roman"/>
                <w:sz w:val="24"/>
                <w:szCs w:val="24"/>
              </w:rPr>
              <w:t>360</w:t>
            </w:r>
            <w:r>
              <w:rPr>
                <w:rFonts w:ascii="宋体" w:hAnsi="宋体" w:eastAsia="宋体"/>
                <w:sz w:val="24"/>
                <w:szCs w:val="24"/>
              </w:rPr>
              <w:t>号晶科</w:t>
            </w:r>
            <w:r>
              <w:rPr>
                <w:rFonts w:ascii="Times New Roman" w:hAnsi="Times New Roman" w:eastAsia="Times New Roman"/>
                <w:sz w:val="24"/>
                <w:szCs w:val="24"/>
              </w:rPr>
              <w:t>1</w:t>
            </w:r>
            <w:r>
              <w:rPr>
                <w:rFonts w:ascii="宋体" w:hAnsi="宋体" w:eastAsia="宋体"/>
                <w:sz w:val="24"/>
                <w:szCs w:val="24"/>
              </w:rPr>
              <w:t>号商务楼</w:t>
            </w:r>
            <w:r>
              <w:rPr>
                <w:rFonts w:ascii="Times New Roman" w:hAnsi="Times New Roman" w:eastAsia="Times New Roman"/>
                <w:sz w:val="24"/>
                <w:szCs w:val="24"/>
              </w:rPr>
              <w:t>20</w:t>
            </w:r>
            <w:r>
              <w:rPr>
                <w:rFonts w:ascii="宋体" w:hAnsi="宋体" w:eastAsia="宋体"/>
                <w:sz w:val="24"/>
                <w:szCs w:val="24"/>
              </w:rPr>
              <w:t>楼。</w:t>
            </w:r>
          </w:p>
          <w:p>
            <w:pPr>
              <w:spacing w:line="360" w:lineRule="auto"/>
              <w:ind w:firstLine="120" w:firstLineChars="50"/>
              <w:rPr>
                <w:rFonts w:ascii="宋体" w:hAnsi="宋体" w:eastAsia="宋体"/>
                <w:sz w:val="24"/>
                <w:szCs w:val="24"/>
              </w:rPr>
            </w:pPr>
            <w:r>
              <w:rPr>
                <w:rFonts w:ascii="宋体" w:hAnsi="宋体" w:eastAsia="宋体"/>
                <w:sz w:val="24"/>
                <w:szCs w:val="24"/>
              </w:rPr>
              <w:t>邮编：</w:t>
            </w:r>
            <w:r>
              <w:rPr>
                <w:rFonts w:ascii="Times New Roman" w:hAnsi="Times New Roman" w:eastAsia="Times New Roman"/>
                <w:sz w:val="24"/>
                <w:szCs w:val="24"/>
              </w:rPr>
              <w:t>610041</w:t>
            </w:r>
            <w:r>
              <w:rPr>
                <w:rFonts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5" w:hRule="atLeast"/>
          <w:jc w:val="center"/>
        </w:trPr>
        <w:tc>
          <w:tcPr>
            <w:tcW w:w="690" w:type="dxa"/>
            <w:tcBorders>
              <w:top w:val="single" w:color="000000" w:sz="8" w:space="0"/>
              <w:left w:val="single" w:color="000000" w:sz="8" w:space="0"/>
              <w:bottom w:val="single" w:color="000000" w:sz="8" w:space="0"/>
              <w:right w:val="single" w:color="000000" w:sz="8" w:space="0"/>
            </w:tcBorders>
            <w:vAlign w:val="center"/>
          </w:tcPr>
          <w:p>
            <w:pPr>
              <w:spacing w:line="360" w:lineRule="auto"/>
              <w:ind w:right="264"/>
              <w:jc w:val="center"/>
              <w:rPr>
                <w:rFonts w:ascii="Times New Roman" w:hAnsi="Times New Roman" w:eastAsia="Times New Roman"/>
                <w:sz w:val="24"/>
                <w:szCs w:val="24"/>
              </w:rPr>
            </w:pPr>
            <w:r>
              <w:rPr>
                <w:rFonts w:ascii="Times New Roman" w:hAnsi="Times New Roman" w:eastAsia="Times New Roman"/>
                <w:sz w:val="24"/>
                <w:szCs w:val="24"/>
              </w:rPr>
              <w:t>13</w:t>
            </w:r>
          </w:p>
        </w:tc>
        <w:tc>
          <w:tcPr>
            <w:tcW w:w="2239" w:type="dxa"/>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rFonts w:ascii="宋体" w:hAnsi="宋体" w:eastAsia="宋体"/>
                <w:sz w:val="24"/>
                <w:szCs w:val="24"/>
              </w:rPr>
            </w:pPr>
            <w:r>
              <w:rPr>
                <w:rFonts w:ascii="宋体" w:hAnsi="宋体" w:eastAsia="宋体"/>
                <w:sz w:val="24"/>
                <w:szCs w:val="24"/>
              </w:rPr>
              <w:t>供应商质疑</w:t>
            </w:r>
          </w:p>
        </w:tc>
        <w:tc>
          <w:tcPr>
            <w:tcW w:w="6671" w:type="dxa"/>
            <w:tcBorders>
              <w:top w:val="single" w:color="000000" w:sz="8" w:space="0"/>
              <w:left w:val="single" w:color="000000" w:sz="8" w:space="0"/>
              <w:bottom w:val="single" w:color="000000" w:sz="8" w:space="0"/>
              <w:right w:val="single" w:color="000000" w:sz="8" w:space="0"/>
            </w:tcBorders>
            <w:vAlign w:val="center"/>
          </w:tcPr>
          <w:p>
            <w:pPr>
              <w:spacing w:line="360" w:lineRule="auto"/>
              <w:ind w:left="118" w:leftChars="56" w:right="105" w:rightChars="50"/>
              <w:jc w:val="left"/>
              <w:rPr>
                <w:rFonts w:ascii="宋体" w:hAnsi="宋体" w:eastAsia="宋体"/>
                <w:sz w:val="24"/>
                <w:szCs w:val="24"/>
              </w:rPr>
            </w:pPr>
            <w:r>
              <w:rPr>
                <w:rFonts w:ascii="宋体" w:hAnsi="宋体" w:eastAsia="宋体"/>
                <w:sz w:val="24"/>
                <w:szCs w:val="24"/>
              </w:rPr>
              <w:t>1、根据委托代理协议约定，对于采购文件的质疑由</w:t>
            </w:r>
            <w:r>
              <w:rPr>
                <w:rFonts w:ascii="宋体" w:hAnsi="宋体" w:eastAsia="宋体"/>
                <w:sz w:val="24"/>
                <w:szCs w:val="24"/>
                <w:u w:val="single"/>
              </w:rPr>
              <w:t>招标代理机构</w:t>
            </w:r>
            <w:r>
              <w:rPr>
                <w:rFonts w:ascii="宋体" w:hAnsi="宋体" w:eastAsia="宋体"/>
                <w:sz w:val="24"/>
                <w:szCs w:val="24"/>
              </w:rPr>
              <w:t>负责答复；对于采购过程由</w:t>
            </w:r>
            <w:r>
              <w:rPr>
                <w:rFonts w:ascii="宋体" w:hAnsi="宋体" w:eastAsia="宋体"/>
                <w:sz w:val="24"/>
                <w:szCs w:val="24"/>
                <w:u w:val="single"/>
              </w:rPr>
              <w:t>招标代理机构</w:t>
            </w:r>
            <w:r>
              <w:rPr>
                <w:rFonts w:ascii="宋体" w:hAnsi="宋体" w:eastAsia="宋体"/>
                <w:sz w:val="24"/>
                <w:szCs w:val="24"/>
              </w:rPr>
              <w:t>负责答复；对于采购结果由</w:t>
            </w:r>
            <w:r>
              <w:rPr>
                <w:rFonts w:ascii="宋体" w:hAnsi="宋体" w:eastAsia="宋体"/>
                <w:sz w:val="24"/>
                <w:szCs w:val="24"/>
                <w:u w:val="single"/>
              </w:rPr>
              <w:t>招标代理机构</w:t>
            </w:r>
            <w:r>
              <w:rPr>
                <w:rFonts w:ascii="宋体" w:hAnsi="宋体" w:eastAsia="宋体"/>
                <w:sz w:val="24"/>
                <w:szCs w:val="24"/>
              </w:rPr>
              <w:t>负责答复。</w:t>
            </w:r>
          </w:p>
          <w:p>
            <w:pPr>
              <w:spacing w:line="360" w:lineRule="auto"/>
              <w:ind w:left="118" w:leftChars="56" w:right="105" w:rightChars="50"/>
              <w:jc w:val="left"/>
              <w:rPr>
                <w:rFonts w:ascii="宋体" w:hAnsi="宋体" w:eastAsia="宋体"/>
                <w:sz w:val="24"/>
                <w:szCs w:val="24"/>
              </w:rPr>
            </w:pPr>
            <w:r>
              <w:rPr>
                <w:rFonts w:ascii="宋体" w:hAnsi="宋体" w:eastAsia="宋体"/>
                <w:sz w:val="24"/>
                <w:szCs w:val="24"/>
              </w:rPr>
              <w:t>2、接收质疑函的方式:供应商在法定时间内以书面形式现场、邮寄或快递提交质疑函</w:t>
            </w:r>
            <w:r>
              <w:rPr>
                <w:rFonts w:ascii="Times New Roman" w:hAnsi="Times New Roman" w:eastAsia="Times New Roman"/>
                <w:sz w:val="24"/>
                <w:szCs w:val="24"/>
              </w:rPr>
              <w:t>(</w:t>
            </w:r>
            <w:r>
              <w:rPr>
                <w:rFonts w:ascii="宋体" w:hAnsi="宋体" w:eastAsia="宋体"/>
                <w:sz w:val="24"/>
                <w:szCs w:val="24"/>
              </w:rPr>
              <w:t>邮寄以寄出的邮戳日期为准，快递以受送达人在签收单上签收之日为准</w:t>
            </w:r>
            <w:r>
              <w:rPr>
                <w:rFonts w:ascii="Times New Roman" w:hAnsi="Times New Roman" w:eastAsia="Times New Roman"/>
                <w:sz w:val="24"/>
                <w:szCs w:val="24"/>
              </w:rPr>
              <w:t>)</w:t>
            </w:r>
            <w:r>
              <w:rPr>
                <w:rFonts w:ascii="宋体" w:hAnsi="宋体" w:eastAsia="宋体"/>
                <w:sz w:val="24"/>
                <w:szCs w:val="24"/>
              </w:rPr>
              <w:t>，逾期提交不予受理。</w:t>
            </w:r>
          </w:p>
          <w:p>
            <w:pPr>
              <w:spacing w:line="360" w:lineRule="auto"/>
              <w:ind w:right="105" w:rightChars="50" w:firstLine="120" w:firstLineChars="50"/>
              <w:jc w:val="left"/>
              <w:rPr>
                <w:rFonts w:ascii="宋体" w:hAnsi="宋体" w:eastAsia="宋体"/>
                <w:sz w:val="24"/>
                <w:szCs w:val="24"/>
              </w:rPr>
            </w:pPr>
            <w:r>
              <w:rPr>
                <w:rFonts w:ascii="宋体" w:hAnsi="宋体" w:eastAsia="宋体"/>
                <w:sz w:val="24"/>
                <w:szCs w:val="24"/>
              </w:rPr>
              <w:t>联系人：朱先生。</w:t>
            </w:r>
          </w:p>
          <w:p>
            <w:pPr>
              <w:spacing w:line="360" w:lineRule="auto"/>
              <w:ind w:right="105" w:rightChars="50" w:firstLine="120" w:firstLineChars="50"/>
              <w:jc w:val="left"/>
              <w:rPr>
                <w:rFonts w:ascii="宋体" w:hAnsi="宋体" w:eastAsia="宋体"/>
                <w:sz w:val="24"/>
                <w:szCs w:val="24"/>
              </w:rPr>
            </w:pPr>
            <w:r>
              <w:rPr>
                <w:rFonts w:ascii="宋体" w:hAnsi="宋体" w:eastAsia="宋体"/>
                <w:sz w:val="24"/>
                <w:szCs w:val="24"/>
              </w:rPr>
              <w:t>联系电话：</w:t>
            </w:r>
            <w:r>
              <w:rPr>
                <w:rFonts w:ascii="Times New Roman" w:hAnsi="Times New Roman" w:eastAsia="Times New Roman"/>
                <w:sz w:val="24"/>
                <w:szCs w:val="24"/>
              </w:rPr>
              <w:t>028-84469198-818</w:t>
            </w:r>
            <w:r>
              <w:rPr>
                <w:rFonts w:ascii="宋体" w:hAnsi="宋体" w:eastAsia="宋体"/>
                <w:sz w:val="24"/>
                <w:szCs w:val="24"/>
              </w:rPr>
              <w:t>。</w:t>
            </w:r>
          </w:p>
          <w:p>
            <w:pPr>
              <w:spacing w:line="360" w:lineRule="auto"/>
              <w:ind w:right="105" w:rightChars="50" w:firstLine="120" w:firstLineChars="50"/>
              <w:jc w:val="left"/>
              <w:rPr>
                <w:rFonts w:ascii="宋体" w:hAnsi="宋体" w:eastAsia="宋体"/>
                <w:sz w:val="24"/>
                <w:szCs w:val="24"/>
              </w:rPr>
            </w:pPr>
            <w:r>
              <w:rPr>
                <w:rFonts w:ascii="宋体" w:hAnsi="宋体" w:eastAsia="宋体"/>
                <w:sz w:val="24"/>
                <w:szCs w:val="24"/>
              </w:rPr>
              <w:t>地址：成都市高新区天晖路</w:t>
            </w:r>
            <w:r>
              <w:rPr>
                <w:rFonts w:ascii="Times New Roman" w:hAnsi="Times New Roman" w:eastAsia="Times New Roman"/>
                <w:sz w:val="24"/>
                <w:szCs w:val="24"/>
              </w:rPr>
              <w:t>360</w:t>
            </w:r>
            <w:r>
              <w:rPr>
                <w:rFonts w:ascii="宋体" w:hAnsi="宋体" w:eastAsia="宋体"/>
                <w:sz w:val="24"/>
                <w:szCs w:val="24"/>
              </w:rPr>
              <w:t>号晶科</w:t>
            </w:r>
            <w:r>
              <w:rPr>
                <w:rFonts w:ascii="Times New Roman" w:hAnsi="Times New Roman" w:eastAsia="Times New Roman"/>
                <w:sz w:val="24"/>
                <w:szCs w:val="24"/>
              </w:rPr>
              <w:t>1</w:t>
            </w:r>
            <w:r>
              <w:rPr>
                <w:rFonts w:ascii="宋体" w:hAnsi="宋体" w:eastAsia="宋体"/>
                <w:sz w:val="24"/>
                <w:szCs w:val="24"/>
              </w:rPr>
              <w:t>号商务楼</w:t>
            </w:r>
            <w:r>
              <w:rPr>
                <w:rFonts w:ascii="Times New Roman" w:hAnsi="Times New Roman" w:eastAsia="Times New Roman"/>
                <w:sz w:val="24"/>
                <w:szCs w:val="24"/>
              </w:rPr>
              <w:t>20</w:t>
            </w:r>
            <w:r>
              <w:rPr>
                <w:rFonts w:ascii="宋体" w:hAnsi="宋体" w:eastAsia="宋体"/>
                <w:sz w:val="24"/>
                <w:szCs w:val="24"/>
              </w:rPr>
              <w:t>楼。</w:t>
            </w:r>
          </w:p>
          <w:p>
            <w:pPr>
              <w:spacing w:line="360" w:lineRule="auto"/>
              <w:ind w:right="105" w:rightChars="50" w:firstLine="120" w:firstLineChars="50"/>
              <w:jc w:val="left"/>
              <w:rPr>
                <w:rFonts w:ascii="宋体" w:hAnsi="宋体" w:eastAsia="宋体"/>
                <w:sz w:val="24"/>
                <w:szCs w:val="24"/>
              </w:rPr>
            </w:pPr>
            <w:r>
              <w:rPr>
                <w:rFonts w:ascii="宋体" w:hAnsi="宋体" w:eastAsia="宋体"/>
                <w:sz w:val="24"/>
                <w:szCs w:val="24"/>
              </w:rPr>
              <w:t>邮编：</w:t>
            </w:r>
            <w:r>
              <w:rPr>
                <w:rFonts w:ascii="Times New Roman" w:hAnsi="Times New Roman" w:eastAsia="Times New Roman"/>
                <w:sz w:val="24"/>
                <w:szCs w:val="24"/>
              </w:rPr>
              <w:t>610041</w:t>
            </w:r>
            <w:r>
              <w:rPr>
                <w:rFonts w:ascii="宋体" w:hAnsi="宋体" w:eastAsia="宋体"/>
                <w:sz w:val="24"/>
                <w:szCs w:val="24"/>
              </w:rPr>
              <w:t>。</w:t>
            </w:r>
          </w:p>
          <w:p>
            <w:pPr>
              <w:spacing w:line="360" w:lineRule="auto"/>
              <w:ind w:left="118" w:leftChars="56" w:right="105" w:rightChars="50"/>
              <w:jc w:val="left"/>
              <w:rPr>
                <w:rFonts w:ascii="宋体" w:hAnsi="宋体" w:eastAsia="宋体"/>
                <w:sz w:val="24"/>
                <w:szCs w:val="24"/>
              </w:rPr>
            </w:pPr>
            <w:r>
              <w:rPr>
                <w:rFonts w:ascii="宋体" w:hAnsi="宋体" w:eastAsia="宋体"/>
                <w:sz w:val="24"/>
                <w:szCs w:val="24"/>
              </w:rPr>
              <w:t>注：</w:t>
            </w:r>
          </w:p>
          <w:p>
            <w:pPr>
              <w:spacing w:line="360" w:lineRule="auto"/>
              <w:ind w:left="118" w:leftChars="56" w:right="105" w:rightChars="50"/>
              <w:jc w:val="left"/>
              <w:rPr>
                <w:rFonts w:ascii="宋体" w:hAnsi="宋体" w:eastAsia="宋体"/>
                <w:sz w:val="24"/>
                <w:szCs w:val="24"/>
              </w:rPr>
            </w:pPr>
            <w:r>
              <w:rPr>
                <w:rFonts w:ascii="宋体" w:hAnsi="宋体" w:eastAsia="宋体"/>
                <w:sz w:val="24"/>
                <w:szCs w:val="24"/>
              </w:rPr>
              <w:t>（</w:t>
            </w:r>
            <w:r>
              <w:rPr>
                <w:rFonts w:ascii="Times New Roman" w:hAnsi="Times New Roman" w:eastAsia="Times New Roman"/>
                <w:sz w:val="24"/>
                <w:szCs w:val="24"/>
              </w:rPr>
              <w:t>1</w:t>
            </w:r>
            <w:r>
              <w:rPr>
                <w:rFonts w:ascii="宋体" w:hAnsi="宋体" w:eastAsia="宋体"/>
                <w:sz w:val="24"/>
                <w:szCs w:val="24"/>
              </w:rPr>
              <w:t>）根据《中华人民共和国政府采购法》等法律法规的规定，供应商质疑不得超出采购文件、采购过程、采购结果的范围，须符合《政府采购质疑和投诉办法》相关规定。</w:t>
            </w:r>
          </w:p>
          <w:p>
            <w:pPr>
              <w:spacing w:line="360" w:lineRule="auto"/>
              <w:ind w:left="118" w:leftChars="56" w:right="105" w:rightChars="50"/>
              <w:jc w:val="left"/>
              <w:rPr>
                <w:rFonts w:ascii="宋体" w:hAnsi="宋体" w:eastAsia="宋体"/>
                <w:sz w:val="24"/>
                <w:szCs w:val="24"/>
              </w:rPr>
            </w:pPr>
            <w:r>
              <w:rPr>
                <w:rFonts w:ascii="宋体" w:hAnsi="宋体" w:eastAsia="宋体"/>
                <w:sz w:val="24"/>
                <w:szCs w:val="24"/>
              </w:rPr>
              <w:t>（</w:t>
            </w:r>
            <w:r>
              <w:rPr>
                <w:rFonts w:ascii="Times New Roman" w:hAnsi="Times New Roman" w:eastAsia="Times New Roman"/>
                <w:sz w:val="24"/>
                <w:szCs w:val="24"/>
              </w:rPr>
              <w:t>2</w:t>
            </w:r>
            <w:r>
              <w:rPr>
                <w:rFonts w:ascii="宋体" w:hAnsi="宋体" w:eastAsia="宋体"/>
                <w:sz w:val="24"/>
                <w:szCs w:val="24"/>
              </w:rPr>
              <w:t>）供应商应当在法定质疑期内一次性提出针对同一采购程序环节的质疑，否则不予受理。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5" w:hRule="atLeast"/>
          <w:jc w:val="center"/>
        </w:trPr>
        <w:tc>
          <w:tcPr>
            <w:tcW w:w="690" w:type="dxa"/>
            <w:tcBorders>
              <w:top w:val="single" w:color="000000" w:sz="8" w:space="0"/>
              <w:left w:val="single" w:color="000000" w:sz="8" w:space="0"/>
              <w:bottom w:val="single" w:color="000000" w:sz="8" w:space="0"/>
              <w:right w:val="single" w:color="000000" w:sz="8" w:space="0"/>
            </w:tcBorders>
            <w:vAlign w:val="center"/>
          </w:tcPr>
          <w:p>
            <w:pPr>
              <w:spacing w:line="360" w:lineRule="auto"/>
              <w:ind w:right="264"/>
              <w:jc w:val="center"/>
              <w:rPr>
                <w:rFonts w:ascii="Times New Roman" w:hAnsi="Times New Roman" w:eastAsia="Times New Roman"/>
                <w:sz w:val="24"/>
                <w:szCs w:val="24"/>
              </w:rPr>
            </w:pPr>
            <w:r>
              <w:rPr>
                <w:rFonts w:ascii="Times New Roman" w:hAnsi="Times New Roman" w:eastAsia="Times New Roman"/>
                <w:sz w:val="24"/>
                <w:szCs w:val="24"/>
              </w:rPr>
              <w:t>14</w:t>
            </w:r>
          </w:p>
        </w:tc>
        <w:tc>
          <w:tcPr>
            <w:tcW w:w="2239" w:type="dxa"/>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rFonts w:ascii="宋体" w:hAnsi="宋体" w:eastAsia="宋体"/>
                <w:sz w:val="24"/>
                <w:szCs w:val="24"/>
              </w:rPr>
            </w:pPr>
            <w:r>
              <w:rPr>
                <w:rFonts w:ascii="宋体" w:hAnsi="宋体" w:eastAsia="宋体"/>
                <w:sz w:val="24"/>
                <w:szCs w:val="24"/>
              </w:rPr>
              <w:t>供应商投诉</w:t>
            </w:r>
          </w:p>
        </w:tc>
        <w:tc>
          <w:tcPr>
            <w:tcW w:w="6671" w:type="dxa"/>
            <w:tcBorders>
              <w:top w:val="single" w:color="000000" w:sz="8" w:space="0"/>
              <w:left w:val="single" w:color="000000" w:sz="8" w:space="0"/>
              <w:bottom w:val="single" w:color="000000" w:sz="8" w:space="0"/>
              <w:right w:val="single" w:color="000000" w:sz="8" w:space="0"/>
            </w:tcBorders>
          </w:tcPr>
          <w:p>
            <w:pPr>
              <w:spacing w:line="360" w:lineRule="auto"/>
              <w:ind w:right="105" w:rightChars="50" w:firstLine="120" w:firstLineChars="50"/>
              <w:rPr>
                <w:rFonts w:ascii="宋体" w:hAnsi="宋体" w:eastAsia="宋体"/>
                <w:sz w:val="24"/>
                <w:szCs w:val="24"/>
              </w:rPr>
            </w:pPr>
            <w:r>
              <w:rPr>
                <w:rFonts w:ascii="宋体" w:hAnsi="宋体" w:eastAsia="宋体"/>
                <w:sz w:val="24"/>
                <w:szCs w:val="24"/>
              </w:rPr>
              <w:t xml:space="preserve">投诉受理单位：本采购项目同级财政部门。 </w:t>
            </w:r>
          </w:p>
          <w:p>
            <w:pPr>
              <w:spacing w:line="360" w:lineRule="auto"/>
              <w:ind w:firstLine="120" w:firstLineChars="50"/>
              <w:rPr>
                <w:rFonts w:ascii="宋体" w:hAnsi="宋体" w:eastAsia="宋体"/>
                <w:sz w:val="24"/>
                <w:szCs w:val="24"/>
              </w:rPr>
            </w:pPr>
            <w:r>
              <w:rPr>
                <w:rFonts w:ascii="宋体" w:hAnsi="宋体" w:eastAsia="宋体"/>
                <w:sz w:val="24"/>
                <w:szCs w:val="24"/>
              </w:rPr>
              <w:t>即：</w:t>
            </w:r>
            <w:r>
              <w:rPr>
                <w:rFonts w:hint="eastAsia" w:ascii="宋体" w:hAnsi="宋体" w:eastAsia="宋体"/>
                <w:sz w:val="24"/>
                <w:szCs w:val="24"/>
              </w:rPr>
              <w:t>武侯区财政局。</w:t>
            </w:r>
          </w:p>
          <w:p>
            <w:pPr>
              <w:spacing w:line="360" w:lineRule="auto"/>
              <w:ind w:firstLine="120" w:firstLineChars="50"/>
              <w:rPr>
                <w:rFonts w:ascii="Times New Roman" w:hAnsi="Times New Roman" w:eastAsia="Times New Roman"/>
                <w:sz w:val="24"/>
                <w:szCs w:val="24"/>
              </w:rPr>
            </w:pPr>
            <w:r>
              <w:rPr>
                <w:rFonts w:ascii="宋体" w:hAnsi="宋体" w:eastAsia="宋体"/>
                <w:sz w:val="24"/>
                <w:szCs w:val="24"/>
              </w:rPr>
              <w:t>联系电话：</w:t>
            </w:r>
            <w:r>
              <w:rPr>
                <w:rFonts w:ascii="Times New Roman" w:hAnsi="Times New Roman" w:eastAsia="Times New Roman"/>
                <w:sz w:val="24"/>
                <w:szCs w:val="24"/>
              </w:rPr>
              <w:t>028-85558345。</w:t>
            </w:r>
          </w:p>
          <w:p>
            <w:pPr>
              <w:spacing w:line="360" w:lineRule="auto"/>
              <w:ind w:right="105" w:rightChars="50" w:firstLine="120" w:firstLineChars="50"/>
              <w:rPr>
                <w:rFonts w:ascii="宋体" w:hAnsi="宋体" w:eastAsia="宋体"/>
                <w:sz w:val="24"/>
                <w:szCs w:val="24"/>
              </w:rPr>
            </w:pPr>
            <w:r>
              <w:rPr>
                <w:rFonts w:ascii="宋体" w:hAnsi="宋体" w:eastAsia="宋体"/>
                <w:sz w:val="24"/>
                <w:szCs w:val="24"/>
              </w:rPr>
              <w:t>注：供应商投诉应当有明确的请求和必要的证明材料。供应商投诉事项不得超出已质疑事项的范围，须符合《政府采购质疑和投诉办法》财政部第</w:t>
            </w:r>
            <w:r>
              <w:rPr>
                <w:rFonts w:ascii="Times New Roman" w:hAnsi="Times New Roman" w:eastAsia="Times New Roman"/>
                <w:sz w:val="24"/>
                <w:szCs w:val="24"/>
              </w:rPr>
              <w:t>94</w:t>
            </w:r>
            <w:r>
              <w:rPr>
                <w:rFonts w:ascii="宋体" w:hAnsi="宋体" w:eastAsia="宋体"/>
                <w:sz w:val="24"/>
                <w:szCs w:val="24"/>
              </w:rPr>
              <w:t>号令规定。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5" w:hRule="atLeast"/>
          <w:jc w:val="center"/>
        </w:trPr>
        <w:tc>
          <w:tcPr>
            <w:tcW w:w="690" w:type="dxa"/>
            <w:tcBorders>
              <w:top w:val="single" w:color="000000" w:sz="8" w:space="0"/>
              <w:left w:val="single" w:color="000000" w:sz="8" w:space="0"/>
              <w:bottom w:val="single" w:color="000000" w:sz="8" w:space="0"/>
              <w:right w:val="single" w:color="000000" w:sz="8" w:space="0"/>
            </w:tcBorders>
            <w:vAlign w:val="center"/>
          </w:tcPr>
          <w:p>
            <w:pPr>
              <w:spacing w:line="360" w:lineRule="auto"/>
              <w:ind w:firstLine="120" w:firstLineChars="50"/>
              <w:rPr>
                <w:rFonts w:ascii="宋体" w:hAnsi="宋体" w:eastAsia="宋体"/>
                <w:sz w:val="24"/>
                <w:szCs w:val="24"/>
              </w:rPr>
            </w:pPr>
            <w:r>
              <w:rPr>
                <w:rFonts w:ascii="宋体" w:hAnsi="宋体" w:eastAsia="宋体"/>
                <w:sz w:val="24"/>
                <w:szCs w:val="24"/>
              </w:rPr>
              <w:t>15</w:t>
            </w:r>
          </w:p>
        </w:tc>
        <w:tc>
          <w:tcPr>
            <w:tcW w:w="2239" w:type="dxa"/>
            <w:tcBorders>
              <w:top w:val="single" w:color="000000" w:sz="8" w:space="0"/>
              <w:left w:val="single" w:color="000000" w:sz="8" w:space="0"/>
              <w:bottom w:val="single" w:color="000000" w:sz="8" w:space="0"/>
              <w:right w:val="single" w:color="000000" w:sz="8" w:space="0"/>
            </w:tcBorders>
            <w:vAlign w:val="center"/>
          </w:tcPr>
          <w:p>
            <w:pPr>
              <w:spacing w:line="360" w:lineRule="auto"/>
              <w:ind w:firstLine="120" w:firstLineChars="50"/>
              <w:jc w:val="center"/>
              <w:rPr>
                <w:rFonts w:ascii="宋体" w:hAnsi="宋体" w:eastAsia="宋体"/>
                <w:sz w:val="24"/>
                <w:szCs w:val="24"/>
              </w:rPr>
            </w:pPr>
            <w:r>
              <w:rPr>
                <w:rFonts w:ascii="宋体" w:hAnsi="宋体" w:eastAsia="宋体"/>
                <w:sz w:val="24"/>
                <w:szCs w:val="24"/>
              </w:rPr>
              <w:t>政府采购合同</w:t>
            </w:r>
          </w:p>
          <w:p>
            <w:pPr>
              <w:spacing w:line="360" w:lineRule="auto"/>
              <w:ind w:firstLine="120" w:firstLineChars="50"/>
              <w:jc w:val="center"/>
              <w:rPr>
                <w:rFonts w:ascii="宋体" w:hAnsi="宋体" w:eastAsia="宋体"/>
                <w:sz w:val="24"/>
                <w:szCs w:val="24"/>
              </w:rPr>
            </w:pPr>
            <w:r>
              <w:rPr>
                <w:rFonts w:ascii="宋体" w:hAnsi="宋体" w:eastAsia="宋体"/>
                <w:sz w:val="24"/>
                <w:szCs w:val="24"/>
              </w:rPr>
              <w:t>公告备案</w:t>
            </w:r>
          </w:p>
        </w:tc>
        <w:tc>
          <w:tcPr>
            <w:tcW w:w="6671" w:type="dxa"/>
            <w:tcBorders>
              <w:top w:val="single" w:color="000000" w:sz="8" w:space="0"/>
              <w:left w:val="single" w:color="000000" w:sz="8" w:space="0"/>
              <w:bottom w:val="single" w:color="000000" w:sz="8" w:space="0"/>
              <w:right w:val="single" w:color="000000" w:sz="8" w:space="0"/>
            </w:tcBorders>
          </w:tcPr>
          <w:p>
            <w:pPr>
              <w:spacing w:line="360" w:lineRule="auto"/>
              <w:ind w:left="118" w:leftChars="56"/>
              <w:rPr>
                <w:rFonts w:ascii="宋体" w:hAnsi="宋体" w:eastAsia="宋体"/>
                <w:sz w:val="24"/>
                <w:szCs w:val="24"/>
              </w:rPr>
            </w:pPr>
            <w:r>
              <w:rPr>
                <w:rFonts w:ascii="宋体" w:hAnsi="宋体" w:eastAsia="宋体"/>
                <w:sz w:val="24"/>
                <w:szCs w:val="24"/>
              </w:rPr>
              <w:t>政府采购合同签订之日起</w:t>
            </w:r>
            <w:r>
              <w:rPr>
                <w:rFonts w:ascii="Times New Roman" w:hAnsi="Times New Roman" w:eastAsia="Times New Roman"/>
                <w:sz w:val="24"/>
                <w:szCs w:val="24"/>
              </w:rPr>
              <w:t>2</w:t>
            </w:r>
            <w:r>
              <w:rPr>
                <w:rFonts w:ascii="宋体" w:hAnsi="宋体" w:eastAsia="宋体"/>
                <w:sz w:val="24"/>
                <w:szCs w:val="24"/>
              </w:rPr>
              <w:t>个工作日内，政府采购合同将在四川政府采购网公告；政府采购合同签订之日起</w:t>
            </w:r>
            <w:r>
              <w:rPr>
                <w:rFonts w:ascii="Times New Roman" w:hAnsi="Times New Roman" w:eastAsia="Times New Roman"/>
                <w:sz w:val="24"/>
                <w:szCs w:val="24"/>
              </w:rPr>
              <w:t>7</w:t>
            </w:r>
            <w:r>
              <w:rPr>
                <w:rFonts w:ascii="宋体" w:hAnsi="宋体" w:eastAsia="宋体"/>
                <w:sz w:val="24"/>
                <w:szCs w:val="24"/>
              </w:rPr>
              <w:t>个工作日内，政府采购合同将向本采购项目同级财政部门备案。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5" w:hRule="atLeast"/>
          <w:jc w:val="center"/>
        </w:trPr>
        <w:tc>
          <w:tcPr>
            <w:tcW w:w="690" w:type="dxa"/>
            <w:tcBorders>
              <w:top w:val="single" w:color="000000" w:sz="8" w:space="0"/>
              <w:left w:val="single" w:color="000000" w:sz="8" w:space="0"/>
              <w:bottom w:val="single" w:color="000000" w:sz="8" w:space="0"/>
              <w:right w:val="single" w:color="000000" w:sz="8" w:space="0"/>
            </w:tcBorders>
            <w:vAlign w:val="center"/>
          </w:tcPr>
          <w:p>
            <w:pPr>
              <w:spacing w:line="360" w:lineRule="auto"/>
              <w:ind w:firstLine="120" w:firstLineChars="50"/>
              <w:rPr>
                <w:rFonts w:ascii="宋体" w:hAnsi="宋体" w:eastAsia="宋体"/>
                <w:sz w:val="24"/>
                <w:szCs w:val="24"/>
              </w:rPr>
            </w:pPr>
            <w:r>
              <w:rPr>
                <w:rFonts w:ascii="宋体" w:hAnsi="宋体" w:eastAsia="宋体"/>
                <w:sz w:val="24"/>
                <w:szCs w:val="24"/>
              </w:rPr>
              <w:t>16</w:t>
            </w:r>
          </w:p>
        </w:tc>
        <w:tc>
          <w:tcPr>
            <w:tcW w:w="2239" w:type="dxa"/>
            <w:tcBorders>
              <w:top w:val="single" w:color="000000" w:sz="8" w:space="0"/>
              <w:left w:val="single" w:color="000000" w:sz="8" w:space="0"/>
              <w:bottom w:val="single" w:color="000000" w:sz="8" w:space="0"/>
              <w:right w:val="single" w:color="000000" w:sz="8" w:space="0"/>
            </w:tcBorders>
            <w:vAlign w:val="center"/>
          </w:tcPr>
          <w:p>
            <w:pPr>
              <w:spacing w:line="360" w:lineRule="auto"/>
              <w:ind w:firstLine="120" w:firstLineChars="50"/>
              <w:jc w:val="center"/>
              <w:rPr>
                <w:rFonts w:ascii="Times New Roman" w:hAnsi="Times New Roman" w:eastAsia="Times New Roman"/>
                <w:sz w:val="24"/>
                <w:szCs w:val="24"/>
              </w:rPr>
            </w:pPr>
            <w:r>
              <w:rPr>
                <w:rFonts w:ascii="宋体" w:hAnsi="宋体" w:eastAsia="宋体"/>
                <w:sz w:val="24"/>
                <w:szCs w:val="24"/>
              </w:rPr>
              <w:t>建议品牌或者供应商</w:t>
            </w:r>
            <w:r>
              <w:rPr>
                <w:rFonts w:ascii="Times New Roman" w:hAnsi="Times New Roman" w:eastAsia="Times New Roman"/>
                <w:sz w:val="24"/>
                <w:szCs w:val="24"/>
              </w:rPr>
              <w:t xml:space="preserve"> (</w:t>
            </w:r>
            <w:r>
              <w:rPr>
                <w:rFonts w:ascii="宋体" w:hAnsi="宋体" w:eastAsia="宋体"/>
                <w:sz w:val="24"/>
                <w:szCs w:val="24"/>
              </w:rPr>
              <w:t>如涉及</w:t>
            </w:r>
            <w:r>
              <w:rPr>
                <w:rFonts w:ascii="Times New Roman" w:hAnsi="Times New Roman" w:eastAsia="Times New Roman"/>
                <w:sz w:val="24"/>
                <w:szCs w:val="24"/>
              </w:rPr>
              <w:t>)</w:t>
            </w:r>
          </w:p>
        </w:tc>
        <w:tc>
          <w:tcPr>
            <w:tcW w:w="6671" w:type="dxa"/>
            <w:tcBorders>
              <w:top w:val="single" w:color="000000" w:sz="8" w:space="0"/>
              <w:left w:val="single" w:color="000000" w:sz="8" w:space="0"/>
              <w:bottom w:val="single" w:color="000000" w:sz="8" w:space="0"/>
              <w:right w:val="single" w:color="000000" w:sz="8" w:space="0"/>
            </w:tcBorders>
          </w:tcPr>
          <w:p>
            <w:pPr>
              <w:spacing w:line="360" w:lineRule="auto"/>
              <w:ind w:left="118" w:leftChars="56"/>
              <w:rPr>
                <w:rFonts w:ascii="宋体" w:hAnsi="宋体" w:eastAsia="宋体"/>
                <w:sz w:val="24"/>
                <w:szCs w:val="24"/>
              </w:rPr>
            </w:pPr>
            <w:r>
              <w:rPr>
                <w:rFonts w:ascii="宋体" w:hAnsi="宋体" w:eastAsia="宋体"/>
                <w:sz w:val="24"/>
                <w:szCs w:val="24"/>
              </w:rPr>
              <w:t>若采购文件涉及建议品牌或者供应商，其目的是为了准确清楚说明采购项目的技术标准和要求，其意思表示为“参照或相当于”建议品牌或者供应商，其建议品牌或供应商具有可替代性。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5" w:hRule="atLeast"/>
          <w:jc w:val="center"/>
        </w:trPr>
        <w:tc>
          <w:tcPr>
            <w:tcW w:w="690" w:type="dxa"/>
            <w:tcBorders>
              <w:top w:val="single" w:color="000000" w:sz="8" w:space="0"/>
              <w:left w:val="single" w:color="000000" w:sz="8" w:space="0"/>
              <w:bottom w:val="single" w:color="000000" w:sz="8" w:space="0"/>
              <w:right w:val="single" w:color="000000" w:sz="8" w:space="0"/>
            </w:tcBorders>
            <w:vAlign w:val="center"/>
          </w:tcPr>
          <w:p>
            <w:pPr>
              <w:spacing w:line="276" w:lineRule="auto"/>
              <w:ind w:firstLine="120" w:firstLineChars="50"/>
              <w:rPr>
                <w:rFonts w:ascii="宋体" w:hAnsi="宋体" w:eastAsia="宋体"/>
                <w:sz w:val="24"/>
                <w:szCs w:val="24"/>
              </w:rPr>
            </w:pPr>
            <w:r>
              <w:rPr>
                <w:rFonts w:ascii="宋体" w:hAnsi="宋体" w:eastAsia="宋体"/>
                <w:sz w:val="24"/>
                <w:szCs w:val="24"/>
              </w:rPr>
              <w:t>17</w:t>
            </w:r>
          </w:p>
        </w:tc>
        <w:tc>
          <w:tcPr>
            <w:tcW w:w="2239" w:type="dxa"/>
            <w:tcBorders>
              <w:top w:val="single" w:color="000000" w:sz="8" w:space="0"/>
              <w:left w:val="single" w:color="000000" w:sz="8" w:space="0"/>
              <w:bottom w:val="single" w:color="000000" w:sz="8" w:space="0"/>
              <w:right w:val="single" w:color="000000" w:sz="8" w:space="0"/>
            </w:tcBorders>
            <w:vAlign w:val="center"/>
          </w:tcPr>
          <w:p>
            <w:pPr>
              <w:spacing w:line="276" w:lineRule="auto"/>
              <w:ind w:firstLine="120" w:firstLineChars="50"/>
              <w:jc w:val="center"/>
              <w:rPr>
                <w:rFonts w:ascii="宋体" w:hAnsi="宋体" w:eastAsia="宋体"/>
                <w:sz w:val="24"/>
                <w:szCs w:val="24"/>
              </w:rPr>
            </w:pPr>
            <w:r>
              <w:rPr>
                <w:rFonts w:ascii="宋体" w:hAnsi="宋体" w:eastAsia="宋体"/>
                <w:sz w:val="24"/>
                <w:szCs w:val="24"/>
              </w:rPr>
              <w:t>其他说明</w:t>
            </w:r>
          </w:p>
        </w:tc>
        <w:tc>
          <w:tcPr>
            <w:tcW w:w="6671" w:type="dxa"/>
            <w:tcBorders>
              <w:top w:val="single" w:color="000000" w:sz="8" w:space="0"/>
              <w:left w:val="single" w:color="000000" w:sz="8" w:space="0"/>
              <w:bottom w:val="single" w:color="000000" w:sz="8" w:space="0"/>
              <w:right w:val="single" w:color="000000" w:sz="8" w:space="0"/>
            </w:tcBorders>
          </w:tcPr>
          <w:p>
            <w:pPr>
              <w:spacing w:line="276" w:lineRule="auto"/>
              <w:ind w:left="72" w:firstLine="72" w:firstLineChars="30"/>
              <w:rPr>
                <w:rFonts w:ascii="宋体" w:hAnsi="宋体" w:eastAsia="宋体"/>
                <w:sz w:val="24"/>
                <w:szCs w:val="24"/>
              </w:rPr>
            </w:pPr>
            <w:r>
              <w:rPr>
                <w:rFonts w:ascii="Times New Roman" w:hAnsi="Times New Roman" w:eastAsia="Times New Roman"/>
                <w:sz w:val="24"/>
                <w:szCs w:val="24"/>
              </w:rPr>
              <w:t>1</w:t>
            </w:r>
            <w:r>
              <w:rPr>
                <w:rFonts w:ascii="宋体" w:hAnsi="宋体" w:eastAsia="宋体"/>
                <w:sz w:val="24"/>
                <w:szCs w:val="24"/>
              </w:rPr>
              <w:t>、在报价、商务、服务、技术同等条件下，优先采购老少边穷不发达地区企业的产品或服务。</w:t>
            </w:r>
          </w:p>
          <w:p>
            <w:pPr>
              <w:spacing w:line="276" w:lineRule="auto"/>
              <w:ind w:left="72" w:firstLine="72" w:firstLineChars="30"/>
              <w:rPr>
                <w:rFonts w:ascii="宋体" w:hAnsi="宋体" w:eastAsia="宋体"/>
                <w:sz w:val="24"/>
                <w:szCs w:val="24"/>
              </w:rPr>
            </w:pPr>
            <w:r>
              <w:rPr>
                <w:rFonts w:ascii="Times New Roman" w:hAnsi="Times New Roman" w:eastAsia="Times New Roman"/>
                <w:sz w:val="24"/>
                <w:szCs w:val="24"/>
              </w:rPr>
              <w:t>2</w:t>
            </w:r>
            <w:r>
              <w:rPr>
                <w:rFonts w:ascii="宋体" w:hAnsi="宋体" w:eastAsia="宋体"/>
                <w:sz w:val="24"/>
                <w:szCs w:val="24"/>
              </w:rPr>
              <w:t>、凡涉及如</w:t>
            </w:r>
            <w:r>
              <w:rPr>
                <w:rFonts w:ascii="Times New Roman" w:hAnsi="Times New Roman" w:eastAsia="Times New Roman"/>
                <w:sz w:val="24"/>
                <w:szCs w:val="24"/>
              </w:rPr>
              <w:t>CCC</w:t>
            </w:r>
            <w:r>
              <w:rPr>
                <w:rFonts w:ascii="宋体" w:hAnsi="宋体" w:eastAsia="宋体"/>
                <w:sz w:val="24"/>
                <w:szCs w:val="24"/>
              </w:rPr>
              <w:t>、进网许可、计算机信息系统安全销售许可证等国家针对产品的强制认证或许可，在交货现场查验相关材料。</w:t>
            </w:r>
          </w:p>
          <w:p>
            <w:pPr>
              <w:spacing w:line="276" w:lineRule="auto"/>
              <w:ind w:left="72" w:firstLine="72" w:firstLineChars="30"/>
              <w:rPr>
                <w:rFonts w:ascii="宋体" w:hAnsi="宋体" w:eastAsia="宋体"/>
                <w:sz w:val="24"/>
                <w:szCs w:val="24"/>
              </w:rPr>
            </w:pPr>
            <w:r>
              <w:rPr>
                <w:rFonts w:ascii="Times New Roman" w:hAnsi="Times New Roman" w:eastAsia="Times New Roman"/>
                <w:sz w:val="24"/>
                <w:szCs w:val="24"/>
              </w:rPr>
              <w:t>3</w:t>
            </w:r>
            <w:r>
              <w:rPr>
                <w:rFonts w:ascii="宋体" w:hAnsi="宋体" w:eastAsia="宋体"/>
                <w:sz w:val="24"/>
                <w:szCs w:val="24"/>
              </w:rPr>
              <w:t>、如因行业惯例或习惯，在招投标文件中使用了非法定计量单位，不影响招投标文件的有效性。</w:t>
            </w:r>
          </w:p>
          <w:p>
            <w:pPr>
              <w:spacing w:line="276" w:lineRule="auto"/>
              <w:ind w:left="118" w:leftChars="56"/>
              <w:rPr>
                <w:rFonts w:ascii="宋体" w:hAnsi="宋体" w:eastAsia="宋体"/>
                <w:sz w:val="24"/>
                <w:szCs w:val="24"/>
              </w:rPr>
            </w:pPr>
            <w:r>
              <w:rPr>
                <w:rFonts w:ascii="宋体" w:hAnsi="宋体" w:eastAsia="宋体"/>
                <w:sz w:val="24"/>
                <w:szCs w:val="24"/>
              </w:rPr>
              <w:t>注：招标文件中有另行规定的按照招标文件要求执行。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5" w:hRule="atLeast"/>
          <w:jc w:val="center"/>
        </w:trPr>
        <w:tc>
          <w:tcPr>
            <w:tcW w:w="690" w:type="dxa"/>
            <w:tcBorders>
              <w:top w:val="single" w:color="000000" w:sz="8" w:space="0"/>
              <w:left w:val="single" w:color="000000" w:sz="8" w:space="0"/>
              <w:bottom w:val="single" w:color="000000" w:sz="8" w:space="0"/>
              <w:right w:val="single" w:color="000000" w:sz="8" w:space="0"/>
            </w:tcBorders>
            <w:vAlign w:val="center"/>
          </w:tcPr>
          <w:p>
            <w:pPr>
              <w:spacing w:line="360" w:lineRule="auto"/>
              <w:ind w:firstLine="120" w:firstLineChars="50"/>
              <w:rPr>
                <w:rFonts w:ascii="宋体" w:hAnsi="宋体" w:eastAsia="宋体"/>
                <w:sz w:val="24"/>
                <w:szCs w:val="24"/>
              </w:rPr>
            </w:pPr>
            <w:r>
              <w:rPr>
                <w:rFonts w:ascii="宋体" w:hAnsi="宋体" w:eastAsia="宋体"/>
                <w:sz w:val="24"/>
                <w:szCs w:val="24"/>
              </w:rPr>
              <w:t>18</w:t>
            </w:r>
          </w:p>
        </w:tc>
        <w:tc>
          <w:tcPr>
            <w:tcW w:w="2239" w:type="dxa"/>
            <w:tcBorders>
              <w:top w:val="single" w:color="000000" w:sz="8" w:space="0"/>
              <w:left w:val="single" w:color="000000" w:sz="8" w:space="0"/>
              <w:bottom w:val="single" w:color="000000" w:sz="8" w:space="0"/>
              <w:right w:val="single" w:color="000000" w:sz="8" w:space="0"/>
            </w:tcBorders>
            <w:vAlign w:val="center"/>
          </w:tcPr>
          <w:p>
            <w:pPr>
              <w:spacing w:line="360" w:lineRule="auto"/>
              <w:ind w:firstLine="120" w:firstLineChars="50"/>
              <w:jc w:val="center"/>
              <w:rPr>
                <w:rFonts w:ascii="宋体" w:hAnsi="宋体" w:eastAsia="宋体"/>
                <w:sz w:val="24"/>
                <w:szCs w:val="24"/>
              </w:rPr>
            </w:pPr>
            <w:r>
              <w:rPr>
                <w:rFonts w:ascii="宋体" w:hAnsi="宋体" w:eastAsia="宋体"/>
                <w:sz w:val="24"/>
                <w:szCs w:val="24"/>
              </w:rPr>
              <w:t>供应商信用融资</w:t>
            </w:r>
          </w:p>
        </w:tc>
        <w:tc>
          <w:tcPr>
            <w:tcW w:w="6671" w:type="dxa"/>
            <w:tcBorders>
              <w:top w:val="single" w:color="000000" w:sz="8" w:space="0"/>
              <w:left w:val="single" w:color="000000" w:sz="8" w:space="0"/>
              <w:bottom w:val="single" w:color="000000" w:sz="8" w:space="0"/>
              <w:right w:val="single" w:color="000000" w:sz="8" w:space="0"/>
            </w:tcBorders>
          </w:tcPr>
          <w:p>
            <w:pPr>
              <w:spacing w:line="360" w:lineRule="auto"/>
              <w:ind w:left="118" w:leftChars="56"/>
              <w:rPr>
                <w:rFonts w:ascii="宋体" w:hAnsi="宋体" w:eastAsia="宋体"/>
                <w:sz w:val="24"/>
                <w:szCs w:val="24"/>
              </w:rPr>
            </w:pPr>
            <w:r>
              <w:rPr>
                <w:rFonts w:ascii="宋体" w:hAnsi="宋体" w:eastAsia="宋体"/>
                <w:sz w:val="24"/>
                <w:szCs w:val="24"/>
              </w:rPr>
              <w:t>根据《四川省财政厅关于推进四川省政府采购供应商信用融资工作的通知》（川财采</w:t>
            </w:r>
            <w:r>
              <w:rPr>
                <w:rFonts w:ascii="Times New Roman" w:hAnsi="Times New Roman" w:eastAsia="Times New Roman"/>
                <w:sz w:val="24"/>
                <w:szCs w:val="24"/>
              </w:rPr>
              <w:t>[2018]123</w:t>
            </w:r>
            <w:r>
              <w:rPr>
                <w:rFonts w:ascii="宋体" w:hAnsi="宋体" w:eastAsia="宋体"/>
                <w:sz w:val="24"/>
                <w:szCs w:val="24"/>
              </w:rPr>
              <w:t>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tc>
      </w:tr>
    </w:tbl>
    <w:p>
      <w:pPr>
        <w:snapToGrid w:val="0"/>
        <w:jc w:val="left"/>
        <w:rPr>
          <w:rFonts w:ascii="微软雅黑" w:hAnsi="微软雅黑" w:eastAsia="微软雅黑"/>
          <w:szCs w:val="21"/>
        </w:rPr>
      </w:pPr>
    </w:p>
    <w:p>
      <w:pPr>
        <w:rPr>
          <w:rFonts w:ascii="宋体" w:hAnsi="宋体" w:eastAsia="宋体"/>
          <w:szCs w:val="21"/>
        </w:rPr>
      </w:pPr>
    </w:p>
    <w:p>
      <w:pPr>
        <w:pStyle w:val="5"/>
        <w:spacing w:line="400" w:lineRule="exact"/>
        <w:ind w:firstLine="420"/>
        <w:jc w:val="center"/>
        <w:rPr>
          <w:rFonts w:ascii="宋体" w:hAnsi="宋体" w:eastAsia="宋体"/>
          <w:color w:val="auto"/>
          <w:sz w:val="28"/>
          <w:szCs w:val="28"/>
        </w:rPr>
      </w:pPr>
      <w:bookmarkStart w:id="18" w:name="_Toc29582"/>
      <w:r>
        <w:rPr>
          <w:rFonts w:ascii="宋体" w:hAnsi="宋体" w:eastAsia="宋体"/>
          <w:color w:val="auto"/>
          <w:sz w:val="28"/>
          <w:szCs w:val="28"/>
        </w:rPr>
        <w:t>二、总  则</w:t>
      </w:r>
      <w:bookmarkEnd w:id="18"/>
    </w:p>
    <w:p>
      <w:pPr>
        <w:pStyle w:val="6"/>
        <w:spacing w:line="400" w:lineRule="exact"/>
        <w:jc w:val="both"/>
        <w:rPr>
          <w:rFonts w:ascii="宋体" w:hAnsi="宋体" w:eastAsia="宋体"/>
          <w:color w:val="auto"/>
          <w:sz w:val="24"/>
          <w:szCs w:val="24"/>
        </w:rPr>
      </w:pPr>
      <w:r>
        <w:rPr>
          <w:rFonts w:ascii="宋体" w:hAnsi="宋体" w:eastAsia="宋体"/>
          <w:color w:val="auto"/>
          <w:sz w:val="24"/>
          <w:szCs w:val="24"/>
        </w:rPr>
        <w:t>1. 适用范围</w:t>
      </w:r>
    </w:p>
    <w:p>
      <w:pPr>
        <w:spacing w:line="400" w:lineRule="exact"/>
        <w:ind w:firstLine="480" w:firstLineChars="200"/>
        <w:rPr>
          <w:rFonts w:ascii="宋体" w:hAnsi="宋体" w:eastAsia="宋体"/>
          <w:sz w:val="24"/>
          <w:szCs w:val="24"/>
        </w:rPr>
      </w:pPr>
      <w:r>
        <w:rPr>
          <w:rFonts w:ascii="宋体" w:hAnsi="宋体" w:eastAsia="宋体"/>
          <w:sz w:val="24"/>
          <w:szCs w:val="24"/>
        </w:rPr>
        <w:t>1.1 本招标文件仅适用于本次招标采购项目。</w:t>
      </w:r>
    </w:p>
    <w:p>
      <w:pPr>
        <w:pStyle w:val="6"/>
        <w:spacing w:line="400" w:lineRule="exact"/>
        <w:jc w:val="both"/>
        <w:rPr>
          <w:rFonts w:ascii="宋体" w:hAnsi="宋体" w:eastAsia="宋体"/>
          <w:color w:val="auto"/>
          <w:sz w:val="24"/>
          <w:szCs w:val="24"/>
        </w:rPr>
      </w:pPr>
      <w:r>
        <w:rPr>
          <w:rFonts w:ascii="宋体" w:hAnsi="宋体" w:eastAsia="宋体"/>
          <w:color w:val="auto"/>
          <w:sz w:val="24"/>
          <w:szCs w:val="24"/>
        </w:rPr>
        <w:t>2. 有关定义</w:t>
      </w:r>
    </w:p>
    <w:p>
      <w:pPr>
        <w:spacing w:line="400" w:lineRule="exact"/>
        <w:ind w:firstLine="480" w:firstLineChars="200"/>
        <w:rPr>
          <w:rFonts w:ascii="宋体" w:hAnsi="宋体" w:eastAsia="宋体"/>
          <w:sz w:val="24"/>
          <w:szCs w:val="24"/>
        </w:rPr>
      </w:pPr>
      <w:r>
        <w:rPr>
          <w:rFonts w:ascii="宋体" w:hAnsi="宋体" w:eastAsia="宋体"/>
          <w:sz w:val="24"/>
          <w:szCs w:val="24"/>
        </w:rPr>
        <w:t>2.1 “采购人”系指依法进行政府采购的国家机关、事业单位、团体组织。本次招标的采购人是</w:t>
      </w:r>
      <w:r>
        <w:rPr>
          <w:rFonts w:hint="eastAsia" w:ascii="宋体" w:hAnsi="宋体" w:eastAsia="宋体"/>
          <w:sz w:val="24"/>
          <w:szCs w:val="24"/>
          <w:u w:val="single"/>
        </w:rPr>
        <w:t>成都市武侯区人民政府华兴街道办事处</w:t>
      </w:r>
      <w:r>
        <w:rPr>
          <w:rFonts w:ascii="宋体" w:hAnsi="宋体" w:eastAsia="宋体"/>
          <w:sz w:val="24"/>
          <w:szCs w:val="24"/>
        </w:rPr>
        <w:t>。</w:t>
      </w:r>
    </w:p>
    <w:p>
      <w:pPr>
        <w:spacing w:line="400" w:lineRule="exact"/>
        <w:ind w:firstLine="480" w:firstLineChars="200"/>
        <w:rPr>
          <w:rFonts w:ascii="宋体" w:hAnsi="宋体" w:eastAsia="宋体"/>
          <w:sz w:val="24"/>
          <w:szCs w:val="24"/>
        </w:rPr>
      </w:pPr>
      <w:r>
        <w:rPr>
          <w:rFonts w:ascii="宋体" w:hAnsi="宋体" w:eastAsia="宋体"/>
          <w:sz w:val="24"/>
          <w:szCs w:val="24"/>
        </w:rPr>
        <w:t>2.2 “采购代理机构” 系指根据采购人的委托依法办理招标事宜的采购机构。本次招标的采购代理机构是</w:t>
      </w:r>
      <w:r>
        <w:rPr>
          <w:rFonts w:ascii="宋体" w:hAnsi="宋体" w:eastAsia="宋体"/>
          <w:sz w:val="24"/>
          <w:szCs w:val="24"/>
          <w:u w:val="single"/>
        </w:rPr>
        <w:t>中金招标有限责任公司</w:t>
      </w:r>
      <w:r>
        <w:rPr>
          <w:rFonts w:ascii="宋体" w:hAnsi="宋体" w:eastAsia="宋体"/>
          <w:sz w:val="24"/>
          <w:szCs w:val="24"/>
        </w:rPr>
        <w:t>。</w:t>
      </w:r>
    </w:p>
    <w:p>
      <w:pPr>
        <w:spacing w:line="400" w:lineRule="exact"/>
        <w:ind w:firstLine="480" w:firstLineChars="200"/>
        <w:rPr>
          <w:rFonts w:ascii="宋体" w:hAnsi="宋体" w:eastAsia="宋体"/>
          <w:sz w:val="24"/>
          <w:szCs w:val="24"/>
        </w:rPr>
      </w:pPr>
      <w:r>
        <w:rPr>
          <w:rFonts w:ascii="宋体" w:hAnsi="宋体" w:eastAsia="宋体"/>
          <w:sz w:val="24"/>
          <w:szCs w:val="24"/>
        </w:rPr>
        <w:t>2.3 “招标采购单位”系指“采购人”和“采购代理机构”的统称。</w:t>
      </w:r>
    </w:p>
    <w:p>
      <w:pPr>
        <w:spacing w:line="400" w:lineRule="exact"/>
        <w:ind w:firstLine="480" w:firstLineChars="200"/>
        <w:rPr>
          <w:rFonts w:ascii="宋体" w:hAnsi="宋体" w:eastAsia="宋体"/>
          <w:sz w:val="24"/>
          <w:szCs w:val="24"/>
        </w:rPr>
      </w:pPr>
      <w:r>
        <w:rPr>
          <w:rFonts w:ascii="宋体" w:hAnsi="宋体" w:eastAsia="宋体"/>
          <w:sz w:val="24"/>
          <w:szCs w:val="24"/>
        </w:rPr>
        <w:t>2.4 “投标人”系指购买了招标文件拟参加投标和向采购人提供货物及相应服务的供应商。</w:t>
      </w:r>
    </w:p>
    <w:p>
      <w:pPr>
        <w:pStyle w:val="6"/>
        <w:spacing w:line="400" w:lineRule="exact"/>
        <w:jc w:val="both"/>
        <w:rPr>
          <w:rFonts w:ascii="宋体" w:hAnsi="宋体" w:eastAsia="宋体"/>
          <w:color w:val="auto"/>
          <w:sz w:val="24"/>
          <w:szCs w:val="24"/>
        </w:rPr>
      </w:pPr>
      <w:r>
        <w:rPr>
          <w:rFonts w:ascii="宋体" w:hAnsi="宋体" w:eastAsia="宋体"/>
          <w:color w:val="auto"/>
          <w:sz w:val="24"/>
          <w:szCs w:val="24"/>
        </w:rPr>
        <w:t>3. 合格的投标人（实质性要求）</w:t>
      </w:r>
    </w:p>
    <w:p>
      <w:pPr>
        <w:spacing w:line="400" w:lineRule="exact"/>
        <w:rPr>
          <w:rFonts w:ascii="宋体" w:hAnsi="宋体" w:eastAsia="宋体"/>
          <w:sz w:val="24"/>
          <w:szCs w:val="24"/>
        </w:rPr>
      </w:pPr>
      <w:r>
        <w:rPr>
          <w:rFonts w:ascii="宋体" w:hAnsi="宋体" w:eastAsia="宋体"/>
          <w:sz w:val="24"/>
          <w:szCs w:val="24"/>
        </w:rPr>
        <w:t>合格的投标人应具备以下条件：</w:t>
      </w:r>
    </w:p>
    <w:p>
      <w:pPr>
        <w:spacing w:line="400" w:lineRule="exact"/>
        <w:ind w:firstLine="480" w:firstLineChars="200"/>
        <w:rPr>
          <w:rFonts w:ascii="宋体" w:hAnsi="宋体" w:eastAsia="宋体"/>
          <w:sz w:val="24"/>
          <w:szCs w:val="24"/>
        </w:rPr>
      </w:pPr>
      <w:r>
        <w:rPr>
          <w:rFonts w:ascii="宋体" w:hAnsi="宋体" w:eastAsia="宋体"/>
          <w:sz w:val="24"/>
          <w:szCs w:val="24"/>
        </w:rPr>
        <w:t>（</w:t>
      </w:r>
      <w:r>
        <w:rPr>
          <w:rFonts w:ascii="Times New Roman" w:hAnsi="Times New Roman" w:eastAsia="Times New Roman"/>
          <w:sz w:val="24"/>
          <w:szCs w:val="24"/>
        </w:rPr>
        <w:t>1</w:t>
      </w:r>
      <w:r>
        <w:rPr>
          <w:rFonts w:ascii="宋体" w:hAnsi="宋体" w:eastAsia="宋体"/>
          <w:sz w:val="24"/>
          <w:szCs w:val="24"/>
        </w:rPr>
        <w:t>）本招标文件规定的供应商资格条件；</w:t>
      </w:r>
    </w:p>
    <w:p>
      <w:pPr>
        <w:spacing w:line="400" w:lineRule="exact"/>
        <w:ind w:firstLine="480" w:firstLineChars="200"/>
        <w:rPr>
          <w:rFonts w:ascii="宋体" w:hAnsi="宋体" w:eastAsia="宋体"/>
          <w:sz w:val="24"/>
          <w:szCs w:val="24"/>
        </w:rPr>
      </w:pPr>
      <w:r>
        <w:rPr>
          <w:rFonts w:ascii="宋体" w:hAnsi="宋体" w:eastAsia="宋体"/>
          <w:sz w:val="24"/>
          <w:szCs w:val="24"/>
        </w:rPr>
        <w:t>（</w:t>
      </w:r>
      <w:r>
        <w:rPr>
          <w:rFonts w:ascii="Times New Roman" w:hAnsi="Times New Roman" w:eastAsia="Times New Roman"/>
          <w:sz w:val="24"/>
          <w:szCs w:val="24"/>
        </w:rPr>
        <w:t>2</w:t>
      </w:r>
      <w:r>
        <w:rPr>
          <w:rFonts w:ascii="宋体" w:hAnsi="宋体" w:eastAsia="宋体"/>
          <w:sz w:val="24"/>
          <w:szCs w:val="24"/>
        </w:rPr>
        <w:t>）遵守国家有关的法律、法规、规章和其他政策制度；</w:t>
      </w:r>
    </w:p>
    <w:p>
      <w:pPr>
        <w:spacing w:line="400" w:lineRule="exact"/>
        <w:ind w:firstLine="480" w:firstLineChars="200"/>
        <w:rPr>
          <w:rFonts w:ascii="宋体" w:hAnsi="宋体" w:eastAsia="宋体"/>
          <w:sz w:val="24"/>
          <w:szCs w:val="24"/>
        </w:rPr>
      </w:pPr>
      <w:r>
        <w:rPr>
          <w:rFonts w:ascii="宋体" w:hAnsi="宋体" w:eastAsia="宋体"/>
          <w:sz w:val="24"/>
          <w:szCs w:val="24"/>
        </w:rPr>
        <w:t>（</w:t>
      </w:r>
      <w:r>
        <w:rPr>
          <w:rFonts w:ascii="Times New Roman" w:hAnsi="Times New Roman" w:eastAsia="Times New Roman"/>
          <w:sz w:val="24"/>
          <w:szCs w:val="24"/>
        </w:rPr>
        <w:t>3</w:t>
      </w:r>
      <w:r>
        <w:rPr>
          <w:rFonts w:ascii="宋体" w:hAnsi="宋体" w:eastAsia="宋体"/>
          <w:sz w:val="24"/>
          <w:szCs w:val="24"/>
        </w:rPr>
        <w:t>）向采购代理机构购买了招标文件。</w:t>
      </w:r>
    </w:p>
    <w:p>
      <w:pPr>
        <w:pStyle w:val="6"/>
        <w:spacing w:line="400" w:lineRule="exact"/>
        <w:jc w:val="both"/>
        <w:rPr>
          <w:rFonts w:ascii="宋体" w:hAnsi="宋体" w:eastAsia="宋体"/>
          <w:color w:val="auto"/>
          <w:sz w:val="24"/>
          <w:szCs w:val="24"/>
        </w:rPr>
      </w:pPr>
      <w:r>
        <w:rPr>
          <w:rFonts w:ascii="宋体" w:hAnsi="宋体" w:eastAsia="宋体"/>
          <w:color w:val="auto"/>
          <w:sz w:val="24"/>
          <w:szCs w:val="24"/>
        </w:rPr>
        <w:t>4. 投标费用（实质性要求）</w:t>
      </w:r>
    </w:p>
    <w:p>
      <w:pPr>
        <w:spacing w:line="400" w:lineRule="exact"/>
        <w:ind w:firstLine="480"/>
        <w:rPr>
          <w:rFonts w:ascii="宋体" w:hAnsi="宋体" w:eastAsia="宋体"/>
          <w:sz w:val="24"/>
          <w:szCs w:val="24"/>
        </w:rPr>
      </w:pPr>
      <w:r>
        <w:rPr>
          <w:rFonts w:ascii="宋体" w:hAnsi="宋体" w:eastAsia="宋体"/>
          <w:sz w:val="24"/>
          <w:szCs w:val="24"/>
        </w:rPr>
        <w:t>投标人参加投标的有关费用由投标人自行承担。</w:t>
      </w:r>
    </w:p>
    <w:p>
      <w:pPr>
        <w:pStyle w:val="6"/>
        <w:spacing w:line="400" w:lineRule="exact"/>
        <w:jc w:val="both"/>
        <w:rPr>
          <w:rFonts w:ascii="宋体" w:hAnsi="宋体" w:eastAsia="宋体"/>
          <w:color w:val="auto"/>
          <w:sz w:val="24"/>
          <w:szCs w:val="24"/>
        </w:rPr>
      </w:pPr>
      <w:r>
        <w:rPr>
          <w:rFonts w:ascii="宋体" w:hAnsi="宋体" w:eastAsia="宋体"/>
          <w:color w:val="auto"/>
          <w:sz w:val="24"/>
          <w:szCs w:val="24"/>
        </w:rPr>
        <w:t>5. 充分、公平竞争保障措施（实质性要求）</w:t>
      </w:r>
    </w:p>
    <w:p>
      <w:pPr>
        <w:spacing w:line="460" w:lineRule="exact"/>
        <w:ind w:left="1" w:firstLine="480" w:firstLineChars="200"/>
        <w:rPr>
          <w:rFonts w:ascii="宋体" w:hAnsi="宋体" w:eastAsia="宋体"/>
          <w:sz w:val="24"/>
          <w:szCs w:val="24"/>
        </w:rPr>
      </w:pPr>
      <w:r>
        <w:rPr>
          <w:rFonts w:ascii="Times New Roman" w:hAnsi="Times New Roman" w:eastAsia="Times New Roman"/>
          <w:b/>
          <w:bCs/>
          <w:sz w:val="24"/>
          <w:szCs w:val="24"/>
        </w:rPr>
        <w:t>5.1</w:t>
      </w:r>
      <w:r>
        <w:rPr>
          <w:rFonts w:ascii="宋体" w:hAnsi="宋体" w:eastAsia="宋体"/>
          <w:b/>
          <w:bCs/>
          <w:sz w:val="24"/>
          <w:szCs w:val="24"/>
        </w:rPr>
        <w:t>利害关系供应商处理。</w:t>
      </w:r>
      <w:r>
        <w:rPr>
          <w:rFonts w:ascii="宋体" w:hAnsi="宋体" w:eastAsia="宋体"/>
          <w:sz w:val="24"/>
          <w:szCs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pPr>
        <w:spacing w:line="460" w:lineRule="exact"/>
        <w:ind w:left="1" w:firstLine="480" w:firstLineChars="200"/>
        <w:rPr>
          <w:rFonts w:ascii="宋体" w:hAnsi="宋体" w:eastAsia="宋体"/>
          <w:sz w:val="24"/>
          <w:szCs w:val="24"/>
        </w:rPr>
      </w:pPr>
      <w:r>
        <w:rPr>
          <w:rFonts w:ascii="Times New Roman" w:hAnsi="Times New Roman" w:eastAsia="Times New Roman"/>
          <w:b/>
          <w:bCs/>
          <w:sz w:val="24"/>
          <w:szCs w:val="24"/>
        </w:rPr>
        <w:t>5.2</w:t>
      </w:r>
      <w:r>
        <w:rPr>
          <w:rFonts w:ascii="宋体" w:hAnsi="宋体" w:eastAsia="宋体"/>
          <w:b/>
          <w:bCs/>
          <w:sz w:val="24"/>
          <w:szCs w:val="24"/>
        </w:rPr>
        <w:t>前期参与供应商处理。</w:t>
      </w:r>
      <w:r>
        <w:rPr>
          <w:rFonts w:ascii="宋体" w:hAnsi="宋体" w:eastAsia="宋体"/>
          <w:sz w:val="24"/>
          <w:szCs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spacing w:line="460" w:lineRule="exact"/>
        <w:ind w:left="1" w:firstLine="480" w:firstLineChars="200"/>
        <w:rPr>
          <w:rFonts w:ascii="宋体" w:hAnsi="宋体" w:eastAsia="宋体"/>
          <w:sz w:val="24"/>
          <w:szCs w:val="24"/>
        </w:rPr>
      </w:pPr>
      <w:r>
        <w:rPr>
          <w:rFonts w:ascii="Times New Roman" w:hAnsi="Times New Roman" w:eastAsia="Times New Roman"/>
          <w:b/>
          <w:bCs/>
          <w:sz w:val="24"/>
          <w:szCs w:val="24"/>
        </w:rPr>
        <w:t xml:space="preserve">5.3 </w:t>
      </w:r>
      <w:r>
        <w:rPr>
          <w:rFonts w:ascii="宋体" w:hAnsi="宋体" w:eastAsia="宋体"/>
          <w:b/>
          <w:bCs/>
          <w:sz w:val="24"/>
          <w:szCs w:val="24"/>
        </w:rPr>
        <w:t>利害关系代理人处理。</w:t>
      </w:r>
      <w:r>
        <w:rPr>
          <w:rFonts w:ascii="Times New Roman" w:hAnsi="Times New Roman" w:eastAsia="Times New Roman"/>
          <w:sz w:val="24"/>
          <w:szCs w:val="24"/>
        </w:rPr>
        <w:t>2</w:t>
      </w:r>
      <w:r>
        <w:rPr>
          <w:rFonts w:ascii="宋体" w:hAnsi="宋体" w:eastAsia="宋体"/>
          <w:sz w:val="24"/>
          <w:szCs w:val="24"/>
        </w:rPr>
        <w:t>家以上的供应商不得在同一合同项下的采购项目中，同时委托同一个自然人、同一家庭的人员、同一单位的人员作为其代理人，否则，其投标文件作为无效处理。</w:t>
      </w:r>
    </w:p>
    <w:p>
      <w:pPr>
        <w:pStyle w:val="5"/>
        <w:spacing w:line="400" w:lineRule="exact"/>
        <w:jc w:val="center"/>
        <w:rPr>
          <w:rFonts w:ascii="宋体" w:hAnsi="宋体" w:eastAsia="宋体"/>
          <w:color w:val="auto"/>
          <w:sz w:val="28"/>
          <w:szCs w:val="28"/>
        </w:rPr>
      </w:pPr>
      <w:bookmarkStart w:id="19" w:name="_Toc1523"/>
      <w:r>
        <w:rPr>
          <w:rFonts w:ascii="宋体" w:hAnsi="宋体" w:eastAsia="宋体"/>
          <w:color w:val="auto"/>
          <w:sz w:val="28"/>
          <w:szCs w:val="28"/>
        </w:rPr>
        <w:t>三、招标文件</w:t>
      </w:r>
      <w:bookmarkEnd w:id="19"/>
    </w:p>
    <w:p>
      <w:pPr>
        <w:pStyle w:val="6"/>
        <w:spacing w:line="400" w:lineRule="exact"/>
        <w:jc w:val="both"/>
        <w:rPr>
          <w:rFonts w:ascii="宋体" w:hAnsi="宋体" w:eastAsia="宋体"/>
          <w:color w:val="auto"/>
          <w:sz w:val="24"/>
          <w:szCs w:val="24"/>
        </w:rPr>
      </w:pPr>
      <w:r>
        <w:rPr>
          <w:rFonts w:ascii="宋体" w:hAnsi="宋体" w:eastAsia="宋体"/>
          <w:color w:val="auto"/>
          <w:sz w:val="24"/>
          <w:szCs w:val="24"/>
        </w:rPr>
        <w:t>6．招标文件的构成</w:t>
      </w:r>
    </w:p>
    <w:p>
      <w:pPr>
        <w:spacing w:line="400" w:lineRule="exact"/>
        <w:rPr>
          <w:rFonts w:ascii="宋体" w:hAnsi="宋体" w:eastAsia="宋体"/>
          <w:sz w:val="24"/>
          <w:szCs w:val="24"/>
        </w:rPr>
      </w:pPr>
      <w:r>
        <w:rPr>
          <w:rFonts w:ascii="宋体" w:hAnsi="宋体" w:eastAsia="宋体"/>
          <w:sz w:val="24"/>
          <w:szCs w:val="24"/>
        </w:rPr>
        <w:t xml:space="preserve">   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spacing w:line="400" w:lineRule="exact"/>
        <w:rPr>
          <w:rFonts w:ascii="宋体" w:hAnsi="宋体" w:eastAsia="宋体"/>
          <w:sz w:val="24"/>
          <w:szCs w:val="24"/>
        </w:rPr>
      </w:pPr>
      <w:r>
        <w:rPr>
          <w:rFonts w:ascii="宋体" w:hAnsi="宋体" w:eastAsia="宋体"/>
          <w:sz w:val="24"/>
          <w:szCs w:val="24"/>
        </w:rPr>
        <w:t>（一）投标邀请；</w:t>
      </w:r>
    </w:p>
    <w:p>
      <w:pPr>
        <w:spacing w:line="400" w:lineRule="exact"/>
        <w:rPr>
          <w:rFonts w:ascii="宋体" w:hAnsi="宋体" w:eastAsia="宋体"/>
          <w:sz w:val="24"/>
          <w:szCs w:val="24"/>
        </w:rPr>
      </w:pPr>
      <w:r>
        <w:rPr>
          <w:rFonts w:ascii="宋体" w:hAnsi="宋体" w:eastAsia="宋体"/>
          <w:sz w:val="24"/>
          <w:szCs w:val="24"/>
        </w:rPr>
        <w:t>（二）投标人须知；</w:t>
      </w:r>
    </w:p>
    <w:p>
      <w:pPr>
        <w:spacing w:line="400" w:lineRule="exact"/>
        <w:rPr>
          <w:rFonts w:ascii="宋体" w:hAnsi="宋体" w:eastAsia="宋体"/>
          <w:sz w:val="24"/>
          <w:szCs w:val="24"/>
        </w:rPr>
      </w:pPr>
      <w:r>
        <w:rPr>
          <w:rFonts w:ascii="宋体" w:hAnsi="宋体" w:eastAsia="宋体"/>
          <w:sz w:val="24"/>
          <w:szCs w:val="24"/>
        </w:rPr>
        <w:t>（三）投标文件格式；</w:t>
      </w:r>
    </w:p>
    <w:p>
      <w:pPr>
        <w:spacing w:line="400" w:lineRule="exact"/>
        <w:rPr>
          <w:rFonts w:ascii="宋体" w:hAnsi="宋体" w:eastAsia="宋体"/>
          <w:sz w:val="24"/>
          <w:szCs w:val="24"/>
        </w:rPr>
      </w:pPr>
      <w:r>
        <w:rPr>
          <w:rFonts w:ascii="宋体" w:hAnsi="宋体" w:eastAsia="宋体"/>
          <w:sz w:val="24"/>
          <w:szCs w:val="24"/>
        </w:rPr>
        <w:t>（四）投标人和投标产品的资格、资质性及其他类似效力要求；</w:t>
      </w:r>
    </w:p>
    <w:p>
      <w:pPr>
        <w:spacing w:line="400" w:lineRule="exact"/>
        <w:rPr>
          <w:rFonts w:ascii="宋体" w:hAnsi="宋体" w:eastAsia="宋体"/>
          <w:sz w:val="24"/>
          <w:szCs w:val="24"/>
        </w:rPr>
      </w:pPr>
      <w:r>
        <w:rPr>
          <w:rFonts w:ascii="宋体" w:hAnsi="宋体" w:eastAsia="宋体"/>
          <w:sz w:val="24"/>
          <w:szCs w:val="24"/>
        </w:rPr>
        <w:t>（五）投标人应当提供的资格、资质性及其他类似效力要求的相关证明材料；</w:t>
      </w:r>
    </w:p>
    <w:p>
      <w:pPr>
        <w:spacing w:line="400" w:lineRule="exact"/>
        <w:rPr>
          <w:rFonts w:ascii="宋体" w:hAnsi="宋体" w:eastAsia="宋体"/>
          <w:sz w:val="24"/>
          <w:szCs w:val="24"/>
        </w:rPr>
      </w:pPr>
      <w:r>
        <w:rPr>
          <w:rFonts w:ascii="宋体" w:hAnsi="宋体" w:eastAsia="宋体"/>
          <w:sz w:val="24"/>
          <w:szCs w:val="24"/>
        </w:rPr>
        <w:t>（六）招标项目技术、商务及其他要求；</w:t>
      </w:r>
    </w:p>
    <w:p>
      <w:pPr>
        <w:spacing w:line="400" w:lineRule="exact"/>
        <w:rPr>
          <w:rFonts w:ascii="宋体" w:hAnsi="宋体" w:eastAsia="宋体"/>
          <w:sz w:val="24"/>
          <w:szCs w:val="24"/>
        </w:rPr>
      </w:pPr>
      <w:r>
        <w:rPr>
          <w:rFonts w:ascii="宋体" w:hAnsi="宋体" w:eastAsia="宋体"/>
          <w:sz w:val="24"/>
          <w:szCs w:val="24"/>
        </w:rPr>
        <w:t>（七）评标办法；</w:t>
      </w:r>
    </w:p>
    <w:p>
      <w:pPr>
        <w:spacing w:line="400" w:lineRule="exact"/>
        <w:rPr>
          <w:rFonts w:ascii="宋体" w:hAnsi="宋体" w:eastAsia="宋体"/>
          <w:sz w:val="24"/>
          <w:szCs w:val="24"/>
        </w:rPr>
      </w:pPr>
      <w:r>
        <w:rPr>
          <w:rFonts w:ascii="宋体" w:hAnsi="宋体" w:eastAsia="宋体"/>
          <w:sz w:val="24"/>
          <w:szCs w:val="24"/>
        </w:rPr>
        <w:t>（八）合同主要条款。</w:t>
      </w:r>
    </w:p>
    <w:p>
      <w:pPr>
        <w:pStyle w:val="6"/>
        <w:spacing w:line="400" w:lineRule="exact"/>
        <w:jc w:val="both"/>
        <w:rPr>
          <w:rFonts w:ascii="宋体" w:hAnsi="宋体" w:eastAsia="宋体"/>
          <w:color w:val="auto"/>
          <w:sz w:val="24"/>
          <w:szCs w:val="24"/>
        </w:rPr>
      </w:pPr>
      <w:r>
        <w:rPr>
          <w:rFonts w:ascii="宋体" w:hAnsi="宋体" w:eastAsia="宋体"/>
          <w:color w:val="auto"/>
          <w:sz w:val="24"/>
          <w:szCs w:val="24"/>
        </w:rPr>
        <w:t>7. 招标文件的澄清和修改</w:t>
      </w:r>
    </w:p>
    <w:p>
      <w:pPr>
        <w:spacing w:line="400" w:lineRule="exact"/>
        <w:ind w:firstLine="480" w:firstLineChars="200"/>
        <w:rPr>
          <w:rFonts w:ascii="宋体" w:hAnsi="宋体" w:eastAsia="宋体"/>
          <w:sz w:val="24"/>
          <w:szCs w:val="24"/>
        </w:rPr>
      </w:pPr>
      <w:r>
        <w:rPr>
          <w:rFonts w:ascii="宋体" w:hAnsi="宋体" w:eastAsia="宋体"/>
          <w:sz w:val="24"/>
          <w:szCs w:val="24"/>
        </w:rPr>
        <w:t>7.1招标采购单位可以依法对招标文件进行澄清或者修改。</w:t>
      </w:r>
    </w:p>
    <w:p>
      <w:pPr>
        <w:spacing w:line="400" w:lineRule="exact"/>
        <w:ind w:firstLine="480" w:firstLineChars="200"/>
        <w:rPr>
          <w:rFonts w:ascii="宋体" w:hAnsi="宋体" w:eastAsia="宋体"/>
          <w:sz w:val="24"/>
          <w:szCs w:val="24"/>
        </w:rPr>
      </w:pPr>
      <w:r>
        <w:rPr>
          <w:rFonts w:ascii="宋体" w:hAnsi="宋体" w:eastAsia="宋体"/>
          <w:sz w:val="24"/>
          <w:szCs w:val="24"/>
        </w:rPr>
        <w:t>7.2 招标采购单位对已发出的招标文件进行澄清或者修改，应当以书面形式将澄清或者修改的内容通知所有购买了招标文件的供应商，同时在四川政府采购网上发布更正公告。该澄清或者修改的内容为招标文件的组成部分，澄清或者修改的内容可能影响投标文件、资格预审申请文件编制的，采购人或者采购代理机构发布公告并书面通知供应商的时间，应当在投标截止时间至少15日前、提交资格预审申请文件截止时间至少3日前；不足上述时间的，应当顺延提交投标文件、资格预审申请文件的截止时间。</w:t>
      </w:r>
    </w:p>
    <w:p>
      <w:pPr>
        <w:spacing w:line="400" w:lineRule="exact"/>
        <w:ind w:firstLine="480" w:firstLineChars="200"/>
        <w:rPr>
          <w:rFonts w:ascii="宋体" w:hAnsi="宋体" w:eastAsia="宋体"/>
          <w:sz w:val="24"/>
          <w:szCs w:val="24"/>
        </w:rPr>
      </w:pPr>
      <w:r>
        <w:rPr>
          <w:rFonts w:ascii="宋体" w:hAnsi="宋体" w:eastAsia="宋体"/>
          <w:sz w:val="24"/>
          <w:szCs w:val="24"/>
        </w:rPr>
        <w:t>7.3 投标人认为需要对招标文件进行澄清或者修改的，可以以书面形式向招标采购单位构提出申请，但招标采购单位可以决定是否采纳投标人的申请事项。</w:t>
      </w:r>
    </w:p>
    <w:p>
      <w:pPr>
        <w:pStyle w:val="6"/>
        <w:spacing w:line="400" w:lineRule="exact"/>
        <w:jc w:val="both"/>
        <w:rPr>
          <w:rFonts w:ascii="宋体" w:hAnsi="宋体" w:eastAsia="宋体"/>
          <w:color w:val="auto"/>
          <w:sz w:val="24"/>
          <w:szCs w:val="24"/>
        </w:rPr>
      </w:pPr>
      <w:r>
        <w:rPr>
          <w:rFonts w:ascii="宋体" w:hAnsi="宋体" w:eastAsia="宋体"/>
          <w:color w:val="auto"/>
          <w:sz w:val="24"/>
          <w:szCs w:val="24"/>
        </w:rPr>
        <w:t>8. 答疑会和现场考察</w:t>
      </w:r>
    </w:p>
    <w:p>
      <w:pPr>
        <w:spacing w:line="400" w:lineRule="exact"/>
        <w:ind w:firstLine="420" w:firstLineChars="175"/>
        <w:rPr>
          <w:rFonts w:ascii="宋体" w:hAnsi="宋体" w:eastAsia="宋体"/>
          <w:sz w:val="24"/>
          <w:szCs w:val="24"/>
        </w:rPr>
      </w:pPr>
      <w:r>
        <w:rPr>
          <w:rFonts w:ascii="宋体" w:hAnsi="宋体" w:eastAsia="宋体"/>
          <w:sz w:val="24"/>
          <w:szCs w:val="24"/>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pPr>
        <w:spacing w:line="400" w:lineRule="exact"/>
        <w:ind w:firstLine="420" w:firstLineChars="175"/>
        <w:rPr>
          <w:rFonts w:ascii="宋体" w:hAnsi="宋体" w:eastAsia="宋体"/>
          <w:sz w:val="24"/>
          <w:szCs w:val="24"/>
        </w:rPr>
      </w:pPr>
      <w:r>
        <w:rPr>
          <w:rFonts w:ascii="宋体" w:hAnsi="宋体" w:eastAsia="宋体"/>
          <w:sz w:val="24"/>
          <w:szCs w:val="24"/>
        </w:rPr>
        <w:t>8.2 供应商考察现场所发生的一切费用由供应商自己承担。</w:t>
      </w:r>
    </w:p>
    <w:p>
      <w:pPr>
        <w:pStyle w:val="5"/>
        <w:spacing w:line="400" w:lineRule="exact"/>
        <w:jc w:val="center"/>
        <w:rPr>
          <w:rFonts w:ascii="宋体" w:hAnsi="宋体" w:eastAsia="宋体"/>
          <w:color w:val="auto"/>
          <w:sz w:val="28"/>
          <w:szCs w:val="28"/>
        </w:rPr>
      </w:pPr>
      <w:bookmarkStart w:id="20" w:name="_Toc4582"/>
      <w:r>
        <w:rPr>
          <w:rFonts w:ascii="宋体" w:hAnsi="宋体" w:eastAsia="宋体"/>
          <w:color w:val="auto"/>
          <w:sz w:val="28"/>
          <w:szCs w:val="28"/>
        </w:rPr>
        <w:t>四、投标文件</w:t>
      </w:r>
      <w:bookmarkEnd w:id="20"/>
    </w:p>
    <w:p>
      <w:pPr>
        <w:pStyle w:val="6"/>
        <w:spacing w:line="400" w:lineRule="exact"/>
        <w:jc w:val="both"/>
        <w:rPr>
          <w:rFonts w:ascii="宋体" w:hAnsi="宋体" w:eastAsia="宋体"/>
          <w:color w:val="auto"/>
          <w:sz w:val="24"/>
          <w:szCs w:val="24"/>
        </w:rPr>
      </w:pPr>
      <w:r>
        <w:rPr>
          <w:rFonts w:ascii="宋体" w:hAnsi="宋体" w:eastAsia="宋体"/>
          <w:color w:val="auto"/>
          <w:sz w:val="24"/>
          <w:szCs w:val="24"/>
        </w:rPr>
        <w:t>9. 投标文件的语言</w:t>
      </w:r>
    </w:p>
    <w:p>
      <w:pPr>
        <w:spacing w:line="400" w:lineRule="exact"/>
        <w:ind w:firstLine="480" w:firstLineChars="200"/>
        <w:rPr>
          <w:rFonts w:ascii="宋体" w:hAnsi="宋体" w:eastAsia="宋体"/>
          <w:sz w:val="24"/>
          <w:szCs w:val="24"/>
        </w:rPr>
      </w:pPr>
      <w:r>
        <w:rPr>
          <w:rFonts w:ascii="宋体" w:hAnsi="宋体" w:eastAsia="宋体"/>
          <w:sz w:val="24"/>
          <w:szCs w:val="24"/>
        </w:rPr>
        <w:t>9.1 投标人提交的投标文件以及投标人与招标采购单位就有关投标的所有来往书面文件均须使用中文。投标文件中如附有外文资料，应当尽可能翻译成中文并加盖投标人公章后附在相关外文资料后面，否则视为未提供该资料。（说明：供应商的法定代表人为外籍人士的，法定代表人的签字和护照、行业标准、国家标准、国际标准或行业认证等需要以非中文表述且不宜翻译为中文的除外。）</w:t>
      </w:r>
    </w:p>
    <w:p>
      <w:pPr>
        <w:spacing w:line="400" w:lineRule="exact"/>
        <w:ind w:firstLine="480" w:firstLineChars="200"/>
        <w:rPr>
          <w:rFonts w:ascii="宋体" w:hAnsi="宋体" w:eastAsia="宋体"/>
          <w:sz w:val="24"/>
          <w:szCs w:val="24"/>
        </w:rPr>
      </w:pPr>
      <w:r>
        <w:rPr>
          <w:rFonts w:ascii="宋体" w:hAnsi="宋体" w:eastAsia="宋体"/>
          <w:sz w:val="24"/>
          <w:szCs w:val="24"/>
        </w:rPr>
        <w:t>9.2 翻译的中文资料与外文资料如果出现差异和矛盾时，以中文为准。涉嫌虚假响应的按照相关法律法规处理。</w:t>
      </w:r>
    </w:p>
    <w:p>
      <w:pPr>
        <w:pStyle w:val="6"/>
        <w:spacing w:line="400" w:lineRule="exact"/>
        <w:jc w:val="both"/>
        <w:rPr>
          <w:rFonts w:ascii="宋体" w:hAnsi="宋体" w:eastAsia="宋体"/>
          <w:color w:val="auto"/>
          <w:sz w:val="24"/>
          <w:szCs w:val="24"/>
        </w:rPr>
      </w:pPr>
      <w:r>
        <w:rPr>
          <w:rFonts w:ascii="宋体" w:hAnsi="宋体" w:eastAsia="宋体"/>
          <w:color w:val="auto"/>
          <w:sz w:val="24"/>
          <w:szCs w:val="24"/>
        </w:rPr>
        <w:t>10. 计量单位（实质性要求）</w:t>
      </w:r>
    </w:p>
    <w:p>
      <w:pPr>
        <w:spacing w:line="400" w:lineRule="exact"/>
        <w:ind w:firstLine="470" w:firstLineChars="196"/>
        <w:rPr>
          <w:rFonts w:ascii="宋体" w:hAnsi="宋体" w:eastAsia="宋体"/>
          <w:sz w:val="24"/>
          <w:szCs w:val="24"/>
        </w:rPr>
      </w:pPr>
      <w:r>
        <w:rPr>
          <w:rFonts w:ascii="宋体" w:hAnsi="宋体" w:eastAsia="宋体"/>
          <w:sz w:val="24"/>
          <w:szCs w:val="24"/>
        </w:rPr>
        <w:t>除招标文件中另有规定外，本次采购项目所有合同项下的投标均采用国家法定的计量单位。</w:t>
      </w:r>
    </w:p>
    <w:p>
      <w:pPr>
        <w:pStyle w:val="6"/>
        <w:spacing w:line="400" w:lineRule="exact"/>
        <w:jc w:val="both"/>
        <w:rPr>
          <w:rFonts w:ascii="宋体" w:hAnsi="宋体" w:eastAsia="宋体"/>
          <w:color w:val="auto"/>
          <w:sz w:val="24"/>
          <w:szCs w:val="24"/>
        </w:rPr>
      </w:pPr>
      <w:r>
        <w:rPr>
          <w:rFonts w:ascii="宋体" w:hAnsi="宋体" w:eastAsia="宋体"/>
          <w:color w:val="auto"/>
          <w:sz w:val="24"/>
          <w:szCs w:val="24"/>
        </w:rPr>
        <w:t>11. 投标货币（实质性要求）</w:t>
      </w:r>
    </w:p>
    <w:p>
      <w:pPr>
        <w:spacing w:line="400" w:lineRule="exact"/>
        <w:ind w:left="118" w:hanging="118"/>
        <w:rPr>
          <w:rFonts w:ascii="宋体" w:hAnsi="宋体" w:eastAsia="宋体"/>
          <w:sz w:val="24"/>
          <w:szCs w:val="24"/>
        </w:rPr>
      </w:pPr>
      <w:r>
        <w:rPr>
          <w:rFonts w:ascii="宋体" w:hAnsi="宋体" w:eastAsia="宋体"/>
          <w:sz w:val="24"/>
          <w:szCs w:val="24"/>
        </w:rPr>
        <w:t>本次招标项目的投标均以人民币报价。</w:t>
      </w:r>
    </w:p>
    <w:p>
      <w:pPr>
        <w:pStyle w:val="6"/>
        <w:spacing w:after="0" w:line="415" w:lineRule="auto"/>
        <w:jc w:val="both"/>
        <w:rPr>
          <w:rFonts w:ascii="宋体" w:hAnsi="宋体" w:eastAsia="宋体"/>
          <w:color w:val="auto"/>
          <w:sz w:val="24"/>
          <w:szCs w:val="24"/>
        </w:rPr>
      </w:pPr>
      <w:r>
        <w:rPr>
          <w:rFonts w:ascii="宋体" w:hAnsi="宋体" w:eastAsia="宋体"/>
          <w:color w:val="auto"/>
          <w:sz w:val="24"/>
          <w:szCs w:val="24"/>
        </w:rPr>
        <w:t>12.联合体投标（</w:t>
      </w:r>
      <w:r>
        <w:rPr>
          <w:rFonts w:hint="eastAsia" w:ascii="宋体" w:hAnsi="宋体" w:eastAsia="宋体"/>
          <w:color w:val="auto"/>
          <w:sz w:val="24"/>
          <w:szCs w:val="24"/>
        </w:rPr>
        <w:t>本项目不接受联合体投标</w:t>
      </w:r>
      <w:r>
        <w:rPr>
          <w:rFonts w:ascii="宋体" w:hAnsi="宋体" w:eastAsia="宋体"/>
          <w:color w:val="auto"/>
          <w:sz w:val="24"/>
          <w:szCs w:val="24"/>
        </w:rPr>
        <w:t>）</w:t>
      </w:r>
    </w:p>
    <w:p>
      <w:pPr>
        <w:spacing w:line="400" w:lineRule="exact"/>
        <w:ind w:firstLine="460" w:firstLineChars="192"/>
        <w:rPr>
          <w:rFonts w:ascii="宋体" w:hAnsi="宋体" w:eastAsia="宋体"/>
          <w:sz w:val="24"/>
          <w:szCs w:val="24"/>
        </w:rPr>
      </w:pPr>
      <w:r>
        <w:rPr>
          <w:rFonts w:hint="eastAsia" w:ascii="宋体" w:hAnsi="宋体"/>
          <w:sz w:val="24"/>
        </w:rPr>
        <w:t>1</w:t>
      </w:r>
      <w:r>
        <w:rPr>
          <w:rFonts w:hint="eastAsia" w:ascii="宋体" w:hAnsi="宋体" w:eastAsia="宋体"/>
          <w:sz w:val="24"/>
          <w:szCs w:val="24"/>
        </w:rPr>
        <w:t>2.1两个以上</w:t>
      </w:r>
      <w:r>
        <w:rPr>
          <w:rFonts w:ascii="宋体" w:hAnsi="宋体" w:eastAsia="宋体"/>
          <w:sz w:val="24"/>
          <w:szCs w:val="24"/>
        </w:rPr>
        <w:t>供应商可以组成一个联合体投标，以一个投标人的身份投标。以</w:t>
      </w:r>
      <w:r>
        <w:rPr>
          <w:rFonts w:hint="eastAsia" w:ascii="宋体" w:hAnsi="宋体" w:eastAsia="宋体"/>
          <w:sz w:val="24"/>
          <w:szCs w:val="24"/>
        </w:rPr>
        <w:t>联合体</w:t>
      </w:r>
      <w:r>
        <w:rPr>
          <w:rFonts w:ascii="宋体" w:hAnsi="宋体" w:eastAsia="宋体"/>
          <w:sz w:val="24"/>
          <w:szCs w:val="24"/>
        </w:rPr>
        <w:t>形式参加投标的，联合体各方均应当符合《</w:t>
      </w:r>
      <w:r>
        <w:rPr>
          <w:rFonts w:hint="eastAsia" w:ascii="宋体" w:hAnsi="宋体" w:eastAsia="宋体"/>
          <w:sz w:val="24"/>
          <w:szCs w:val="24"/>
        </w:rPr>
        <w:t>中华人民共和国政府</w:t>
      </w:r>
      <w:r>
        <w:rPr>
          <w:rFonts w:ascii="宋体" w:hAnsi="宋体" w:eastAsia="宋体"/>
          <w:sz w:val="24"/>
          <w:szCs w:val="24"/>
        </w:rPr>
        <w:t>采购法》</w:t>
      </w:r>
      <w:r>
        <w:rPr>
          <w:rFonts w:hint="eastAsia" w:ascii="宋体" w:hAnsi="宋体" w:eastAsia="宋体"/>
          <w:sz w:val="24"/>
          <w:szCs w:val="24"/>
        </w:rPr>
        <w:t>第</w:t>
      </w:r>
      <w:r>
        <w:rPr>
          <w:rFonts w:ascii="宋体" w:hAnsi="宋体" w:eastAsia="宋体"/>
          <w:sz w:val="24"/>
          <w:szCs w:val="24"/>
        </w:rPr>
        <w:t>二十二条第一款规定的条件。采购人</w:t>
      </w:r>
      <w:r>
        <w:rPr>
          <w:rFonts w:hint="eastAsia" w:ascii="宋体" w:hAnsi="宋体" w:eastAsia="宋体"/>
          <w:sz w:val="24"/>
          <w:szCs w:val="24"/>
        </w:rPr>
        <w:t>根据</w:t>
      </w:r>
      <w:r>
        <w:rPr>
          <w:rFonts w:ascii="宋体" w:hAnsi="宋体" w:eastAsia="宋体"/>
          <w:sz w:val="24"/>
          <w:szCs w:val="24"/>
        </w:rPr>
        <w:t>采购项目的特殊要求规定投标人特定条件的，联合体各方中至少应当有一方符合采购人规定的特定条件。</w:t>
      </w:r>
    </w:p>
    <w:p>
      <w:pPr>
        <w:spacing w:line="400" w:lineRule="exact"/>
        <w:ind w:firstLine="460" w:firstLineChars="192"/>
        <w:rPr>
          <w:rFonts w:ascii="宋体" w:hAnsi="宋体" w:eastAsia="宋体"/>
          <w:sz w:val="24"/>
          <w:szCs w:val="24"/>
        </w:rPr>
      </w:pPr>
      <w:r>
        <w:rPr>
          <w:rFonts w:ascii="宋体" w:hAnsi="宋体" w:eastAsia="宋体"/>
          <w:sz w:val="24"/>
          <w:szCs w:val="24"/>
        </w:rPr>
        <w:t>12.2</w:t>
      </w:r>
      <w:r>
        <w:rPr>
          <w:rFonts w:hint="eastAsia" w:ascii="宋体" w:hAnsi="宋体" w:eastAsia="宋体"/>
          <w:sz w:val="24"/>
          <w:szCs w:val="24"/>
        </w:rPr>
        <w:t>联合体</w:t>
      </w:r>
      <w:r>
        <w:rPr>
          <w:rFonts w:ascii="宋体" w:hAnsi="宋体" w:eastAsia="宋体"/>
          <w:sz w:val="24"/>
          <w:szCs w:val="24"/>
        </w:rPr>
        <w:t>各方之间应当签订联合体投标协议，明确约定联合体各方承担的工作和相应的责任，并将共同联合体投标协议连同投标文件一并提交招标采购单位。</w:t>
      </w:r>
    </w:p>
    <w:p>
      <w:pPr>
        <w:spacing w:line="400" w:lineRule="exact"/>
        <w:ind w:firstLine="460" w:firstLineChars="192"/>
        <w:rPr>
          <w:rFonts w:ascii="宋体" w:hAnsi="宋体" w:eastAsia="宋体"/>
          <w:sz w:val="24"/>
          <w:szCs w:val="24"/>
        </w:rPr>
      </w:pPr>
      <w:r>
        <w:rPr>
          <w:rFonts w:ascii="宋体" w:hAnsi="宋体" w:eastAsia="宋体"/>
          <w:sz w:val="24"/>
          <w:szCs w:val="24"/>
        </w:rPr>
        <w:t>12.3</w:t>
      </w:r>
      <w:r>
        <w:rPr>
          <w:rFonts w:hint="eastAsia" w:ascii="宋体" w:hAnsi="宋体" w:eastAsia="宋体"/>
          <w:sz w:val="24"/>
          <w:szCs w:val="24"/>
        </w:rPr>
        <w:t>联合体应当确定</w:t>
      </w:r>
      <w:r>
        <w:rPr>
          <w:rFonts w:ascii="宋体" w:hAnsi="宋体" w:eastAsia="宋体"/>
          <w:sz w:val="24"/>
          <w:szCs w:val="24"/>
        </w:rPr>
        <w:t>其中一个单位为</w:t>
      </w:r>
      <w:r>
        <w:rPr>
          <w:rFonts w:hint="eastAsia" w:ascii="宋体" w:hAnsi="宋体" w:eastAsia="宋体"/>
          <w:sz w:val="24"/>
          <w:szCs w:val="24"/>
        </w:rPr>
        <w:t>投标</w:t>
      </w:r>
      <w:r>
        <w:rPr>
          <w:rFonts w:ascii="宋体" w:hAnsi="宋体" w:eastAsia="宋体"/>
          <w:sz w:val="24"/>
          <w:szCs w:val="24"/>
        </w:rPr>
        <w:t>的全权代表，负责参加投标的一切</w:t>
      </w:r>
      <w:r>
        <w:rPr>
          <w:rFonts w:hint="eastAsia" w:ascii="宋体" w:hAnsi="宋体" w:eastAsia="宋体"/>
          <w:sz w:val="24"/>
          <w:szCs w:val="24"/>
        </w:rPr>
        <w:t>事务</w:t>
      </w:r>
      <w:r>
        <w:rPr>
          <w:rFonts w:ascii="宋体" w:hAnsi="宋体" w:eastAsia="宋体"/>
          <w:sz w:val="24"/>
          <w:szCs w:val="24"/>
        </w:rPr>
        <w:t>，并承担</w:t>
      </w:r>
      <w:r>
        <w:rPr>
          <w:rFonts w:hint="eastAsia" w:ascii="宋体" w:hAnsi="宋体" w:eastAsia="宋体"/>
          <w:sz w:val="24"/>
          <w:szCs w:val="24"/>
        </w:rPr>
        <w:t>投标及</w:t>
      </w:r>
      <w:r>
        <w:rPr>
          <w:rFonts w:ascii="宋体" w:hAnsi="宋体" w:eastAsia="宋体"/>
          <w:sz w:val="24"/>
          <w:szCs w:val="24"/>
        </w:rPr>
        <w:t>履约中应承担的全部责任与</w:t>
      </w:r>
      <w:r>
        <w:rPr>
          <w:rFonts w:hint="eastAsia" w:ascii="宋体" w:hAnsi="宋体" w:eastAsia="宋体"/>
          <w:sz w:val="24"/>
          <w:szCs w:val="24"/>
        </w:rPr>
        <w:t>义务</w:t>
      </w:r>
      <w:r>
        <w:rPr>
          <w:rFonts w:ascii="宋体" w:hAnsi="宋体" w:eastAsia="宋体"/>
          <w:sz w:val="24"/>
          <w:szCs w:val="24"/>
        </w:rPr>
        <w:t>。</w:t>
      </w:r>
    </w:p>
    <w:p>
      <w:pPr>
        <w:spacing w:line="400" w:lineRule="exact"/>
        <w:ind w:firstLine="460" w:firstLineChars="192"/>
        <w:rPr>
          <w:rFonts w:ascii="宋体" w:hAnsi="宋体" w:eastAsia="宋体"/>
          <w:sz w:val="24"/>
          <w:szCs w:val="24"/>
        </w:rPr>
      </w:pPr>
      <w:r>
        <w:rPr>
          <w:rFonts w:ascii="宋体" w:hAnsi="宋体" w:eastAsia="宋体"/>
          <w:sz w:val="24"/>
          <w:szCs w:val="24"/>
        </w:rPr>
        <w:t>12.4</w:t>
      </w:r>
      <w:r>
        <w:rPr>
          <w:rFonts w:hint="eastAsia" w:ascii="宋体" w:hAnsi="宋体" w:eastAsia="宋体"/>
          <w:sz w:val="24"/>
          <w:szCs w:val="24"/>
        </w:rPr>
        <w:t>联合体</w:t>
      </w:r>
      <w:r>
        <w:rPr>
          <w:rFonts w:ascii="宋体" w:hAnsi="宋体" w:eastAsia="宋体"/>
          <w:sz w:val="24"/>
          <w:szCs w:val="24"/>
        </w:rPr>
        <w:t>各方应当共同与采购人签订采购合同，就采购合同约定</w:t>
      </w:r>
      <w:r>
        <w:rPr>
          <w:rFonts w:hint="eastAsia" w:ascii="宋体" w:hAnsi="宋体" w:eastAsia="宋体"/>
          <w:sz w:val="24"/>
          <w:szCs w:val="24"/>
        </w:rPr>
        <w:t>的</w:t>
      </w:r>
      <w:r>
        <w:rPr>
          <w:rFonts w:ascii="宋体" w:hAnsi="宋体" w:eastAsia="宋体"/>
          <w:sz w:val="24"/>
          <w:szCs w:val="24"/>
        </w:rPr>
        <w:t>事项对采购人承担连带责任。</w:t>
      </w:r>
    </w:p>
    <w:p>
      <w:pPr>
        <w:spacing w:line="400" w:lineRule="exact"/>
        <w:ind w:firstLine="460" w:firstLineChars="192"/>
        <w:rPr>
          <w:rFonts w:ascii="宋体" w:hAnsi="宋体" w:eastAsia="宋体"/>
          <w:sz w:val="24"/>
          <w:szCs w:val="24"/>
        </w:rPr>
      </w:pPr>
      <w:r>
        <w:rPr>
          <w:rFonts w:ascii="宋体" w:hAnsi="宋体" w:eastAsia="宋体"/>
          <w:sz w:val="24"/>
          <w:szCs w:val="24"/>
        </w:rPr>
        <w:t>12.5</w:t>
      </w:r>
      <w:r>
        <w:rPr>
          <w:rFonts w:hint="eastAsia" w:ascii="宋体" w:hAnsi="宋体" w:eastAsia="宋体"/>
          <w:sz w:val="24"/>
          <w:szCs w:val="24"/>
        </w:rPr>
        <w:t>联合体中</w:t>
      </w:r>
      <w:r>
        <w:rPr>
          <w:rFonts w:ascii="宋体" w:hAnsi="宋体" w:eastAsia="宋体"/>
          <w:sz w:val="24"/>
          <w:szCs w:val="24"/>
        </w:rPr>
        <w:t>有同类资质的供应商按照联合体分工承担相同工作的，应当按照资质等级较低的供应商确定资质等级。</w:t>
      </w:r>
    </w:p>
    <w:p>
      <w:pPr>
        <w:spacing w:line="400" w:lineRule="exact"/>
        <w:ind w:firstLine="460" w:firstLineChars="192"/>
        <w:rPr>
          <w:rFonts w:ascii="宋体" w:hAnsi="宋体" w:eastAsia="宋体"/>
          <w:sz w:val="24"/>
          <w:szCs w:val="24"/>
        </w:rPr>
      </w:pPr>
      <w:r>
        <w:rPr>
          <w:rFonts w:ascii="宋体" w:hAnsi="宋体" w:eastAsia="宋体"/>
          <w:sz w:val="24"/>
          <w:szCs w:val="24"/>
        </w:rPr>
        <w:t>12.6</w:t>
      </w:r>
      <w:r>
        <w:rPr>
          <w:rFonts w:hint="eastAsia" w:ascii="宋体" w:hAnsi="宋体" w:eastAsia="宋体"/>
          <w:sz w:val="24"/>
          <w:szCs w:val="24"/>
        </w:rPr>
        <w:t>以</w:t>
      </w:r>
      <w:r>
        <w:rPr>
          <w:rFonts w:ascii="宋体" w:hAnsi="宋体" w:eastAsia="宋体"/>
          <w:sz w:val="24"/>
          <w:szCs w:val="24"/>
        </w:rPr>
        <w:t>联合体形式参加政府采购活动的</w:t>
      </w:r>
      <w:r>
        <w:rPr>
          <w:rFonts w:hint="eastAsia" w:ascii="宋体" w:hAnsi="宋体" w:eastAsia="宋体"/>
          <w:sz w:val="24"/>
          <w:szCs w:val="24"/>
        </w:rPr>
        <w:t>，</w:t>
      </w:r>
      <w:r>
        <w:rPr>
          <w:rFonts w:ascii="宋体" w:hAnsi="宋体" w:eastAsia="宋体"/>
          <w:sz w:val="24"/>
          <w:szCs w:val="24"/>
        </w:rPr>
        <w:t>联合体各方不得再单独参加或者与其他供应商另外组成联合体参加同一合同项下的政府采购活动。</w:t>
      </w:r>
    </w:p>
    <w:p>
      <w:pPr>
        <w:pStyle w:val="6"/>
        <w:spacing w:line="400" w:lineRule="exact"/>
        <w:jc w:val="both"/>
        <w:rPr>
          <w:rFonts w:ascii="宋体" w:hAnsi="宋体" w:eastAsia="宋体"/>
          <w:color w:val="auto"/>
          <w:sz w:val="24"/>
          <w:szCs w:val="24"/>
        </w:rPr>
      </w:pPr>
      <w:r>
        <w:rPr>
          <w:rFonts w:ascii="宋体" w:hAnsi="宋体" w:eastAsia="宋体"/>
          <w:color w:val="auto"/>
          <w:sz w:val="24"/>
          <w:szCs w:val="24"/>
        </w:rPr>
        <w:t>13. 知识产权</w:t>
      </w:r>
    </w:p>
    <w:p>
      <w:pPr>
        <w:spacing w:line="400" w:lineRule="exact"/>
        <w:ind w:firstLine="460" w:firstLineChars="192"/>
        <w:rPr>
          <w:rFonts w:ascii="宋体" w:hAnsi="宋体" w:eastAsia="宋体"/>
          <w:sz w:val="24"/>
          <w:szCs w:val="24"/>
        </w:rPr>
      </w:pPr>
      <w:r>
        <w:rPr>
          <w:rFonts w:ascii="宋体" w:hAnsi="宋体" w:eastAsia="宋体"/>
          <w:sz w:val="24"/>
          <w:szCs w:val="24"/>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spacing w:line="400" w:lineRule="exact"/>
        <w:ind w:firstLine="460" w:firstLineChars="192"/>
        <w:rPr>
          <w:rFonts w:ascii="宋体" w:hAnsi="宋体" w:eastAsia="宋体"/>
          <w:sz w:val="24"/>
          <w:szCs w:val="24"/>
        </w:rPr>
      </w:pPr>
      <w:r>
        <w:rPr>
          <w:rFonts w:ascii="宋体" w:hAnsi="宋体" w:eastAsia="宋体"/>
          <w:sz w:val="24"/>
          <w:szCs w:val="24"/>
        </w:rPr>
        <w:t>13.2 采购人享有本项目实施过程中产生的知识成果及知识产权。</w:t>
      </w:r>
    </w:p>
    <w:p>
      <w:pPr>
        <w:spacing w:line="400" w:lineRule="exact"/>
        <w:ind w:firstLine="460" w:firstLineChars="192"/>
        <w:rPr>
          <w:rFonts w:ascii="宋体" w:hAnsi="宋体" w:eastAsia="宋体"/>
          <w:sz w:val="24"/>
          <w:szCs w:val="24"/>
        </w:rPr>
      </w:pPr>
      <w:r>
        <w:rPr>
          <w:rFonts w:ascii="宋体" w:hAnsi="宋体" w:eastAsia="宋体"/>
          <w:sz w:val="24"/>
          <w:szCs w:val="24"/>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spacing w:line="400" w:lineRule="exact"/>
        <w:ind w:firstLine="460" w:firstLineChars="192"/>
        <w:rPr>
          <w:rFonts w:ascii="宋体" w:hAnsi="宋体" w:eastAsia="宋体"/>
          <w:sz w:val="24"/>
          <w:szCs w:val="24"/>
        </w:rPr>
      </w:pPr>
      <w:r>
        <w:rPr>
          <w:rFonts w:ascii="宋体" w:hAnsi="宋体" w:eastAsia="宋体"/>
          <w:sz w:val="24"/>
          <w:szCs w:val="24"/>
        </w:rPr>
        <w:t>13.4 如采用投标人所不拥有的知识产权，则在投标报价中必须包括合法获取该知识产权的相关费用。</w:t>
      </w:r>
    </w:p>
    <w:p>
      <w:pPr>
        <w:spacing w:line="400" w:lineRule="exact"/>
        <w:ind w:firstLine="460" w:firstLineChars="192"/>
        <w:rPr>
          <w:rFonts w:ascii="宋体" w:hAnsi="宋体" w:eastAsia="宋体"/>
          <w:sz w:val="24"/>
          <w:szCs w:val="24"/>
        </w:rPr>
      </w:pPr>
      <w:r>
        <w:rPr>
          <w:rFonts w:ascii="宋体" w:hAnsi="宋体" w:eastAsia="宋体"/>
          <w:sz w:val="24"/>
          <w:szCs w:val="24"/>
        </w:rPr>
        <w:t>13.5 如采购项目涉及知识产权时按此要求执行。</w:t>
      </w:r>
    </w:p>
    <w:p>
      <w:pPr>
        <w:pStyle w:val="6"/>
        <w:spacing w:line="400" w:lineRule="exact"/>
        <w:jc w:val="both"/>
        <w:rPr>
          <w:rFonts w:ascii="宋体" w:hAnsi="宋体" w:eastAsia="宋体"/>
          <w:color w:val="auto"/>
          <w:sz w:val="24"/>
          <w:szCs w:val="24"/>
        </w:rPr>
      </w:pPr>
      <w:r>
        <w:rPr>
          <w:rFonts w:ascii="宋体" w:hAnsi="宋体" w:eastAsia="宋体"/>
          <w:color w:val="auto"/>
          <w:sz w:val="24"/>
          <w:szCs w:val="24"/>
        </w:rPr>
        <w:t>14．投标文件的组成</w:t>
      </w:r>
    </w:p>
    <w:p>
      <w:pPr>
        <w:spacing w:line="400" w:lineRule="exact"/>
        <w:ind w:firstLine="470" w:firstLineChars="196"/>
        <w:rPr>
          <w:rFonts w:ascii="宋体" w:hAnsi="宋体"/>
          <w:sz w:val="24"/>
        </w:rPr>
      </w:pPr>
      <w:r>
        <w:rPr>
          <w:rFonts w:hint="eastAsia" w:ascii="宋体" w:hAnsi="宋体"/>
          <w:sz w:val="24"/>
        </w:rPr>
        <w:t>投标人应按照招标文件的规定和要求编制投标文件。投标人拟在中标后将中标项目的非主体、非关键性工作交由他人分包完成的，应当在投标文件中载明。投标人编写的投标文件应包括以下两部分：</w:t>
      </w:r>
    </w:p>
    <w:p>
      <w:pPr>
        <w:spacing w:line="400" w:lineRule="exact"/>
        <w:ind w:firstLine="472" w:firstLineChars="196"/>
        <w:rPr>
          <w:rFonts w:ascii="宋体" w:hAnsi="宋体"/>
          <w:b/>
          <w:sz w:val="24"/>
        </w:rPr>
      </w:pPr>
      <w:r>
        <w:rPr>
          <w:rFonts w:hint="eastAsia" w:ascii="宋体" w:hAnsi="宋体"/>
          <w:b/>
          <w:sz w:val="24"/>
        </w:rPr>
        <w:t>14.1 第一部分：资格性投标文件（用于资格审查）</w:t>
      </w:r>
    </w:p>
    <w:p>
      <w:pPr>
        <w:spacing w:line="400" w:lineRule="exact"/>
        <w:ind w:firstLine="470" w:firstLineChars="196"/>
        <w:rPr>
          <w:rFonts w:ascii="宋体" w:hAnsi="宋体"/>
          <w:sz w:val="24"/>
        </w:rPr>
      </w:pPr>
      <w:r>
        <w:rPr>
          <w:rFonts w:hint="eastAsia" w:ascii="宋体" w:hAnsi="宋体"/>
          <w:sz w:val="24"/>
        </w:rPr>
        <w:t>按照招标文件第四章要求提供相关资格、资质性及其他类似效力要求的相关证明材料。</w:t>
      </w:r>
      <w:r>
        <w:rPr>
          <w:rFonts w:hint="eastAsia" w:ascii="宋体" w:hAnsi="宋体"/>
          <w:b/>
          <w:sz w:val="24"/>
        </w:rPr>
        <w:t>（实质性要求）</w:t>
      </w:r>
    </w:p>
    <w:p>
      <w:pPr>
        <w:spacing w:line="400" w:lineRule="exact"/>
        <w:ind w:firstLine="472" w:firstLineChars="196"/>
        <w:rPr>
          <w:rFonts w:ascii="宋体" w:hAnsi="宋体"/>
          <w:b/>
          <w:sz w:val="24"/>
        </w:rPr>
      </w:pPr>
      <w:r>
        <w:rPr>
          <w:rFonts w:hint="eastAsia" w:ascii="宋体" w:hAnsi="宋体"/>
          <w:b/>
          <w:sz w:val="24"/>
        </w:rPr>
        <w:t>14.2第二部分：其他投标文件（用于资格审查以外的评审）</w:t>
      </w:r>
    </w:p>
    <w:p>
      <w:pPr>
        <w:spacing w:line="400" w:lineRule="exact"/>
        <w:ind w:firstLine="472" w:firstLineChars="196"/>
        <w:rPr>
          <w:rFonts w:ascii="宋体" w:hAnsi="宋体"/>
          <w:b/>
          <w:sz w:val="24"/>
        </w:rPr>
      </w:pPr>
      <w:r>
        <w:rPr>
          <w:rFonts w:hint="eastAsia" w:ascii="宋体" w:hAnsi="宋体"/>
          <w:b/>
          <w:sz w:val="24"/>
        </w:rPr>
        <w:t xml:space="preserve"> 14.2.1报价部分。</w:t>
      </w:r>
      <w:r>
        <w:rPr>
          <w:rFonts w:hint="eastAsia" w:ascii="宋体" w:hAnsi="宋体"/>
          <w:bCs/>
          <w:sz w:val="24"/>
        </w:rPr>
        <w:t>投标人按照招标文件要求填写的“开标一览表”及“分项报价明细表”。 本次招标报价要求：</w:t>
      </w:r>
    </w:p>
    <w:p>
      <w:pPr>
        <w:spacing w:line="400" w:lineRule="exact"/>
        <w:ind w:left="2" w:firstLine="352" w:firstLineChars="147"/>
        <w:rPr>
          <w:rFonts w:ascii="宋体" w:hAnsi="宋体"/>
          <w:sz w:val="24"/>
        </w:rPr>
      </w:pPr>
      <w:r>
        <w:rPr>
          <w:rFonts w:hint="eastAsia" w:ascii="宋体" w:hAnsi="宋体"/>
          <w:sz w:val="24"/>
        </w:rPr>
        <w:t>（1）投标人的报价是投标人响应招标项目要求的全部工作内容的价格体现，包括投标人完成本项目所需的一切费用</w:t>
      </w:r>
      <w:r>
        <w:rPr>
          <w:rFonts w:hint="eastAsia" w:ascii="宋体" w:hAnsi="宋体"/>
          <w:b/>
          <w:sz w:val="24"/>
        </w:rPr>
        <w:t>（实质性要求）</w:t>
      </w:r>
      <w:r>
        <w:rPr>
          <w:rFonts w:hint="eastAsia" w:ascii="宋体" w:hAnsi="宋体"/>
          <w:sz w:val="24"/>
        </w:rPr>
        <w:t>。</w:t>
      </w:r>
    </w:p>
    <w:p>
      <w:pPr>
        <w:spacing w:line="400" w:lineRule="exact"/>
        <w:ind w:left="2" w:firstLine="280" w:firstLineChars="117"/>
        <w:rPr>
          <w:rFonts w:ascii="宋体" w:hAnsi="宋体"/>
          <w:sz w:val="24"/>
        </w:rPr>
      </w:pPr>
      <w:r>
        <w:rPr>
          <w:rFonts w:hint="eastAsia" w:ascii="宋体" w:hAnsi="宋体"/>
          <w:sz w:val="24"/>
        </w:rPr>
        <w:t xml:space="preserve"> （2）投标人每种服务只允许有一个报价，并且在合同履行过程中是固定不变的，任何有选择或可调整的报价将不予接受，并按无效投标处理</w:t>
      </w:r>
      <w:r>
        <w:rPr>
          <w:rFonts w:hint="eastAsia" w:ascii="宋体" w:hAnsi="宋体"/>
          <w:b/>
          <w:sz w:val="24"/>
        </w:rPr>
        <w:t>（实质性要求）</w:t>
      </w:r>
      <w:r>
        <w:rPr>
          <w:rFonts w:hint="eastAsia" w:ascii="宋体" w:hAnsi="宋体"/>
          <w:sz w:val="24"/>
        </w:rPr>
        <w:t>。</w:t>
      </w:r>
    </w:p>
    <w:p>
      <w:pPr>
        <w:tabs>
          <w:tab w:val="left" w:pos="540"/>
        </w:tabs>
        <w:spacing w:line="400" w:lineRule="exact"/>
        <w:ind w:firstLine="566" w:firstLineChars="235"/>
        <w:rPr>
          <w:rFonts w:ascii="宋体" w:hAnsi="宋体"/>
          <w:sz w:val="24"/>
        </w:rPr>
      </w:pPr>
      <w:r>
        <w:rPr>
          <w:rFonts w:hint="eastAsia" w:ascii="宋体" w:hAnsi="宋体"/>
          <w:b/>
          <w:bCs/>
          <w:sz w:val="24"/>
        </w:rPr>
        <w:t>14.2 .2技术部分。</w:t>
      </w:r>
      <w:r>
        <w:rPr>
          <w:rFonts w:hint="eastAsia" w:ascii="宋体" w:hAnsi="宋体"/>
          <w:bCs/>
          <w:sz w:val="24"/>
        </w:rPr>
        <w:t>投标人按照招标文件要求做出的技术应答，主要是针对招标项目的技术指标、参数和技术要求做出的实质性响应和满足。投标人的技术应答包括下列内容：</w:t>
      </w:r>
    </w:p>
    <w:p>
      <w:pPr>
        <w:tabs>
          <w:tab w:val="left" w:pos="540"/>
        </w:tabs>
        <w:spacing w:line="400" w:lineRule="exact"/>
        <w:ind w:firstLine="564" w:firstLineChars="235"/>
        <w:rPr>
          <w:rFonts w:ascii="宋体" w:hAnsi="宋体"/>
          <w:bCs/>
          <w:sz w:val="24"/>
        </w:rPr>
      </w:pPr>
      <w:r>
        <w:rPr>
          <w:rFonts w:hint="eastAsia" w:ascii="宋体" w:hAnsi="宋体"/>
          <w:bCs/>
          <w:sz w:val="24"/>
        </w:rPr>
        <w:t>（1）服务方案、项目实施方案；</w:t>
      </w:r>
    </w:p>
    <w:p>
      <w:pPr>
        <w:tabs>
          <w:tab w:val="left" w:pos="540"/>
        </w:tabs>
        <w:spacing w:line="400" w:lineRule="exact"/>
        <w:ind w:firstLine="564" w:firstLineChars="235"/>
        <w:rPr>
          <w:rFonts w:ascii="宋体" w:hAnsi="宋体"/>
          <w:bCs/>
          <w:sz w:val="24"/>
        </w:rPr>
      </w:pPr>
      <w:r>
        <w:rPr>
          <w:rFonts w:hint="eastAsia" w:ascii="宋体" w:hAnsi="宋体"/>
          <w:bCs/>
          <w:sz w:val="24"/>
        </w:rPr>
        <w:t>（2）服务要求应答表；</w:t>
      </w:r>
    </w:p>
    <w:p>
      <w:pPr>
        <w:tabs>
          <w:tab w:val="left" w:pos="540"/>
        </w:tabs>
        <w:spacing w:line="400" w:lineRule="exact"/>
        <w:ind w:firstLine="564" w:firstLineChars="235"/>
        <w:rPr>
          <w:rFonts w:ascii="宋体" w:hAnsi="宋体"/>
          <w:bCs/>
          <w:sz w:val="24"/>
        </w:rPr>
      </w:pPr>
      <w:r>
        <w:rPr>
          <w:rFonts w:hint="eastAsia" w:ascii="宋体" w:hAnsi="宋体"/>
          <w:bCs/>
          <w:sz w:val="24"/>
        </w:rPr>
        <w:t>（3）服务人员清单；</w:t>
      </w:r>
    </w:p>
    <w:p>
      <w:pPr>
        <w:tabs>
          <w:tab w:val="left" w:pos="540"/>
        </w:tabs>
        <w:spacing w:line="400" w:lineRule="exact"/>
        <w:ind w:firstLine="564" w:firstLineChars="235"/>
        <w:rPr>
          <w:rFonts w:ascii="宋体" w:hAnsi="宋体"/>
          <w:bCs/>
          <w:sz w:val="24"/>
        </w:rPr>
      </w:pPr>
      <w:r>
        <w:rPr>
          <w:rFonts w:hint="eastAsia" w:ascii="宋体" w:hAnsi="宋体"/>
          <w:bCs/>
          <w:sz w:val="24"/>
        </w:rPr>
        <w:t>（4）其它投标人认为需要提供的文件和资料。</w:t>
      </w:r>
    </w:p>
    <w:p>
      <w:pPr>
        <w:spacing w:line="400" w:lineRule="exact"/>
        <w:ind w:firstLine="482" w:firstLineChars="200"/>
        <w:rPr>
          <w:rFonts w:ascii="宋体" w:hAnsi="宋体"/>
          <w:sz w:val="24"/>
        </w:rPr>
      </w:pPr>
      <w:r>
        <w:rPr>
          <w:rFonts w:hint="eastAsia" w:ascii="宋体" w:hAnsi="宋体"/>
          <w:b/>
          <w:bCs/>
          <w:sz w:val="24"/>
        </w:rPr>
        <w:t>14.2.3 商务部分。</w:t>
      </w:r>
      <w:r>
        <w:rPr>
          <w:rFonts w:hint="eastAsia" w:ascii="宋体" w:hAnsi="宋体"/>
          <w:bCs/>
          <w:sz w:val="24"/>
        </w:rPr>
        <w:t>投标人按照招标文件要求提供的有关文件及优惠承诺。包括以下内容：</w:t>
      </w:r>
    </w:p>
    <w:p>
      <w:pPr>
        <w:spacing w:line="400" w:lineRule="exact"/>
        <w:ind w:firstLine="480" w:firstLineChars="200"/>
        <w:rPr>
          <w:rFonts w:ascii="宋体" w:hAnsi="宋体"/>
          <w:sz w:val="24"/>
        </w:rPr>
      </w:pPr>
      <w:r>
        <w:rPr>
          <w:rFonts w:hint="eastAsia" w:ascii="宋体" w:hAnsi="宋体"/>
          <w:sz w:val="24"/>
        </w:rPr>
        <w:t>（1）投标函</w:t>
      </w:r>
      <w:r>
        <w:rPr>
          <w:rFonts w:ascii="宋体" w:hAnsi="宋体"/>
          <w:sz w:val="24"/>
        </w:rPr>
        <w:t>；</w:t>
      </w:r>
    </w:p>
    <w:p>
      <w:pPr>
        <w:spacing w:line="400" w:lineRule="exact"/>
        <w:ind w:firstLine="480" w:firstLineChars="200"/>
        <w:rPr>
          <w:rFonts w:ascii="宋体" w:hAnsi="宋体"/>
          <w:sz w:val="24"/>
        </w:rPr>
      </w:pPr>
      <w:r>
        <w:rPr>
          <w:rFonts w:hint="eastAsia" w:ascii="宋体" w:hAnsi="宋体"/>
          <w:sz w:val="24"/>
        </w:rPr>
        <w:t>（2）投标人基本情况表</w:t>
      </w:r>
      <w:r>
        <w:rPr>
          <w:rFonts w:ascii="宋体" w:hAnsi="宋体"/>
          <w:sz w:val="24"/>
        </w:rPr>
        <w:t>；</w:t>
      </w:r>
    </w:p>
    <w:p>
      <w:pPr>
        <w:spacing w:line="400" w:lineRule="exact"/>
        <w:ind w:firstLine="480" w:firstLineChars="200"/>
        <w:rPr>
          <w:rFonts w:ascii="宋体" w:hAnsi="宋体"/>
          <w:color w:val="00B050"/>
          <w:sz w:val="24"/>
        </w:rPr>
      </w:pPr>
      <w:r>
        <w:rPr>
          <w:rFonts w:hint="eastAsia" w:ascii="宋体" w:hAnsi="宋体"/>
          <w:sz w:val="24"/>
        </w:rPr>
        <w:t>（3）投标人</w:t>
      </w:r>
      <w:r>
        <w:rPr>
          <w:rFonts w:ascii="宋体" w:hAnsi="宋体"/>
          <w:sz w:val="24"/>
        </w:rPr>
        <w:t>承诺给予招标采购单位的各种优惠条件（</w:t>
      </w:r>
      <w:r>
        <w:rPr>
          <w:rFonts w:hint="eastAsia" w:ascii="宋体" w:hAnsi="宋体"/>
          <w:sz w:val="24"/>
        </w:rPr>
        <w:t>优惠</w:t>
      </w:r>
      <w:r>
        <w:rPr>
          <w:rFonts w:ascii="宋体" w:hAnsi="宋体"/>
          <w:sz w:val="24"/>
        </w:rPr>
        <w:t>条件事项不能包括采购项目本身所包括涉及的采购事项。投标人</w:t>
      </w:r>
      <w:r>
        <w:rPr>
          <w:rFonts w:hint="eastAsia" w:ascii="宋体" w:hAnsi="宋体"/>
          <w:sz w:val="24"/>
        </w:rPr>
        <w:t>不能</w:t>
      </w:r>
      <w:r>
        <w:rPr>
          <w:rFonts w:ascii="宋体" w:hAnsi="宋体"/>
          <w:sz w:val="24"/>
        </w:rPr>
        <w:t>以</w:t>
      </w:r>
      <w:r>
        <w:rPr>
          <w:rFonts w:hint="eastAsia" w:ascii="宋体" w:hAnsi="宋体"/>
          <w:sz w:val="24"/>
        </w:rPr>
        <w:t>“赠送</w:t>
      </w:r>
      <w:r>
        <w:rPr>
          <w:rFonts w:ascii="宋体" w:hAnsi="宋体"/>
          <w:sz w:val="24"/>
        </w:rPr>
        <w:t>、赠予</w:t>
      </w:r>
      <w:r>
        <w:rPr>
          <w:rFonts w:hint="eastAsia" w:ascii="宋体" w:hAnsi="宋体"/>
          <w:sz w:val="24"/>
        </w:rPr>
        <w:t>”等</w:t>
      </w:r>
      <w:r>
        <w:rPr>
          <w:rFonts w:ascii="宋体" w:hAnsi="宋体"/>
          <w:sz w:val="24"/>
        </w:rPr>
        <w:t>任何名义提供货物和服务以规避招标文</w:t>
      </w:r>
      <w:r>
        <w:rPr>
          <w:rFonts w:hint="eastAsia" w:ascii="宋体" w:hAnsi="宋体"/>
          <w:sz w:val="24"/>
        </w:rPr>
        <w:t>件的约束。否则，投标人提供的投标文件将作为无效投标处理，即使中标也将取消中标资格。未提供该承诺视为无优惠条件，不影响投标文件有效性）</w:t>
      </w:r>
      <w:r>
        <w:rPr>
          <w:rFonts w:hint="eastAsia" w:ascii="宋体" w:hAnsi="宋体"/>
          <w:b/>
          <w:sz w:val="24"/>
        </w:rPr>
        <w:t>（实质性要求）</w:t>
      </w:r>
      <w:r>
        <w:rPr>
          <w:rFonts w:hint="eastAsia" w:ascii="宋体" w:hAnsi="宋体"/>
          <w:sz w:val="24"/>
        </w:rPr>
        <w:t>；</w:t>
      </w:r>
    </w:p>
    <w:p>
      <w:pPr>
        <w:spacing w:line="400" w:lineRule="exact"/>
        <w:ind w:firstLine="480" w:firstLineChars="200"/>
        <w:rPr>
          <w:rFonts w:ascii="宋体" w:hAnsi="宋体"/>
          <w:sz w:val="24"/>
        </w:rPr>
      </w:pPr>
      <w:r>
        <w:rPr>
          <w:rFonts w:hint="eastAsia" w:ascii="宋体" w:hAnsi="宋体"/>
          <w:sz w:val="24"/>
        </w:rPr>
        <w:t>（4）商务应答表；</w:t>
      </w:r>
    </w:p>
    <w:p>
      <w:pPr>
        <w:spacing w:line="400" w:lineRule="exact"/>
        <w:ind w:firstLine="480" w:firstLineChars="200"/>
        <w:rPr>
          <w:rFonts w:ascii="宋体" w:hAnsi="宋体"/>
          <w:sz w:val="24"/>
        </w:rPr>
      </w:pPr>
      <w:r>
        <w:rPr>
          <w:rFonts w:hint="eastAsia" w:ascii="宋体" w:hAnsi="宋体"/>
          <w:sz w:val="24"/>
        </w:rPr>
        <w:t>（5）其它投标人认为需要提供的文件和资料。</w:t>
      </w:r>
    </w:p>
    <w:p>
      <w:pPr>
        <w:spacing w:line="400" w:lineRule="exact"/>
        <w:ind w:left="2" w:leftChars="1" w:firstLine="482" w:firstLineChars="200"/>
        <w:rPr>
          <w:rFonts w:ascii="宋体" w:hAnsi="宋体"/>
          <w:bCs/>
          <w:sz w:val="24"/>
        </w:rPr>
      </w:pPr>
      <w:r>
        <w:rPr>
          <w:rFonts w:hint="eastAsia" w:ascii="宋体" w:hAnsi="宋体"/>
          <w:b/>
          <w:bCs/>
          <w:sz w:val="24"/>
        </w:rPr>
        <w:t>14.2.4售后服务</w:t>
      </w:r>
      <w:r>
        <w:rPr>
          <w:rFonts w:hint="eastAsia" w:ascii="宋体" w:hAnsi="宋体"/>
          <w:bCs/>
          <w:sz w:val="24"/>
        </w:rPr>
        <w:t>。投标人按照招标文件中售后服务要求作出的积极响应和承诺。</w:t>
      </w:r>
    </w:p>
    <w:p>
      <w:pPr>
        <w:spacing w:line="400" w:lineRule="exact"/>
        <w:ind w:left="2" w:leftChars="1" w:firstLine="480" w:firstLineChars="200"/>
        <w:rPr>
          <w:rFonts w:ascii="宋体" w:hAnsi="宋体"/>
          <w:bCs/>
          <w:sz w:val="24"/>
        </w:rPr>
      </w:pPr>
      <w:r>
        <w:rPr>
          <w:rFonts w:hint="eastAsia" w:ascii="宋体" w:hAnsi="宋体"/>
          <w:bCs/>
          <w:sz w:val="24"/>
        </w:rPr>
        <w:t>包括以下内容：</w:t>
      </w:r>
    </w:p>
    <w:p>
      <w:pPr>
        <w:spacing w:line="400" w:lineRule="exact"/>
        <w:ind w:left="2" w:leftChars="1" w:firstLine="482" w:firstLineChars="200"/>
        <w:rPr>
          <w:rFonts w:ascii="宋体" w:hAnsi="宋体"/>
          <w:bCs/>
          <w:sz w:val="24"/>
        </w:rPr>
      </w:pPr>
      <w:r>
        <w:rPr>
          <w:rFonts w:hint="eastAsia" w:ascii="宋体" w:hAnsi="宋体"/>
          <w:b/>
          <w:bCs/>
          <w:sz w:val="24"/>
        </w:rPr>
        <w:t>详见招标文件第五章</w:t>
      </w:r>
    </w:p>
    <w:p>
      <w:pPr>
        <w:spacing w:line="400" w:lineRule="exact"/>
        <w:ind w:left="2" w:leftChars="1" w:firstLine="482" w:firstLineChars="200"/>
        <w:rPr>
          <w:rFonts w:ascii="宋体" w:hAnsi="宋体"/>
          <w:bCs/>
          <w:sz w:val="24"/>
        </w:rPr>
      </w:pPr>
      <w:r>
        <w:rPr>
          <w:rFonts w:hint="eastAsia" w:ascii="宋体" w:hAnsi="宋体"/>
          <w:b/>
          <w:bCs/>
          <w:sz w:val="24"/>
        </w:rPr>
        <w:t>14.2.5其他部分。</w:t>
      </w:r>
      <w:r>
        <w:rPr>
          <w:rFonts w:hint="eastAsia" w:ascii="宋体" w:hAnsi="宋体"/>
          <w:bCs/>
          <w:sz w:val="24"/>
        </w:rPr>
        <w:t>投标人按照招标文件要求作出的其他应答和承诺。</w:t>
      </w:r>
    </w:p>
    <w:p>
      <w:pPr>
        <w:pStyle w:val="6"/>
        <w:spacing w:line="400" w:lineRule="exact"/>
        <w:jc w:val="both"/>
        <w:rPr>
          <w:rFonts w:ascii="宋体" w:hAnsi="宋体" w:eastAsia="宋体"/>
          <w:color w:val="auto"/>
          <w:sz w:val="24"/>
          <w:szCs w:val="24"/>
        </w:rPr>
      </w:pPr>
      <w:r>
        <w:rPr>
          <w:rFonts w:ascii="宋体" w:hAnsi="宋体" w:eastAsia="宋体"/>
          <w:color w:val="auto"/>
          <w:sz w:val="24"/>
          <w:szCs w:val="24"/>
        </w:rPr>
        <w:t>15．投标文件格式</w:t>
      </w:r>
    </w:p>
    <w:p>
      <w:pPr>
        <w:spacing w:line="400" w:lineRule="exact"/>
        <w:ind w:left="13" w:leftChars="6" w:firstLine="480" w:firstLineChars="200"/>
        <w:rPr>
          <w:rFonts w:ascii="宋体" w:hAnsi="宋体" w:eastAsia="宋体"/>
          <w:sz w:val="24"/>
          <w:szCs w:val="24"/>
        </w:rPr>
      </w:pPr>
      <w:r>
        <w:rPr>
          <w:rFonts w:ascii="宋体" w:hAnsi="宋体" w:eastAsia="宋体"/>
          <w:sz w:val="24"/>
          <w:szCs w:val="24"/>
        </w:rPr>
        <w:t>15.1投标人应执行招标文件第三章的规定要求。</w:t>
      </w:r>
    </w:p>
    <w:p>
      <w:pPr>
        <w:spacing w:line="400" w:lineRule="exact"/>
        <w:ind w:left="13" w:leftChars="6" w:firstLine="480" w:firstLineChars="200"/>
        <w:rPr>
          <w:rFonts w:ascii="宋体" w:hAnsi="宋体" w:eastAsia="宋体"/>
          <w:sz w:val="24"/>
          <w:szCs w:val="24"/>
        </w:rPr>
      </w:pPr>
      <w:r>
        <w:rPr>
          <w:rFonts w:ascii="宋体" w:hAnsi="宋体" w:eastAsia="宋体"/>
          <w:sz w:val="24"/>
          <w:szCs w:val="24"/>
        </w:rPr>
        <w:t>15.2 对于没有格式要求的投标文件由投标人自行编写。</w:t>
      </w:r>
    </w:p>
    <w:p>
      <w:pPr>
        <w:pStyle w:val="6"/>
        <w:spacing w:line="400" w:lineRule="exact"/>
        <w:jc w:val="both"/>
        <w:rPr>
          <w:rFonts w:ascii="宋体" w:hAnsi="宋体" w:eastAsia="宋体"/>
          <w:color w:val="auto"/>
          <w:sz w:val="24"/>
          <w:szCs w:val="24"/>
        </w:rPr>
      </w:pPr>
      <w:r>
        <w:rPr>
          <w:rFonts w:ascii="宋体" w:hAnsi="宋体" w:eastAsia="宋体"/>
          <w:color w:val="auto"/>
          <w:sz w:val="24"/>
          <w:szCs w:val="24"/>
        </w:rPr>
        <w:t>16．投标保证金（</w:t>
      </w:r>
      <w:r>
        <w:rPr>
          <w:rFonts w:ascii="宋体" w:hAnsi="宋体" w:eastAsia="宋体"/>
          <w:sz w:val="24"/>
          <w:szCs w:val="24"/>
        </w:rPr>
        <w:t>本项目不做要求</w:t>
      </w:r>
      <w:r>
        <w:rPr>
          <w:rFonts w:ascii="宋体" w:hAnsi="宋体" w:eastAsia="宋体"/>
          <w:color w:val="auto"/>
          <w:sz w:val="24"/>
          <w:szCs w:val="24"/>
        </w:rPr>
        <w:t>）</w:t>
      </w:r>
    </w:p>
    <w:p>
      <w:pPr>
        <w:spacing w:line="400" w:lineRule="exact"/>
        <w:ind w:left="13" w:leftChars="6" w:firstLine="480" w:firstLineChars="200"/>
        <w:rPr>
          <w:rFonts w:ascii="宋体" w:hAnsi="宋体" w:eastAsia="宋体"/>
          <w:sz w:val="24"/>
          <w:szCs w:val="24"/>
        </w:rPr>
      </w:pPr>
      <w:r>
        <w:rPr>
          <w:rFonts w:ascii="宋体" w:hAnsi="宋体" w:eastAsia="宋体"/>
          <w:sz w:val="24"/>
          <w:szCs w:val="24"/>
        </w:rPr>
        <w:t>本项目不做要求。</w:t>
      </w:r>
    </w:p>
    <w:p>
      <w:pPr>
        <w:pStyle w:val="6"/>
        <w:spacing w:line="400" w:lineRule="exact"/>
        <w:jc w:val="both"/>
        <w:rPr>
          <w:rFonts w:ascii="宋体" w:hAnsi="宋体" w:eastAsia="宋体"/>
          <w:color w:val="auto"/>
          <w:sz w:val="24"/>
          <w:szCs w:val="24"/>
        </w:rPr>
      </w:pPr>
      <w:r>
        <w:rPr>
          <w:rFonts w:ascii="宋体" w:hAnsi="宋体" w:eastAsia="宋体"/>
          <w:color w:val="auto"/>
          <w:sz w:val="24"/>
          <w:szCs w:val="24"/>
        </w:rPr>
        <w:t>17．投标有效期（实质性要求）</w:t>
      </w:r>
    </w:p>
    <w:p>
      <w:pPr>
        <w:spacing w:line="400" w:lineRule="exact"/>
        <w:ind w:left="13" w:leftChars="6" w:firstLine="480" w:firstLineChars="200"/>
        <w:rPr>
          <w:rFonts w:ascii="宋体" w:hAnsi="宋体" w:eastAsia="宋体"/>
          <w:sz w:val="24"/>
          <w:szCs w:val="24"/>
        </w:rPr>
      </w:pPr>
      <w:r>
        <w:rPr>
          <w:rFonts w:ascii="宋体" w:hAnsi="宋体" w:eastAsia="宋体"/>
          <w:sz w:val="24"/>
          <w:szCs w:val="24"/>
        </w:rPr>
        <w:t>17.1 本项目投标有效期为投标截止时间届满后90天。投标人投标文件中必须载明投标有效期，投标文件中载明的投标有效期可以长于招标文件规定的期限，但不得短于招标文件规定的期限。否则，其投标文件将作为无效投标处理。</w:t>
      </w:r>
    </w:p>
    <w:p>
      <w:pPr>
        <w:spacing w:line="400" w:lineRule="exact"/>
        <w:ind w:left="13" w:leftChars="6" w:firstLine="360" w:firstLineChars="150"/>
        <w:rPr>
          <w:rFonts w:ascii="宋体" w:hAnsi="宋体" w:eastAsia="宋体"/>
          <w:sz w:val="24"/>
          <w:szCs w:val="24"/>
        </w:rPr>
      </w:pPr>
      <w:r>
        <w:rPr>
          <w:rFonts w:ascii="宋体" w:hAnsi="宋体" w:eastAsia="宋体"/>
          <w:sz w:val="24"/>
          <w:szCs w:val="24"/>
        </w:rPr>
        <w:t xml:space="preserve"> 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spacing w:line="400" w:lineRule="exact"/>
        <w:ind w:left="13" w:leftChars="6" w:firstLine="360" w:firstLineChars="150"/>
        <w:rPr>
          <w:rFonts w:ascii="宋体" w:hAnsi="宋体" w:eastAsia="宋体"/>
          <w:sz w:val="24"/>
          <w:szCs w:val="24"/>
        </w:rPr>
      </w:pPr>
      <w:r>
        <w:rPr>
          <w:rFonts w:ascii="宋体" w:hAnsi="宋体" w:eastAsia="宋体"/>
          <w:sz w:val="24"/>
          <w:szCs w:val="24"/>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6"/>
        <w:spacing w:line="400" w:lineRule="exact"/>
        <w:jc w:val="both"/>
        <w:rPr>
          <w:rFonts w:ascii="宋体" w:hAnsi="宋体" w:eastAsia="宋体"/>
          <w:color w:val="auto"/>
          <w:sz w:val="24"/>
          <w:szCs w:val="24"/>
        </w:rPr>
      </w:pPr>
      <w:r>
        <w:rPr>
          <w:rFonts w:ascii="宋体" w:hAnsi="宋体" w:eastAsia="宋体"/>
          <w:color w:val="auto"/>
          <w:sz w:val="24"/>
          <w:szCs w:val="24"/>
        </w:rPr>
        <w:t>18．投标文件的印制和签署</w:t>
      </w:r>
    </w:p>
    <w:p>
      <w:pPr>
        <w:spacing w:line="400" w:lineRule="exact"/>
        <w:ind w:firstLine="460" w:firstLineChars="192"/>
        <w:rPr>
          <w:rFonts w:ascii="宋体" w:hAnsi="宋体" w:eastAsia="宋体"/>
          <w:sz w:val="24"/>
          <w:szCs w:val="24"/>
        </w:rPr>
      </w:pPr>
      <w:r>
        <w:rPr>
          <w:rFonts w:ascii="宋体" w:hAnsi="宋体" w:eastAsia="宋体"/>
          <w:sz w:val="24"/>
          <w:szCs w:val="24"/>
        </w:rPr>
        <w:t>18.1投标文件分为“资格性投标文件”和“其它响应性投标文件”两部分，</w:t>
      </w:r>
      <w:r>
        <w:rPr>
          <w:rFonts w:ascii="宋体" w:hAnsi="宋体" w:eastAsia="宋体"/>
          <w:b/>
          <w:bCs/>
          <w:sz w:val="24"/>
          <w:szCs w:val="24"/>
        </w:rPr>
        <w:t>且该两部分文件需分册装订</w:t>
      </w:r>
      <w:r>
        <w:rPr>
          <w:rFonts w:ascii="宋体" w:hAnsi="宋体" w:eastAsia="宋体"/>
          <w:sz w:val="24"/>
          <w:szCs w:val="24"/>
        </w:rPr>
        <w:t>。“资格性投标文件”用于采购人或采购代理机构对本项目的资格审查，“其它响应性投标文件”用于评标委员会针对本项目资格审查以外的评审。</w:t>
      </w:r>
    </w:p>
    <w:p>
      <w:pPr>
        <w:spacing w:line="400" w:lineRule="exact"/>
        <w:ind w:firstLine="460" w:firstLineChars="192"/>
        <w:rPr>
          <w:rFonts w:ascii="宋体" w:hAnsi="宋体" w:eastAsia="宋体"/>
          <w:b/>
          <w:bCs/>
          <w:sz w:val="24"/>
          <w:szCs w:val="24"/>
        </w:rPr>
      </w:pPr>
      <w:r>
        <w:rPr>
          <w:rFonts w:ascii="宋体" w:hAnsi="宋体" w:eastAsia="宋体"/>
          <w:sz w:val="24"/>
          <w:szCs w:val="24"/>
        </w:rPr>
        <w:t>18.2投标人应按招标文件要求准备投标文件正本</w:t>
      </w:r>
      <w:r>
        <w:rPr>
          <w:rFonts w:ascii="宋体" w:hAnsi="宋体" w:eastAsia="宋体"/>
          <w:sz w:val="24"/>
          <w:szCs w:val="24"/>
          <w:u w:val="single"/>
        </w:rPr>
        <w:t>壹</w:t>
      </w:r>
      <w:r>
        <w:rPr>
          <w:rFonts w:ascii="宋体" w:hAnsi="宋体" w:eastAsia="宋体"/>
          <w:sz w:val="24"/>
          <w:szCs w:val="24"/>
        </w:rPr>
        <w:t>份、副本</w:t>
      </w:r>
      <w:r>
        <w:rPr>
          <w:rFonts w:ascii="宋体" w:hAnsi="宋体" w:eastAsia="宋体"/>
          <w:sz w:val="24"/>
          <w:szCs w:val="24"/>
          <w:u w:val="single"/>
        </w:rPr>
        <w:t>贰</w:t>
      </w:r>
      <w:r>
        <w:rPr>
          <w:rFonts w:ascii="宋体" w:hAnsi="宋体" w:eastAsia="宋体"/>
          <w:sz w:val="24"/>
          <w:szCs w:val="24"/>
        </w:rPr>
        <w:t>份以及用于开标唱标单独提交的“开标一览表”</w:t>
      </w:r>
      <w:r>
        <w:rPr>
          <w:rFonts w:ascii="宋体" w:hAnsi="宋体" w:eastAsia="宋体"/>
          <w:sz w:val="24"/>
          <w:szCs w:val="24"/>
          <w:u w:val="single"/>
        </w:rPr>
        <w:t>壹</w:t>
      </w:r>
      <w:r>
        <w:rPr>
          <w:rFonts w:ascii="宋体" w:hAnsi="宋体" w:eastAsia="宋体"/>
          <w:sz w:val="24"/>
          <w:szCs w:val="24"/>
        </w:rPr>
        <w:t>份、</w:t>
      </w:r>
      <w:r>
        <w:rPr>
          <w:rFonts w:hint="eastAsia" w:ascii="宋体" w:hAnsi="宋体" w:eastAsia="宋体"/>
          <w:sz w:val="24"/>
          <w:szCs w:val="24"/>
        </w:rPr>
        <w:t>电子文档</w:t>
      </w:r>
      <w:r>
        <w:rPr>
          <w:rFonts w:ascii="宋体" w:hAnsi="宋体" w:eastAsia="宋体"/>
          <w:sz w:val="24"/>
          <w:szCs w:val="24"/>
          <w:u w:val="single"/>
        </w:rPr>
        <w:t>壹</w:t>
      </w:r>
      <w:r>
        <w:rPr>
          <w:rFonts w:hint="eastAsia" w:ascii="宋体" w:hAnsi="宋体" w:eastAsia="宋体"/>
          <w:sz w:val="24"/>
          <w:szCs w:val="24"/>
        </w:rPr>
        <w:t>份</w:t>
      </w:r>
      <w:r>
        <w:rPr>
          <w:rFonts w:ascii="宋体" w:hAnsi="宋体" w:eastAsia="宋体"/>
          <w:sz w:val="24"/>
          <w:szCs w:val="24"/>
        </w:rPr>
        <w:t>。所有投标文件均应在其封面上清楚地标明“正本”或“副本”、“资格性投标文件”或“其它响应性投标文件”、投标人名称、项目名称、招标编号及分包号（如涉及）字样，若纸质文档的正本与副本有不一致的内容，以正本为准。</w:t>
      </w:r>
    </w:p>
    <w:p>
      <w:pPr>
        <w:spacing w:line="400" w:lineRule="exact"/>
        <w:ind w:firstLine="460" w:firstLineChars="192"/>
        <w:rPr>
          <w:rFonts w:ascii="宋体" w:hAnsi="宋体" w:eastAsia="宋体"/>
          <w:sz w:val="24"/>
          <w:szCs w:val="24"/>
        </w:rPr>
      </w:pPr>
      <w:r>
        <w:rPr>
          <w:rFonts w:ascii="宋体" w:hAnsi="宋体" w:eastAsia="宋体"/>
          <w:sz w:val="24"/>
          <w:szCs w:val="24"/>
        </w:rPr>
        <w:t>18.3除了用于开标唱标单独提交的“开标一览表”外，投标人还应在递交的“其它响应性投标文件（包含正副本）”中编入“开标一览表”，且应当一致。</w:t>
      </w:r>
    </w:p>
    <w:p>
      <w:pPr>
        <w:spacing w:line="400" w:lineRule="exact"/>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18.4 投标文件的正本和副本均需打印或用不褪色、不变质的墨水书写，并由投标人的法定代表人或其授权代表在规定签章处签字或盖章。投标文件副本可采用正本的复印件，用于开标唱标单独提交的“开标一览表”应为原件。</w:t>
      </w:r>
    </w:p>
    <w:p>
      <w:pPr>
        <w:spacing w:line="400" w:lineRule="exact"/>
        <w:ind w:firstLine="460" w:firstLineChars="192"/>
        <w:rPr>
          <w:rFonts w:ascii="宋体" w:hAnsi="宋体" w:eastAsia="宋体"/>
          <w:sz w:val="24"/>
          <w:szCs w:val="24"/>
        </w:rPr>
      </w:pPr>
      <w:r>
        <w:rPr>
          <w:rFonts w:ascii="宋体" w:hAnsi="宋体" w:eastAsia="宋体"/>
          <w:sz w:val="24"/>
          <w:szCs w:val="24"/>
        </w:rPr>
        <w:t>18.5 投标文件的打印和书写应清楚工整，任何行间插字、涂改或增删，必须由投标人的法定代表人或其授权代表签字或盖个人印鉴。</w:t>
      </w:r>
    </w:p>
    <w:p>
      <w:pPr>
        <w:spacing w:line="400" w:lineRule="exact"/>
        <w:ind w:firstLine="460" w:firstLineChars="192"/>
        <w:rPr>
          <w:rFonts w:ascii="宋体" w:hAnsi="宋体" w:eastAsia="宋体"/>
          <w:sz w:val="24"/>
          <w:szCs w:val="24"/>
        </w:rPr>
      </w:pPr>
      <w:r>
        <w:rPr>
          <w:rFonts w:ascii="宋体" w:hAnsi="宋体" w:eastAsia="宋体"/>
          <w:sz w:val="24"/>
          <w:szCs w:val="24"/>
        </w:rPr>
        <w:t>18.6 投标文件正本和副本需采取胶装方式装订成册，不得散装或者合页装订。</w:t>
      </w:r>
    </w:p>
    <w:p>
      <w:pPr>
        <w:spacing w:line="400" w:lineRule="exact"/>
        <w:ind w:firstLine="460" w:firstLineChars="192"/>
        <w:rPr>
          <w:rFonts w:ascii="宋体" w:hAnsi="宋体" w:eastAsia="宋体"/>
          <w:b/>
          <w:bCs/>
          <w:sz w:val="24"/>
          <w:szCs w:val="24"/>
        </w:rPr>
      </w:pPr>
      <w:r>
        <w:rPr>
          <w:rFonts w:ascii="宋体" w:hAnsi="宋体" w:eastAsia="宋体"/>
          <w:sz w:val="24"/>
          <w:szCs w:val="24"/>
        </w:rPr>
        <w:t>18.7 投标文件应根据招标文件的要求签署及盖章，属于招标文件第六章“3.3.2”情形的除外。</w:t>
      </w:r>
      <w:r>
        <w:rPr>
          <w:rFonts w:ascii="宋体" w:hAnsi="宋体" w:eastAsia="宋体"/>
          <w:b/>
          <w:bCs/>
          <w:sz w:val="24"/>
          <w:szCs w:val="24"/>
        </w:rPr>
        <w:t>（实质性要求）</w:t>
      </w:r>
    </w:p>
    <w:p>
      <w:pPr>
        <w:spacing w:line="400" w:lineRule="exact"/>
        <w:ind w:firstLine="460" w:firstLineChars="192"/>
        <w:rPr>
          <w:rFonts w:ascii="宋体" w:hAnsi="宋体" w:eastAsia="宋体"/>
          <w:sz w:val="24"/>
          <w:szCs w:val="24"/>
        </w:rPr>
      </w:pPr>
      <w:r>
        <w:rPr>
          <w:rFonts w:ascii="宋体" w:hAnsi="宋体" w:eastAsia="宋体"/>
          <w:sz w:val="24"/>
          <w:szCs w:val="24"/>
        </w:rPr>
        <w:t>18.8投标文件应根据招标文件的要求制作，内容应完整。</w:t>
      </w:r>
    </w:p>
    <w:p>
      <w:pPr>
        <w:spacing w:line="400" w:lineRule="exact"/>
        <w:ind w:firstLine="460" w:firstLineChars="192"/>
        <w:rPr>
          <w:rFonts w:ascii="宋体" w:hAnsi="宋体" w:eastAsia="宋体"/>
          <w:sz w:val="24"/>
          <w:szCs w:val="24"/>
        </w:rPr>
      </w:pPr>
      <w:r>
        <w:rPr>
          <w:rFonts w:ascii="宋体" w:hAnsi="宋体" w:eastAsia="宋体"/>
          <w:sz w:val="24"/>
          <w:szCs w:val="24"/>
        </w:rPr>
        <w:t>18.9 投标文件统一用A4幅面纸印制，逐页编码。</w:t>
      </w:r>
    </w:p>
    <w:p>
      <w:pPr>
        <w:spacing w:line="400" w:lineRule="exact"/>
        <w:ind w:firstLine="460" w:firstLineChars="192"/>
        <w:rPr>
          <w:rFonts w:ascii="宋体" w:hAnsi="宋体" w:eastAsia="宋体"/>
          <w:sz w:val="24"/>
          <w:szCs w:val="24"/>
        </w:rPr>
      </w:pPr>
      <w:r>
        <w:rPr>
          <w:rFonts w:ascii="宋体" w:hAnsi="宋体" w:eastAsia="宋体"/>
          <w:sz w:val="24"/>
          <w:szCs w:val="24"/>
        </w:rPr>
        <w:t>18.10 本次招标要求的复印件是指对图文进行复制后的文件，包括扫描、复印、影印等方式复制的材料。</w:t>
      </w:r>
    </w:p>
    <w:p>
      <w:pPr>
        <w:pStyle w:val="6"/>
        <w:spacing w:line="400" w:lineRule="exact"/>
        <w:ind w:left="41" w:firstLine="420"/>
        <w:jc w:val="both"/>
        <w:rPr>
          <w:rFonts w:ascii="宋体" w:hAnsi="宋体" w:eastAsia="宋体"/>
          <w:color w:val="auto"/>
          <w:sz w:val="24"/>
          <w:szCs w:val="24"/>
        </w:rPr>
      </w:pPr>
      <w:r>
        <w:rPr>
          <w:rFonts w:ascii="宋体" w:hAnsi="宋体" w:eastAsia="宋体"/>
          <w:color w:val="auto"/>
          <w:sz w:val="24"/>
          <w:szCs w:val="24"/>
        </w:rPr>
        <w:t>19. 投标文件的密封和标注</w:t>
      </w:r>
    </w:p>
    <w:p>
      <w:pPr>
        <w:spacing w:line="400" w:lineRule="exact"/>
        <w:ind w:firstLine="480" w:firstLineChars="200"/>
        <w:rPr>
          <w:rFonts w:ascii="宋体" w:hAnsi="宋体" w:eastAsia="宋体"/>
          <w:sz w:val="24"/>
          <w:szCs w:val="24"/>
        </w:rPr>
      </w:pPr>
      <w:r>
        <w:rPr>
          <w:rFonts w:ascii="宋体" w:hAnsi="宋体" w:eastAsia="宋体"/>
          <w:sz w:val="24"/>
          <w:szCs w:val="24"/>
        </w:rPr>
        <w:t>19.1投标人应在投标文件正本和所有副本的封面上注明投标人名称、招标编号、项目名称及分包号（如有分包）。</w:t>
      </w:r>
    </w:p>
    <w:p>
      <w:pPr>
        <w:spacing w:line="400" w:lineRule="exact"/>
        <w:ind w:firstLine="480" w:firstLineChars="200"/>
        <w:rPr>
          <w:rFonts w:ascii="Times New Roman" w:hAnsi="Times New Roman" w:eastAsia="Times New Roman"/>
          <w:sz w:val="24"/>
          <w:szCs w:val="24"/>
        </w:rPr>
      </w:pPr>
      <w:r>
        <w:rPr>
          <w:rFonts w:ascii="宋体" w:hAnsi="宋体" w:eastAsia="宋体"/>
          <w:sz w:val="24"/>
          <w:szCs w:val="24"/>
        </w:rPr>
        <w:t>19.2资格性投标文件（正副本）、其它响应性投标文件（正副本）、招标文件要求单独提交的开标一览表、电子文档，应分别封装于不同的密封袋内，密封袋上应分别标上“资格性投标文件”、“其它响应性投标文件”、“开标一览表”、“电子文档”字样，并注明投标人名称、招标编号、项目名称及分包号（如有分包）。</w:t>
      </w:r>
    </w:p>
    <w:p>
      <w:pPr>
        <w:spacing w:line="400" w:lineRule="exact"/>
        <w:ind w:firstLine="472" w:firstLineChars="197"/>
        <w:rPr>
          <w:rFonts w:ascii="宋体" w:hAnsi="宋体" w:eastAsia="宋体"/>
          <w:sz w:val="24"/>
          <w:szCs w:val="24"/>
        </w:rPr>
      </w:pPr>
      <w:r>
        <w:rPr>
          <w:rFonts w:ascii="宋体" w:hAnsi="宋体" w:eastAsia="宋体"/>
          <w:sz w:val="24"/>
          <w:szCs w:val="24"/>
        </w:rPr>
        <w:t>19.3 所有外层密封袋的封口处应粘贴牢固，并加盖密封章（投标人公章）。</w:t>
      </w:r>
    </w:p>
    <w:p>
      <w:pPr>
        <w:pStyle w:val="6"/>
        <w:spacing w:line="400" w:lineRule="exact"/>
        <w:jc w:val="both"/>
        <w:rPr>
          <w:rFonts w:ascii="宋体" w:hAnsi="宋体" w:eastAsia="宋体"/>
          <w:color w:val="auto"/>
          <w:sz w:val="24"/>
          <w:szCs w:val="24"/>
        </w:rPr>
      </w:pPr>
      <w:r>
        <w:rPr>
          <w:rFonts w:ascii="宋体" w:hAnsi="宋体" w:eastAsia="宋体"/>
          <w:color w:val="auto"/>
          <w:sz w:val="24"/>
          <w:szCs w:val="24"/>
        </w:rPr>
        <w:t>20</w:t>
      </w:r>
      <w:r>
        <w:rPr>
          <w:rFonts w:ascii="宋体" w:hAnsi="宋体" w:eastAsia="宋体"/>
          <w:color w:val="auto"/>
          <w:sz w:val="28"/>
          <w:szCs w:val="28"/>
        </w:rPr>
        <w:t>．</w:t>
      </w:r>
      <w:r>
        <w:rPr>
          <w:rFonts w:ascii="宋体" w:hAnsi="宋体" w:eastAsia="宋体"/>
          <w:color w:val="auto"/>
          <w:sz w:val="24"/>
          <w:szCs w:val="24"/>
        </w:rPr>
        <w:t>投标文件的递交</w:t>
      </w:r>
    </w:p>
    <w:p>
      <w:pPr>
        <w:spacing w:line="400" w:lineRule="exact"/>
        <w:ind w:firstLine="460" w:firstLineChars="192"/>
        <w:rPr>
          <w:rFonts w:ascii="宋体" w:hAnsi="宋体" w:eastAsia="宋体"/>
          <w:sz w:val="24"/>
          <w:szCs w:val="24"/>
        </w:rPr>
      </w:pPr>
      <w:r>
        <w:rPr>
          <w:rFonts w:ascii="宋体" w:hAnsi="宋体" w:eastAsia="宋体"/>
          <w:sz w:val="24"/>
          <w:szCs w:val="24"/>
        </w:rPr>
        <w:t>20.1 投标人应在招标文件规定的投标截止时间前，将投标文件按招标文件的规定密封后送达开标地点。投标截止时间以后送达的投标文件将不予接收，招标采购单位将告知投标人不予接收的原因。</w:t>
      </w:r>
    </w:p>
    <w:p>
      <w:pPr>
        <w:spacing w:line="400" w:lineRule="exact"/>
        <w:ind w:firstLine="460" w:firstLineChars="192"/>
        <w:rPr>
          <w:rFonts w:ascii="宋体" w:hAnsi="宋体" w:eastAsia="宋体"/>
          <w:sz w:val="24"/>
          <w:szCs w:val="24"/>
        </w:rPr>
      </w:pPr>
      <w:r>
        <w:rPr>
          <w:rFonts w:ascii="宋体" w:hAnsi="宋体" w:eastAsia="宋体"/>
          <w:sz w:val="24"/>
          <w:szCs w:val="24"/>
        </w:rPr>
        <w:t>20.2递交投标文件时，报名供应商名称和招标文件的文号、分包号应当与投标供应商名称和招标文件的文号、分包号一致。但是，投标文件实质内容报名供应商名称和招标文件的文号、分包号一致，只是封面文字错误的，可以在评标过程中当面予以澄清，以有效的澄清材料作为认定投标文件是否有效的依据。</w:t>
      </w:r>
    </w:p>
    <w:p>
      <w:pPr>
        <w:spacing w:line="400" w:lineRule="exact"/>
        <w:ind w:firstLine="480"/>
        <w:rPr>
          <w:rFonts w:ascii="宋体" w:hAnsi="宋体" w:eastAsia="宋体"/>
          <w:sz w:val="24"/>
          <w:szCs w:val="24"/>
        </w:rPr>
      </w:pPr>
      <w:r>
        <w:rPr>
          <w:rFonts w:ascii="宋体" w:hAnsi="宋体" w:eastAsia="宋体"/>
          <w:sz w:val="24"/>
          <w:szCs w:val="24"/>
        </w:rPr>
        <w:t>20.3本次招标不接收邮寄的投标文件。</w:t>
      </w:r>
    </w:p>
    <w:p>
      <w:pPr>
        <w:pStyle w:val="6"/>
        <w:spacing w:line="400" w:lineRule="exact"/>
        <w:jc w:val="both"/>
        <w:rPr>
          <w:rFonts w:ascii="宋体" w:hAnsi="宋体" w:eastAsia="宋体"/>
          <w:color w:val="auto"/>
          <w:sz w:val="24"/>
          <w:szCs w:val="24"/>
        </w:rPr>
      </w:pPr>
      <w:r>
        <w:rPr>
          <w:rFonts w:ascii="宋体" w:hAnsi="宋体" w:eastAsia="宋体"/>
          <w:color w:val="auto"/>
          <w:sz w:val="24"/>
          <w:szCs w:val="24"/>
        </w:rPr>
        <w:t>21．投标文件的修改和撤回</w:t>
      </w:r>
    </w:p>
    <w:p>
      <w:pPr>
        <w:spacing w:line="400" w:lineRule="exact"/>
        <w:ind w:firstLine="470" w:firstLineChars="196"/>
        <w:rPr>
          <w:rFonts w:ascii="宋体" w:hAnsi="宋体" w:eastAsia="宋体"/>
          <w:sz w:val="24"/>
          <w:szCs w:val="24"/>
        </w:rPr>
      </w:pPr>
      <w:r>
        <w:rPr>
          <w:rFonts w:ascii="宋体" w:hAnsi="宋体" w:eastAsia="宋体"/>
          <w:sz w:val="24"/>
          <w:szCs w:val="24"/>
        </w:rPr>
        <w:t>21.1 投标人在递交了投标文件后，可以修改或撤回其投标文件，但必须在规定的投标截止时间前，以书面形式通知采购代理机构。</w:t>
      </w:r>
    </w:p>
    <w:p>
      <w:pPr>
        <w:spacing w:line="400" w:lineRule="exact"/>
        <w:ind w:firstLine="470" w:firstLineChars="196"/>
        <w:rPr>
          <w:rFonts w:ascii="宋体" w:hAnsi="宋体" w:eastAsia="宋体"/>
          <w:sz w:val="24"/>
          <w:szCs w:val="24"/>
        </w:rPr>
      </w:pPr>
      <w:r>
        <w:rPr>
          <w:rFonts w:ascii="宋体" w:hAnsi="宋体" w:eastAsia="宋体"/>
          <w:sz w:val="24"/>
          <w:szCs w:val="24"/>
        </w:rPr>
        <w:t>21.2 投标人的修改书或撤回通知书，应由其法定代表人或授权代表签署并盖单位印章。修改书应按投标须知第19条规定进行密封和标注，并在密封袋上标注“修改”字样。</w:t>
      </w:r>
    </w:p>
    <w:p>
      <w:pPr>
        <w:spacing w:line="400" w:lineRule="exact"/>
        <w:ind w:firstLine="480"/>
        <w:rPr>
          <w:rFonts w:ascii="宋体" w:hAnsi="宋体" w:eastAsia="宋体"/>
          <w:sz w:val="24"/>
          <w:szCs w:val="24"/>
        </w:rPr>
      </w:pPr>
      <w:r>
        <w:rPr>
          <w:rFonts w:ascii="宋体" w:hAnsi="宋体" w:eastAsia="宋体"/>
          <w:sz w:val="24"/>
          <w:szCs w:val="24"/>
        </w:rPr>
        <w:t>21.3 在投标截止时间之后，投标人不得对其递交的投标文件做任何修改，撤回投标的，将按照有关规定进行相应处理。</w:t>
      </w:r>
    </w:p>
    <w:p>
      <w:pPr>
        <w:pStyle w:val="5"/>
        <w:spacing w:before="480" w:line="400" w:lineRule="exact"/>
        <w:jc w:val="center"/>
        <w:rPr>
          <w:rFonts w:ascii="宋体" w:hAnsi="宋体" w:eastAsia="宋体"/>
          <w:color w:val="auto"/>
          <w:sz w:val="28"/>
          <w:szCs w:val="28"/>
        </w:rPr>
      </w:pPr>
      <w:bookmarkStart w:id="21" w:name="_Toc13461"/>
      <w:r>
        <w:rPr>
          <w:rFonts w:ascii="宋体" w:hAnsi="宋体" w:eastAsia="宋体"/>
          <w:color w:val="auto"/>
          <w:sz w:val="28"/>
          <w:szCs w:val="28"/>
        </w:rPr>
        <w:t>五、开标和中标</w:t>
      </w:r>
      <w:bookmarkEnd w:id="21"/>
    </w:p>
    <w:p>
      <w:pPr>
        <w:pStyle w:val="6"/>
        <w:spacing w:after="0" w:line="415" w:lineRule="auto"/>
        <w:jc w:val="both"/>
        <w:rPr>
          <w:rFonts w:ascii="宋体" w:hAnsi="宋体" w:eastAsia="宋体"/>
          <w:color w:val="auto"/>
          <w:sz w:val="24"/>
          <w:szCs w:val="24"/>
        </w:rPr>
      </w:pPr>
      <w:r>
        <w:rPr>
          <w:rFonts w:ascii="宋体" w:hAnsi="宋体" w:eastAsia="宋体"/>
          <w:color w:val="auto"/>
          <w:sz w:val="24"/>
          <w:szCs w:val="24"/>
        </w:rPr>
        <w:t>22</w:t>
      </w:r>
      <w:r>
        <w:rPr>
          <w:rFonts w:ascii="宋体" w:hAnsi="宋体" w:eastAsia="宋体"/>
          <w:color w:val="auto"/>
        </w:rPr>
        <w:t>．</w:t>
      </w:r>
      <w:r>
        <w:rPr>
          <w:rFonts w:ascii="宋体" w:hAnsi="宋体" w:eastAsia="宋体"/>
          <w:color w:val="auto"/>
          <w:sz w:val="24"/>
          <w:szCs w:val="24"/>
        </w:rPr>
        <w:t>开标</w:t>
      </w:r>
    </w:p>
    <w:p>
      <w:pPr>
        <w:spacing w:before="120" w:line="400" w:lineRule="exact"/>
        <w:ind w:firstLine="480" w:firstLineChars="200"/>
        <w:rPr>
          <w:rFonts w:ascii="宋体" w:hAnsi="宋体" w:eastAsia="宋体"/>
          <w:sz w:val="24"/>
          <w:szCs w:val="24"/>
        </w:rPr>
      </w:pPr>
      <w:r>
        <w:rPr>
          <w:rFonts w:ascii="宋体" w:hAnsi="宋体" w:eastAsia="宋体"/>
          <w:sz w:val="24"/>
          <w:szCs w:val="24"/>
        </w:rPr>
        <w:t>22.1 开标在招标文件规定的时间和地点公开进行，采购人、投标人须派代表参加并签到以证明其出席。开标由采购代理机构主持，采购人、投标人代表参加。评标专家不参加开标活动。</w:t>
      </w:r>
    </w:p>
    <w:p>
      <w:pPr>
        <w:spacing w:line="400" w:lineRule="exact"/>
        <w:ind w:firstLine="480" w:firstLineChars="200"/>
        <w:rPr>
          <w:rFonts w:ascii="宋体" w:hAnsi="宋体" w:eastAsia="宋体"/>
          <w:sz w:val="24"/>
          <w:szCs w:val="24"/>
        </w:rPr>
      </w:pPr>
      <w:r>
        <w:rPr>
          <w:rFonts w:ascii="宋体" w:hAnsi="宋体" w:eastAsia="宋体"/>
          <w:sz w:val="24"/>
          <w:szCs w:val="24"/>
        </w:rPr>
        <w:t>22.2 开标时，可能根据具体情况邀请有关监督管理部门对开标活动进行现场监督。</w:t>
      </w:r>
    </w:p>
    <w:p>
      <w:pPr>
        <w:spacing w:line="400" w:lineRule="exact"/>
        <w:ind w:firstLine="480" w:firstLineChars="200"/>
        <w:rPr>
          <w:rFonts w:ascii="宋体" w:hAnsi="宋体" w:eastAsia="宋体"/>
          <w:sz w:val="24"/>
          <w:szCs w:val="24"/>
        </w:rPr>
      </w:pPr>
      <w:r>
        <w:rPr>
          <w:rFonts w:ascii="宋体" w:hAnsi="宋体" w:eastAsia="宋体"/>
          <w:sz w:val="24"/>
          <w:szCs w:val="24"/>
        </w:rPr>
        <w:t>22.3 开标时，由投标人或者其推选的代表先检查其自己递交的投标文件的密封情况，经确认无误后，由招标工作人员将投标人单独递交的“开标一览表”当众拆封，并由唱标人员按照招标文件规定的内容进行宣读。</w:t>
      </w:r>
    </w:p>
    <w:p>
      <w:pPr>
        <w:spacing w:line="400" w:lineRule="exact"/>
        <w:ind w:firstLine="480" w:firstLineChars="200"/>
        <w:rPr>
          <w:rFonts w:ascii="宋体" w:hAnsi="宋体" w:eastAsia="宋体"/>
          <w:sz w:val="24"/>
          <w:szCs w:val="24"/>
        </w:rPr>
      </w:pPr>
      <w:r>
        <w:rPr>
          <w:rFonts w:ascii="宋体" w:hAnsi="宋体" w:eastAsia="宋体"/>
          <w:sz w:val="24"/>
          <w:szCs w:val="24"/>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开标主持人或者现场监督人员，要求开标现场记录人员予以记录，并在评标时予以认定处理，但不得干扰、阻挠开标工作的正常进行。</w:t>
      </w:r>
    </w:p>
    <w:p>
      <w:pPr>
        <w:spacing w:line="400" w:lineRule="exact"/>
        <w:ind w:firstLine="480" w:firstLineChars="200"/>
        <w:rPr>
          <w:rFonts w:ascii="宋体" w:hAnsi="宋体" w:eastAsia="宋体"/>
          <w:sz w:val="24"/>
          <w:szCs w:val="24"/>
        </w:rPr>
      </w:pPr>
      <w:r>
        <w:rPr>
          <w:rFonts w:ascii="宋体" w:hAnsi="宋体" w:eastAsia="宋体"/>
          <w:sz w:val="24"/>
          <w:szCs w:val="24"/>
        </w:rPr>
        <w:t>22.4 开标时，“开标一览表”中的大写金额与小写金额不一致的，以大写金额为准；总价金额与按单价计算的汇总金额不一致的，以单价计算的汇总金额为准；单价金额有明显小数点错误的，以总价为准，并修改单价。</w:t>
      </w:r>
    </w:p>
    <w:p>
      <w:pPr>
        <w:spacing w:line="400" w:lineRule="exact"/>
        <w:ind w:firstLine="480" w:firstLineChars="200"/>
        <w:rPr>
          <w:rFonts w:ascii="宋体" w:hAnsi="宋体" w:eastAsia="宋体"/>
          <w:sz w:val="24"/>
          <w:szCs w:val="24"/>
        </w:rPr>
      </w:pPr>
      <w:r>
        <w:rPr>
          <w:rFonts w:ascii="宋体" w:hAnsi="宋体" w:eastAsia="宋体"/>
          <w:sz w:val="24"/>
          <w:szCs w:val="24"/>
        </w:rPr>
        <w:t>22.5 投标文件中相关内容与“开标一览表”不一致的，以“开标一览表”为准。对不同文字文本投标文件的解释发生异议的，以中文文本为准。</w:t>
      </w:r>
    </w:p>
    <w:p>
      <w:pPr>
        <w:spacing w:before="120" w:line="400" w:lineRule="exact"/>
        <w:ind w:firstLine="480" w:firstLineChars="200"/>
        <w:rPr>
          <w:rFonts w:ascii="宋体" w:hAnsi="宋体" w:eastAsia="宋体"/>
          <w:sz w:val="24"/>
          <w:szCs w:val="24"/>
        </w:rPr>
      </w:pPr>
      <w:r>
        <w:rPr>
          <w:rFonts w:ascii="宋体" w:hAnsi="宋体" w:eastAsia="宋体"/>
          <w:sz w:val="24"/>
          <w:szCs w:val="24"/>
        </w:rPr>
        <w:t>22.6 所有投标唱标完毕，如投标人代表对宣读的“开标一览表”上的内容有异议的，应在获得开标会主持人同意后当场提出。如确实属于唱标人员宣读错了的，经现场监督人员核实后，当场予以更正。</w:t>
      </w:r>
    </w:p>
    <w:p>
      <w:pPr>
        <w:pStyle w:val="6"/>
        <w:spacing w:after="0" w:line="415" w:lineRule="auto"/>
        <w:jc w:val="both"/>
        <w:rPr>
          <w:rFonts w:ascii="宋体" w:hAnsi="宋体" w:eastAsia="宋体"/>
          <w:color w:val="auto"/>
          <w:sz w:val="24"/>
          <w:szCs w:val="24"/>
        </w:rPr>
      </w:pPr>
      <w:r>
        <w:rPr>
          <w:rFonts w:ascii="宋体" w:hAnsi="宋体" w:eastAsia="宋体"/>
          <w:color w:val="auto"/>
          <w:sz w:val="24"/>
          <w:szCs w:val="24"/>
        </w:rPr>
        <w:t>23. 开标程序</w:t>
      </w:r>
    </w:p>
    <w:p>
      <w:pPr>
        <w:spacing w:line="400" w:lineRule="exact"/>
        <w:ind w:firstLine="480" w:firstLineChars="200"/>
        <w:rPr>
          <w:rFonts w:ascii="宋体" w:hAnsi="宋体" w:eastAsia="宋体"/>
          <w:sz w:val="24"/>
          <w:szCs w:val="24"/>
        </w:rPr>
      </w:pPr>
      <w:r>
        <w:rPr>
          <w:rFonts w:ascii="宋体" w:hAnsi="宋体" w:eastAsia="宋体"/>
          <w:sz w:val="24"/>
          <w:szCs w:val="24"/>
        </w:rPr>
        <w:t>23.1 开标会主持人按照招标文件规定的开标时间宣布开标，按照规定要求主持开标会。开标将按以下程序进行：</w:t>
      </w:r>
    </w:p>
    <w:p>
      <w:pPr>
        <w:spacing w:line="400" w:lineRule="exact"/>
        <w:ind w:firstLine="480" w:firstLineChars="200"/>
        <w:rPr>
          <w:rFonts w:ascii="宋体" w:hAnsi="宋体" w:eastAsia="宋体"/>
          <w:sz w:val="24"/>
          <w:szCs w:val="24"/>
        </w:rPr>
      </w:pPr>
      <w:r>
        <w:rPr>
          <w:rFonts w:ascii="宋体" w:hAnsi="宋体" w:eastAsia="宋体"/>
          <w:sz w:val="24"/>
          <w:szCs w:val="24"/>
        </w:rPr>
        <w:t>（</w:t>
      </w:r>
      <w:r>
        <w:rPr>
          <w:rFonts w:ascii="Times New Roman" w:hAnsi="Times New Roman" w:eastAsia="Times New Roman"/>
          <w:sz w:val="24"/>
          <w:szCs w:val="24"/>
        </w:rPr>
        <w:t>1</w:t>
      </w:r>
      <w:r>
        <w:rPr>
          <w:rFonts w:ascii="宋体" w:hAnsi="宋体" w:eastAsia="宋体"/>
          <w:sz w:val="24"/>
          <w:szCs w:val="24"/>
        </w:rPr>
        <w:t>）宣布开标会开始。当众宣布参加开标会主持人、唱标人、会议记录人以及根据情况邀请的现场监督人等工作人员，根据“供应商签到表”宣布参加投标的供应商名单（投标人未参加开标的，视同认可开标结果）。</w:t>
      </w:r>
    </w:p>
    <w:p>
      <w:pPr>
        <w:spacing w:line="400" w:lineRule="exact"/>
        <w:ind w:firstLine="480" w:firstLineChars="200"/>
        <w:rPr>
          <w:rFonts w:ascii="宋体" w:hAnsi="宋体" w:eastAsia="宋体"/>
          <w:sz w:val="24"/>
          <w:szCs w:val="24"/>
        </w:rPr>
      </w:pPr>
      <w:r>
        <w:rPr>
          <w:rFonts w:ascii="宋体" w:hAnsi="宋体" w:eastAsia="宋体"/>
          <w:sz w:val="24"/>
          <w:szCs w:val="24"/>
        </w:rPr>
        <w:t>（</w:t>
      </w:r>
      <w:r>
        <w:rPr>
          <w:rFonts w:ascii="Times New Roman" w:hAnsi="Times New Roman" w:eastAsia="Times New Roman"/>
          <w:sz w:val="24"/>
          <w:szCs w:val="24"/>
        </w:rPr>
        <w:t>2</w:t>
      </w:r>
      <w:r>
        <w:rPr>
          <w:rFonts w:ascii="宋体" w:hAnsi="宋体" w:eastAsia="宋体"/>
          <w:sz w:val="24"/>
          <w:szCs w:val="24"/>
        </w:rPr>
        <w:t>）根据投标人或者其推选的代表对投标文件密封的检查结果，当众宣布投标文件的密封情况。</w:t>
      </w:r>
    </w:p>
    <w:p>
      <w:pPr>
        <w:spacing w:line="400" w:lineRule="exact"/>
        <w:ind w:firstLine="480" w:firstLineChars="200"/>
        <w:rPr>
          <w:rFonts w:ascii="宋体" w:hAnsi="宋体" w:eastAsia="宋体"/>
          <w:sz w:val="24"/>
          <w:szCs w:val="24"/>
        </w:rPr>
      </w:pPr>
      <w:r>
        <w:rPr>
          <w:rFonts w:ascii="宋体" w:hAnsi="宋体" w:eastAsia="宋体"/>
          <w:sz w:val="24"/>
          <w:szCs w:val="24"/>
        </w:rPr>
        <w:t>（</w:t>
      </w:r>
      <w:r>
        <w:rPr>
          <w:rFonts w:ascii="Times New Roman" w:hAnsi="Times New Roman" w:eastAsia="Times New Roman"/>
          <w:sz w:val="24"/>
          <w:szCs w:val="24"/>
        </w:rPr>
        <w:t>3</w:t>
      </w:r>
      <w:r>
        <w:rPr>
          <w:rFonts w:ascii="宋体" w:hAnsi="宋体" w:eastAsia="宋体"/>
          <w:sz w:val="24"/>
          <w:szCs w:val="24"/>
        </w:rPr>
        <w:t>）开标唱标。主持人宣布开标后，由现场工作人员按任意顺序对投标人的“开标一览表”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spacing w:line="400" w:lineRule="exact"/>
        <w:ind w:firstLine="480" w:firstLineChars="200"/>
        <w:rPr>
          <w:rFonts w:ascii="宋体" w:hAnsi="宋体" w:eastAsia="宋体"/>
          <w:sz w:val="24"/>
          <w:szCs w:val="24"/>
        </w:rPr>
      </w:pPr>
      <w:r>
        <w:rPr>
          <w:rFonts w:ascii="宋体" w:hAnsi="宋体" w:eastAsia="宋体"/>
          <w:sz w:val="24"/>
          <w:szCs w:val="24"/>
        </w:rPr>
        <w:t>（</w:t>
      </w:r>
      <w:r>
        <w:rPr>
          <w:rFonts w:ascii="Times New Roman" w:hAnsi="Times New Roman" w:eastAsia="Times New Roman"/>
          <w:sz w:val="24"/>
          <w:szCs w:val="24"/>
        </w:rPr>
        <w:t>4</w:t>
      </w:r>
      <w:r>
        <w:rPr>
          <w:rFonts w:ascii="宋体" w:hAnsi="宋体" w:eastAsia="宋体"/>
          <w:sz w:val="24"/>
          <w:szCs w:val="24"/>
        </w:rPr>
        <w:t>）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pPr>
        <w:pStyle w:val="6"/>
        <w:spacing w:after="0" w:line="415" w:lineRule="auto"/>
        <w:jc w:val="both"/>
        <w:rPr>
          <w:rFonts w:ascii="宋体" w:hAnsi="宋体" w:eastAsia="宋体"/>
          <w:color w:val="auto"/>
          <w:sz w:val="24"/>
          <w:szCs w:val="24"/>
        </w:rPr>
      </w:pPr>
      <w:r>
        <w:rPr>
          <w:rFonts w:ascii="宋体" w:hAnsi="宋体" w:eastAsia="宋体"/>
          <w:color w:val="auto"/>
          <w:sz w:val="24"/>
          <w:szCs w:val="24"/>
        </w:rPr>
        <w:t>24．开评标过程存档</w:t>
      </w:r>
    </w:p>
    <w:p>
      <w:pPr>
        <w:spacing w:line="400" w:lineRule="exact"/>
        <w:ind w:firstLine="480" w:firstLineChars="200"/>
        <w:rPr>
          <w:rFonts w:ascii="宋体" w:hAnsi="宋体" w:eastAsia="宋体"/>
          <w:sz w:val="24"/>
          <w:szCs w:val="24"/>
        </w:rPr>
      </w:pPr>
      <w:r>
        <w:rPr>
          <w:rFonts w:ascii="宋体" w:hAnsi="宋体" w:eastAsia="宋体"/>
          <w:sz w:val="24"/>
          <w:szCs w:val="24"/>
        </w:rPr>
        <w:t>开标和评标过程进行全过程电子监控，并将电子监控资料存储介质留存归档。</w:t>
      </w:r>
    </w:p>
    <w:p>
      <w:pPr>
        <w:pStyle w:val="6"/>
        <w:spacing w:after="0" w:line="415" w:lineRule="auto"/>
        <w:jc w:val="both"/>
        <w:rPr>
          <w:rFonts w:ascii="宋体" w:hAnsi="宋体" w:eastAsia="宋体"/>
          <w:color w:val="auto"/>
          <w:sz w:val="24"/>
          <w:szCs w:val="24"/>
        </w:rPr>
      </w:pPr>
      <w:r>
        <w:rPr>
          <w:rFonts w:ascii="宋体" w:hAnsi="宋体" w:eastAsia="宋体"/>
          <w:color w:val="auto"/>
          <w:sz w:val="24"/>
          <w:szCs w:val="24"/>
        </w:rPr>
        <w:t>25. 评标情况公告</w:t>
      </w:r>
    </w:p>
    <w:p>
      <w:pPr>
        <w:spacing w:line="400" w:lineRule="exact"/>
        <w:ind w:firstLine="480" w:firstLineChars="200"/>
        <w:rPr>
          <w:rFonts w:ascii="宋体" w:hAnsi="宋体" w:eastAsia="宋体"/>
          <w:sz w:val="24"/>
          <w:szCs w:val="24"/>
        </w:rPr>
      </w:pPr>
      <w:r>
        <w:rPr>
          <w:rFonts w:ascii="宋体" w:hAnsi="宋体" w:eastAsia="宋体"/>
          <w:sz w:val="24"/>
          <w:szCs w:val="24"/>
        </w:rPr>
        <w:t>所有供应商投标文件资格性、符合性检查情况、采用综合评分法时的总得分和分项汇总得分情况、评标结果等将在四川政府采购网上采购结果公告栏中予以公告。</w:t>
      </w:r>
    </w:p>
    <w:p>
      <w:pPr>
        <w:pStyle w:val="6"/>
        <w:spacing w:line="400" w:lineRule="exact"/>
        <w:jc w:val="both"/>
        <w:rPr>
          <w:rFonts w:ascii="宋体" w:hAnsi="宋体" w:eastAsia="宋体"/>
          <w:color w:val="auto"/>
          <w:sz w:val="24"/>
          <w:szCs w:val="24"/>
        </w:rPr>
      </w:pPr>
      <w:r>
        <w:rPr>
          <w:rFonts w:ascii="宋体" w:hAnsi="宋体" w:eastAsia="宋体"/>
          <w:color w:val="auto"/>
          <w:sz w:val="24"/>
          <w:szCs w:val="24"/>
        </w:rPr>
        <w:t>26. 中标通知书</w:t>
      </w:r>
    </w:p>
    <w:p>
      <w:pPr>
        <w:spacing w:line="400" w:lineRule="exact"/>
        <w:ind w:firstLine="480" w:firstLineChars="200"/>
        <w:rPr>
          <w:rFonts w:ascii="宋体" w:hAnsi="宋体" w:eastAsia="宋体"/>
          <w:sz w:val="24"/>
          <w:szCs w:val="24"/>
        </w:rPr>
      </w:pPr>
      <w:r>
        <w:rPr>
          <w:rFonts w:ascii="宋体" w:hAnsi="宋体" w:eastAsia="宋体"/>
          <w:sz w:val="24"/>
          <w:szCs w:val="24"/>
        </w:rPr>
        <w:t>26.1 中标通知书为签订政府采购合同的依据之一，是合同的有效组成部分。</w:t>
      </w:r>
    </w:p>
    <w:p>
      <w:pPr>
        <w:spacing w:line="400" w:lineRule="exact"/>
        <w:ind w:firstLine="480" w:firstLineChars="200"/>
        <w:rPr>
          <w:rFonts w:ascii="宋体" w:hAnsi="宋体" w:eastAsia="宋体"/>
          <w:sz w:val="24"/>
          <w:szCs w:val="24"/>
        </w:rPr>
      </w:pPr>
      <w:r>
        <w:rPr>
          <w:rFonts w:ascii="宋体" w:hAnsi="宋体" w:eastAsia="宋体"/>
          <w:sz w:val="24"/>
          <w:szCs w:val="24"/>
        </w:rPr>
        <w:t>26.2 投标人中标后，拒绝领取中标通知书的，招标采购单位将于中标供应商确定之日起两个工作日内采取邮寄、快递方式按照投标人投标文件中的地址发出中标通知书。</w:t>
      </w:r>
    </w:p>
    <w:p>
      <w:pPr>
        <w:spacing w:line="400" w:lineRule="exact"/>
        <w:ind w:firstLine="480"/>
        <w:rPr>
          <w:rFonts w:ascii="宋体" w:hAnsi="宋体" w:eastAsia="宋体"/>
          <w:sz w:val="24"/>
          <w:szCs w:val="24"/>
        </w:rPr>
      </w:pPr>
      <w:r>
        <w:rPr>
          <w:rFonts w:ascii="宋体" w:hAnsi="宋体" w:eastAsia="宋体"/>
          <w:sz w:val="24"/>
          <w:szCs w:val="24"/>
        </w:rPr>
        <w:t>26.3 中标通知书对采购人和中标人均具有法律效力。中标通知书发出后，采购人改变中标结果，或者中标人无正当理由放弃中标的，应当承担相应的法律责任。</w:t>
      </w:r>
    </w:p>
    <w:p>
      <w:pPr>
        <w:spacing w:line="400" w:lineRule="exact"/>
        <w:ind w:firstLine="480"/>
        <w:rPr>
          <w:rFonts w:ascii="宋体" w:hAnsi="宋体" w:eastAsia="宋体"/>
          <w:sz w:val="24"/>
          <w:szCs w:val="24"/>
        </w:rPr>
      </w:pPr>
      <w:r>
        <w:rPr>
          <w:rFonts w:ascii="宋体" w:hAnsi="宋体" w:eastAsia="宋体"/>
          <w:sz w:val="24"/>
          <w:szCs w:val="24"/>
        </w:rPr>
        <w:t>26．4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spacing w:line="400" w:lineRule="exact"/>
        <w:ind w:firstLine="480"/>
        <w:rPr>
          <w:rFonts w:ascii="宋体" w:hAnsi="宋体" w:eastAsia="宋体"/>
          <w:sz w:val="24"/>
          <w:szCs w:val="24"/>
        </w:rPr>
      </w:pPr>
      <w:r>
        <w:rPr>
          <w:rFonts w:ascii="宋体" w:hAnsi="宋体" w:eastAsia="宋体"/>
          <w:sz w:val="24"/>
          <w:szCs w:val="24"/>
        </w:rPr>
        <w:t>26.5中标公告发出后，中标供应商自行领取中标通知书的，可凭有效身份证明证件（单位介绍信，注明办理中标通知书领取事宜，并带领取人身份证原件）到</w:t>
      </w:r>
      <w:r>
        <w:rPr>
          <w:rFonts w:ascii="宋体" w:hAnsi="宋体" w:eastAsia="宋体"/>
          <w:sz w:val="24"/>
          <w:szCs w:val="24"/>
          <w:u w:val="single"/>
        </w:rPr>
        <w:t>成都市高新区天晖路</w:t>
      </w:r>
      <w:r>
        <w:rPr>
          <w:rFonts w:ascii="Times New Roman" w:hAnsi="Times New Roman" w:eastAsia="Times New Roman"/>
          <w:sz w:val="24"/>
          <w:szCs w:val="24"/>
          <w:u w:val="single"/>
        </w:rPr>
        <w:t>360</w:t>
      </w:r>
      <w:r>
        <w:rPr>
          <w:rFonts w:ascii="宋体" w:hAnsi="宋体" w:eastAsia="宋体"/>
          <w:sz w:val="24"/>
          <w:szCs w:val="24"/>
          <w:u w:val="single"/>
        </w:rPr>
        <w:t>号晶科</w:t>
      </w:r>
      <w:r>
        <w:rPr>
          <w:rFonts w:ascii="Times New Roman" w:hAnsi="Times New Roman" w:eastAsia="Times New Roman"/>
          <w:sz w:val="24"/>
          <w:szCs w:val="24"/>
          <w:u w:val="single"/>
        </w:rPr>
        <w:t>1</w:t>
      </w:r>
      <w:r>
        <w:rPr>
          <w:rFonts w:ascii="宋体" w:hAnsi="宋体" w:eastAsia="宋体"/>
          <w:sz w:val="24"/>
          <w:szCs w:val="24"/>
          <w:u w:val="single"/>
        </w:rPr>
        <w:t>号商务楼</w:t>
      </w:r>
      <w:r>
        <w:rPr>
          <w:rFonts w:ascii="Times New Roman" w:hAnsi="Times New Roman" w:eastAsia="Times New Roman"/>
          <w:sz w:val="24"/>
          <w:szCs w:val="24"/>
          <w:u w:val="single"/>
        </w:rPr>
        <w:t>20</w:t>
      </w:r>
      <w:r>
        <w:rPr>
          <w:rFonts w:ascii="宋体" w:hAnsi="宋体" w:eastAsia="宋体"/>
          <w:sz w:val="24"/>
          <w:szCs w:val="24"/>
          <w:u w:val="single"/>
        </w:rPr>
        <w:t>楼中金招标有限责任公司四川分公司财务室</w:t>
      </w:r>
      <w:r>
        <w:rPr>
          <w:rFonts w:ascii="宋体" w:hAnsi="宋体" w:eastAsia="宋体"/>
          <w:sz w:val="24"/>
          <w:szCs w:val="24"/>
        </w:rPr>
        <w:t>领取中标通知书。联系人：鲁女士，联系电话：028-84469198-802。</w:t>
      </w:r>
    </w:p>
    <w:p>
      <w:pPr>
        <w:pStyle w:val="5"/>
        <w:spacing w:line="400" w:lineRule="exact"/>
        <w:jc w:val="center"/>
        <w:rPr>
          <w:rFonts w:ascii="宋体" w:hAnsi="宋体" w:eastAsia="宋体"/>
          <w:color w:val="auto"/>
          <w:sz w:val="28"/>
          <w:szCs w:val="28"/>
        </w:rPr>
      </w:pPr>
      <w:bookmarkStart w:id="22" w:name="_Toc2341"/>
      <w:r>
        <w:rPr>
          <w:rFonts w:ascii="宋体" w:hAnsi="宋体" w:eastAsia="宋体"/>
          <w:color w:val="auto"/>
          <w:sz w:val="28"/>
          <w:szCs w:val="28"/>
        </w:rPr>
        <w:t>六、签订及履行合同和验收</w:t>
      </w:r>
      <w:bookmarkEnd w:id="22"/>
    </w:p>
    <w:p>
      <w:pPr>
        <w:pStyle w:val="6"/>
        <w:spacing w:after="0" w:line="415" w:lineRule="auto"/>
        <w:jc w:val="both"/>
        <w:rPr>
          <w:rFonts w:ascii="宋体" w:hAnsi="宋体" w:eastAsia="宋体"/>
          <w:color w:val="auto"/>
          <w:sz w:val="24"/>
          <w:szCs w:val="24"/>
        </w:rPr>
      </w:pPr>
      <w:r>
        <w:rPr>
          <w:rFonts w:ascii="宋体" w:hAnsi="宋体" w:eastAsia="宋体"/>
          <w:color w:val="auto"/>
          <w:sz w:val="24"/>
          <w:szCs w:val="24"/>
        </w:rPr>
        <w:t>27. 签订合同</w:t>
      </w:r>
    </w:p>
    <w:p>
      <w:pPr>
        <w:spacing w:line="400" w:lineRule="exact"/>
        <w:ind w:firstLine="480" w:firstLineChars="200"/>
        <w:rPr>
          <w:rFonts w:ascii="宋体" w:hAnsi="宋体" w:eastAsia="宋体"/>
          <w:sz w:val="24"/>
          <w:szCs w:val="24"/>
        </w:rPr>
      </w:pPr>
      <w:r>
        <w:rPr>
          <w:rFonts w:ascii="宋体" w:hAnsi="宋体" w:eastAsia="宋体"/>
          <w:sz w:val="24"/>
          <w:szCs w:val="24"/>
        </w:rPr>
        <w:t>27.1 中标人应在中标通知书发出之日起三十日内与采购人签订采购合同。由于中标人的原因逾期未与采购人签订采购合同的，将视为放弃中标，取消其中标资格并将按相关规定进行处理（非中标人原因逾期签订的采购合同，在按照</w:t>
      </w:r>
      <w:r>
        <w:rPr>
          <w:rFonts w:ascii="Times New Roman" w:hAnsi="Times New Roman" w:eastAsia="Times New Roman"/>
          <w:sz w:val="24"/>
          <w:szCs w:val="24"/>
        </w:rPr>
        <w:t>27.4</w:t>
      </w:r>
      <w:r>
        <w:rPr>
          <w:rFonts w:ascii="宋体" w:hAnsi="宋体" w:eastAsia="宋体"/>
          <w:sz w:val="24"/>
          <w:szCs w:val="24"/>
        </w:rPr>
        <w:t>送达时应附书面情况说明）。</w:t>
      </w:r>
    </w:p>
    <w:p>
      <w:pPr>
        <w:spacing w:line="400" w:lineRule="exact"/>
        <w:ind w:firstLine="420" w:firstLineChars="175"/>
        <w:rPr>
          <w:rFonts w:ascii="宋体" w:hAnsi="宋体" w:eastAsia="宋体"/>
          <w:sz w:val="24"/>
          <w:szCs w:val="24"/>
        </w:rPr>
      </w:pPr>
      <w:r>
        <w:rPr>
          <w:rFonts w:ascii="宋体" w:hAnsi="宋体" w:eastAsia="宋体"/>
          <w:sz w:val="24"/>
          <w:szCs w:val="24"/>
        </w:rPr>
        <w:t>27.2 采购人不得向中标人提出任何不合理的要求，作为签订合同的条件，不得与中标人私下订立背离合同实质性内容的任何协议，所签订的合同不得对招标文件和中标人投标文件确定的事项进行修改。</w:t>
      </w:r>
    </w:p>
    <w:p>
      <w:pPr>
        <w:spacing w:line="400" w:lineRule="exact"/>
        <w:ind w:firstLine="420" w:firstLineChars="175"/>
        <w:rPr>
          <w:rFonts w:ascii="宋体" w:hAnsi="宋体" w:eastAsia="宋体"/>
          <w:sz w:val="24"/>
          <w:szCs w:val="24"/>
        </w:rPr>
      </w:pPr>
      <w:r>
        <w:rPr>
          <w:rFonts w:ascii="宋体" w:hAnsi="宋体" w:eastAsia="宋体"/>
          <w:sz w:val="24"/>
          <w:szCs w:val="24"/>
        </w:rPr>
        <w:t>27.3 中标人因不可抗力原因不能履行采购合同或放弃中标的，采购人可以与排在中标人之后第一位的中标候选人签订采购合同，以此类推。</w:t>
      </w:r>
    </w:p>
    <w:p>
      <w:pPr>
        <w:spacing w:line="400" w:lineRule="exact"/>
        <w:ind w:firstLine="420" w:firstLineChars="175"/>
        <w:rPr>
          <w:rFonts w:ascii="宋体" w:hAnsi="宋体" w:eastAsia="宋体"/>
          <w:sz w:val="24"/>
          <w:szCs w:val="24"/>
        </w:rPr>
      </w:pPr>
      <w:r>
        <w:rPr>
          <w:rFonts w:ascii="宋体" w:hAnsi="宋体" w:eastAsia="宋体"/>
          <w:sz w:val="24"/>
          <w:szCs w:val="24"/>
        </w:rPr>
        <w:t>27.4 中标人在合同签订之后5个工作日内，将签订的合同（一式一份）送</w:t>
      </w:r>
      <w:r>
        <w:rPr>
          <w:rFonts w:ascii="宋体" w:hAnsi="宋体" w:eastAsia="宋体"/>
          <w:sz w:val="24"/>
          <w:szCs w:val="24"/>
          <w:u w:val="single"/>
        </w:rPr>
        <w:t>成都市高新区天晖路</w:t>
      </w:r>
      <w:r>
        <w:rPr>
          <w:rFonts w:ascii="Times New Roman" w:hAnsi="Times New Roman" w:eastAsia="Times New Roman"/>
          <w:sz w:val="24"/>
          <w:szCs w:val="24"/>
          <w:u w:val="single"/>
        </w:rPr>
        <w:t>360</w:t>
      </w:r>
      <w:r>
        <w:rPr>
          <w:rFonts w:ascii="宋体" w:hAnsi="宋体" w:eastAsia="宋体"/>
          <w:sz w:val="24"/>
          <w:szCs w:val="24"/>
          <w:u w:val="single"/>
        </w:rPr>
        <w:t>号晶科</w:t>
      </w:r>
      <w:r>
        <w:rPr>
          <w:rFonts w:ascii="Times New Roman" w:hAnsi="Times New Roman" w:eastAsia="Times New Roman"/>
          <w:sz w:val="24"/>
          <w:szCs w:val="24"/>
          <w:u w:val="single"/>
        </w:rPr>
        <w:t>1</w:t>
      </w:r>
      <w:r>
        <w:rPr>
          <w:rFonts w:ascii="宋体" w:hAnsi="宋体" w:eastAsia="宋体"/>
          <w:sz w:val="24"/>
          <w:szCs w:val="24"/>
          <w:u w:val="single"/>
        </w:rPr>
        <w:t>号商务楼</w:t>
      </w:r>
      <w:r>
        <w:rPr>
          <w:rFonts w:ascii="Times New Roman" w:hAnsi="Times New Roman" w:eastAsia="Times New Roman"/>
          <w:sz w:val="24"/>
          <w:szCs w:val="24"/>
          <w:u w:val="single"/>
        </w:rPr>
        <w:t>20</w:t>
      </w:r>
      <w:r>
        <w:rPr>
          <w:rFonts w:ascii="宋体" w:hAnsi="宋体" w:eastAsia="宋体"/>
          <w:sz w:val="24"/>
          <w:szCs w:val="24"/>
          <w:u w:val="single"/>
        </w:rPr>
        <w:t>楼中金招标有限责任公司四川分公司财务室</w:t>
      </w:r>
      <w:r>
        <w:rPr>
          <w:rFonts w:ascii="宋体" w:hAnsi="宋体" w:eastAsia="宋体"/>
          <w:sz w:val="24"/>
          <w:szCs w:val="24"/>
        </w:rPr>
        <w:t>进行合同备案。联系人：鲁女士，联系电话：028-84469198-802。</w:t>
      </w:r>
    </w:p>
    <w:p>
      <w:pPr>
        <w:pStyle w:val="6"/>
        <w:spacing w:after="0" w:line="415" w:lineRule="auto"/>
        <w:jc w:val="both"/>
        <w:rPr>
          <w:rFonts w:ascii="宋体" w:hAnsi="宋体" w:eastAsia="宋体"/>
          <w:color w:val="auto"/>
          <w:sz w:val="24"/>
          <w:szCs w:val="24"/>
        </w:rPr>
      </w:pPr>
      <w:r>
        <w:rPr>
          <w:rFonts w:ascii="宋体" w:hAnsi="宋体" w:eastAsia="宋体"/>
          <w:color w:val="auto"/>
          <w:sz w:val="24"/>
          <w:szCs w:val="24"/>
        </w:rPr>
        <w:t>28. 合同分包（实质性要求）</w:t>
      </w:r>
    </w:p>
    <w:p>
      <w:pPr>
        <w:spacing w:line="360" w:lineRule="auto"/>
        <w:ind w:firstLine="480" w:firstLineChars="200"/>
        <w:rPr>
          <w:rFonts w:ascii="宋体" w:hAnsi="宋体" w:eastAsia="宋体"/>
          <w:sz w:val="24"/>
          <w:szCs w:val="24"/>
        </w:rPr>
      </w:pPr>
      <w:r>
        <w:rPr>
          <w:rFonts w:ascii="宋体" w:hAnsi="宋体" w:eastAsia="宋体"/>
          <w:sz w:val="24"/>
          <w:szCs w:val="24"/>
        </w:rPr>
        <w:t>28.1 经采购人同意，中标供应商可以依法采取分包方式履行合同，但必须在响应文件中事前载明。这种要求应当在合同签订之前征得采购人同意，并且分包供应商履行的分包项目的品牌、规格型号及技术要求等，必须与中标的一致。</w:t>
      </w:r>
    </w:p>
    <w:p>
      <w:pPr>
        <w:spacing w:line="360" w:lineRule="auto"/>
        <w:ind w:firstLine="480" w:firstLineChars="200"/>
        <w:rPr>
          <w:rFonts w:ascii="宋体" w:hAnsi="宋体" w:eastAsia="宋体"/>
          <w:sz w:val="24"/>
          <w:szCs w:val="24"/>
        </w:rPr>
      </w:pPr>
      <w:r>
        <w:rPr>
          <w:rFonts w:ascii="宋体" w:hAnsi="宋体" w:eastAsia="宋体"/>
          <w:sz w:val="24"/>
          <w:szCs w:val="24"/>
        </w:rPr>
        <w:t>28.2 采购合同实行分包履行的，中标供应商就采购项目和分包项目向采购人负责，分包供应商就分包项目承担责任。</w:t>
      </w:r>
    </w:p>
    <w:p>
      <w:pPr>
        <w:spacing w:line="360" w:lineRule="auto"/>
        <w:ind w:firstLine="480" w:firstLineChars="200"/>
        <w:rPr>
          <w:rFonts w:hAnsi="宋体"/>
          <w:sz w:val="24"/>
        </w:rPr>
      </w:pPr>
      <w:r>
        <w:rPr>
          <w:rFonts w:hint="eastAsia" w:ascii="宋体" w:hAnsi="宋体"/>
          <w:sz w:val="24"/>
        </w:rPr>
        <w:t>28.3 中小企业依据《政府采购促进中小企业发展管理办法》（财库[2020]46号）规定的政策获取政府采购合同后，小型、微型企业不得分包或转包给大型、中型企业，中型企业不得分包或转包给大型企业。</w:t>
      </w:r>
    </w:p>
    <w:p>
      <w:pPr>
        <w:pStyle w:val="6"/>
        <w:spacing w:after="0" w:line="415" w:lineRule="auto"/>
        <w:jc w:val="both"/>
        <w:rPr>
          <w:rFonts w:ascii="宋体" w:hAnsi="宋体" w:eastAsia="宋体"/>
          <w:color w:val="auto"/>
          <w:sz w:val="24"/>
          <w:szCs w:val="24"/>
        </w:rPr>
      </w:pPr>
      <w:r>
        <w:rPr>
          <w:rFonts w:ascii="宋体" w:hAnsi="宋体" w:eastAsia="宋体"/>
          <w:color w:val="auto"/>
          <w:sz w:val="24"/>
          <w:szCs w:val="24"/>
        </w:rPr>
        <w:t>29. 合同转包（实质性要求）</w:t>
      </w:r>
    </w:p>
    <w:p>
      <w:pPr>
        <w:spacing w:line="400" w:lineRule="exact"/>
        <w:ind w:firstLine="540" w:firstLineChars="225"/>
        <w:rPr>
          <w:rFonts w:ascii="宋体" w:hAnsi="宋体" w:eastAsia="宋体"/>
          <w:sz w:val="24"/>
          <w:szCs w:val="24"/>
        </w:rPr>
      </w:pPr>
      <w:r>
        <w:rPr>
          <w:rFonts w:ascii="宋体" w:hAnsi="宋体" w:eastAsia="宋体"/>
          <w:sz w:val="24"/>
          <w:szCs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400" w:lineRule="exact"/>
        <w:ind w:firstLine="540" w:firstLineChars="225"/>
        <w:rPr>
          <w:rFonts w:ascii="宋体" w:hAnsi="宋体" w:eastAsia="宋体"/>
          <w:sz w:val="24"/>
          <w:szCs w:val="24"/>
        </w:rPr>
      </w:pPr>
      <w:r>
        <w:rPr>
          <w:rFonts w:ascii="宋体" w:hAnsi="宋体" w:eastAsia="宋体"/>
          <w:sz w:val="24"/>
          <w:szCs w:val="24"/>
        </w:rPr>
        <w:t>中标人转包的，视同拒绝履行政府采购合同义务，将依法追究法律责任。</w:t>
      </w:r>
    </w:p>
    <w:p>
      <w:pPr>
        <w:pStyle w:val="6"/>
        <w:spacing w:after="0" w:line="415" w:lineRule="auto"/>
        <w:jc w:val="both"/>
        <w:rPr>
          <w:rFonts w:ascii="宋体" w:hAnsi="宋体" w:eastAsia="宋体"/>
          <w:color w:val="auto"/>
          <w:sz w:val="24"/>
          <w:szCs w:val="24"/>
        </w:rPr>
      </w:pPr>
      <w:r>
        <w:rPr>
          <w:rFonts w:ascii="宋体" w:hAnsi="宋体" w:eastAsia="宋体"/>
          <w:color w:val="auto"/>
          <w:sz w:val="24"/>
          <w:szCs w:val="24"/>
        </w:rPr>
        <w:t>30.补充合同</w:t>
      </w:r>
    </w:p>
    <w:p>
      <w:pPr>
        <w:spacing w:line="400" w:lineRule="exact"/>
        <w:ind w:firstLine="540" w:firstLineChars="225"/>
        <w:rPr>
          <w:rFonts w:ascii="宋体" w:hAnsi="宋体" w:eastAsia="宋体"/>
          <w:sz w:val="24"/>
          <w:szCs w:val="24"/>
        </w:rPr>
      </w:pPr>
      <w:r>
        <w:rPr>
          <w:rFonts w:ascii="宋体" w:hAnsi="宋体" w:eastAsia="宋体"/>
          <w:sz w:val="24"/>
          <w:szCs w:val="24"/>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6"/>
        <w:spacing w:after="0" w:line="415" w:lineRule="auto"/>
        <w:jc w:val="both"/>
        <w:rPr>
          <w:rFonts w:ascii="宋体" w:hAnsi="宋体" w:eastAsia="宋体"/>
          <w:color w:val="auto"/>
          <w:sz w:val="24"/>
          <w:szCs w:val="24"/>
        </w:rPr>
      </w:pPr>
      <w:r>
        <w:rPr>
          <w:rFonts w:ascii="宋体" w:hAnsi="宋体" w:eastAsia="宋体"/>
          <w:color w:val="auto"/>
          <w:sz w:val="24"/>
          <w:szCs w:val="24"/>
        </w:rPr>
        <w:t>31. 履约保证金（实质性要求）</w:t>
      </w:r>
    </w:p>
    <w:p>
      <w:pPr>
        <w:spacing w:line="400" w:lineRule="exact"/>
        <w:ind w:firstLine="480" w:firstLineChars="200"/>
        <w:rPr>
          <w:rFonts w:ascii="宋体" w:hAnsi="宋体" w:cs="宋体"/>
          <w:sz w:val="24"/>
        </w:rPr>
      </w:pPr>
      <w:r>
        <w:rPr>
          <w:rFonts w:hint="eastAsia" w:ascii="宋体" w:hAnsi="宋体" w:cs="宋体"/>
          <w:sz w:val="24"/>
        </w:rPr>
        <w:t>31.1 中标人应在合同签订之前交纳履约保证金。</w:t>
      </w:r>
    </w:p>
    <w:p>
      <w:pPr>
        <w:spacing w:line="400" w:lineRule="exact"/>
        <w:ind w:firstLine="540" w:firstLineChars="225"/>
        <w:rPr>
          <w:rFonts w:ascii="宋体" w:hAnsi="宋体" w:eastAsia="宋体"/>
          <w:sz w:val="24"/>
          <w:szCs w:val="24"/>
          <w:shd w:val="clear" w:color="auto" w:fill="FFFF00"/>
        </w:rPr>
      </w:pPr>
      <w:r>
        <w:rPr>
          <w:rFonts w:hint="eastAsia" w:ascii="宋体" w:hAnsi="宋体" w:cs="宋体"/>
          <w:sz w:val="24"/>
        </w:rPr>
        <w:t>31.2 如果中标人在规定的合同签订时间内，没有按照招标文件的规定交纳履约保证金，且又无正当理由的，将视为放弃中标。</w:t>
      </w:r>
    </w:p>
    <w:p>
      <w:pPr>
        <w:pStyle w:val="6"/>
        <w:spacing w:after="0" w:line="415" w:lineRule="auto"/>
        <w:jc w:val="both"/>
        <w:rPr>
          <w:rFonts w:ascii="宋体" w:hAnsi="宋体" w:eastAsia="宋体"/>
          <w:color w:val="auto"/>
          <w:sz w:val="24"/>
          <w:szCs w:val="24"/>
        </w:rPr>
      </w:pPr>
      <w:r>
        <w:rPr>
          <w:rFonts w:ascii="宋体" w:hAnsi="宋体" w:eastAsia="宋体"/>
          <w:color w:val="auto"/>
          <w:sz w:val="24"/>
          <w:szCs w:val="24"/>
        </w:rPr>
        <w:t>32. 合同备案</w:t>
      </w:r>
    </w:p>
    <w:p>
      <w:pPr>
        <w:spacing w:line="400" w:lineRule="exact"/>
        <w:ind w:firstLine="480" w:firstLineChars="200"/>
        <w:rPr>
          <w:rFonts w:ascii="宋体" w:hAnsi="宋体" w:eastAsia="宋体"/>
          <w:sz w:val="24"/>
          <w:szCs w:val="24"/>
        </w:rPr>
      </w:pPr>
      <w:r>
        <w:rPr>
          <w:rFonts w:ascii="宋体" w:hAnsi="宋体" w:eastAsia="宋体"/>
          <w:sz w:val="24"/>
          <w:szCs w:val="24"/>
        </w:rPr>
        <w:t>采购人应当将政府采购合同副本自签订（双方当事人均已签字盖章）之日起七个工作日内通过四川政府采购网报同级财政部门备案。</w:t>
      </w:r>
    </w:p>
    <w:p>
      <w:pPr>
        <w:pStyle w:val="6"/>
        <w:spacing w:line="400" w:lineRule="exact"/>
        <w:jc w:val="both"/>
        <w:rPr>
          <w:rFonts w:ascii="宋体" w:hAnsi="宋体" w:eastAsia="宋体"/>
          <w:color w:val="auto"/>
          <w:sz w:val="24"/>
          <w:szCs w:val="24"/>
        </w:rPr>
      </w:pPr>
      <w:r>
        <w:rPr>
          <w:rFonts w:ascii="宋体" w:hAnsi="宋体" w:eastAsia="宋体"/>
          <w:color w:val="auto"/>
          <w:sz w:val="24"/>
          <w:szCs w:val="24"/>
        </w:rPr>
        <w:t>33. 履行合同</w:t>
      </w:r>
    </w:p>
    <w:p>
      <w:pPr>
        <w:spacing w:line="400" w:lineRule="exact"/>
        <w:rPr>
          <w:rFonts w:ascii="宋体" w:hAnsi="宋体"/>
          <w:sz w:val="24"/>
        </w:rPr>
      </w:pPr>
      <w:r>
        <w:rPr>
          <w:rFonts w:hint="eastAsia" w:ascii="宋体" w:hAnsi="宋体"/>
          <w:sz w:val="24"/>
        </w:rPr>
        <w:t xml:space="preserve">   33.1 中标人与采购人签订合同后，合同双方应严格执行合同条款，履行合同规定的义务，保证合同的顺利完成。</w:t>
      </w:r>
    </w:p>
    <w:p>
      <w:pPr>
        <w:spacing w:line="400" w:lineRule="exact"/>
        <w:rPr>
          <w:rFonts w:ascii="宋体" w:hAnsi="宋体"/>
          <w:sz w:val="24"/>
        </w:rPr>
      </w:pPr>
      <w:r>
        <w:rPr>
          <w:rFonts w:hint="eastAsia" w:ascii="宋体" w:hAnsi="宋体"/>
          <w:sz w:val="24"/>
        </w:rPr>
        <w:t xml:space="preserve">   33.2 在合同履行过程中，如发生合同纠纷，合同双方应按照《中华人民共和国民法典》的有关规定进行处理。</w:t>
      </w:r>
    </w:p>
    <w:p>
      <w:pPr>
        <w:pStyle w:val="6"/>
        <w:spacing w:line="400" w:lineRule="exact"/>
        <w:jc w:val="both"/>
        <w:rPr>
          <w:rFonts w:ascii="宋体" w:hAnsi="宋体" w:eastAsia="宋体"/>
          <w:color w:val="auto"/>
          <w:sz w:val="24"/>
          <w:szCs w:val="24"/>
        </w:rPr>
      </w:pPr>
      <w:r>
        <w:rPr>
          <w:rFonts w:ascii="宋体" w:hAnsi="宋体" w:eastAsia="宋体"/>
          <w:color w:val="auto"/>
          <w:sz w:val="24"/>
          <w:szCs w:val="24"/>
        </w:rPr>
        <w:t>34. 验收</w:t>
      </w:r>
    </w:p>
    <w:p>
      <w:pPr>
        <w:spacing w:line="400" w:lineRule="exact"/>
        <w:ind w:firstLine="480" w:firstLineChars="200"/>
        <w:rPr>
          <w:rFonts w:ascii="宋体" w:hAnsi="宋体"/>
          <w:sz w:val="24"/>
        </w:rPr>
      </w:pPr>
      <w:r>
        <w:rPr>
          <w:rFonts w:hint="eastAsia" w:ascii="宋体" w:hAnsi="宋体"/>
          <w:sz w:val="24"/>
        </w:rPr>
        <w:t>34.1本项目采购人及其委托的采购代理机构将严格按照政府采购相关法律法规以及《财政部关于进一步加强政府采购需求和履约验收管理的指导意见》（财库〔2016〕205号）的要求进行验收。</w:t>
      </w:r>
    </w:p>
    <w:p>
      <w:pPr>
        <w:spacing w:line="400" w:lineRule="exact"/>
        <w:ind w:firstLine="480" w:firstLineChars="200"/>
        <w:rPr>
          <w:rFonts w:ascii="宋体" w:hAnsi="宋体"/>
          <w:sz w:val="24"/>
        </w:rPr>
      </w:pPr>
      <w:r>
        <w:rPr>
          <w:rFonts w:hint="eastAsia" w:ascii="宋体" w:hAnsi="宋体"/>
          <w:sz w:val="24"/>
        </w:rPr>
        <w:t>34.2验收结果合格的，中标人凭采购人出具的验收合格书面证明到采购人相关部门办理履约保证金的退付手续；验收结果不合格的，履约保证金将不予退还，也将不予支付采购资金，还可能会报告本项目同级财政部门按照政府采购法律法规进行处理。</w:t>
      </w:r>
    </w:p>
    <w:p>
      <w:pPr>
        <w:pStyle w:val="6"/>
        <w:spacing w:line="400" w:lineRule="exact"/>
        <w:jc w:val="both"/>
        <w:rPr>
          <w:rFonts w:ascii="宋体" w:hAnsi="宋体" w:eastAsia="宋体"/>
          <w:color w:val="auto"/>
          <w:sz w:val="24"/>
          <w:szCs w:val="24"/>
        </w:rPr>
      </w:pPr>
      <w:r>
        <w:rPr>
          <w:rFonts w:ascii="宋体" w:hAnsi="宋体" w:eastAsia="宋体"/>
          <w:color w:val="auto"/>
          <w:sz w:val="24"/>
          <w:szCs w:val="24"/>
        </w:rPr>
        <w:t>35.资金支付</w:t>
      </w:r>
    </w:p>
    <w:p>
      <w:pPr>
        <w:spacing w:line="400" w:lineRule="exact"/>
        <w:ind w:firstLine="480" w:firstLineChars="200"/>
        <w:rPr>
          <w:rFonts w:ascii="宋体" w:hAnsi="宋体" w:eastAsia="宋体"/>
          <w:sz w:val="24"/>
          <w:szCs w:val="24"/>
        </w:rPr>
      </w:pPr>
      <w:r>
        <w:rPr>
          <w:rFonts w:ascii="宋体" w:hAnsi="宋体" w:eastAsia="宋体"/>
          <w:sz w:val="24"/>
          <w:szCs w:val="24"/>
        </w:rPr>
        <w:t>采购人将按照政府采购合同规定，及时向中标供应商支付采购资金。本项目采购资金付款详见第六章商务要求中付款方式。</w:t>
      </w:r>
    </w:p>
    <w:p>
      <w:pPr>
        <w:pStyle w:val="5"/>
        <w:spacing w:before="480" w:line="400" w:lineRule="exact"/>
        <w:jc w:val="center"/>
        <w:rPr>
          <w:rFonts w:ascii="宋体" w:hAnsi="宋体" w:eastAsia="宋体"/>
          <w:color w:val="auto"/>
          <w:sz w:val="28"/>
          <w:szCs w:val="28"/>
        </w:rPr>
      </w:pPr>
      <w:bookmarkStart w:id="23" w:name="_Toc25869"/>
      <w:r>
        <w:rPr>
          <w:rFonts w:ascii="宋体" w:hAnsi="宋体" w:eastAsia="宋体"/>
          <w:color w:val="auto"/>
          <w:sz w:val="28"/>
          <w:szCs w:val="28"/>
        </w:rPr>
        <w:t>七、投标纪律要求</w:t>
      </w:r>
      <w:bookmarkEnd w:id="23"/>
    </w:p>
    <w:p>
      <w:pPr>
        <w:pStyle w:val="6"/>
        <w:spacing w:line="400" w:lineRule="exact"/>
        <w:jc w:val="both"/>
        <w:rPr>
          <w:rFonts w:ascii="宋体" w:hAnsi="宋体" w:eastAsia="宋体"/>
          <w:color w:val="auto"/>
          <w:sz w:val="24"/>
          <w:szCs w:val="24"/>
        </w:rPr>
      </w:pPr>
      <w:r>
        <w:rPr>
          <w:rFonts w:ascii="宋体" w:hAnsi="宋体" w:eastAsia="宋体"/>
          <w:color w:val="auto"/>
          <w:sz w:val="24"/>
          <w:szCs w:val="24"/>
        </w:rPr>
        <w:t>36. 投标人不得具有的情形</w:t>
      </w:r>
    </w:p>
    <w:p>
      <w:pPr>
        <w:spacing w:line="400" w:lineRule="exact"/>
        <w:ind w:firstLine="480"/>
        <w:rPr>
          <w:rFonts w:ascii="宋体" w:hAnsi="宋体" w:eastAsia="宋体"/>
          <w:sz w:val="24"/>
          <w:szCs w:val="24"/>
        </w:rPr>
      </w:pPr>
      <w:r>
        <w:rPr>
          <w:rFonts w:ascii="宋体" w:hAnsi="宋体" w:eastAsia="宋体"/>
          <w:sz w:val="24"/>
          <w:szCs w:val="24"/>
        </w:rPr>
        <w:t>投标人参加本项目投标不得有下列情形：</w:t>
      </w:r>
    </w:p>
    <w:p>
      <w:pPr>
        <w:spacing w:line="400" w:lineRule="exact"/>
        <w:ind w:firstLine="460" w:firstLineChars="192"/>
        <w:rPr>
          <w:rFonts w:ascii="宋体" w:hAnsi="宋体" w:eastAsia="宋体"/>
          <w:sz w:val="24"/>
          <w:szCs w:val="24"/>
        </w:rPr>
      </w:pPr>
      <w:r>
        <w:rPr>
          <w:rFonts w:ascii="宋体" w:hAnsi="宋体" w:eastAsia="宋体"/>
          <w:sz w:val="24"/>
          <w:szCs w:val="24"/>
        </w:rPr>
        <w:t>（</w:t>
      </w:r>
      <w:r>
        <w:rPr>
          <w:rFonts w:ascii="Times New Roman" w:hAnsi="Times New Roman" w:eastAsia="Times New Roman"/>
          <w:sz w:val="24"/>
          <w:szCs w:val="24"/>
        </w:rPr>
        <w:t>1</w:t>
      </w:r>
      <w:r>
        <w:rPr>
          <w:rFonts w:ascii="宋体" w:hAnsi="宋体" w:eastAsia="宋体"/>
          <w:sz w:val="24"/>
          <w:szCs w:val="24"/>
        </w:rPr>
        <w:t>）提供虚假材料谋取中标；</w:t>
      </w:r>
    </w:p>
    <w:p>
      <w:pPr>
        <w:spacing w:line="400" w:lineRule="exact"/>
        <w:ind w:firstLine="460" w:firstLineChars="192"/>
        <w:rPr>
          <w:rFonts w:ascii="宋体" w:hAnsi="宋体" w:eastAsia="宋体"/>
          <w:sz w:val="24"/>
          <w:szCs w:val="24"/>
        </w:rPr>
      </w:pPr>
      <w:r>
        <w:rPr>
          <w:rFonts w:ascii="宋体" w:hAnsi="宋体" w:eastAsia="宋体"/>
          <w:sz w:val="24"/>
          <w:szCs w:val="24"/>
        </w:rPr>
        <w:t>（</w:t>
      </w:r>
      <w:r>
        <w:rPr>
          <w:rFonts w:ascii="Times New Roman" w:hAnsi="Times New Roman" w:eastAsia="Times New Roman"/>
          <w:sz w:val="24"/>
          <w:szCs w:val="24"/>
        </w:rPr>
        <w:t>2</w:t>
      </w:r>
      <w:r>
        <w:rPr>
          <w:rFonts w:ascii="宋体" w:hAnsi="宋体" w:eastAsia="宋体"/>
          <w:sz w:val="24"/>
          <w:szCs w:val="24"/>
        </w:rPr>
        <w:t>）采取不正当手段诋毁、排挤其他投标人；</w:t>
      </w:r>
    </w:p>
    <w:p>
      <w:pPr>
        <w:spacing w:line="400" w:lineRule="exact"/>
        <w:ind w:firstLine="480" w:firstLineChars="200"/>
        <w:rPr>
          <w:rFonts w:ascii="宋体" w:hAnsi="宋体" w:eastAsia="宋体"/>
          <w:sz w:val="24"/>
          <w:szCs w:val="24"/>
        </w:rPr>
      </w:pPr>
      <w:r>
        <w:rPr>
          <w:rFonts w:ascii="宋体" w:hAnsi="宋体" w:eastAsia="宋体"/>
          <w:sz w:val="24"/>
          <w:szCs w:val="24"/>
        </w:rPr>
        <w:t>（</w:t>
      </w:r>
      <w:r>
        <w:rPr>
          <w:rFonts w:ascii="Times New Roman" w:hAnsi="Times New Roman" w:eastAsia="Times New Roman"/>
          <w:sz w:val="24"/>
          <w:szCs w:val="24"/>
        </w:rPr>
        <w:t>3</w:t>
      </w:r>
      <w:r>
        <w:rPr>
          <w:rFonts w:ascii="宋体" w:hAnsi="宋体" w:eastAsia="宋体"/>
          <w:sz w:val="24"/>
          <w:szCs w:val="24"/>
        </w:rPr>
        <w:t>）与招标采购单位、其他投标人恶意串通；</w:t>
      </w:r>
    </w:p>
    <w:p>
      <w:pPr>
        <w:spacing w:line="400" w:lineRule="exact"/>
        <w:ind w:left="489" w:leftChars="233"/>
        <w:rPr>
          <w:rFonts w:ascii="宋体" w:hAnsi="宋体" w:eastAsia="宋体"/>
          <w:sz w:val="24"/>
          <w:szCs w:val="24"/>
        </w:rPr>
      </w:pPr>
      <w:r>
        <w:rPr>
          <w:rFonts w:ascii="宋体" w:hAnsi="宋体" w:eastAsia="宋体"/>
          <w:sz w:val="24"/>
          <w:szCs w:val="24"/>
        </w:rPr>
        <w:t>（</w:t>
      </w:r>
      <w:r>
        <w:rPr>
          <w:rFonts w:ascii="Times New Roman" w:hAnsi="Times New Roman" w:eastAsia="Times New Roman"/>
          <w:sz w:val="24"/>
          <w:szCs w:val="24"/>
        </w:rPr>
        <w:t>4</w:t>
      </w:r>
      <w:r>
        <w:rPr>
          <w:rFonts w:ascii="宋体" w:hAnsi="宋体" w:eastAsia="宋体"/>
          <w:sz w:val="24"/>
          <w:szCs w:val="24"/>
        </w:rPr>
        <w:t>）向招标采购单位、评标委员会成员行贿或者提供其他不正当利益；</w:t>
      </w:r>
    </w:p>
    <w:p>
      <w:pPr>
        <w:spacing w:line="400" w:lineRule="exact"/>
        <w:ind w:firstLine="460" w:firstLineChars="192"/>
        <w:rPr>
          <w:rFonts w:ascii="宋体" w:hAnsi="宋体" w:eastAsia="宋体"/>
          <w:sz w:val="24"/>
          <w:szCs w:val="24"/>
        </w:rPr>
      </w:pPr>
      <w:r>
        <w:rPr>
          <w:rFonts w:ascii="宋体" w:hAnsi="宋体" w:eastAsia="宋体"/>
          <w:sz w:val="24"/>
          <w:szCs w:val="24"/>
        </w:rPr>
        <w:t>（</w:t>
      </w:r>
      <w:r>
        <w:rPr>
          <w:rFonts w:ascii="Times New Roman" w:hAnsi="Times New Roman" w:eastAsia="Times New Roman"/>
          <w:sz w:val="24"/>
          <w:szCs w:val="24"/>
        </w:rPr>
        <w:t>5</w:t>
      </w:r>
      <w:r>
        <w:rPr>
          <w:rFonts w:ascii="宋体" w:hAnsi="宋体" w:eastAsia="宋体"/>
          <w:sz w:val="24"/>
          <w:szCs w:val="24"/>
        </w:rPr>
        <w:t>）在招标过程中与招标采购单位进行协商谈判；</w:t>
      </w:r>
    </w:p>
    <w:p>
      <w:pPr>
        <w:spacing w:line="400" w:lineRule="exact"/>
        <w:ind w:firstLine="460" w:firstLineChars="192"/>
        <w:rPr>
          <w:rFonts w:ascii="宋体" w:hAnsi="宋体" w:eastAsia="宋体"/>
          <w:sz w:val="24"/>
          <w:szCs w:val="24"/>
        </w:rPr>
      </w:pPr>
      <w:r>
        <w:rPr>
          <w:rFonts w:ascii="宋体" w:hAnsi="宋体" w:eastAsia="宋体"/>
          <w:sz w:val="24"/>
          <w:szCs w:val="24"/>
        </w:rPr>
        <w:t>（</w:t>
      </w:r>
      <w:r>
        <w:rPr>
          <w:rFonts w:ascii="Times New Roman" w:hAnsi="Times New Roman" w:eastAsia="Times New Roman"/>
          <w:sz w:val="24"/>
          <w:szCs w:val="24"/>
        </w:rPr>
        <w:t>6</w:t>
      </w:r>
      <w:r>
        <w:rPr>
          <w:rFonts w:ascii="宋体" w:hAnsi="宋体" w:eastAsia="宋体"/>
          <w:sz w:val="24"/>
          <w:szCs w:val="24"/>
        </w:rPr>
        <w:t>）中标或者成交后无正当理由拒不与采购人签订政府采购合同；</w:t>
      </w:r>
    </w:p>
    <w:p>
      <w:pPr>
        <w:spacing w:line="400" w:lineRule="exact"/>
        <w:ind w:firstLine="480" w:firstLineChars="200"/>
        <w:rPr>
          <w:rFonts w:ascii="宋体" w:hAnsi="宋体" w:eastAsia="宋体"/>
          <w:sz w:val="24"/>
          <w:szCs w:val="24"/>
        </w:rPr>
      </w:pPr>
      <w:r>
        <w:rPr>
          <w:rFonts w:ascii="宋体" w:hAnsi="宋体" w:eastAsia="宋体"/>
          <w:sz w:val="24"/>
          <w:szCs w:val="24"/>
        </w:rPr>
        <w:t>（</w:t>
      </w:r>
      <w:r>
        <w:rPr>
          <w:rFonts w:ascii="Times New Roman" w:hAnsi="Times New Roman" w:eastAsia="Times New Roman"/>
          <w:sz w:val="24"/>
          <w:szCs w:val="24"/>
        </w:rPr>
        <w:t>7</w:t>
      </w:r>
      <w:r>
        <w:rPr>
          <w:rFonts w:ascii="宋体" w:hAnsi="宋体" w:eastAsia="宋体"/>
          <w:sz w:val="24"/>
          <w:szCs w:val="24"/>
        </w:rPr>
        <w:t>）未按照采购文件确定的事项签订政府采购合同；</w:t>
      </w:r>
    </w:p>
    <w:p>
      <w:pPr>
        <w:spacing w:line="400" w:lineRule="exact"/>
        <w:ind w:firstLine="480" w:firstLineChars="200"/>
        <w:rPr>
          <w:rFonts w:ascii="宋体" w:hAnsi="宋体" w:eastAsia="宋体"/>
          <w:sz w:val="24"/>
          <w:szCs w:val="24"/>
        </w:rPr>
      </w:pPr>
      <w:r>
        <w:rPr>
          <w:rFonts w:ascii="宋体" w:hAnsi="宋体" w:eastAsia="宋体"/>
          <w:sz w:val="24"/>
          <w:szCs w:val="24"/>
        </w:rPr>
        <w:t>（</w:t>
      </w:r>
      <w:r>
        <w:rPr>
          <w:rFonts w:ascii="Times New Roman" w:hAnsi="Times New Roman" w:eastAsia="Times New Roman"/>
          <w:sz w:val="24"/>
          <w:szCs w:val="24"/>
        </w:rPr>
        <w:t>8</w:t>
      </w:r>
      <w:r>
        <w:rPr>
          <w:rFonts w:ascii="宋体" w:hAnsi="宋体" w:eastAsia="宋体"/>
          <w:sz w:val="24"/>
          <w:szCs w:val="24"/>
        </w:rPr>
        <w:t>）将政府采购合同转包或者违规分包；</w:t>
      </w:r>
    </w:p>
    <w:p>
      <w:pPr>
        <w:spacing w:line="400" w:lineRule="exact"/>
        <w:ind w:firstLine="480" w:firstLineChars="200"/>
        <w:rPr>
          <w:rFonts w:ascii="宋体" w:hAnsi="宋体" w:eastAsia="宋体"/>
          <w:sz w:val="24"/>
          <w:szCs w:val="24"/>
        </w:rPr>
      </w:pPr>
      <w:r>
        <w:rPr>
          <w:rFonts w:ascii="宋体" w:hAnsi="宋体" w:eastAsia="宋体"/>
          <w:sz w:val="24"/>
          <w:szCs w:val="24"/>
        </w:rPr>
        <w:t>（</w:t>
      </w:r>
      <w:r>
        <w:rPr>
          <w:rFonts w:ascii="Times New Roman" w:hAnsi="Times New Roman" w:eastAsia="Times New Roman"/>
          <w:sz w:val="24"/>
          <w:szCs w:val="24"/>
        </w:rPr>
        <w:t>9</w:t>
      </w:r>
      <w:r>
        <w:rPr>
          <w:rFonts w:ascii="宋体" w:hAnsi="宋体" w:eastAsia="宋体"/>
          <w:sz w:val="24"/>
          <w:szCs w:val="24"/>
        </w:rPr>
        <w:t>）提供假冒伪劣产品；</w:t>
      </w:r>
    </w:p>
    <w:p>
      <w:pPr>
        <w:spacing w:line="400" w:lineRule="exact"/>
        <w:ind w:firstLine="480" w:firstLineChars="200"/>
        <w:rPr>
          <w:rFonts w:ascii="宋体" w:hAnsi="宋体" w:eastAsia="宋体"/>
          <w:sz w:val="24"/>
          <w:szCs w:val="24"/>
        </w:rPr>
      </w:pPr>
      <w:r>
        <w:rPr>
          <w:rFonts w:ascii="宋体" w:hAnsi="宋体" w:eastAsia="宋体"/>
          <w:sz w:val="24"/>
          <w:szCs w:val="24"/>
        </w:rPr>
        <w:t>（</w:t>
      </w:r>
      <w:r>
        <w:rPr>
          <w:rFonts w:ascii="Times New Roman" w:hAnsi="Times New Roman" w:eastAsia="Times New Roman"/>
          <w:sz w:val="24"/>
          <w:szCs w:val="24"/>
        </w:rPr>
        <w:t>10</w:t>
      </w:r>
      <w:r>
        <w:rPr>
          <w:rFonts w:ascii="宋体" w:hAnsi="宋体" w:eastAsia="宋体"/>
          <w:sz w:val="24"/>
          <w:szCs w:val="24"/>
        </w:rPr>
        <w:t>）擅自变更、中止或者终止政府采购合同；</w:t>
      </w:r>
    </w:p>
    <w:p>
      <w:pPr>
        <w:spacing w:line="400" w:lineRule="exact"/>
        <w:ind w:firstLine="460" w:firstLineChars="192"/>
        <w:rPr>
          <w:rFonts w:ascii="宋体" w:hAnsi="宋体" w:eastAsia="宋体"/>
          <w:sz w:val="24"/>
          <w:szCs w:val="24"/>
        </w:rPr>
      </w:pPr>
      <w:r>
        <w:rPr>
          <w:rFonts w:ascii="宋体" w:hAnsi="宋体" w:eastAsia="宋体"/>
          <w:sz w:val="24"/>
          <w:szCs w:val="24"/>
        </w:rPr>
        <w:t>（</w:t>
      </w:r>
      <w:r>
        <w:rPr>
          <w:rFonts w:ascii="Times New Roman" w:hAnsi="Times New Roman" w:eastAsia="Times New Roman"/>
          <w:sz w:val="24"/>
          <w:szCs w:val="24"/>
        </w:rPr>
        <w:t>1</w:t>
      </w:r>
      <w:r>
        <w:rPr>
          <w:rFonts w:ascii="宋体" w:hAnsi="宋体" w:eastAsia="宋体"/>
          <w:sz w:val="24"/>
          <w:szCs w:val="24"/>
        </w:rPr>
        <w:t>1）拒绝有关部门的监督检查或者向监督检查部门提供虚假情况；</w:t>
      </w:r>
    </w:p>
    <w:p>
      <w:pPr>
        <w:spacing w:line="400" w:lineRule="exact"/>
        <w:ind w:firstLine="480" w:firstLineChars="200"/>
        <w:rPr>
          <w:rFonts w:ascii="宋体" w:hAnsi="宋体" w:eastAsia="宋体"/>
          <w:sz w:val="24"/>
          <w:szCs w:val="24"/>
        </w:rPr>
      </w:pPr>
      <w:r>
        <w:rPr>
          <w:rFonts w:ascii="宋体" w:hAnsi="宋体" w:eastAsia="宋体"/>
          <w:sz w:val="24"/>
          <w:szCs w:val="24"/>
        </w:rPr>
        <w:t>（</w:t>
      </w:r>
      <w:r>
        <w:rPr>
          <w:rFonts w:ascii="Times New Roman" w:hAnsi="Times New Roman" w:eastAsia="Times New Roman"/>
          <w:sz w:val="24"/>
          <w:szCs w:val="24"/>
        </w:rPr>
        <w:t>12</w:t>
      </w:r>
      <w:r>
        <w:rPr>
          <w:rFonts w:ascii="宋体" w:hAnsi="宋体" w:eastAsia="宋体"/>
          <w:sz w:val="24"/>
          <w:szCs w:val="24"/>
        </w:rPr>
        <w:t>）法律法规规定的其他情形。</w:t>
      </w:r>
    </w:p>
    <w:p>
      <w:pPr>
        <w:spacing w:line="400" w:lineRule="exact"/>
        <w:ind w:firstLine="480"/>
        <w:rPr>
          <w:rFonts w:ascii="宋体" w:hAnsi="宋体" w:eastAsia="宋体"/>
          <w:sz w:val="24"/>
          <w:szCs w:val="24"/>
        </w:rPr>
      </w:pPr>
      <w:r>
        <w:rPr>
          <w:rFonts w:ascii="宋体" w:hAnsi="宋体" w:eastAsia="宋体"/>
          <w:sz w:val="24"/>
          <w:szCs w:val="24"/>
        </w:rPr>
        <w:t>投标人有上述情形的，按照规定追究法律责任，具备（</w:t>
      </w:r>
      <w:r>
        <w:rPr>
          <w:rFonts w:ascii="Times New Roman" w:hAnsi="Times New Roman" w:eastAsia="Times New Roman"/>
          <w:sz w:val="24"/>
          <w:szCs w:val="24"/>
        </w:rPr>
        <w:t>1</w:t>
      </w:r>
      <w:r>
        <w:rPr>
          <w:rFonts w:ascii="宋体" w:hAnsi="宋体" w:eastAsia="宋体"/>
          <w:sz w:val="24"/>
          <w:szCs w:val="24"/>
        </w:rPr>
        <w:t>）</w:t>
      </w:r>
      <w:r>
        <w:rPr>
          <w:rFonts w:ascii="Times New Roman" w:hAnsi="Times New Roman" w:eastAsia="Times New Roman"/>
          <w:sz w:val="24"/>
          <w:szCs w:val="24"/>
        </w:rPr>
        <w:t>-</w:t>
      </w:r>
      <w:r>
        <w:rPr>
          <w:rFonts w:ascii="宋体" w:hAnsi="宋体" w:eastAsia="宋体"/>
          <w:sz w:val="24"/>
          <w:szCs w:val="24"/>
        </w:rPr>
        <w:t>（</w:t>
      </w:r>
      <w:r>
        <w:rPr>
          <w:rFonts w:ascii="Times New Roman" w:hAnsi="Times New Roman" w:eastAsia="Times New Roman"/>
          <w:sz w:val="24"/>
          <w:szCs w:val="24"/>
        </w:rPr>
        <w:t>10</w:t>
      </w:r>
      <w:r>
        <w:rPr>
          <w:rFonts w:ascii="宋体" w:hAnsi="宋体" w:eastAsia="宋体"/>
          <w:sz w:val="24"/>
          <w:szCs w:val="24"/>
        </w:rPr>
        <w:t>）条情形之一的，同时将取消中标资格或者认定中标无效。</w:t>
      </w:r>
    </w:p>
    <w:p>
      <w:pPr>
        <w:pStyle w:val="5"/>
        <w:spacing w:before="480" w:line="400" w:lineRule="exact"/>
        <w:jc w:val="center"/>
        <w:rPr>
          <w:rFonts w:ascii="宋体" w:hAnsi="宋体" w:eastAsia="宋体"/>
          <w:color w:val="auto"/>
          <w:sz w:val="28"/>
          <w:szCs w:val="28"/>
        </w:rPr>
      </w:pPr>
      <w:bookmarkStart w:id="24" w:name="_Toc22076"/>
      <w:r>
        <w:rPr>
          <w:rFonts w:ascii="宋体" w:hAnsi="宋体" w:eastAsia="宋体"/>
          <w:color w:val="auto"/>
          <w:sz w:val="28"/>
          <w:szCs w:val="28"/>
        </w:rPr>
        <w:t>八、询问、质疑和投诉</w:t>
      </w:r>
      <w:bookmarkEnd w:id="24"/>
    </w:p>
    <w:p>
      <w:pPr>
        <w:spacing w:line="400" w:lineRule="exact"/>
        <w:ind w:firstLine="118" w:firstLineChars="49"/>
        <w:rPr>
          <w:rFonts w:ascii="宋体" w:hAnsi="宋体" w:eastAsia="宋体"/>
          <w:sz w:val="24"/>
          <w:szCs w:val="24"/>
        </w:rPr>
      </w:pPr>
      <w:r>
        <w:rPr>
          <w:rFonts w:ascii="宋体" w:hAnsi="宋体" w:eastAsia="宋体"/>
          <w:b/>
          <w:bCs/>
          <w:sz w:val="24"/>
          <w:szCs w:val="24"/>
        </w:rPr>
        <w:t>37.</w:t>
      </w:r>
      <w:r>
        <w:rPr>
          <w:rFonts w:ascii="宋体" w:hAnsi="宋体" w:eastAsia="宋体"/>
          <w:sz w:val="24"/>
          <w:szCs w:val="24"/>
        </w:rPr>
        <w:t xml:space="preserve"> 询问、质疑、投诉的接收和处理严格按照《中华人民共和国政府采购法》、《中华人民共和国政府采购法实施条例》、《政府采购货物和服务招标投标管理办法》、《政府采购质疑和投诉办法》、《财政部关于加强政府采购供应商投诉受理审查工作的通知》的规定办理（详细规定请在中国政府采购网、四川政府采购网相关模块查询）。</w:t>
      </w:r>
    </w:p>
    <w:p>
      <w:pPr>
        <w:pStyle w:val="5"/>
        <w:spacing w:before="480" w:line="400" w:lineRule="exact"/>
        <w:jc w:val="center"/>
        <w:rPr>
          <w:rFonts w:ascii="宋体" w:hAnsi="宋体" w:eastAsia="宋体"/>
          <w:color w:val="auto"/>
          <w:sz w:val="28"/>
          <w:szCs w:val="28"/>
        </w:rPr>
      </w:pPr>
      <w:bookmarkStart w:id="25" w:name="_Toc32493"/>
      <w:r>
        <w:rPr>
          <w:rFonts w:ascii="宋体" w:hAnsi="宋体" w:eastAsia="宋体"/>
          <w:color w:val="auto"/>
          <w:sz w:val="28"/>
          <w:szCs w:val="28"/>
        </w:rPr>
        <w:t>九、投标人信用查询</w:t>
      </w:r>
      <w:bookmarkEnd w:id="25"/>
    </w:p>
    <w:p>
      <w:pPr>
        <w:spacing w:after="50" w:line="420" w:lineRule="exact"/>
        <w:ind w:firstLine="241" w:firstLineChars="100"/>
        <w:rPr>
          <w:rFonts w:ascii="宋体" w:hAnsi="宋体" w:eastAsia="宋体"/>
          <w:sz w:val="24"/>
          <w:szCs w:val="24"/>
        </w:rPr>
      </w:pPr>
      <w:r>
        <w:rPr>
          <w:rFonts w:ascii="宋体" w:hAnsi="宋体" w:eastAsia="宋体"/>
          <w:b/>
          <w:bCs/>
          <w:sz w:val="24"/>
          <w:szCs w:val="24"/>
        </w:rPr>
        <w:t>38.</w:t>
      </w:r>
      <w:r>
        <w:rPr>
          <w:rFonts w:ascii="宋体" w:hAnsi="宋体" w:eastAsia="宋体"/>
          <w:sz w:val="24"/>
          <w:szCs w:val="24"/>
        </w:rPr>
        <w:t>根据《关于在政府采购活动中查询及使用信用记录有关问题的通知》（财库〔</w:t>
      </w:r>
      <w:r>
        <w:rPr>
          <w:rFonts w:ascii="Times New Roman" w:hAnsi="Times New Roman" w:eastAsia="Times New Roman"/>
          <w:sz w:val="24"/>
          <w:szCs w:val="24"/>
        </w:rPr>
        <w:t>2016</w:t>
      </w:r>
      <w:r>
        <w:rPr>
          <w:rFonts w:ascii="宋体" w:hAnsi="宋体" w:eastAsia="宋体"/>
          <w:sz w:val="24"/>
          <w:szCs w:val="24"/>
        </w:rPr>
        <w:t>〕</w:t>
      </w:r>
      <w:r>
        <w:rPr>
          <w:rFonts w:ascii="Times New Roman" w:hAnsi="Times New Roman" w:eastAsia="Times New Roman"/>
          <w:sz w:val="24"/>
          <w:szCs w:val="24"/>
        </w:rPr>
        <w:t>125</w:t>
      </w:r>
      <w:r>
        <w:rPr>
          <w:rFonts w:ascii="宋体" w:hAnsi="宋体" w:eastAsia="宋体"/>
          <w:sz w:val="24"/>
          <w:szCs w:val="24"/>
        </w:rPr>
        <w:t>号）的要求，采购人、采购代理机构将通过“信用中国”网站（</w:t>
      </w:r>
      <w:r>
        <w:rPr>
          <w:rFonts w:ascii="Times New Roman" w:hAnsi="Times New Roman" w:eastAsia="Times New Roman"/>
          <w:sz w:val="24"/>
          <w:szCs w:val="24"/>
        </w:rPr>
        <w:t>www.creditchina.gov.cn</w:t>
      </w:r>
      <w:r>
        <w:rPr>
          <w:rFonts w:ascii="宋体" w:hAnsi="宋体" w:eastAsia="宋体"/>
          <w:sz w:val="24"/>
          <w:szCs w:val="24"/>
        </w:rPr>
        <w:t>）、“中国政府采购网”网站（</w:t>
      </w:r>
      <w:r>
        <w:rPr>
          <w:rFonts w:ascii="Times New Roman" w:hAnsi="Times New Roman" w:eastAsia="Times New Roman"/>
          <w:sz w:val="24"/>
          <w:szCs w:val="24"/>
        </w:rPr>
        <w:t>www.ccgp.gov.cn</w:t>
      </w:r>
      <w:r>
        <w:rPr>
          <w:rFonts w:ascii="宋体" w:hAnsi="宋体" w:eastAsia="宋体"/>
          <w:sz w:val="24"/>
          <w:szCs w:val="24"/>
        </w:rPr>
        <w:t>）等渠道查询供应商在采购公告发布之日前的信用记录并保存信用记录结果网页截图，拒绝</w:t>
      </w:r>
      <w:r>
        <w:rPr>
          <w:rFonts w:ascii="宋体" w:hAnsi="宋体" w:eastAsia="宋体"/>
          <w:b/>
          <w:bCs/>
          <w:sz w:val="24"/>
          <w:szCs w:val="24"/>
        </w:rPr>
        <w:t>列入失信被执行人名单、重大税收违法案件当事人名单、政府采购严重违法失信行为记录名单中的供应商</w:t>
      </w:r>
      <w:r>
        <w:rPr>
          <w:rFonts w:ascii="宋体" w:hAnsi="宋体" w:eastAsia="宋体"/>
          <w:sz w:val="24"/>
          <w:szCs w:val="24"/>
        </w:rPr>
        <w:t>报名参加本项目的采购活动（以联合体形式参加本项目采购活动，联合体成员存在不良信用记录的，视同联合体存在不良信用记录）。</w:t>
      </w:r>
    </w:p>
    <w:p>
      <w:pPr>
        <w:spacing w:line="400" w:lineRule="exact"/>
        <w:ind w:firstLine="117" w:firstLineChars="49"/>
        <w:rPr>
          <w:rFonts w:ascii="宋体" w:hAnsi="宋体" w:eastAsia="宋体"/>
          <w:sz w:val="24"/>
          <w:szCs w:val="24"/>
        </w:rPr>
      </w:pPr>
    </w:p>
    <w:p>
      <w:pPr>
        <w:pStyle w:val="5"/>
        <w:spacing w:before="480" w:line="400" w:lineRule="exact"/>
        <w:jc w:val="center"/>
        <w:rPr>
          <w:rFonts w:ascii="宋体" w:hAnsi="宋体" w:eastAsia="宋体"/>
          <w:color w:val="auto"/>
          <w:sz w:val="28"/>
          <w:szCs w:val="28"/>
        </w:rPr>
      </w:pPr>
      <w:bookmarkStart w:id="26" w:name="_Toc12112"/>
      <w:r>
        <w:rPr>
          <w:rFonts w:ascii="宋体" w:hAnsi="宋体" w:eastAsia="宋体"/>
          <w:color w:val="auto"/>
          <w:sz w:val="28"/>
          <w:szCs w:val="28"/>
        </w:rPr>
        <w:t>十、其他</w:t>
      </w:r>
      <w:bookmarkEnd w:id="26"/>
    </w:p>
    <w:p>
      <w:pPr>
        <w:spacing w:line="400" w:lineRule="exact"/>
        <w:ind w:firstLine="118" w:firstLineChars="49"/>
        <w:rPr>
          <w:rFonts w:ascii="宋体" w:hAnsi="宋体" w:eastAsia="宋体"/>
          <w:sz w:val="24"/>
          <w:szCs w:val="24"/>
        </w:rPr>
      </w:pPr>
      <w:r>
        <w:rPr>
          <w:rFonts w:ascii="宋体" w:hAnsi="宋体" w:eastAsia="宋体"/>
          <w:b/>
          <w:bCs/>
          <w:sz w:val="24"/>
          <w:szCs w:val="24"/>
        </w:rPr>
        <w:t>39.</w:t>
      </w:r>
      <w:r>
        <w:rPr>
          <w:rFonts w:ascii="宋体" w:hAnsi="宋体" w:eastAsia="宋体"/>
          <w:sz w:val="24"/>
          <w:szCs w:val="24"/>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pPr>
        <w:spacing w:line="400" w:lineRule="exact"/>
        <w:rPr>
          <w:rFonts w:ascii="宋体" w:hAnsi="宋体" w:eastAsia="宋体"/>
          <w:sz w:val="24"/>
          <w:szCs w:val="24"/>
        </w:rPr>
      </w:pPr>
    </w:p>
    <w:p>
      <w:pPr>
        <w:rPr>
          <w:rFonts w:ascii="宋体" w:hAnsi="宋体" w:eastAsia="宋体"/>
          <w:sz w:val="32"/>
          <w:szCs w:val="32"/>
        </w:rPr>
      </w:pPr>
      <w:r>
        <w:rPr>
          <w:rFonts w:ascii="宋体" w:hAnsi="宋体" w:eastAsia="宋体"/>
          <w:sz w:val="32"/>
          <w:szCs w:val="32"/>
        </w:rPr>
        <w:br w:type="page"/>
      </w:r>
    </w:p>
    <w:p>
      <w:pPr>
        <w:pStyle w:val="4"/>
        <w:spacing w:before="0" w:after="0" w:line="578" w:lineRule="auto"/>
        <w:jc w:val="center"/>
        <w:rPr>
          <w:rFonts w:ascii="宋体" w:hAnsi="宋体" w:eastAsia="宋体"/>
          <w:color w:val="auto"/>
          <w:sz w:val="32"/>
          <w:szCs w:val="32"/>
        </w:rPr>
      </w:pPr>
      <w:bookmarkStart w:id="27" w:name="_Toc310"/>
      <w:r>
        <w:rPr>
          <w:rFonts w:ascii="宋体" w:hAnsi="宋体" w:eastAsia="宋体"/>
          <w:color w:val="auto"/>
          <w:sz w:val="32"/>
          <w:szCs w:val="32"/>
        </w:rPr>
        <w:t>第三章投标文件格式</w:t>
      </w:r>
      <w:bookmarkEnd w:id="27"/>
    </w:p>
    <w:p>
      <w:pPr>
        <w:spacing w:line="360" w:lineRule="auto"/>
        <w:ind w:firstLine="480" w:firstLineChars="200"/>
        <w:rPr>
          <w:rFonts w:ascii="宋体" w:hAnsi="宋体" w:eastAsia="宋体"/>
          <w:sz w:val="24"/>
          <w:szCs w:val="24"/>
        </w:rPr>
      </w:pPr>
      <w:r>
        <w:rPr>
          <w:rFonts w:ascii="宋体" w:hAnsi="宋体" w:eastAsia="宋体"/>
          <w:sz w:val="24"/>
          <w:szCs w:val="24"/>
        </w:rPr>
        <w:t>一、本章所制投标文件格式，除格式中明确将该格式作为实质性要求的，一律不具有强制性，但是，投标人投标文件相关资料和本章所制格式不一致的，评标委员会将在评分时以投标文件不规范予以扣分处理。</w:t>
      </w:r>
    </w:p>
    <w:p>
      <w:pPr>
        <w:spacing w:line="360" w:lineRule="auto"/>
        <w:ind w:firstLine="480" w:firstLineChars="200"/>
        <w:rPr>
          <w:rFonts w:ascii="宋体" w:hAnsi="宋体" w:eastAsia="宋体"/>
          <w:sz w:val="24"/>
          <w:szCs w:val="24"/>
        </w:rPr>
      </w:pPr>
      <w:r>
        <w:rPr>
          <w:rFonts w:ascii="宋体" w:hAnsi="宋体" w:eastAsia="宋体"/>
          <w:sz w:val="24"/>
          <w:szCs w:val="24"/>
        </w:rPr>
        <w:t>二、本章所制投标文件格式有关表格中的备注栏，由投标人根据自身投标情况作解释性说明，不作为必填项。</w:t>
      </w:r>
    </w:p>
    <w:p>
      <w:pPr>
        <w:spacing w:line="360" w:lineRule="auto"/>
        <w:ind w:firstLine="480" w:firstLineChars="200"/>
        <w:rPr>
          <w:rFonts w:ascii="宋体" w:hAnsi="宋体" w:eastAsia="宋体"/>
          <w:sz w:val="24"/>
          <w:szCs w:val="24"/>
        </w:rPr>
      </w:pPr>
      <w:r>
        <w:rPr>
          <w:rFonts w:ascii="宋体" w:hAnsi="宋体" w:eastAsia="宋体"/>
          <w:sz w:val="24"/>
          <w:szCs w:val="24"/>
        </w:rPr>
        <w:t>三、本章所制投标文件格式有关表格下的备注内容，仅作为投标文件的编制说明，在编制投标文件时可不予保留，但未保留的视为供应商默认接受备注内容。</w:t>
      </w:r>
    </w:p>
    <w:p>
      <w:pPr>
        <w:spacing w:line="360" w:lineRule="auto"/>
        <w:ind w:firstLine="480" w:firstLineChars="200"/>
        <w:rPr>
          <w:rFonts w:ascii="宋体" w:hAnsi="宋体" w:eastAsia="宋体"/>
          <w:sz w:val="24"/>
          <w:szCs w:val="24"/>
        </w:rPr>
      </w:pPr>
      <w:r>
        <w:rPr>
          <w:rFonts w:ascii="宋体" w:hAnsi="宋体" w:eastAsia="宋体"/>
          <w:sz w:val="24"/>
          <w:szCs w:val="24"/>
        </w:rPr>
        <w:t>四、本章所制投标文件格式中需要填写的相关内容事项，可能会与本采购项目无关，在不改变投标文件原义、不影响本项目采购需求的情况下，投标人可以不予填写，但应当注明。</w:t>
      </w:r>
    </w:p>
    <w:p>
      <w:pPr>
        <w:rPr>
          <w:rFonts w:ascii="华文中宋" w:hAnsi="华文中宋" w:eastAsia="华文中宋"/>
          <w:b/>
          <w:bCs/>
          <w:sz w:val="32"/>
          <w:szCs w:val="32"/>
        </w:rPr>
      </w:pPr>
      <w:r>
        <w:rPr>
          <w:rFonts w:ascii="华文中宋" w:hAnsi="华文中宋" w:eastAsia="华文中宋"/>
          <w:b/>
          <w:bCs/>
          <w:sz w:val="32"/>
          <w:szCs w:val="32"/>
        </w:rPr>
        <w:br w:type="page"/>
      </w:r>
    </w:p>
    <w:p>
      <w:pPr>
        <w:pStyle w:val="5"/>
        <w:jc w:val="center"/>
      </w:pPr>
      <w:bookmarkStart w:id="28" w:name="_Toc31496"/>
      <w:r>
        <w:t>第一部分   《资格性投标文件》格式</w:t>
      </w:r>
      <w:bookmarkEnd w:id="28"/>
    </w:p>
    <w:p>
      <w:pPr>
        <w:pStyle w:val="6"/>
        <w:spacing w:before="0" w:after="0" w:line="415" w:lineRule="auto"/>
        <w:jc w:val="both"/>
        <w:rPr>
          <w:rFonts w:ascii="华文中宋" w:hAnsi="华文中宋" w:eastAsia="华文中宋"/>
          <w:color w:val="auto"/>
        </w:rPr>
      </w:pPr>
      <w:r>
        <w:rPr>
          <w:rFonts w:ascii="宋体" w:hAnsi="宋体" w:eastAsia="宋体"/>
          <w:color w:val="auto"/>
        </w:rPr>
        <w:t>格式</w:t>
      </w:r>
      <w:r>
        <w:rPr>
          <w:rFonts w:ascii="Times New Roman" w:hAnsi="Times New Roman" w:eastAsia="Times New Roman"/>
          <w:color w:val="auto"/>
        </w:rPr>
        <w:t xml:space="preserve">1-1  </w:t>
      </w:r>
      <w:r>
        <w:rPr>
          <w:rFonts w:ascii="华文中宋" w:hAnsi="华文中宋" w:eastAsia="华文中宋"/>
          <w:color w:val="auto"/>
        </w:rPr>
        <w:t>封面</w:t>
      </w:r>
    </w:p>
    <w:p>
      <w:pPr>
        <w:spacing w:line="360" w:lineRule="auto"/>
        <w:jc w:val="right"/>
        <w:rPr>
          <w:rFonts w:ascii="华文中宋" w:hAnsi="华文中宋" w:eastAsia="华文中宋"/>
          <w:b/>
          <w:bCs/>
          <w:sz w:val="36"/>
          <w:szCs w:val="36"/>
        </w:rPr>
      </w:pPr>
      <w:r>
        <w:rPr>
          <w:rFonts w:ascii="华文中宋" w:hAnsi="华文中宋" w:eastAsia="华文中宋"/>
          <w:b/>
          <w:bCs/>
          <w:sz w:val="36"/>
          <w:szCs w:val="36"/>
        </w:rPr>
        <w:t>（正本/副本）</w:t>
      </w:r>
    </w:p>
    <w:p>
      <w:pPr>
        <w:spacing w:line="360" w:lineRule="auto"/>
        <w:rPr>
          <w:rFonts w:ascii="华文中宋" w:hAnsi="华文中宋" w:eastAsia="华文中宋"/>
          <w:sz w:val="32"/>
          <w:szCs w:val="32"/>
        </w:rPr>
      </w:pPr>
    </w:p>
    <w:p>
      <w:pPr>
        <w:spacing w:line="360" w:lineRule="auto"/>
        <w:rPr>
          <w:rFonts w:ascii="华文中宋" w:hAnsi="华文中宋" w:eastAsia="华文中宋"/>
          <w:sz w:val="32"/>
          <w:szCs w:val="32"/>
        </w:rPr>
      </w:pPr>
    </w:p>
    <w:p>
      <w:pPr>
        <w:spacing w:line="360" w:lineRule="auto"/>
        <w:jc w:val="center"/>
        <w:rPr>
          <w:rFonts w:ascii="华文中宋" w:hAnsi="华文中宋" w:eastAsia="华文中宋"/>
          <w:b/>
          <w:bCs/>
          <w:sz w:val="40"/>
          <w:szCs w:val="40"/>
        </w:rPr>
      </w:pPr>
      <w:r>
        <w:rPr>
          <w:rFonts w:hint="eastAsia" w:ascii="华文中宋" w:hAnsi="华文中宋" w:eastAsia="华文中宋"/>
          <w:b/>
          <w:bCs/>
          <w:sz w:val="40"/>
          <w:szCs w:val="40"/>
          <w:u w:val="single"/>
        </w:rPr>
        <w:t>成都市武侯区人民政府华兴街道办事处城镇公共卫生环卫服务采购项目</w:t>
      </w:r>
    </w:p>
    <w:p>
      <w:pPr>
        <w:spacing w:line="360" w:lineRule="auto"/>
        <w:rPr>
          <w:rFonts w:ascii="华文中宋" w:hAnsi="华文中宋" w:eastAsia="华文中宋"/>
          <w:sz w:val="52"/>
          <w:szCs w:val="52"/>
        </w:rPr>
      </w:pPr>
    </w:p>
    <w:p>
      <w:pPr>
        <w:spacing w:line="360" w:lineRule="auto"/>
        <w:jc w:val="center"/>
        <w:rPr>
          <w:rFonts w:ascii="华文中宋" w:hAnsi="华文中宋" w:eastAsia="华文中宋"/>
          <w:b/>
          <w:bCs/>
          <w:sz w:val="52"/>
          <w:szCs w:val="52"/>
        </w:rPr>
      </w:pPr>
      <w:r>
        <w:rPr>
          <w:rFonts w:ascii="华文中宋" w:hAnsi="华文中宋" w:eastAsia="华文中宋"/>
          <w:b/>
          <w:bCs/>
          <w:sz w:val="52"/>
          <w:szCs w:val="52"/>
        </w:rPr>
        <w:t>资格性投标文件</w:t>
      </w:r>
    </w:p>
    <w:p>
      <w:pPr>
        <w:spacing w:line="360" w:lineRule="auto"/>
        <w:rPr>
          <w:rFonts w:ascii="华文中宋" w:hAnsi="华文中宋" w:eastAsia="华文中宋"/>
          <w:sz w:val="36"/>
          <w:szCs w:val="36"/>
        </w:rPr>
      </w:pPr>
    </w:p>
    <w:p>
      <w:pPr>
        <w:spacing w:line="360" w:lineRule="auto"/>
        <w:rPr>
          <w:rFonts w:ascii="华文中宋" w:hAnsi="华文中宋" w:eastAsia="华文中宋"/>
          <w:sz w:val="36"/>
          <w:szCs w:val="36"/>
        </w:rPr>
      </w:pPr>
    </w:p>
    <w:p>
      <w:pPr>
        <w:spacing w:line="360" w:lineRule="auto"/>
        <w:jc w:val="left"/>
        <w:rPr>
          <w:rFonts w:ascii="华文中宋" w:hAnsi="华文中宋" w:eastAsia="华文中宋"/>
          <w:b/>
          <w:bCs/>
          <w:sz w:val="32"/>
          <w:szCs w:val="32"/>
        </w:rPr>
      </w:pPr>
      <w:r>
        <w:rPr>
          <w:rFonts w:ascii="华文中宋" w:hAnsi="华文中宋" w:eastAsia="华文中宋"/>
          <w:b/>
          <w:bCs/>
          <w:sz w:val="32"/>
          <w:szCs w:val="32"/>
        </w:rPr>
        <w:t>投 标 人名称：</w:t>
      </w:r>
    </w:p>
    <w:p>
      <w:pPr>
        <w:spacing w:line="360" w:lineRule="auto"/>
        <w:jc w:val="left"/>
        <w:rPr>
          <w:rFonts w:ascii="华文中宋" w:hAnsi="华文中宋" w:eastAsia="华文中宋"/>
          <w:b/>
          <w:bCs/>
          <w:sz w:val="32"/>
          <w:szCs w:val="32"/>
        </w:rPr>
      </w:pPr>
      <w:r>
        <w:rPr>
          <w:rFonts w:ascii="华文中宋" w:hAnsi="华文中宋" w:eastAsia="华文中宋"/>
          <w:b/>
          <w:bCs/>
          <w:sz w:val="32"/>
          <w:szCs w:val="32"/>
        </w:rPr>
        <w:t>招 标 编  号：</w:t>
      </w:r>
    </w:p>
    <w:p>
      <w:pPr>
        <w:spacing w:line="360" w:lineRule="auto"/>
        <w:ind w:firstLine="787" w:firstLineChars="246"/>
        <w:jc w:val="center"/>
        <w:rPr>
          <w:rFonts w:ascii="华文中宋" w:hAnsi="华文中宋" w:eastAsia="华文中宋"/>
          <w:sz w:val="32"/>
          <w:szCs w:val="32"/>
        </w:rPr>
      </w:pPr>
    </w:p>
    <w:p>
      <w:pPr>
        <w:spacing w:line="360" w:lineRule="auto"/>
        <w:ind w:firstLine="790" w:firstLineChars="246"/>
        <w:jc w:val="center"/>
        <w:rPr>
          <w:rFonts w:ascii="华文中宋" w:hAnsi="华文中宋" w:eastAsia="华文中宋"/>
          <w:b/>
          <w:bCs/>
          <w:sz w:val="32"/>
          <w:szCs w:val="32"/>
        </w:rPr>
      </w:pPr>
      <w:r>
        <w:rPr>
          <w:rFonts w:ascii="华文中宋" w:hAnsi="华文中宋" w:eastAsia="华文中宋"/>
          <w:b/>
          <w:bCs/>
          <w:sz w:val="32"/>
          <w:szCs w:val="32"/>
        </w:rPr>
        <w:t>投标时间：202</w:t>
      </w:r>
      <w:r>
        <w:rPr>
          <w:rFonts w:hint="eastAsia" w:ascii="华文中宋" w:hAnsi="华文中宋" w:eastAsia="华文中宋"/>
          <w:b/>
          <w:bCs/>
          <w:sz w:val="32"/>
          <w:szCs w:val="32"/>
        </w:rPr>
        <w:t>1</w:t>
      </w:r>
      <w:r>
        <w:rPr>
          <w:rFonts w:ascii="华文中宋" w:hAnsi="华文中宋" w:eastAsia="华文中宋"/>
          <w:b/>
          <w:bCs/>
          <w:sz w:val="32"/>
          <w:szCs w:val="32"/>
        </w:rPr>
        <w:t>年</w:t>
      </w:r>
      <w:r>
        <w:rPr>
          <w:rFonts w:hint="eastAsia" w:ascii="华文中宋" w:hAnsi="华文中宋" w:eastAsia="华文中宋"/>
          <w:b/>
          <w:bCs/>
          <w:sz w:val="32"/>
          <w:szCs w:val="32"/>
        </w:rPr>
        <w:t xml:space="preserve"> </w:t>
      </w:r>
      <w:r>
        <w:rPr>
          <w:rFonts w:ascii="华文中宋" w:hAnsi="华文中宋" w:eastAsia="华文中宋"/>
          <w:b/>
          <w:bCs/>
          <w:sz w:val="32"/>
          <w:szCs w:val="32"/>
        </w:rPr>
        <w:t>月</w:t>
      </w:r>
      <w:r>
        <w:rPr>
          <w:rFonts w:hint="eastAsia" w:ascii="华文中宋" w:hAnsi="华文中宋" w:eastAsia="华文中宋"/>
          <w:b/>
          <w:bCs/>
          <w:sz w:val="32"/>
          <w:szCs w:val="32"/>
        </w:rPr>
        <w:t xml:space="preserve"> </w:t>
      </w:r>
      <w:r>
        <w:rPr>
          <w:rFonts w:ascii="华文中宋" w:hAnsi="华文中宋" w:eastAsia="华文中宋"/>
          <w:b/>
          <w:bCs/>
          <w:sz w:val="32"/>
          <w:szCs w:val="32"/>
        </w:rPr>
        <w:t>日</w:t>
      </w:r>
    </w:p>
    <w:p>
      <w:pPr>
        <w:spacing w:line="360" w:lineRule="auto"/>
        <w:ind w:firstLine="787" w:firstLineChars="246"/>
        <w:jc w:val="center"/>
        <w:rPr>
          <w:rFonts w:ascii="华文中宋" w:hAnsi="华文中宋" w:eastAsia="华文中宋"/>
          <w:sz w:val="32"/>
          <w:szCs w:val="32"/>
        </w:rPr>
      </w:pPr>
    </w:p>
    <w:p>
      <w:pPr>
        <w:rPr>
          <w:rFonts w:ascii="宋体" w:hAnsi="宋体" w:eastAsia="宋体"/>
        </w:rPr>
      </w:pPr>
      <w:r>
        <w:rPr>
          <w:rFonts w:ascii="宋体" w:hAnsi="宋体" w:eastAsia="宋体"/>
        </w:rPr>
        <w:br w:type="page"/>
      </w:r>
    </w:p>
    <w:p>
      <w:pPr>
        <w:pStyle w:val="6"/>
        <w:spacing w:before="0" w:after="0" w:line="415" w:lineRule="auto"/>
        <w:jc w:val="both"/>
        <w:rPr>
          <w:rFonts w:ascii="宋体" w:hAnsi="宋体" w:eastAsia="宋体"/>
          <w:color w:val="auto"/>
        </w:rPr>
      </w:pPr>
      <w:r>
        <w:rPr>
          <w:rFonts w:ascii="宋体" w:hAnsi="宋体" w:eastAsia="宋体"/>
          <w:color w:val="auto"/>
        </w:rPr>
        <w:t>格式</w:t>
      </w:r>
      <w:r>
        <w:rPr>
          <w:rFonts w:ascii="Times New Roman" w:hAnsi="Times New Roman" w:eastAsia="Times New Roman"/>
          <w:color w:val="auto"/>
        </w:rPr>
        <w:t xml:space="preserve">1-2  </w:t>
      </w:r>
      <w:r>
        <w:rPr>
          <w:rFonts w:ascii="宋体" w:hAnsi="宋体" w:eastAsia="宋体"/>
          <w:color w:val="auto"/>
        </w:rPr>
        <w:t>关于投标人资格申明的函</w:t>
      </w:r>
    </w:p>
    <w:p>
      <w:pPr>
        <w:spacing w:line="360" w:lineRule="auto"/>
        <w:rPr>
          <w:rFonts w:ascii="宋体" w:hAnsi="宋体" w:eastAsia="宋体"/>
          <w:sz w:val="28"/>
          <w:szCs w:val="28"/>
        </w:rPr>
      </w:pPr>
    </w:p>
    <w:p>
      <w:pPr>
        <w:spacing w:line="360" w:lineRule="auto"/>
        <w:ind w:firstLine="484" w:firstLineChars="202"/>
        <w:rPr>
          <w:rFonts w:ascii="宋体" w:hAnsi="宋体" w:eastAsia="宋体"/>
          <w:sz w:val="24"/>
          <w:szCs w:val="24"/>
        </w:rPr>
      </w:pPr>
      <w:r>
        <w:rPr>
          <w:rFonts w:ascii="宋体" w:hAnsi="宋体" w:eastAsia="宋体"/>
          <w:sz w:val="24"/>
          <w:szCs w:val="24"/>
        </w:rPr>
        <w:t>致：</w:t>
      </w:r>
      <w:r>
        <w:rPr>
          <w:rFonts w:hint="eastAsia" w:ascii="Times New Roman" w:hAnsi="Times New Roman" w:eastAsia="宋体"/>
          <w:sz w:val="24"/>
          <w:szCs w:val="24"/>
        </w:rPr>
        <w:t>中金招标有限责任公司</w:t>
      </w:r>
      <w:r>
        <w:rPr>
          <w:rFonts w:ascii="宋体" w:hAnsi="宋体" w:eastAsia="宋体"/>
          <w:sz w:val="24"/>
          <w:szCs w:val="24"/>
        </w:rPr>
        <w:t>（采购代理机构名称）</w:t>
      </w:r>
    </w:p>
    <w:p>
      <w:pPr>
        <w:spacing w:line="360" w:lineRule="auto"/>
        <w:ind w:firstLine="484" w:firstLineChars="202"/>
        <w:rPr>
          <w:rFonts w:ascii="宋体" w:hAnsi="宋体" w:eastAsia="宋体"/>
          <w:sz w:val="24"/>
          <w:szCs w:val="24"/>
        </w:rPr>
      </w:pPr>
      <w:r>
        <w:rPr>
          <w:rFonts w:ascii="宋体" w:hAnsi="宋体" w:eastAsia="宋体"/>
          <w:sz w:val="24"/>
          <w:szCs w:val="24"/>
        </w:rPr>
        <w:t>关于我方对</w:t>
      </w:r>
      <w:r>
        <w:rPr>
          <w:rFonts w:hint="eastAsia" w:ascii="宋体" w:hAnsi="宋体" w:eastAsia="宋体"/>
          <w:b/>
          <w:bCs/>
          <w:sz w:val="24"/>
          <w:szCs w:val="24"/>
        </w:rPr>
        <w:t>成都市武侯区人民政府华兴街道办事处城镇公共卫生环卫服务采购项目</w:t>
      </w:r>
      <w:r>
        <w:rPr>
          <w:rFonts w:ascii="宋体" w:hAnsi="宋体" w:eastAsia="宋体"/>
          <w:b/>
          <w:bCs/>
          <w:sz w:val="24"/>
          <w:szCs w:val="24"/>
        </w:rPr>
        <w:t>（项目编号：）</w:t>
      </w:r>
      <w:r>
        <w:rPr>
          <w:rFonts w:ascii="宋体" w:hAnsi="宋体" w:eastAsia="宋体"/>
          <w:sz w:val="24"/>
          <w:szCs w:val="24"/>
        </w:rPr>
        <w:t>的公开招标，提交的下列文件和说明是准确的和真实的。</w:t>
      </w:r>
    </w:p>
    <w:p>
      <w:pPr>
        <w:spacing w:line="360" w:lineRule="auto"/>
        <w:ind w:firstLine="484" w:firstLineChars="202"/>
        <w:rPr>
          <w:rFonts w:ascii="宋体" w:hAnsi="宋体" w:eastAsia="宋体"/>
          <w:sz w:val="24"/>
          <w:szCs w:val="24"/>
        </w:rPr>
      </w:pPr>
    </w:p>
    <w:p>
      <w:pPr>
        <w:spacing w:line="360" w:lineRule="auto"/>
        <w:ind w:left="180"/>
        <w:rPr>
          <w:rFonts w:ascii="宋体" w:hAnsi="宋体" w:eastAsia="宋体"/>
          <w:sz w:val="24"/>
          <w:szCs w:val="24"/>
        </w:rPr>
      </w:pPr>
      <w:r>
        <w:rPr>
          <w:rFonts w:ascii="宋体" w:hAnsi="宋体" w:eastAsia="宋体"/>
          <w:sz w:val="24"/>
          <w:szCs w:val="24"/>
        </w:rPr>
        <w:t>一、投标人名称及概况：</w:t>
      </w:r>
    </w:p>
    <w:p>
      <w:pPr>
        <w:spacing w:line="500" w:lineRule="exact"/>
        <w:ind w:firstLine="480" w:firstLineChars="200"/>
        <w:jc w:val="left"/>
        <w:rPr>
          <w:rFonts w:ascii="Times New Roman" w:hAnsi="Times New Roman" w:eastAsia="Times New Roman"/>
          <w:sz w:val="24"/>
          <w:szCs w:val="24"/>
        </w:rPr>
      </w:pPr>
      <w:r>
        <w:rPr>
          <w:rFonts w:ascii="宋体" w:hAnsi="宋体" w:eastAsia="宋体"/>
          <w:sz w:val="24"/>
          <w:szCs w:val="24"/>
        </w:rPr>
        <w:t>（一）投标人名称：</w:t>
      </w:r>
      <w:r>
        <w:rPr>
          <w:rFonts w:ascii="Times New Roman" w:hAnsi="Times New Roman" w:eastAsia="Times New Roman"/>
          <w:sz w:val="24"/>
          <w:szCs w:val="24"/>
        </w:rPr>
        <w:t>XX</w:t>
      </w:r>
    </w:p>
    <w:p>
      <w:pPr>
        <w:spacing w:line="500" w:lineRule="exact"/>
        <w:ind w:left="480"/>
        <w:jc w:val="left"/>
        <w:rPr>
          <w:rFonts w:ascii="Times New Roman" w:hAnsi="Times New Roman" w:eastAsia="Times New Roman"/>
          <w:sz w:val="24"/>
          <w:szCs w:val="24"/>
        </w:rPr>
      </w:pPr>
      <w:r>
        <w:rPr>
          <w:rFonts w:ascii="宋体" w:hAnsi="宋体" w:eastAsia="宋体"/>
          <w:sz w:val="24"/>
          <w:szCs w:val="24"/>
        </w:rPr>
        <w:t>（二）地址：</w:t>
      </w:r>
      <w:r>
        <w:rPr>
          <w:rFonts w:ascii="Times New Roman" w:hAnsi="Times New Roman" w:eastAsia="Times New Roman"/>
          <w:sz w:val="24"/>
          <w:szCs w:val="24"/>
        </w:rPr>
        <w:t xml:space="preserve">XX       </w:t>
      </w:r>
      <w:r>
        <w:rPr>
          <w:rFonts w:ascii="宋体" w:hAnsi="宋体" w:eastAsia="宋体"/>
          <w:sz w:val="24"/>
          <w:szCs w:val="24"/>
        </w:rPr>
        <w:t>邮编：</w:t>
      </w:r>
      <w:r>
        <w:rPr>
          <w:rFonts w:ascii="Times New Roman" w:hAnsi="Times New Roman" w:eastAsia="Times New Roman"/>
          <w:sz w:val="24"/>
          <w:szCs w:val="24"/>
        </w:rPr>
        <w:t>XX</w:t>
      </w:r>
    </w:p>
    <w:p>
      <w:pPr>
        <w:spacing w:line="500" w:lineRule="exact"/>
        <w:ind w:left="1261"/>
        <w:rPr>
          <w:rFonts w:ascii="Times New Roman" w:hAnsi="Times New Roman" w:eastAsia="Times New Roman"/>
          <w:sz w:val="24"/>
          <w:szCs w:val="24"/>
        </w:rPr>
      </w:pPr>
      <w:r>
        <w:rPr>
          <w:rFonts w:ascii="宋体" w:hAnsi="宋体" w:eastAsia="宋体"/>
          <w:sz w:val="24"/>
          <w:szCs w:val="24"/>
        </w:rPr>
        <w:t>传真</w:t>
      </w:r>
      <w:r>
        <w:rPr>
          <w:rFonts w:ascii="Times New Roman" w:hAnsi="Times New Roman" w:eastAsia="Times New Roman"/>
          <w:sz w:val="24"/>
          <w:szCs w:val="24"/>
        </w:rPr>
        <w:t>/</w:t>
      </w:r>
      <w:r>
        <w:rPr>
          <w:rFonts w:ascii="宋体" w:hAnsi="宋体" w:eastAsia="宋体"/>
          <w:sz w:val="24"/>
          <w:szCs w:val="24"/>
        </w:rPr>
        <w:t>电话：</w:t>
      </w:r>
      <w:r>
        <w:rPr>
          <w:rFonts w:ascii="Times New Roman" w:hAnsi="Times New Roman" w:eastAsia="Times New Roman"/>
          <w:sz w:val="24"/>
          <w:szCs w:val="24"/>
        </w:rPr>
        <w:t xml:space="preserve"> XX</w:t>
      </w:r>
    </w:p>
    <w:p>
      <w:pPr>
        <w:numPr>
          <w:ilvl w:val="0"/>
          <w:numId w:val="1"/>
        </w:numPr>
        <w:spacing w:line="500" w:lineRule="exact"/>
        <w:ind w:left="1200" w:hanging="720"/>
        <w:jc w:val="left"/>
        <w:rPr>
          <w:rFonts w:ascii="Times New Roman" w:hAnsi="Times New Roman" w:eastAsia="Times New Roman"/>
          <w:sz w:val="24"/>
          <w:szCs w:val="24"/>
        </w:rPr>
      </w:pPr>
      <w:r>
        <w:rPr>
          <w:rFonts w:ascii="宋体" w:hAnsi="宋体" w:eastAsia="宋体"/>
          <w:sz w:val="24"/>
          <w:szCs w:val="24"/>
        </w:rPr>
        <w:t>成立日期或注册日期：</w:t>
      </w:r>
      <w:r>
        <w:rPr>
          <w:rFonts w:ascii="Times New Roman" w:hAnsi="Times New Roman" w:eastAsia="Times New Roman"/>
          <w:sz w:val="24"/>
          <w:szCs w:val="24"/>
        </w:rPr>
        <w:t>XX</w:t>
      </w:r>
    </w:p>
    <w:p>
      <w:pPr>
        <w:numPr>
          <w:ilvl w:val="0"/>
          <w:numId w:val="1"/>
        </w:numPr>
        <w:spacing w:line="500" w:lineRule="exact"/>
        <w:ind w:left="1200" w:hanging="720"/>
        <w:jc w:val="left"/>
        <w:rPr>
          <w:rFonts w:ascii="Times New Roman" w:hAnsi="Times New Roman" w:eastAsia="Times New Roman"/>
          <w:sz w:val="24"/>
          <w:szCs w:val="24"/>
        </w:rPr>
      </w:pPr>
      <w:r>
        <w:rPr>
          <w:rFonts w:ascii="宋体" w:hAnsi="宋体" w:eastAsia="宋体"/>
          <w:sz w:val="24"/>
          <w:szCs w:val="24"/>
        </w:rPr>
        <w:t>法定代表人姓名：</w:t>
      </w:r>
      <w:r>
        <w:rPr>
          <w:rFonts w:ascii="Times New Roman" w:hAnsi="Times New Roman" w:eastAsia="Times New Roman"/>
          <w:sz w:val="24"/>
          <w:szCs w:val="24"/>
        </w:rPr>
        <w:t>XX</w:t>
      </w:r>
    </w:p>
    <w:p>
      <w:pPr>
        <w:spacing w:line="500" w:lineRule="exact"/>
        <w:ind w:firstLine="480"/>
        <w:jc w:val="left"/>
        <w:rPr>
          <w:rFonts w:ascii="宋体" w:hAnsi="宋体" w:eastAsia="宋体"/>
          <w:sz w:val="24"/>
          <w:szCs w:val="24"/>
        </w:rPr>
      </w:pPr>
    </w:p>
    <w:p>
      <w:pPr>
        <w:spacing w:line="360" w:lineRule="auto"/>
        <w:ind w:left="180"/>
        <w:rPr>
          <w:rFonts w:ascii="Times New Roman" w:hAnsi="Times New Roman" w:eastAsia="Times New Roman"/>
          <w:sz w:val="24"/>
          <w:szCs w:val="24"/>
        </w:rPr>
      </w:pPr>
      <w:r>
        <w:rPr>
          <w:rFonts w:ascii="宋体" w:hAnsi="宋体" w:eastAsia="宋体"/>
          <w:sz w:val="24"/>
          <w:szCs w:val="24"/>
        </w:rPr>
        <w:t>二、开户银行名称：</w:t>
      </w:r>
      <w:r>
        <w:rPr>
          <w:rFonts w:ascii="Times New Roman" w:hAnsi="Times New Roman" w:eastAsia="Times New Roman"/>
          <w:sz w:val="24"/>
          <w:szCs w:val="24"/>
        </w:rPr>
        <w:t>XX</w:t>
      </w:r>
    </w:p>
    <w:p>
      <w:pPr>
        <w:spacing w:line="500" w:lineRule="exact"/>
        <w:ind w:firstLine="1080" w:firstLineChars="450"/>
        <w:rPr>
          <w:rFonts w:ascii="Times New Roman" w:hAnsi="Times New Roman" w:eastAsia="Times New Roman"/>
          <w:sz w:val="24"/>
          <w:szCs w:val="24"/>
        </w:rPr>
      </w:pPr>
      <w:r>
        <w:rPr>
          <w:rFonts w:ascii="宋体" w:hAnsi="宋体" w:eastAsia="宋体"/>
          <w:sz w:val="24"/>
          <w:szCs w:val="24"/>
        </w:rPr>
        <w:t>地址：</w:t>
      </w:r>
      <w:r>
        <w:rPr>
          <w:rFonts w:ascii="Times New Roman" w:hAnsi="Times New Roman" w:eastAsia="Times New Roman"/>
          <w:sz w:val="24"/>
          <w:szCs w:val="24"/>
        </w:rPr>
        <w:t>XX</w:t>
      </w:r>
    </w:p>
    <w:p>
      <w:pPr>
        <w:spacing w:line="500" w:lineRule="exact"/>
        <w:ind w:firstLine="1080" w:firstLineChars="450"/>
        <w:rPr>
          <w:rFonts w:ascii="Times New Roman" w:hAnsi="Times New Roman" w:eastAsia="Times New Roman"/>
          <w:sz w:val="24"/>
          <w:szCs w:val="24"/>
        </w:rPr>
      </w:pPr>
      <w:r>
        <w:rPr>
          <w:rFonts w:ascii="宋体" w:hAnsi="宋体" w:eastAsia="宋体"/>
          <w:sz w:val="24"/>
          <w:szCs w:val="24"/>
        </w:rPr>
        <w:t>账号：</w:t>
      </w:r>
      <w:r>
        <w:rPr>
          <w:rFonts w:ascii="Times New Roman" w:hAnsi="Times New Roman" w:eastAsia="Times New Roman"/>
          <w:sz w:val="24"/>
          <w:szCs w:val="24"/>
        </w:rPr>
        <w:t>XX</w:t>
      </w:r>
    </w:p>
    <w:p>
      <w:pPr>
        <w:spacing w:line="360" w:lineRule="auto"/>
        <w:ind w:left="560"/>
        <w:rPr>
          <w:rFonts w:ascii="宋体" w:hAnsi="宋体" w:eastAsia="宋体"/>
          <w:sz w:val="24"/>
          <w:szCs w:val="24"/>
        </w:rPr>
      </w:pPr>
      <w:r>
        <w:rPr>
          <w:rFonts w:ascii="宋体" w:hAnsi="宋体" w:eastAsia="宋体"/>
          <w:sz w:val="24"/>
          <w:szCs w:val="24"/>
        </w:rPr>
        <w:tab/>
      </w:r>
    </w:p>
    <w:p>
      <w:pPr>
        <w:spacing w:line="360" w:lineRule="auto"/>
        <w:ind w:left="560"/>
        <w:rPr>
          <w:rFonts w:ascii="宋体" w:hAnsi="宋体" w:eastAsia="宋体"/>
          <w:sz w:val="24"/>
          <w:szCs w:val="24"/>
        </w:rPr>
      </w:pPr>
    </w:p>
    <w:p>
      <w:pPr>
        <w:spacing w:line="360" w:lineRule="auto"/>
        <w:ind w:firstLine="480" w:firstLineChars="200"/>
        <w:rPr>
          <w:rFonts w:ascii="宋体" w:hAnsi="宋体" w:eastAsia="宋体"/>
          <w:sz w:val="24"/>
          <w:szCs w:val="24"/>
        </w:rPr>
      </w:pPr>
      <w:r>
        <w:rPr>
          <w:rFonts w:ascii="宋体" w:hAnsi="宋体" w:eastAsia="宋体"/>
          <w:sz w:val="24"/>
          <w:szCs w:val="24"/>
        </w:rPr>
        <w:t>投标人名称：</w:t>
      </w:r>
      <w:r>
        <w:rPr>
          <w:rFonts w:ascii="宋体" w:hAnsi="宋体" w:eastAsia="宋体"/>
          <w:sz w:val="24"/>
          <w:szCs w:val="24"/>
          <w:u w:val="single"/>
        </w:rPr>
        <w:t>XXXXXX</w:t>
      </w:r>
    </w:p>
    <w:p>
      <w:pPr>
        <w:spacing w:line="360" w:lineRule="auto"/>
        <w:ind w:left="283" w:leftChars="135" w:firstLine="240" w:firstLineChars="100"/>
        <w:rPr>
          <w:rFonts w:ascii="宋体" w:hAnsi="宋体" w:eastAsia="宋体"/>
          <w:sz w:val="24"/>
          <w:szCs w:val="24"/>
        </w:rPr>
      </w:pPr>
      <w:r>
        <w:rPr>
          <w:rFonts w:ascii="宋体" w:hAnsi="宋体" w:eastAsia="宋体"/>
          <w:sz w:val="24"/>
          <w:szCs w:val="24"/>
        </w:rPr>
        <w:t>日期：</w:t>
      </w:r>
      <w:r>
        <w:rPr>
          <w:rFonts w:ascii="Times New Roman" w:hAnsi="Times New Roman" w:eastAsia="Times New Roman"/>
          <w:sz w:val="24"/>
          <w:szCs w:val="24"/>
        </w:rPr>
        <w:t>20</w:t>
      </w:r>
      <w:r>
        <w:rPr>
          <w:rFonts w:ascii="宋体" w:hAnsi="宋体" w:eastAsia="宋体"/>
          <w:sz w:val="24"/>
          <w:szCs w:val="24"/>
        </w:rPr>
        <w:t>2</w:t>
      </w:r>
      <w:r>
        <w:rPr>
          <w:rFonts w:hint="eastAsia" w:ascii="宋体" w:hAnsi="宋体" w:eastAsia="宋体"/>
          <w:sz w:val="24"/>
          <w:szCs w:val="24"/>
        </w:rPr>
        <w:t>1</w:t>
      </w:r>
      <w:r>
        <w:rPr>
          <w:rFonts w:ascii="宋体" w:hAnsi="宋体" w:eastAsia="宋体"/>
          <w:sz w:val="24"/>
          <w:szCs w:val="24"/>
        </w:rPr>
        <w:t>年</w:t>
      </w:r>
      <w:r>
        <w:rPr>
          <w:rFonts w:ascii="Times New Roman" w:hAnsi="Times New Roman" w:eastAsia="Times New Roman"/>
          <w:sz w:val="24"/>
          <w:szCs w:val="24"/>
        </w:rPr>
        <w:t>XX</w:t>
      </w:r>
      <w:r>
        <w:rPr>
          <w:rFonts w:ascii="宋体" w:hAnsi="宋体" w:eastAsia="宋体"/>
          <w:sz w:val="24"/>
          <w:szCs w:val="24"/>
        </w:rPr>
        <w:t>月</w:t>
      </w:r>
      <w:r>
        <w:rPr>
          <w:rFonts w:ascii="Times New Roman" w:hAnsi="Times New Roman" w:eastAsia="Times New Roman"/>
          <w:sz w:val="24"/>
          <w:szCs w:val="24"/>
        </w:rPr>
        <w:t>XX</w:t>
      </w:r>
      <w:r>
        <w:rPr>
          <w:rFonts w:ascii="宋体" w:hAnsi="宋体" w:eastAsia="宋体"/>
          <w:sz w:val="24"/>
          <w:szCs w:val="24"/>
        </w:rPr>
        <w:t>日</w:t>
      </w:r>
    </w:p>
    <w:p>
      <w:pPr>
        <w:rPr>
          <w:rFonts w:ascii="宋体" w:hAnsi="宋体" w:eastAsia="宋体"/>
        </w:rPr>
      </w:pPr>
      <w:r>
        <w:rPr>
          <w:rFonts w:ascii="宋体" w:hAnsi="宋体" w:eastAsia="宋体"/>
        </w:rPr>
        <w:br w:type="page"/>
      </w:r>
    </w:p>
    <w:p>
      <w:pPr>
        <w:pStyle w:val="6"/>
        <w:spacing w:before="0" w:after="0" w:line="415" w:lineRule="auto"/>
        <w:jc w:val="both"/>
        <w:rPr>
          <w:rFonts w:ascii="宋体" w:hAnsi="宋体" w:eastAsia="宋体"/>
          <w:color w:val="auto"/>
        </w:rPr>
      </w:pPr>
      <w:r>
        <w:rPr>
          <w:rFonts w:ascii="宋体" w:hAnsi="宋体" w:eastAsia="宋体"/>
          <w:color w:val="auto"/>
        </w:rPr>
        <w:t>格式</w:t>
      </w:r>
      <w:r>
        <w:rPr>
          <w:rFonts w:ascii="Times New Roman" w:hAnsi="Times New Roman" w:eastAsia="Times New Roman"/>
          <w:color w:val="auto"/>
        </w:rPr>
        <w:t xml:space="preserve">1-3  </w:t>
      </w:r>
      <w:r>
        <w:rPr>
          <w:rFonts w:ascii="宋体" w:hAnsi="宋体" w:eastAsia="宋体"/>
          <w:color w:val="auto"/>
        </w:rPr>
        <w:t>法定代表人证明书</w:t>
      </w:r>
    </w:p>
    <w:p>
      <w:pPr>
        <w:pStyle w:val="8"/>
        <w:ind w:firstLine="480" w:firstLineChars="200"/>
        <w:rPr>
          <w:rFonts w:ascii="宋体" w:hAnsi="宋体" w:eastAsia="宋体"/>
          <w:sz w:val="24"/>
          <w:szCs w:val="24"/>
        </w:rPr>
      </w:pPr>
      <w:r>
        <w:rPr>
          <w:rFonts w:ascii="宋体" w:hAnsi="宋体" w:eastAsia="宋体"/>
          <w:sz w:val="24"/>
          <w:szCs w:val="24"/>
        </w:rPr>
        <w:t>投标单位名称：</w:t>
      </w:r>
    </w:p>
    <w:p>
      <w:pPr>
        <w:spacing w:line="360" w:lineRule="auto"/>
        <w:ind w:firstLine="480" w:firstLineChars="200"/>
        <w:rPr>
          <w:rFonts w:ascii="宋体" w:hAnsi="宋体" w:eastAsia="宋体"/>
          <w:sz w:val="24"/>
          <w:szCs w:val="24"/>
        </w:rPr>
      </w:pPr>
      <w:r>
        <w:rPr>
          <w:rFonts w:ascii="宋体" w:hAnsi="宋体" w:eastAsia="宋体"/>
          <w:sz w:val="24"/>
          <w:szCs w:val="24"/>
        </w:rPr>
        <w:t>单位性质：</w:t>
      </w:r>
    </w:p>
    <w:p>
      <w:pPr>
        <w:spacing w:line="360" w:lineRule="auto"/>
        <w:ind w:firstLine="480" w:firstLineChars="200"/>
        <w:rPr>
          <w:rFonts w:ascii="宋体" w:hAnsi="宋体" w:eastAsia="宋体"/>
          <w:sz w:val="24"/>
          <w:szCs w:val="24"/>
        </w:rPr>
      </w:pPr>
      <w:r>
        <w:rPr>
          <w:rFonts w:ascii="宋体" w:hAnsi="宋体" w:eastAsia="宋体"/>
          <w:sz w:val="24"/>
          <w:szCs w:val="24"/>
        </w:rPr>
        <w:t>成立时间：年月日</w:t>
      </w:r>
    </w:p>
    <w:p>
      <w:pPr>
        <w:spacing w:line="360" w:lineRule="auto"/>
        <w:ind w:firstLine="480" w:firstLineChars="200"/>
        <w:rPr>
          <w:rFonts w:ascii="宋体" w:hAnsi="宋体" w:eastAsia="宋体"/>
          <w:sz w:val="24"/>
          <w:szCs w:val="24"/>
        </w:rPr>
      </w:pPr>
      <w:r>
        <w:rPr>
          <w:rFonts w:ascii="宋体" w:hAnsi="宋体" w:eastAsia="宋体"/>
          <w:sz w:val="24"/>
          <w:szCs w:val="24"/>
        </w:rPr>
        <w:t>经营期限：</w:t>
      </w:r>
    </w:p>
    <w:p>
      <w:pPr>
        <w:spacing w:line="360" w:lineRule="auto"/>
        <w:ind w:firstLine="480" w:firstLineChars="200"/>
        <w:rPr>
          <w:rFonts w:ascii="宋体" w:hAnsi="宋体" w:eastAsia="宋体"/>
          <w:sz w:val="24"/>
          <w:szCs w:val="24"/>
        </w:rPr>
      </w:pPr>
      <w:r>
        <w:rPr>
          <w:rFonts w:ascii="宋体" w:hAnsi="宋体" w:eastAsia="宋体"/>
          <w:sz w:val="24"/>
          <w:szCs w:val="24"/>
        </w:rPr>
        <w:t>姓名：性别：年龄：职务：</w:t>
      </w:r>
    </w:p>
    <w:p>
      <w:pPr>
        <w:spacing w:line="360" w:lineRule="auto"/>
        <w:ind w:firstLine="480" w:firstLineChars="200"/>
        <w:rPr>
          <w:rFonts w:ascii="宋体" w:hAnsi="宋体" w:eastAsia="宋体"/>
          <w:sz w:val="24"/>
          <w:szCs w:val="24"/>
        </w:rPr>
      </w:pPr>
      <w:r>
        <w:rPr>
          <w:rFonts w:ascii="宋体" w:hAnsi="宋体" w:eastAsia="宋体"/>
          <w:sz w:val="24"/>
          <w:szCs w:val="24"/>
        </w:rPr>
        <w:t>系（申请人名称）的法定代表人。</w:t>
      </w:r>
    </w:p>
    <w:p>
      <w:pPr>
        <w:spacing w:line="360" w:lineRule="auto"/>
        <w:ind w:firstLine="960" w:firstLineChars="400"/>
        <w:rPr>
          <w:rFonts w:ascii="宋体" w:hAnsi="宋体" w:eastAsia="宋体"/>
          <w:sz w:val="24"/>
          <w:szCs w:val="24"/>
        </w:rPr>
      </w:pPr>
      <w:r>
        <w:rPr>
          <w:rFonts w:ascii="宋体" w:hAnsi="宋体" w:eastAsia="宋体"/>
          <w:sz w:val="24"/>
          <w:szCs w:val="24"/>
        </w:rPr>
        <w:tab/>
      </w:r>
    </w:p>
    <w:p>
      <w:pPr>
        <w:spacing w:line="360" w:lineRule="auto"/>
        <w:ind w:firstLine="960" w:firstLineChars="400"/>
        <w:rPr>
          <w:rFonts w:ascii="宋体" w:hAnsi="宋体" w:eastAsia="宋体"/>
          <w:sz w:val="24"/>
          <w:szCs w:val="24"/>
        </w:rPr>
      </w:pPr>
      <w:r>
        <w:rPr>
          <w:rFonts w:ascii="宋体" w:hAnsi="宋体" w:eastAsia="宋体"/>
          <w:sz w:val="24"/>
          <w:szCs w:val="24"/>
        </w:rPr>
        <w:t>特此证明。</w:t>
      </w:r>
    </w:p>
    <w:p>
      <w:pPr>
        <w:spacing w:line="360" w:lineRule="auto"/>
        <w:ind w:firstLine="480" w:firstLineChars="200"/>
        <w:rPr>
          <w:rFonts w:ascii="宋体" w:hAnsi="宋体" w:eastAsia="宋体"/>
          <w:sz w:val="24"/>
          <w:szCs w:val="24"/>
        </w:rPr>
      </w:pPr>
    </w:p>
    <w:p>
      <w:pPr>
        <w:spacing w:line="360" w:lineRule="auto"/>
        <w:ind w:firstLine="4920" w:firstLineChars="2050"/>
        <w:rPr>
          <w:rFonts w:ascii="宋体" w:hAnsi="宋体" w:eastAsia="宋体"/>
          <w:sz w:val="24"/>
          <w:szCs w:val="24"/>
        </w:rPr>
      </w:pPr>
    </w:p>
    <w:p>
      <w:pPr>
        <w:spacing w:line="360" w:lineRule="auto"/>
        <w:ind w:firstLine="484" w:firstLineChars="202"/>
        <w:jc w:val="left"/>
        <w:rPr>
          <w:rFonts w:ascii="宋体" w:hAnsi="宋体" w:eastAsia="宋体"/>
          <w:sz w:val="24"/>
          <w:szCs w:val="24"/>
        </w:rPr>
      </w:pPr>
      <w:r>
        <w:rPr>
          <w:rFonts w:ascii="宋体" w:hAnsi="宋体" w:eastAsia="宋体"/>
          <w:sz w:val="24"/>
          <w:szCs w:val="24"/>
        </w:rPr>
        <w:t>投标人</w:t>
      </w:r>
      <w:r>
        <w:rPr>
          <w:rFonts w:hint="eastAsia" w:ascii="宋体" w:hAnsi="宋体" w:eastAsia="宋体"/>
          <w:sz w:val="24"/>
          <w:szCs w:val="24"/>
        </w:rPr>
        <w:t>：</w:t>
      </w:r>
      <w:r>
        <w:rPr>
          <w:rFonts w:ascii="宋体" w:hAnsi="宋体" w:eastAsia="宋体"/>
          <w:sz w:val="24"/>
          <w:szCs w:val="24"/>
          <w:u w:val="single"/>
        </w:rPr>
        <w:t xml:space="preserve">                        （加盖投标人公章（鲜章）</w:t>
      </w:r>
      <w:r>
        <w:rPr>
          <w:rFonts w:ascii="宋体" w:hAnsi="宋体" w:eastAsia="宋体"/>
          <w:sz w:val="24"/>
          <w:szCs w:val="24"/>
        </w:rPr>
        <w:t>。</w:t>
      </w:r>
    </w:p>
    <w:p>
      <w:pPr>
        <w:spacing w:line="360" w:lineRule="auto"/>
        <w:ind w:firstLine="484" w:firstLineChars="202"/>
        <w:jc w:val="left"/>
        <w:rPr>
          <w:rFonts w:ascii="宋体" w:hAnsi="宋体" w:eastAsia="宋体"/>
          <w:sz w:val="24"/>
          <w:szCs w:val="24"/>
        </w:rPr>
      </w:pPr>
      <w:r>
        <w:rPr>
          <w:rFonts w:ascii="宋体" w:hAnsi="宋体" w:eastAsia="宋体"/>
          <w:sz w:val="24"/>
          <w:szCs w:val="24"/>
        </w:rPr>
        <w:t>日 期：                                               。</w:t>
      </w:r>
    </w:p>
    <w:p>
      <w:pPr>
        <w:spacing w:line="360" w:lineRule="auto"/>
        <w:ind w:firstLine="484" w:firstLineChars="202"/>
        <w:jc w:val="left"/>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ascii="宋体" w:hAnsi="宋体" w:eastAsia="宋体"/>
          <w:sz w:val="24"/>
          <w:szCs w:val="24"/>
        </w:rPr>
        <w:t>注：</w:t>
      </w:r>
    </w:p>
    <w:p>
      <w:pPr>
        <w:spacing w:line="400" w:lineRule="exact"/>
        <w:ind w:firstLine="480" w:firstLineChars="200"/>
        <w:rPr>
          <w:rFonts w:ascii="宋体" w:hAnsi="宋体" w:eastAsia="宋体"/>
          <w:sz w:val="24"/>
          <w:szCs w:val="24"/>
        </w:rPr>
      </w:pPr>
      <w:r>
        <w:rPr>
          <w:rFonts w:ascii="Times New Roman" w:hAnsi="Times New Roman" w:eastAsia="Times New Roman"/>
          <w:sz w:val="24"/>
          <w:szCs w:val="24"/>
        </w:rPr>
        <w:t>1</w:t>
      </w:r>
      <w:r>
        <w:rPr>
          <w:rFonts w:ascii="宋体" w:hAnsi="宋体" w:eastAsia="宋体"/>
          <w:sz w:val="24"/>
          <w:szCs w:val="24"/>
        </w:rPr>
        <w:t>、法定代表人直接参与投标并签署投标文件时才须提供；</w:t>
      </w:r>
    </w:p>
    <w:p>
      <w:pPr>
        <w:spacing w:line="400" w:lineRule="exact"/>
        <w:ind w:firstLine="480" w:firstLineChars="200"/>
        <w:rPr>
          <w:rFonts w:ascii="宋体" w:hAnsi="宋体" w:eastAsia="宋体"/>
          <w:sz w:val="24"/>
          <w:szCs w:val="24"/>
        </w:rPr>
      </w:pPr>
      <w:r>
        <w:rPr>
          <w:rFonts w:ascii="Times New Roman" w:hAnsi="Times New Roman" w:eastAsia="Times New Roman"/>
          <w:sz w:val="24"/>
          <w:szCs w:val="24"/>
        </w:rPr>
        <w:t>2</w:t>
      </w:r>
      <w:r>
        <w:rPr>
          <w:rFonts w:ascii="宋体" w:hAnsi="宋体" w:eastAsia="宋体"/>
          <w:sz w:val="24"/>
          <w:szCs w:val="24"/>
        </w:rPr>
        <w:t>、应附法定代表人身份证（正反面）复印件；（提供身份证有困难的，也可提供户口本或军官证或护照等身份证明材料）</w:t>
      </w:r>
    </w:p>
    <w:p>
      <w:pPr>
        <w:spacing w:line="400" w:lineRule="exact"/>
        <w:ind w:firstLine="480" w:firstLineChars="200"/>
        <w:rPr>
          <w:rFonts w:ascii="宋体" w:hAnsi="宋体" w:eastAsia="宋体"/>
          <w:sz w:val="24"/>
          <w:szCs w:val="24"/>
        </w:rPr>
      </w:pPr>
      <w:r>
        <w:rPr>
          <w:rFonts w:ascii="Times New Roman" w:hAnsi="Times New Roman" w:eastAsia="Times New Roman"/>
          <w:sz w:val="24"/>
          <w:szCs w:val="24"/>
        </w:rPr>
        <w:t>3</w:t>
      </w:r>
      <w:r>
        <w:rPr>
          <w:rFonts w:ascii="宋体" w:hAnsi="宋体" w:eastAsia="宋体"/>
          <w:sz w:val="24"/>
          <w:szCs w:val="24"/>
        </w:rPr>
        <w:t>、供应商为自然人的可不附此证明书，只须提供自然人身份证（正反面）复印件；（提供身份证有困难的，也可提供户口本或军官证或护照等身份证明材料）。</w:t>
      </w:r>
    </w:p>
    <w:p>
      <w:pPr>
        <w:spacing w:line="360" w:lineRule="auto"/>
        <w:ind w:firstLine="787" w:firstLineChars="246"/>
        <w:jc w:val="center"/>
        <w:rPr>
          <w:rFonts w:ascii="华文中宋" w:hAnsi="华文中宋" w:eastAsia="华文中宋"/>
          <w:sz w:val="32"/>
          <w:szCs w:val="32"/>
        </w:rPr>
      </w:pPr>
    </w:p>
    <w:p>
      <w:pPr>
        <w:spacing w:line="360" w:lineRule="auto"/>
        <w:ind w:firstLine="480" w:firstLineChars="200"/>
        <w:rPr>
          <w:rFonts w:ascii="宋体" w:hAnsi="宋体" w:eastAsia="宋体"/>
          <w:sz w:val="24"/>
          <w:szCs w:val="24"/>
        </w:rPr>
      </w:pPr>
    </w:p>
    <w:p>
      <w:pPr>
        <w:spacing w:line="360" w:lineRule="auto"/>
        <w:ind w:firstLine="420" w:firstLineChars="200"/>
        <w:rPr>
          <w:rFonts w:ascii="宋体" w:hAnsi="宋体" w:eastAsia="宋体"/>
          <w:szCs w:val="21"/>
        </w:rPr>
      </w:pPr>
    </w:p>
    <w:p>
      <w:pPr>
        <w:rPr>
          <w:rFonts w:ascii="宋体" w:hAnsi="宋体" w:eastAsia="宋体"/>
        </w:rPr>
      </w:pPr>
      <w:r>
        <w:rPr>
          <w:rFonts w:ascii="宋体" w:hAnsi="宋体" w:eastAsia="宋体"/>
        </w:rPr>
        <w:br w:type="page"/>
      </w:r>
    </w:p>
    <w:p>
      <w:pPr>
        <w:pStyle w:val="6"/>
        <w:spacing w:before="0" w:after="0" w:line="415" w:lineRule="auto"/>
        <w:jc w:val="both"/>
        <w:rPr>
          <w:rFonts w:ascii="宋体" w:hAnsi="宋体" w:eastAsia="宋体"/>
          <w:color w:val="auto"/>
        </w:rPr>
      </w:pPr>
      <w:r>
        <w:rPr>
          <w:rFonts w:ascii="宋体" w:hAnsi="宋体" w:eastAsia="宋体"/>
          <w:color w:val="auto"/>
        </w:rPr>
        <w:t>格式</w:t>
      </w:r>
      <w:r>
        <w:rPr>
          <w:rFonts w:ascii="Times New Roman" w:hAnsi="Times New Roman" w:eastAsia="Times New Roman"/>
          <w:color w:val="auto"/>
        </w:rPr>
        <w:t xml:space="preserve">1-4  </w:t>
      </w:r>
      <w:r>
        <w:rPr>
          <w:rFonts w:ascii="宋体" w:hAnsi="宋体" w:eastAsia="宋体"/>
          <w:color w:val="auto"/>
        </w:rPr>
        <w:t>法定代表人授权书</w:t>
      </w:r>
    </w:p>
    <w:p>
      <w:pPr>
        <w:spacing w:line="400" w:lineRule="exact"/>
        <w:jc w:val="center"/>
        <w:rPr>
          <w:rFonts w:ascii="宋体" w:hAnsi="宋体" w:eastAsia="宋体"/>
          <w:sz w:val="44"/>
          <w:szCs w:val="44"/>
        </w:rPr>
      </w:pPr>
    </w:p>
    <w:p>
      <w:pPr>
        <w:spacing w:line="400" w:lineRule="exact"/>
        <w:jc w:val="center"/>
        <w:rPr>
          <w:rFonts w:ascii="宋体" w:hAnsi="宋体" w:eastAsia="宋体"/>
          <w:sz w:val="44"/>
          <w:szCs w:val="44"/>
        </w:rPr>
      </w:pPr>
    </w:p>
    <w:p>
      <w:pPr>
        <w:spacing w:line="360" w:lineRule="auto"/>
        <w:rPr>
          <w:rFonts w:ascii="宋体" w:hAnsi="宋体" w:eastAsia="宋体"/>
          <w:sz w:val="24"/>
          <w:szCs w:val="24"/>
        </w:rPr>
      </w:pPr>
      <w:r>
        <w:rPr>
          <w:rFonts w:hint="eastAsia" w:ascii="Times New Roman" w:hAnsi="Times New Roman" w:eastAsia="宋体"/>
          <w:sz w:val="24"/>
          <w:szCs w:val="24"/>
        </w:rPr>
        <w:t>中金招标有限责任公司</w:t>
      </w:r>
      <w:r>
        <w:rPr>
          <w:rFonts w:ascii="宋体" w:hAnsi="宋体" w:eastAsia="宋体"/>
          <w:sz w:val="24"/>
          <w:szCs w:val="24"/>
        </w:rPr>
        <w:t>（采购代理机构名称）：</w:t>
      </w:r>
    </w:p>
    <w:p>
      <w:pPr>
        <w:pStyle w:val="8"/>
        <w:spacing w:line="360" w:lineRule="auto"/>
        <w:rPr>
          <w:rFonts w:ascii="宋体" w:hAnsi="宋体" w:eastAsia="宋体"/>
          <w:sz w:val="24"/>
          <w:szCs w:val="24"/>
        </w:rPr>
      </w:pPr>
      <w:r>
        <w:rPr>
          <w:rFonts w:ascii="宋体" w:hAnsi="宋体" w:eastAsia="宋体"/>
          <w:sz w:val="24"/>
          <w:szCs w:val="24"/>
        </w:rPr>
        <w:t>本授权声明：</w:t>
      </w:r>
      <w:r>
        <w:rPr>
          <w:rFonts w:ascii="宋体" w:hAnsi="宋体" w:eastAsia="宋体"/>
          <w:sz w:val="24"/>
          <w:szCs w:val="24"/>
          <w:u w:val="single"/>
        </w:rPr>
        <w:t>xxxx</w:t>
      </w:r>
      <w:r>
        <w:rPr>
          <w:rFonts w:ascii="宋体" w:hAnsi="宋体" w:eastAsia="宋体"/>
          <w:sz w:val="24"/>
          <w:szCs w:val="24"/>
        </w:rPr>
        <w:t>（</w:t>
      </w:r>
      <w:r>
        <w:rPr>
          <w:rFonts w:hint="eastAsia" w:ascii="宋体" w:hAnsi="宋体" w:eastAsia="宋体"/>
          <w:sz w:val="24"/>
          <w:szCs w:val="24"/>
        </w:rPr>
        <w:t>投标人名称</w:t>
      </w:r>
      <w:r>
        <w:rPr>
          <w:rFonts w:ascii="宋体" w:hAnsi="宋体" w:eastAsia="宋体"/>
          <w:sz w:val="24"/>
          <w:szCs w:val="24"/>
        </w:rPr>
        <w:t>）</w:t>
      </w:r>
      <w:r>
        <w:rPr>
          <w:rFonts w:ascii="宋体" w:hAnsi="宋体" w:eastAsia="宋体"/>
          <w:sz w:val="24"/>
          <w:szCs w:val="24"/>
          <w:u w:val="single"/>
        </w:rPr>
        <w:t>xxxx</w:t>
      </w:r>
      <w:r>
        <w:rPr>
          <w:rFonts w:ascii="宋体" w:hAnsi="宋体" w:eastAsia="宋体"/>
          <w:sz w:val="24"/>
          <w:szCs w:val="24"/>
        </w:rPr>
        <w:t>（法定代表人姓名、职务）授权（被授权人姓名、职务）为我方“</w:t>
      </w:r>
      <w:r>
        <w:rPr>
          <w:rFonts w:hint="eastAsia" w:ascii="宋体" w:hAnsi="宋体" w:eastAsia="宋体"/>
          <w:sz w:val="24"/>
          <w:szCs w:val="24"/>
        </w:rPr>
        <w:t>成都市武侯区人民政府华兴街道办事处城镇公共卫生环卫服务采购项目</w:t>
      </w:r>
      <w:r>
        <w:rPr>
          <w:rFonts w:ascii="宋体" w:hAnsi="宋体" w:eastAsia="宋体"/>
          <w:sz w:val="24"/>
          <w:szCs w:val="24"/>
        </w:rPr>
        <w:t>” （招标编号：</w:t>
      </w:r>
      <w:r>
        <w:rPr>
          <w:rFonts w:ascii="宋体" w:hAnsi="宋体" w:eastAsia="宋体"/>
          <w:sz w:val="24"/>
          <w:szCs w:val="24"/>
          <w:u w:val="single"/>
        </w:rPr>
        <w:t>xxxx</w:t>
      </w:r>
      <w:r>
        <w:rPr>
          <w:rFonts w:ascii="宋体" w:hAnsi="宋体" w:eastAsia="宋体"/>
          <w:sz w:val="24"/>
          <w:szCs w:val="24"/>
        </w:rPr>
        <w:t>）投标活动的合法代表，以我方名义全权处理该项目有关投标、签订合同以及执行合同等一切事宜。</w:t>
      </w:r>
    </w:p>
    <w:p>
      <w:pPr>
        <w:spacing w:line="360" w:lineRule="auto"/>
        <w:ind w:firstLine="480" w:firstLineChars="200"/>
        <w:rPr>
          <w:rFonts w:ascii="宋体" w:hAnsi="宋体" w:eastAsia="宋体"/>
          <w:sz w:val="24"/>
          <w:szCs w:val="24"/>
        </w:rPr>
      </w:pPr>
      <w:r>
        <w:rPr>
          <w:rFonts w:ascii="宋体" w:hAnsi="宋体" w:eastAsia="宋体"/>
          <w:sz w:val="24"/>
          <w:szCs w:val="24"/>
        </w:rPr>
        <w:t>特此声明。</w:t>
      </w:r>
    </w:p>
    <w:p>
      <w:pPr>
        <w:spacing w:line="400" w:lineRule="exact"/>
        <w:ind w:firstLine="480" w:firstLineChars="200"/>
        <w:rPr>
          <w:rFonts w:ascii="宋体" w:hAnsi="宋体" w:eastAsia="宋体"/>
          <w:sz w:val="24"/>
          <w:szCs w:val="24"/>
        </w:rPr>
      </w:pPr>
    </w:p>
    <w:p>
      <w:pPr>
        <w:spacing w:line="400" w:lineRule="exact"/>
        <w:ind w:firstLine="480" w:firstLineChars="200"/>
        <w:rPr>
          <w:rFonts w:ascii="宋体" w:hAnsi="宋体" w:eastAsia="宋体"/>
          <w:sz w:val="24"/>
          <w:szCs w:val="24"/>
        </w:rPr>
      </w:pPr>
    </w:p>
    <w:p>
      <w:pPr>
        <w:spacing w:line="400" w:lineRule="exact"/>
        <w:ind w:firstLine="480" w:firstLineChars="200"/>
        <w:rPr>
          <w:rFonts w:ascii="宋体" w:hAnsi="宋体" w:eastAsia="宋体"/>
          <w:sz w:val="24"/>
          <w:szCs w:val="24"/>
        </w:rPr>
      </w:pPr>
      <w:r>
        <w:rPr>
          <w:rFonts w:ascii="宋体" w:hAnsi="宋体" w:eastAsia="宋体"/>
          <w:sz w:val="24"/>
          <w:szCs w:val="24"/>
        </w:rPr>
        <w:t>法定代表人签字：</w:t>
      </w:r>
    </w:p>
    <w:p>
      <w:pPr>
        <w:spacing w:line="400" w:lineRule="exact"/>
        <w:ind w:firstLine="480" w:firstLineChars="200"/>
        <w:rPr>
          <w:rFonts w:ascii="宋体" w:hAnsi="宋体" w:eastAsia="宋体"/>
          <w:sz w:val="24"/>
          <w:szCs w:val="24"/>
        </w:rPr>
      </w:pPr>
      <w:r>
        <w:rPr>
          <w:rFonts w:ascii="宋体" w:hAnsi="宋体" w:eastAsia="宋体"/>
          <w:sz w:val="24"/>
          <w:szCs w:val="24"/>
        </w:rPr>
        <w:t>授权代表签字：</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投标人</w:t>
      </w:r>
      <w:r>
        <w:rPr>
          <w:rFonts w:ascii="宋体" w:hAnsi="宋体" w:eastAsia="宋体"/>
          <w:sz w:val="24"/>
          <w:szCs w:val="24"/>
        </w:rPr>
        <w:t>名称：（盖章）</w:t>
      </w:r>
    </w:p>
    <w:p>
      <w:pPr>
        <w:spacing w:line="400" w:lineRule="exact"/>
        <w:ind w:firstLine="480" w:firstLineChars="200"/>
        <w:rPr>
          <w:rFonts w:ascii="宋体" w:hAnsi="宋体" w:eastAsia="宋体"/>
          <w:sz w:val="24"/>
          <w:szCs w:val="24"/>
        </w:rPr>
      </w:pPr>
      <w:r>
        <w:rPr>
          <w:rFonts w:ascii="宋体" w:hAnsi="宋体" w:eastAsia="宋体"/>
          <w:sz w:val="24"/>
          <w:szCs w:val="24"/>
        </w:rPr>
        <w:t>日期：</w:t>
      </w:r>
    </w:p>
    <w:p>
      <w:pPr>
        <w:spacing w:line="400" w:lineRule="exact"/>
        <w:rPr>
          <w:rFonts w:ascii="宋体" w:hAnsi="宋体" w:eastAsia="宋体"/>
          <w:sz w:val="24"/>
          <w:szCs w:val="24"/>
        </w:rPr>
      </w:pPr>
    </w:p>
    <w:p>
      <w:pPr>
        <w:spacing w:line="400" w:lineRule="exact"/>
        <w:rPr>
          <w:rFonts w:ascii="宋体" w:hAnsi="宋体" w:eastAsia="宋体"/>
          <w:sz w:val="24"/>
          <w:szCs w:val="24"/>
        </w:rPr>
      </w:pPr>
    </w:p>
    <w:p>
      <w:pPr>
        <w:spacing w:line="400" w:lineRule="exact"/>
        <w:rPr>
          <w:rFonts w:ascii="宋体" w:hAnsi="宋体" w:eastAsia="宋体"/>
          <w:sz w:val="24"/>
          <w:szCs w:val="24"/>
        </w:rPr>
      </w:pPr>
      <w:r>
        <w:rPr>
          <w:rFonts w:ascii="宋体" w:hAnsi="宋体" w:eastAsia="宋体"/>
          <w:sz w:val="24"/>
          <w:szCs w:val="24"/>
        </w:rPr>
        <w:t>注：</w:t>
      </w:r>
    </w:p>
    <w:p>
      <w:pPr>
        <w:spacing w:line="400" w:lineRule="exact"/>
        <w:ind w:firstLine="240" w:firstLineChars="100"/>
        <w:rPr>
          <w:rFonts w:ascii="宋体" w:hAnsi="宋体" w:eastAsia="宋体"/>
          <w:sz w:val="24"/>
          <w:szCs w:val="24"/>
        </w:rPr>
      </w:pPr>
      <w:r>
        <w:rPr>
          <w:rFonts w:ascii="宋体" w:hAnsi="宋体" w:eastAsia="宋体"/>
          <w:sz w:val="24"/>
          <w:szCs w:val="24"/>
        </w:rPr>
        <w:t>1、非法定代表人直接参与投标并签署投标文件时才须提供；</w:t>
      </w:r>
    </w:p>
    <w:p>
      <w:pPr>
        <w:spacing w:line="400" w:lineRule="exact"/>
        <w:ind w:firstLine="240" w:firstLineChars="100"/>
        <w:rPr>
          <w:rFonts w:ascii="宋体" w:hAnsi="宋体" w:eastAsia="宋体"/>
          <w:sz w:val="24"/>
          <w:szCs w:val="24"/>
        </w:rPr>
      </w:pPr>
      <w:r>
        <w:rPr>
          <w:rFonts w:ascii="宋体" w:hAnsi="宋体" w:eastAsia="宋体"/>
          <w:sz w:val="24"/>
          <w:szCs w:val="24"/>
        </w:rPr>
        <w:t>2、应附法定代表人和代理人的身份证（正反面）复印件；（提供身份证有困难的，也可提供户口本或军官证或护照等身份证明材料）</w:t>
      </w:r>
    </w:p>
    <w:p>
      <w:pPr>
        <w:rPr>
          <w:rFonts w:ascii="宋体" w:hAnsi="宋体" w:eastAsia="宋体"/>
          <w:sz w:val="24"/>
          <w:szCs w:val="24"/>
        </w:rPr>
      </w:pPr>
      <w:r>
        <w:rPr>
          <w:rFonts w:ascii="宋体" w:hAnsi="宋体" w:eastAsia="宋体"/>
          <w:sz w:val="24"/>
          <w:szCs w:val="24"/>
        </w:rPr>
        <w:br w:type="page"/>
      </w:r>
    </w:p>
    <w:p>
      <w:pPr>
        <w:pStyle w:val="6"/>
        <w:spacing w:before="0" w:after="0" w:line="415" w:lineRule="auto"/>
        <w:jc w:val="both"/>
        <w:rPr>
          <w:rFonts w:ascii="宋体" w:hAnsi="宋体" w:eastAsia="宋体"/>
          <w:color w:val="auto"/>
          <w:sz w:val="24"/>
          <w:szCs w:val="24"/>
        </w:rPr>
      </w:pPr>
      <w:r>
        <w:rPr>
          <w:rFonts w:hint="eastAsia" w:ascii="宋体" w:hAnsi="宋体" w:eastAsia="宋体"/>
          <w:color w:val="auto"/>
        </w:rPr>
        <w:t>格式1-5  声明</w:t>
      </w:r>
    </w:p>
    <w:p>
      <w:pPr>
        <w:spacing w:line="360" w:lineRule="auto"/>
        <w:ind w:firstLine="480" w:firstLineChars="200"/>
        <w:rPr>
          <w:rFonts w:ascii="宋体" w:hAnsi="宋体" w:eastAsia="宋体"/>
          <w:sz w:val="24"/>
          <w:szCs w:val="24"/>
        </w:rPr>
      </w:pPr>
      <w:r>
        <w:rPr>
          <w:rFonts w:ascii="宋体" w:hAnsi="宋体" w:eastAsia="宋体"/>
          <w:sz w:val="24"/>
          <w:szCs w:val="24"/>
        </w:rPr>
        <w:t>致：</w:t>
      </w:r>
      <w:r>
        <w:rPr>
          <w:rFonts w:hint="eastAsia" w:ascii="Times New Roman" w:hAnsi="Times New Roman" w:eastAsia="宋体"/>
          <w:sz w:val="24"/>
          <w:szCs w:val="24"/>
        </w:rPr>
        <w:t>中金招标有限责任公司</w:t>
      </w:r>
      <w:r>
        <w:rPr>
          <w:rFonts w:ascii="宋体" w:hAnsi="宋体" w:eastAsia="宋体"/>
          <w:sz w:val="24"/>
          <w:szCs w:val="24"/>
        </w:rPr>
        <w:t>（采购代理机构名称）</w:t>
      </w:r>
    </w:p>
    <w:p>
      <w:pPr>
        <w:spacing w:line="520" w:lineRule="exact"/>
        <w:ind w:firstLine="480" w:firstLineChars="200"/>
        <w:rPr>
          <w:rFonts w:ascii="宋体" w:hAnsi="宋体" w:eastAsia="宋体"/>
          <w:sz w:val="24"/>
          <w:szCs w:val="24"/>
        </w:rPr>
      </w:pPr>
      <w:r>
        <w:rPr>
          <w:rFonts w:ascii="宋体" w:hAnsi="宋体" w:eastAsia="宋体"/>
          <w:sz w:val="24"/>
          <w:szCs w:val="24"/>
        </w:rPr>
        <w:t>我单位作为</w:t>
      </w:r>
      <w:r>
        <w:rPr>
          <w:rFonts w:ascii="宋体" w:hAnsi="宋体" w:eastAsia="宋体"/>
          <w:b/>
          <w:bCs/>
          <w:sz w:val="24"/>
          <w:szCs w:val="24"/>
        </w:rPr>
        <w:t>项目</w:t>
      </w:r>
      <w:r>
        <w:rPr>
          <w:rFonts w:ascii="宋体" w:hAnsi="宋体" w:eastAsia="宋体"/>
          <w:sz w:val="24"/>
          <w:szCs w:val="24"/>
        </w:rPr>
        <w:t>的投标人，在此郑重声明：</w:t>
      </w:r>
    </w:p>
    <w:p>
      <w:pPr>
        <w:spacing w:line="520" w:lineRule="exact"/>
        <w:ind w:firstLine="480" w:firstLineChars="200"/>
        <w:rPr>
          <w:rFonts w:ascii="宋体" w:hAnsi="宋体" w:eastAsia="宋体"/>
          <w:sz w:val="24"/>
          <w:szCs w:val="24"/>
        </w:rPr>
      </w:pPr>
      <w:r>
        <w:rPr>
          <w:rFonts w:ascii="宋体" w:hAnsi="宋体" w:eastAsia="宋体"/>
          <w:sz w:val="24"/>
          <w:szCs w:val="24"/>
        </w:rPr>
        <w:t>一、我单位参加政府采购活动前三年内，在经营活动中</w:t>
      </w:r>
      <w:r>
        <w:rPr>
          <w:rFonts w:ascii="宋体" w:hAnsi="宋体" w:eastAsia="宋体"/>
          <w:b/>
          <w:bCs/>
          <w:sz w:val="24"/>
          <w:szCs w:val="24"/>
          <w:u w:val="single"/>
        </w:rPr>
        <w:t>（说明：填写“没有”或“有”）</w:t>
      </w:r>
      <w:r>
        <w:rPr>
          <w:rFonts w:ascii="宋体" w:hAnsi="宋体" w:eastAsia="宋体"/>
          <w:sz w:val="24"/>
          <w:szCs w:val="24"/>
        </w:rPr>
        <w:t>重大违法记录。</w:t>
      </w:r>
    </w:p>
    <w:p>
      <w:pPr>
        <w:spacing w:line="520" w:lineRule="exact"/>
        <w:ind w:firstLine="480" w:firstLineChars="200"/>
        <w:rPr>
          <w:rFonts w:ascii="宋体" w:hAnsi="宋体" w:eastAsia="宋体"/>
          <w:sz w:val="24"/>
          <w:szCs w:val="24"/>
        </w:rPr>
      </w:pPr>
      <w:r>
        <w:rPr>
          <w:rFonts w:ascii="宋体" w:hAnsi="宋体" w:eastAsia="宋体"/>
          <w:sz w:val="24"/>
          <w:szCs w:val="24"/>
        </w:rPr>
        <w:t>二、我单位</w:t>
      </w:r>
      <w:r>
        <w:rPr>
          <w:rFonts w:ascii="宋体" w:hAnsi="宋体" w:eastAsia="宋体"/>
          <w:b/>
          <w:bCs/>
          <w:sz w:val="24"/>
          <w:szCs w:val="24"/>
          <w:u w:val="single"/>
        </w:rPr>
        <w:t>（说明：填写“具有”或“不具有”）</w:t>
      </w:r>
      <w:r>
        <w:rPr>
          <w:rFonts w:ascii="宋体" w:hAnsi="宋体" w:eastAsia="宋体"/>
          <w:sz w:val="24"/>
          <w:szCs w:val="24"/>
        </w:rPr>
        <w:t>良好的商业信誉。</w:t>
      </w:r>
    </w:p>
    <w:p>
      <w:pPr>
        <w:spacing w:line="520" w:lineRule="exact"/>
        <w:ind w:firstLine="480" w:firstLineChars="200"/>
        <w:rPr>
          <w:rFonts w:ascii="宋体" w:hAnsi="宋体" w:eastAsia="宋体"/>
          <w:sz w:val="24"/>
          <w:szCs w:val="24"/>
        </w:rPr>
      </w:pPr>
      <w:r>
        <w:rPr>
          <w:rFonts w:ascii="宋体" w:hAnsi="宋体" w:eastAsia="宋体"/>
          <w:sz w:val="24"/>
          <w:szCs w:val="24"/>
        </w:rPr>
        <w:t>三、与我单位负责人为同一人或者存在直接控股、管理关系的相关供应商：</w:t>
      </w:r>
      <w:r>
        <w:rPr>
          <w:rFonts w:ascii="宋体" w:hAnsi="宋体" w:eastAsia="宋体"/>
          <w:b/>
          <w:bCs/>
          <w:sz w:val="24"/>
          <w:szCs w:val="24"/>
          <w:u w:val="single"/>
        </w:rPr>
        <w:t>　（说明：填写“无”或“（一）供应商名称１；（二）供应商名称２；（三）……”）</w:t>
      </w:r>
      <w:r>
        <w:rPr>
          <w:rFonts w:ascii="宋体" w:hAnsi="宋体" w:eastAsia="宋体"/>
          <w:sz w:val="24"/>
          <w:szCs w:val="24"/>
        </w:rPr>
        <w:t xml:space="preserve"> 。</w:t>
      </w:r>
    </w:p>
    <w:p>
      <w:pPr>
        <w:spacing w:line="520" w:lineRule="exact"/>
        <w:ind w:firstLine="480" w:firstLineChars="200"/>
        <w:rPr>
          <w:rFonts w:ascii="宋体" w:hAnsi="宋体" w:eastAsia="宋体"/>
          <w:sz w:val="24"/>
          <w:szCs w:val="24"/>
        </w:rPr>
      </w:pPr>
      <w:r>
        <w:rPr>
          <w:rFonts w:ascii="宋体" w:hAnsi="宋体" w:eastAsia="宋体"/>
          <w:sz w:val="24"/>
          <w:szCs w:val="24"/>
        </w:rPr>
        <w:t>四、在行贿犯罪信息查询期限内，我单位及我单位现任法定代表人、主要负责人</w:t>
      </w:r>
      <w:r>
        <w:rPr>
          <w:rFonts w:ascii="宋体" w:hAnsi="宋体" w:eastAsia="宋体"/>
          <w:b/>
          <w:bCs/>
          <w:sz w:val="24"/>
          <w:szCs w:val="24"/>
          <w:u w:val="single"/>
        </w:rPr>
        <w:t>（说明：填写“没有”或“有”）</w:t>
      </w:r>
      <w:r>
        <w:rPr>
          <w:rFonts w:ascii="宋体" w:hAnsi="宋体" w:eastAsia="宋体"/>
          <w:sz w:val="24"/>
          <w:szCs w:val="24"/>
        </w:rPr>
        <w:t>行贿犯罪记录。</w:t>
      </w:r>
    </w:p>
    <w:p>
      <w:pPr>
        <w:spacing w:line="520" w:lineRule="exact"/>
        <w:ind w:firstLine="480" w:firstLineChars="200"/>
        <w:rPr>
          <w:rFonts w:ascii="宋体" w:hAnsi="宋体" w:eastAsia="宋体"/>
          <w:sz w:val="24"/>
          <w:szCs w:val="24"/>
        </w:rPr>
      </w:pPr>
      <w:r>
        <w:rPr>
          <w:rFonts w:ascii="宋体" w:hAnsi="宋体" w:eastAsia="宋体"/>
          <w:sz w:val="24"/>
          <w:szCs w:val="24"/>
        </w:rPr>
        <w:t>五、我单位</w:t>
      </w:r>
      <w:r>
        <w:rPr>
          <w:rFonts w:ascii="宋体" w:hAnsi="宋体" w:eastAsia="宋体"/>
          <w:b/>
          <w:bCs/>
          <w:sz w:val="24"/>
          <w:szCs w:val="24"/>
          <w:u w:val="single"/>
        </w:rPr>
        <w:t>（说明：填写“未列入”或“被列入”）</w:t>
      </w:r>
      <w:r>
        <w:rPr>
          <w:rFonts w:ascii="宋体" w:hAnsi="宋体" w:eastAsia="宋体"/>
          <w:sz w:val="24"/>
          <w:szCs w:val="24"/>
        </w:rPr>
        <w:t>失信被执行人、重大税收违法案件当事人名单。</w:t>
      </w:r>
    </w:p>
    <w:p>
      <w:pPr>
        <w:spacing w:line="520" w:lineRule="exact"/>
        <w:ind w:firstLine="480" w:firstLineChars="200"/>
        <w:rPr>
          <w:rFonts w:ascii="宋体" w:hAnsi="宋体" w:eastAsia="宋体"/>
          <w:sz w:val="24"/>
          <w:szCs w:val="24"/>
        </w:rPr>
      </w:pPr>
      <w:r>
        <w:rPr>
          <w:rFonts w:ascii="宋体" w:hAnsi="宋体" w:eastAsia="宋体"/>
          <w:sz w:val="24"/>
          <w:szCs w:val="24"/>
        </w:rPr>
        <w:t>我单位</w:t>
      </w:r>
      <w:r>
        <w:rPr>
          <w:rFonts w:ascii="宋体" w:hAnsi="宋体" w:eastAsia="宋体"/>
          <w:b/>
          <w:bCs/>
          <w:sz w:val="24"/>
          <w:szCs w:val="24"/>
          <w:u w:val="single"/>
        </w:rPr>
        <w:t>（说明：填写“未列入”或“被列入”）</w:t>
      </w:r>
      <w:r>
        <w:rPr>
          <w:rFonts w:ascii="宋体" w:hAnsi="宋体" w:eastAsia="宋体"/>
          <w:sz w:val="24"/>
          <w:szCs w:val="24"/>
        </w:rPr>
        <w:t>政府采购严重违法失信行为记录名单。</w:t>
      </w:r>
    </w:p>
    <w:p>
      <w:pPr>
        <w:spacing w:line="520" w:lineRule="exact"/>
        <w:ind w:firstLine="480" w:firstLineChars="200"/>
        <w:rPr>
          <w:rFonts w:ascii="宋体" w:hAnsi="宋体" w:eastAsia="宋体"/>
          <w:sz w:val="24"/>
          <w:szCs w:val="24"/>
        </w:rPr>
      </w:pPr>
    </w:p>
    <w:p>
      <w:pPr>
        <w:spacing w:line="520" w:lineRule="exact"/>
        <w:ind w:firstLine="480" w:firstLineChars="200"/>
        <w:rPr>
          <w:rFonts w:ascii="宋体" w:hAnsi="宋体" w:eastAsia="宋体"/>
          <w:sz w:val="24"/>
          <w:szCs w:val="24"/>
        </w:rPr>
      </w:pPr>
      <w:r>
        <w:rPr>
          <w:rFonts w:ascii="宋体" w:hAnsi="宋体" w:eastAsia="宋体"/>
          <w:sz w:val="24"/>
          <w:szCs w:val="24"/>
        </w:rPr>
        <w:t>特此声明。</w:t>
      </w:r>
    </w:p>
    <w:p>
      <w:pPr>
        <w:spacing w:line="520" w:lineRule="exact"/>
        <w:ind w:firstLine="480" w:firstLineChars="200"/>
        <w:rPr>
          <w:rFonts w:ascii="宋体" w:hAnsi="宋体" w:eastAsia="宋体"/>
          <w:sz w:val="24"/>
          <w:szCs w:val="24"/>
        </w:rPr>
      </w:pPr>
    </w:p>
    <w:p>
      <w:pPr>
        <w:spacing w:line="520" w:lineRule="exact"/>
        <w:ind w:firstLine="480" w:firstLineChars="200"/>
        <w:rPr>
          <w:rFonts w:ascii="宋体" w:hAnsi="宋体" w:eastAsia="宋体"/>
          <w:sz w:val="24"/>
          <w:szCs w:val="24"/>
        </w:rPr>
      </w:pPr>
      <w:r>
        <w:rPr>
          <w:rFonts w:ascii="宋体" w:hAnsi="宋体" w:eastAsia="宋体"/>
          <w:sz w:val="24"/>
          <w:szCs w:val="24"/>
        </w:rPr>
        <w:t>投标人名称：</w:t>
      </w:r>
      <w:r>
        <w:rPr>
          <w:rFonts w:ascii="宋体" w:hAnsi="宋体" w:eastAsia="宋体"/>
          <w:sz w:val="24"/>
          <w:szCs w:val="24"/>
          <w:u w:val="single"/>
        </w:rPr>
        <w:t>XXXXXX</w:t>
      </w:r>
    </w:p>
    <w:p>
      <w:pPr>
        <w:spacing w:line="520" w:lineRule="exact"/>
        <w:ind w:firstLine="480" w:firstLineChars="200"/>
        <w:rPr>
          <w:rFonts w:ascii="宋体" w:hAnsi="宋体" w:eastAsia="宋体"/>
          <w:sz w:val="24"/>
          <w:szCs w:val="24"/>
        </w:rPr>
      </w:pPr>
      <w:r>
        <w:rPr>
          <w:rFonts w:ascii="宋体" w:hAnsi="宋体" w:eastAsia="宋体"/>
          <w:sz w:val="24"/>
          <w:szCs w:val="24"/>
        </w:rPr>
        <w:t>日期：</w:t>
      </w:r>
      <w:r>
        <w:rPr>
          <w:rFonts w:ascii="Times New Roman" w:hAnsi="Times New Roman" w:eastAsia="Times New Roman"/>
          <w:sz w:val="24"/>
          <w:szCs w:val="24"/>
        </w:rPr>
        <w:t>20</w:t>
      </w:r>
      <w:r>
        <w:rPr>
          <w:rFonts w:ascii="宋体" w:hAnsi="宋体" w:eastAsia="宋体"/>
          <w:sz w:val="24"/>
          <w:szCs w:val="24"/>
        </w:rPr>
        <w:t>2</w:t>
      </w:r>
      <w:r>
        <w:rPr>
          <w:rFonts w:hint="eastAsia" w:ascii="宋体" w:hAnsi="宋体" w:eastAsia="宋体"/>
          <w:sz w:val="24"/>
          <w:szCs w:val="24"/>
        </w:rPr>
        <w:t>1</w:t>
      </w:r>
      <w:r>
        <w:rPr>
          <w:rFonts w:ascii="宋体" w:hAnsi="宋体" w:eastAsia="宋体"/>
          <w:sz w:val="24"/>
          <w:szCs w:val="24"/>
        </w:rPr>
        <w:t>年</w:t>
      </w:r>
      <w:r>
        <w:rPr>
          <w:rFonts w:ascii="Times New Roman" w:hAnsi="Times New Roman" w:eastAsia="Times New Roman"/>
          <w:sz w:val="24"/>
          <w:szCs w:val="24"/>
        </w:rPr>
        <w:t>XX</w:t>
      </w:r>
      <w:r>
        <w:rPr>
          <w:rFonts w:ascii="宋体" w:hAnsi="宋体" w:eastAsia="宋体"/>
          <w:sz w:val="24"/>
          <w:szCs w:val="24"/>
        </w:rPr>
        <w:t>月</w:t>
      </w:r>
      <w:r>
        <w:rPr>
          <w:rFonts w:ascii="Times New Roman" w:hAnsi="Times New Roman" w:eastAsia="Times New Roman"/>
          <w:sz w:val="24"/>
          <w:szCs w:val="24"/>
        </w:rPr>
        <w:t>XX</w:t>
      </w:r>
      <w:r>
        <w:rPr>
          <w:rFonts w:ascii="宋体" w:hAnsi="宋体" w:eastAsia="宋体"/>
          <w:sz w:val="24"/>
          <w:szCs w:val="24"/>
        </w:rPr>
        <w:t>日</w:t>
      </w:r>
    </w:p>
    <w:p>
      <w:pPr>
        <w:spacing w:line="560" w:lineRule="exact"/>
        <w:ind w:firstLine="480" w:firstLineChars="200"/>
        <w:rPr>
          <w:rFonts w:ascii="宋体" w:hAnsi="宋体" w:eastAsia="宋体"/>
          <w:sz w:val="24"/>
          <w:szCs w:val="24"/>
        </w:rPr>
      </w:pPr>
    </w:p>
    <w:p>
      <w:pPr>
        <w:spacing w:line="560" w:lineRule="exact"/>
        <w:ind w:firstLine="480" w:firstLineChars="200"/>
        <w:rPr>
          <w:rFonts w:ascii="宋体" w:hAnsi="宋体" w:eastAsia="宋体"/>
          <w:sz w:val="24"/>
          <w:szCs w:val="24"/>
        </w:rPr>
      </w:pPr>
      <w:r>
        <w:rPr>
          <w:rFonts w:ascii="宋体" w:hAnsi="宋体" w:eastAsia="宋体"/>
          <w:sz w:val="24"/>
          <w:szCs w:val="24"/>
        </w:rPr>
        <w:t>说明：</w:t>
      </w:r>
      <w:r>
        <w:rPr>
          <w:rFonts w:ascii="Times New Roman" w:hAnsi="Times New Roman" w:eastAsia="Times New Roman"/>
          <w:sz w:val="24"/>
          <w:szCs w:val="24"/>
        </w:rPr>
        <w:t xml:space="preserve"> 1.</w:t>
      </w:r>
      <w:r>
        <w:rPr>
          <w:rFonts w:ascii="宋体" w:hAnsi="宋体" w:eastAsia="宋体"/>
          <w:sz w:val="24"/>
          <w:szCs w:val="24"/>
        </w:rPr>
        <w:t>对声明中第一条的说明：如投标人在参加政府采购活动前三年内，在经营活动中有重大违法记录的，应填写“有”，投标人将被认定投标无效或被取消中标资格（如投标人在参加政府采购活动前</w:t>
      </w:r>
      <w:r>
        <w:rPr>
          <w:rFonts w:ascii="Times New Roman" w:hAnsi="Times New Roman" w:eastAsia="Times New Roman"/>
          <w:sz w:val="24"/>
          <w:szCs w:val="24"/>
        </w:rPr>
        <w:t>3</w:t>
      </w:r>
      <w:r>
        <w:rPr>
          <w:rFonts w:ascii="宋体" w:hAnsi="宋体" w:eastAsia="宋体"/>
          <w:sz w:val="24"/>
          <w:szCs w:val="24"/>
        </w:rPr>
        <w:t>年内因违法经营被禁止在一定期限内参加政府采购活动，期限届满的，可以参加政府采购活动的，该声明填“有”，但投标人应提供相关证明材料）；</w:t>
      </w:r>
    </w:p>
    <w:p>
      <w:pPr>
        <w:spacing w:line="560" w:lineRule="exact"/>
        <w:ind w:firstLine="480" w:firstLineChars="200"/>
        <w:rPr>
          <w:rFonts w:ascii="宋体" w:hAnsi="宋体" w:eastAsia="宋体"/>
          <w:sz w:val="24"/>
          <w:szCs w:val="24"/>
        </w:rPr>
      </w:pPr>
      <w:r>
        <w:rPr>
          <w:rFonts w:ascii="宋体" w:hAnsi="宋体" w:eastAsia="宋体"/>
          <w:sz w:val="24"/>
          <w:szCs w:val="24"/>
        </w:rPr>
        <w:t>2.对声明中第二条的说明：投标人在参加政府采购活动前，被纳入法院、工商行政管理部门、税务部门、银行认定的失信名单且在有效期内，或者在前三年政府采购合同履约过程中及其他经营活动履约过程中未依法履约被有关部门处罚的，不能认定为具有良好的商业信誉，应填写“不具有”，投标人将被认定投标无效或被取消中标资格；</w:t>
      </w:r>
    </w:p>
    <w:p>
      <w:pPr>
        <w:spacing w:line="560" w:lineRule="exact"/>
        <w:ind w:firstLine="480" w:firstLineChars="200"/>
        <w:rPr>
          <w:rFonts w:ascii="宋体" w:hAnsi="宋体" w:eastAsia="宋体"/>
          <w:sz w:val="24"/>
          <w:szCs w:val="24"/>
        </w:rPr>
      </w:pPr>
      <w:r>
        <w:rPr>
          <w:rFonts w:ascii="宋体" w:hAnsi="宋体" w:eastAsia="宋体"/>
          <w:sz w:val="24"/>
          <w:szCs w:val="24"/>
        </w:rPr>
        <w:t>3.对声明中第三条的说明：单位负责人为同一人或者存在直接控股、管理关系的不同供应商，不得参加同一合同项下的政府采购活动。</w:t>
      </w:r>
    </w:p>
    <w:p>
      <w:pPr>
        <w:spacing w:line="560" w:lineRule="exact"/>
        <w:ind w:firstLine="480" w:firstLineChars="200"/>
        <w:rPr>
          <w:rFonts w:ascii="宋体" w:hAnsi="宋体" w:eastAsia="宋体"/>
          <w:sz w:val="24"/>
          <w:szCs w:val="24"/>
        </w:rPr>
      </w:pPr>
      <w:r>
        <w:rPr>
          <w:rFonts w:ascii="宋体" w:hAnsi="宋体" w:eastAsia="宋体"/>
          <w:sz w:val="24"/>
          <w:szCs w:val="24"/>
        </w:rPr>
        <w:t>4.对声明中第四条的说明：在行贿犯罪信息查询期限内，投标人根据中国裁判文书网（https://wenshu.court.gov.cn）自行查询结果，如果投标人及其现任法定代表人、主要负责人有行贿犯罪记录的，投标人应填写“有”，投标人将被认定投标无效或被取消中标资格。</w:t>
      </w:r>
    </w:p>
    <w:p>
      <w:pPr>
        <w:spacing w:line="560" w:lineRule="exact"/>
        <w:ind w:firstLine="480" w:firstLineChars="200"/>
        <w:rPr>
          <w:rFonts w:ascii="宋体" w:hAnsi="宋体" w:eastAsia="宋体"/>
          <w:sz w:val="24"/>
          <w:szCs w:val="24"/>
        </w:rPr>
      </w:pPr>
      <w:r>
        <w:rPr>
          <w:rFonts w:ascii="宋体" w:hAnsi="宋体" w:eastAsia="宋体"/>
          <w:sz w:val="24"/>
          <w:szCs w:val="24"/>
        </w:rPr>
        <w:t>5.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如投标人在参加政府采购活动前被禁止在一定期限内参加政府采购活动，期限届满的可以参加政府采购活动，该声明填“被列入”，但投标人应提供相关证明材料）。</w:t>
      </w:r>
    </w:p>
    <w:p>
      <w:pPr>
        <w:spacing w:line="400" w:lineRule="exact"/>
        <w:ind w:firstLine="240" w:firstLineChars="100"/>
        <w:rPr>
          <w:rFonts w:ascii="宋体" w:hAnsi="宋体" w:eastAsia="宋体"/>
          <w:sz w:val="24"/>
          <w:szCs w:val="24"/>
        </w:rPr>
      </w:pPr>
    </w:p>
    <w:p>
      <w:pPr>
        <w:spacing w:line="400" w:lineRule="exact"/>
        <w:ind w:firstLine="240" w:firstLineChars="100"/>
        <w:rPr>
          <w:rFonts w:ascii="宋体" w:hAnsi="宋体" w:eastAsia="宋体"/>
          <w:sz w:val="24"/>
          <w:szCs w:val="24"/>
        </w:rPr>
      </w:pPr>
      <w:r>
        <w:rPr>
          <w:rFonts w:ascii="宋体" w:hAnsi="宋体" w:eastAsia="宋体"/>
          <w:sz w:val="24"/>
          <w:szCs w:val="24"/>
        </w:rPr>
        <w:tab/>
      </w:r>
    </w:p>
    <w:p>
      <w:pPr>
        <w:rPr>
          <w:rFonts w:ascii="华文中宋" w:hAnsi="华文中宋" w:eastAsia="华文中宋"/>
        </w:rPr>
      </w:pPr>
      <w:r>
        <w:rPr>
          <w:rFonts w:ascii="华文中宋" w:hAnsi="华文中宋" w:eastAsia="华文中宋"/>
        </w:rPr>
        <w:br w:type="page"/>
      </w:r>
    </w:p>
    <w:p>
      <w:pPr>
        <w:pStyle w:val="6"/>
        <w:spacing w:before="0" w:after="0" w:line="415" w:lineRule="auto"/>
        <w:jc w:val="both"/>
        <w:rPr>
          <w:rFonts w:ascii="华文中宋" w:hAnsi="华文中宋" w:eastAsia="华文中宋"/>
          <w:color w:val="auto"/>
        </w:rPr>
      </w:pPr>
      <w:r>
        <w:rPr>
          <w:rFonts w:ascii="华文中宋" w:hAnsi="华文中宋" w:eastAsia="华文中宋"/>
          <w:color w:val="auto"/>
        </w:rPr>
        <w:t>格式1-</w:t>
      </w:r>
      <w:r>
        <w:rPr>
          <w:rFonts w:hint="eastAsia" w:ascii="华文中宋" w:hAnsi="华文中宋" w:eastAsia="华文中宋"/>
          <w:color w:val="auto"/>
        </w:rPr>
        <w:t>6</w:t>
      </w:r>
      <w:r>
        <w:rPr>
          <w:rFonts w:ascii="华文中宋" w:hAnsi="华文中宋" w:eastAsia="华文中宋"/>
          <w:color w:val="auto"/>
        </w:rPr>
        <w:t xml:space="preserve">  应当提供的投标人和投标产品资格、资质性及其他类似效力要求的相关证明材料</w:t>
      </w:r>
    </w:p>
    <w:p>
      <w:pPr>
        <w:spacing w:line="360" w:lineRule="auto"/>
        <w:rPr>
          <w:rFonts w:ascii="宋体" w:hAnsi="宋体" w:eastAsia="宋体"/>
          <w:sz w:val="24"/>
          <w:szCs w:val="24"/>
        </w:rPr>
      </w:pPr>
      <w:r>
        <w:rPr>
          <w:rFonts w:ascii="宋体" w:hAnsi="宋体" w:eastAsia="宋体"/>
          <w:sz w:val="24"/>
          <w:szCs w:val="24"/>
        </w:rPr>
        <w:t>注：投标人应严格按招标文件第四章相关要求提供相关证明材料，有格式要求的从其要求，无格式要求的格式自拟。</w:t>
      </w:r>
    </w:p>
    <w:p>
      <w:pPr>
        <w:rPr>
          <w:rFonts w:ascii="华文中宋" w:hAnsi="华文中宋" w:eastAsia="华文中宋"/>
          <w:b/>
          <w:bCs/>
          <w:sz w:val="32"/>
          <w:szCs w:val="32"/>
        </w:rPr>
      </w:pPr>
      <w:r>
        <w:rPr>
          <w:rFonts w:ascii="华文中宋" w:hAnsi="华文中宋" w:eastAsia="华文中宋"/>
          <w:b/>
          <w:bCs/>
          <w:sz w:val="32"/>
          <w:szCs w:val="32"/>
        </w:rPr>
        <w:br w:type="page"/>
      </w:r>
    </w:p>
    <w:p>
      <w:pPr>
        <w:pStyle w:val="5"/>
        <w:jc w:val="center"/>
      </w:pPr>
      <w:bookmarkStart w:id="29" w:name="_Toc13556"/>
      <w:r>
        <w:t>第二部分   《其它响应性投标文件》格式</w:t>
      </w:r>
      <w:bookmarkEnd w:id="29"/>
    </w:p>
    <w:p>
      <w:pPr>
        <w:pStyle w:val="6"/>
        <w:spacing w:before="0" w:after="0" w:line="415" w:lineRule="auto"/>
        <w:jc w:val="both"/>
        <w:rPr>
          <w:rFonts w:ascii="宋体" w:hAnsi="宋体" w:eastAsia="宋体"/>
          <w:color w:val="auto"/>
        </w:rPr>
      </w:pPr>
      <w:r>
        <w:rPr>
          <w:rFonts w:ascii="宋体" w:hAnsi="宋体" w:eastAsia="宋体"/>
          <w:color w:val="auto"/>
        </w:rPr>
        <w:t>格式</w:t>
      </w:r>
      <w:r>
        <w:rPr>
          <w:rFonts w:ascii="Times New Roman" w:hAnsi="Times New Roman" w:eastAsia="Times New Roman"/>
          <w:color w:val="auto"/>
        </w:rPr>
        <w:t xml:space="preserve">2-1 </w:t>
      </w:r>
      <w:r>
        <w:rPr>
          <w:rFonts w:ascii="宋体" w:hAnsi="宋体" w:eastAsia="宋体"/>
          <w:color w:val="auto"/>
        </w:rPr>
        <w:t>封面</w:t>
      </w:r>
    </w:p>
    <w:p>
      <w:pPr>
        <w:spacing w:line="360" w:lineRule="auto"/>
        <w:jc w:val="right"/>
        <w:rPr>
          <w:rFonts w:ascii="华文中宋" w:hAnsi="华文中宋" w:eastAsia="华文中宋"/>
          <w:b/>
          <w:bCs/>
          <w:sz w:val="36"/>
          <w:szCs w:val="36"/>
        </w:rPr>
      </w:pPr>
      <w:r>
        <w:rPr>
          <w:rFonts w:ascii="华文中宋" w:hAnsi="华文中宋" w:eastAsia="华文中宋"/>
          <w:b/>
          <w:bCs/>
          <w:sz w:val="36"/>
          <w:szCs w:val="36"/>
        </w:rPr>
        <w:t>（正本/副本）</w:t>
      </w:r>
    </w:p>
    <w:p>
      <w:pPr>
        <w:spacing w:line="360" w:lineRule="auto"/>
        <w:rPr>
          <w:rFonts w:ascii="华文中宋" w:hAnsi="华文中宋" w:eastAsia="华文中宋"/>
          <w:sz w:val="32"/>
          <w:szCs w:val="32"/>
        </w:rPr>
      </w:pPr>
    </w:p>
    <w:p>
      <w:pPr>
        <w:spacing w:line="360" w:lineRule="auto"/>
        <w:rPr>
          <w:rFonts w:ascii="华文中宋" w:hAnsi="华文中宋" w:eastAsia="华文中宋"/>
          <w:sz w:val="32"/>
          <w:szCs w:val="32"/>
        </w:rPr>
      </w:pPr>
    </w:p>
    <w:p>
      <w:pPr>
        <w:spacing w:line="360" w:lineRule="auto"/>
        <w:jc w:val="center"/>
        <w:rPr>
          <w:rFonts w:ascii="华文中宋" w:hAnsi="华文中宋" w:eastAsia="华文中宋"/>
          <w:sz w:val="52"/>
          <w:szCs w:val="52"/>
        </w:rPr>
      </w:pPr>
      <w:r>
        <w:rPr>
          <w:rFonts w:hint="eastAsia" w:ascii="华文中宋" w:hAnsi="华文中宋" w:eastAsia="华文中宋"/>
          <w:b/>
          <w:bCs/>
          <w:sz w:val="40"/>
          <w:szCs w:val="40"/>
        </w:rPr>
        <w:t>成都市武侯区人民政府华兴街道办事处城镇公共卫生环卫服务采购项目</w:t>
      </w:r>
    </w:p>
    <w:p>
      <w:pPr>
        <w:spacing w:line="360" w:lineRule="auto"/>
        <w:jc w:val="center"/>
        <w:rPr>
          <w:rFonts w:ascii="华文中宋" w:hAnsi="华文中宋" w:eastAsia="华文中宋"/>
          <w:b/>
          <w:bCs/>
          <w:sz w:val="52"/>
          <w:szCs w:val="52"/>
        </w:rPr>
      </w:pPr>
    </w:p>
    <w:p>
      <w:pPr>
        <w:spacing w:line="360" w:lineRule="auto"/>
        <w:jc w:val="center"/>
        <w:rPr>
          <w:rFonts w:ascii="华文中宋" w:hAnsi="华文中宋" w:eastAsia="华文中宋"/>
          <w:b/>
          <w:bCs/>
          <w:sz w:val="52"/>
          <w:szCs w:val="52"/>
        </w:rPr>
      </w:pPr>
      <w:r>
        <w:rPr>
          <w:rFonts w:ascii="华文中宋" w:hAnsi="华文中宋" w:eastAsia="华文中宋"/>
          <w:b/>
          <w:bCs/>
          <w:sz w:val="52"/>
          <w:szCs w:val="52"/>
        </w:rPr>
        <w:t>其它响应性投标文件</w:t>
      </w:r>
    </w:p>
    <w:p>
      <w:pPr>
        <w:spacing w:line="360" w:lineRule="auto"/>
        <w:rPr>
          <w:rFonts w:ascii="华文中宋" w:hAnsi="华文中宋" w:eastAsia="华文中宋"/>
          <w:sz w:val="36"/>
          <w:szCs w:val="36"/>
        </w:rPr>
      </w:pPr>
    </w:p>
    <w:p>
      <w:pPr>
        <w:spacing w:line="360" w:lineRule="auto"/>
        <w:rPr>
          <w:rFonts w:ascii="华文中宋" w:hAnsi="华文中宋" w:eastAsia="华文中宋"/>
          <w:sz w:val="36"/>
          <w:szCs w:val="36"/>
        </w:rPr>
      </w:pPr>
    </w:p>
    <w:p>
      <w:pPr>
        <w:spacing w:line="360" w:lineRule="auto"/>
        <w:jc w:val="left"/>
        <w:rPr>
          <w:rFonts w:ascii="华文中宋" w:hAnsi="华文中宋" w:eastAsia="华文中宋"/>
          <w:b/>
          <w:bCs/>
          <w:sz w:val="32"/>
          <w:szCs w:val="32"/>
        </w:rPr>
      </w:pPr>
      <w:r>
        <w:rPr>
          <w:rFonts w:ascii="华文中宋" w:hAnsi="华文中宋" w:eastAsia="华文中宋"/>
          <w:b/>
          <w:bCs/>
          <w:sz w:val="32"/>
          <w:szCs w:val="32"/>
        </w:rPr>
        <w:t>投 标 人名称：</w:t>
      </w:r>
    </w:p>
    <w:p>
      <w:pPr>
        <w:spacing w:line="360" w:lineRule="auto"/>
        <w:jc w:val="left"/>
        <w:rPr>
          <w:rFonts w:ascii="华文中宋" w:hAnsi="华文中宋" w:eastAsia="华文中宋"/>
          <w:b/>
          <w:bCs/>
          <w:sz w:val="32"/>
          <w:szCs w:val="32"/>
        </w:rPr>
      </w:pPr>
      <w:r>
        <w:rPr>
          <w:rFonts w:ascii="华文中宋" w:hAnsi="华文中宋" w:eastAsia="华文中宋"/>
          <w:b/>
          <w:bCs/>
          <w:sz w:val="32"/>
          <w:szCs w:val="32"/>
        </w:rPr>
        <w:t>采购项目编号：</w:t>
      </w:r>
    </w:p>
    <w:p>
      <w:pPr>
        <w:spacing w:line="360" w:lineRule="auto"/>
        <w:ind w:firstLine="787" w:firstLineChars="246"/>
        <w:jc w:val="center"/>
        <w:rPr>
          <w:rFonts w:ascii="华文中宋" w:hAnsi="华文中宋" w:eastAsia="华文中宋"/>
          <w:sz w:val="32"/>
          <w:szCs w:val="32"/>
        </w:rPr>
      </w:pPr>
    </w:p>
    <w:p>
      <w:pPr>
        <w:snapToGrid w:val="0"/>
        <w:jc w:val="left"/>
        <w:rPr>
          <w:rFonts w:ascii="微软雅黑" w:hAnsi="微软雅黑" w:eastAsia="微软雅黑"/>
          <w:szCs w:val="21"/>
        </w:rPr>
      </w:pPr>
    </w:p>
    <w:p>
      <w:pPr>
        <w:spacing w:line="360" w:lineRule="auto"/>
        <w:ind w:firstLine="790" w:firstLineChars="246"/>
        <w:jc w:val="center"/>
        <w:rPr>
          <w:rFonts w:ascii="华文中宋" w:hAnsi="华文中宋" w:eastAsia="华文中宋"/>
          <w:b/>
          <w:bCs/>
          <w:sz w:val="32"/>
          <w:szCs w:val="32"/>
        </w:rPr>
      </w:pPr>
      <w:r>
        <w:rPr>
          <w:rFonts w:ascii="华文中宋" w:hAnsi="华文中宋" w:eastAsia="华文中宋"/>
          <w:b/>
          <w:bCs/>
          <w:sz w:val="32"/>
          <w:szCs w:val="32"/>
        </w:rPr>
        <w:t>投标时间：202</w:t>
      </w:r>
      <w:r>
        <w:rPr>
          <w:rFonts w:hint="eastAsia" w:ascii="华文中宋" w:hAnsi="华文中宋" w:eastAsia="华文中宋"/>
          <w:b/>
          <w:bCs/>
          <w:sz w:val="32"/>
          <w:szCs w:val="32"/>
        </w:rPr>
        <w:t>1</w:t>
      </w:r>
      <w:r>
        <w:rPr>
          <w:rFonts w:ascii="华文中宋" w:hAnsi="华文中宋" w:eastAsia="华文中宋"/>
          <w:b/>
          <w:bCs/>
          <w:sz w:val="32"/>
          <w:szCs w:val="32"/>
        </w:rPr>
        <w:t>年</w:t>
      </w:r>
      <w:r>
        <w:rPr>
          <w:rFonts w:hint="eastAsia" w:ascii="华文中宋" w:hAnsi="华文中宋" w:eastAsia="华文中宋"/>
          <w:b/>
          <w:bCs/>
          <w:sz w:val="32"/>
          <w:szCs w:val="32"/>
        </w:rPr>
        <w:t xml:space="preserve"> </w:t>
      </w:r>
      <w:r>
        <w:rPr>
          <w:rFonts w:ascii="华文中宋" w:hAnsi="华文中宋" w:eastAsia="华文中宋"/>
          <w:b/>
          <w:bCs/>
          <w:sz w:val="32"/>
          <w:szCs w:val="32"/>
        </w:rPr>
        <w:t>月</w:t>
      </w:r>
      <w:r>
        <w:rPr>
          <w:rFonts w:hint="eastAsia" w:ascii="华文中宋" w:hAnsi="华文中宋" w:eastAsia="华文中宋"/>
          <w:b/>
          <w:bCs/>
          <w:sz w:val="32"/>
          <w:szCs w:val="32"/>
        </w:rPr>
        <w:t xml:space="preserve"> </w:t>
      </w:r>
      <w:r>
        <w:rPr>
          <w:rFonts w:ascii="华文中宋" w:hAnsi="华文中宋" w:eastAsia="华文中宋"/>
          <w:b/>
          <w:bCs/>
          <w:sz w:val="32"/>
          <w:szCs w:val="32"/>
        </w:rPr>
        <w:t>日</w:t>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widowControl/>
        <w:jc w:val="left"/>
        <w:rPr>
          <w:rFonts w:ascii="宋体" w:hAnsi="宋体" w:eastAsia="宋体"/>
          <w:szCs w:val="21"/>
        </w:rPr>
      </w:pPr>
      <w:r>
        <w:rPr>
          <w:rFonts w:ascii="宋体" w:hAnsi="宋体" w:eastAsia="宋体"/>
          <w:szCs w:val="21"/>
        </w:rPr>
        <w:br w:type="page"/>
      </w:r>
    </w:p>
    <w:p>
      <w:pPr>
        <w:rPr>
          <w:rFonts w:ascii="宋体" w:hAnsi="宋体" w:eastAsia="宋体"/>
          <w:szCs w:val="21"/>
        </w:rPr>
      </w:pPr>
    </w:p>
    <w:p>
      <w:pPr>
        <w:pStyle w:val="6"/>
        <w:jc w:val="both"/>
        <w:rPr>
          <w:rFonts w:ascii="宋体" w:hAnsi="宋体" w:eastAsia="宋体"/>
          <w:color w:val="auto"/>
        </w:rPr>
      </w:pPr>
      <w:r>
        <w:rPr>
          <w:rFonts w:ascii="宋体" w:hAnsi="宋体" w:eastAsia="宋体"/>
          <w:color w:val="auto"/>
        </w:rPr>
        <w:t>格式</w:t>
      </w:r>
      <w:r>
        <w:rPr>
          <w:rFonts w:ascii="Times New Roman" w:hAnsi="Times New Roman" w:eastAsia="Times New Roman"/>
          <w:color w:val="auto"/>
        </w:rPr>
        <w:t xml:space="preserve">2-2 </w:t>
      </w:r>
      <w:r>
        <w:rPr>
          <w:rFonts w:ascii="宋体" w:hAnsi="宋体" w:eastAsia="宋体"/>
          <w:color w:val="auto"/>
        </w:rPr>
        <w:t>投标函</w:t>
      </w:r>
    </w:p>
    <w:p>
      <w:pPr>
        <w:spacing w:line="360" w:lineRule="auto"/>
        <w:ind w:left="420"/>
        <w:rPr>
          <w:rFonts w:ascii="宋体" w:hAnsi="宋体" w:eastAsia="宋体"/>
          <w:sz w:val="24"/>
          <w:szCs w:val="24"/>
        </w:rPr>
      </w:pPr>
      <w:r>
        <w:rPr>
          <w:rFonts w:hint="eastAsia" w:ascii="Times New Roman" w:hAnsi="Times New Roman" w:eastAsia="宋体"/>
          <w:sz w:val="24"/>
          <w:szCs w:val="24"/>
        </w:rPr>
        <w:t>中金招标有限责任公司</w:t>
      </w:r>
      <w:r>
        <w:rPr>
          <w:rFonts w:ascii="宋体" w:hAnsi="宋体" w:eastAsia="宋体"/>
          <w:sz w:val="24"/>
          <w:szCs w:val="24"/>
        </w:rPr>
        <w:t>（采购代理机构名称）：</w:t>
      </w:r>
    </w:p>
    <w:p>
      <w:pPr>
        <w:spacing w:line="360" w:lineRule="auto"/>
        <w:ind w:left="420" w:firstLine="480" w:firstLineChars="200"/>
        <w:rPr>
          <w:rFonts w:ascii="宋体" w:hAnsi="宋体" w:eastAsia="宋体"/>
          <w:sz w:val="24"/>
          <w:szCs w:val="24"/>
        </w:rPr>
      </w:pPr>
      <w:r>
        <w:rPr>
          <w:rFonts w:ascii="宋体" w:hAnsi="宋体" w:eastAsia="宋体"/>
          <w:sz w:val="24"/>
          <w:szCs w:val="24"/>
        </w:rPr>
        <w:t>我方全面研究了“</w:t>
      </w:r>
      <w:r>
        <w:rPr>
          <w:rFonts w:ascii="宋体" w:hAnsi="宋体" w:eastAsia="宋体"/>
          <w:sz w:val="24"/>
          <w:szCs w:val="24"/>
          <w:u w:val="single"/>
        </w:rPr>
        <w:t>xxxx</w:t>
      </w:r>
      <w:r>
        <w:rPr>
          <w:rFonts w:ascii="宋体" w:hAnsi="宋体" w:eastAsia="宋体"/>
          <w:sz w:val="24"/>
          <w:szCs w:val="24"/>
        </w:rPr>
        <w:t>”项目招标文件（招标编号：</w:t>
      </w:r>
      <w:r>
        <w:rPr>
          <w:rFonts w:ascii="宋体" w:hAnsi="宋体" w:eastAsia="宋体"/>
          <w:sz w:val="24"/>
          <w:szCs w:val="24"/>
          <w:u w:val="single"/>
        </w:rPr>
        <w:t>xxxx</w:t>
      </w:r>
      <w:r>
        <w:rPr>
          <w:rFonts w:ascii="宋体" w:hAnsi="宋体" w:eastAsia="宋体"/>
          <w:sz w:val="24"/>
          <w:szCs w:val="24"/>
        </w:rPr>
        <w:t>），决定参加贵单位组织的本项目的投标。我方授权</w:t>
      </w:r>
      <w:r>
        <w:rPr>
          <w:rFonts w:ascii="宋体" w:hAnsi="宋体" w:eastAsia="宋体"/>
          <w:sz w:val="24"/>
          <w:szCs w:val="24"/>
          <w:u w:val="single"/>
        </w:rPr>
        <w:t>xxxx</w:t>
      </w:r>
      <w:r>
        <w:rPr>
          <w:rFonts w:ascii="宋体" w:hAnsi="宋体" w:eastAsia="宋体"/>
          <w:sz w:val="24"/>
          <w:szCs w:val="24"/>
        </w:rPr>
        <w:t>（姓名、职务）代表我方</w:t>
      </w:r>
      <w:r>
        <w:rPr>
          <w:rFonts w:ascii="宋体" w:hAnsi="宋体" w:eastAsia="宋体"/>
          <w:sz w:val="24"/>
          <w:szCs w:val="24"/>
          <w:u w:val="single"/>
        </w:rPr>
        <w:t>xxxx</w:t>
      </w:r>
      <w:r>
        <w:rPr>
          <w:rFonts w:ascii="宋体" w:hAnsi="宋体" w:eastAsia="宋体"/>
          <w:sz w:val="24"/>
          <w:szCs w:val="24"/>
        </w:rPr>
        <w:t>（投标单位的名称）全权处理本项目投标的有关事宜。</w:t>
      </w:r>
    </w:p>
    <w:p>
      <w:pPr>
        <w:spacing w:line="360" w:lineRule="auto"/>
        <w:ind w:left="420" w:firstLine="480" w:firstLineChars="200"/>
        <w:rPr>
          <w:rFonts w:ascii="宋体" w:hAnsi="宋体" w:eastAsia="宋体"/>
          <w:sz w:val="24"/>
          <w:szCs w:val="24"/>
        </w:rPr>
      </w:pPr>
      <w:r>
        <w:rPr>
          <w:rFonts w:ascii="宋体" w:hAnsi="宋体" w:eastAsia="宋体"/>
          <w:sz w:val="24"/>
          <w:szCs w:val="24"/>
        </w:rPr>
        <w:t>1、我方自愿按照招标文件规定的各项要求向采购人提供所需服务，并按照我单位针对本项目提供的“开标一览表”和“分项报价明细表”中所报的价格执行。</w:t>
      </w:r>
    </w:p>
    <w:p>
      <w:pPr>
        <w:spacing w:line="360" w:lineRule="auto"/>
        <w:ind w:left="420" w:firstLine="480" w:firstLineChars="200"/>
        <w:rPr>
          <w:rFonts w:ascii="宋体" w:hAnsi="宋体" w:eastAsia="宋体"/>
          <w:sz w:val="24"/>
          <w:szCs w:val="24"/>
        </w:rPr>
      </w:pPr>
      <w:r>
        <w:rPr>
          <w:rFonts w:ascii="宋体" w:hAnsi="宋体" w:eastAsia="宋体"/>
          <w:sz w:val="24"/>
          <w:szCs w:val="24"/>
        </w:rPr>
        <w:t>2、一旦我方中标，我方将严格履行合同规定的责任和义务。</w:t>
      </w:r>
    </w:p>
    <w:p>
      <w:pPr>
        <w:spacing w:line="360" w:lineRule="auto"/>
        <w:ind w:left="420" w:firstLine="480" w:firstLineChars="200"/>
        <w:rPr>
          <w:rFonts w:ascii="宋体" w:hAnsi="宋体" w:eastAsia="宋体"/>
          <w:sz w:val="24"/>
          <w:szCs w:val="24"/>
        </w:rPr>
      </w:pPr>
      <w:r>
        <w:rPr>
          <w:rFonts w:ascii="宋体" w:hAnsi="宋体" w:eastAsia="宋体"/>
          <w:sz w:val="24"/>
          <w:szCs w:val="24"/>
        </w:rPr>
        <w:t>3、我方为本项目提交的投标文件正本1份，副本2份，用于开标唱标的“开标一览表”1份。</w:t>
      </w:r>
    </w:p>
    <w:p>
      <w:pPr>
        <w:spacing w:line="360" w:lineRule="auto"/>
        <w:ind w:left="420" w:firstLine="480" w:firstLineChars="200"/>
        <w:rPr>
          <w:rFonts w:ascii="宋体" w:hAnsi="宋体" w:eastAsia="宋体"/>
          <w:sz w:val="24"/>
          <w:szCs w:val="24"/>
        </w:rPr>
      </w:pPr>
      <w:r>
        <w:rPr>
          <w:rFonts w:ascii="宋体" w:hAnsi="宋体" w:eastAsia="宋体"/>
          <w:sz w:val="24"/>
          <w:szCs w:val="24"/>
        </w:rPr>
        <w:t>4、我方同意本次招标的投标有效期为</w:t>
      </w:r>
      <w:r>
        <w:rPr>
          <w:rFonts w:ascii="宋体" w:hAnsi="宋体" w:eastAsia="宋体"/>
          <w:sz w:val="24"/>
          <w:szCs w:val="24"/>
          <w:u w:val="single"/>
        </w:rPr>
        <w:t>投标截止时间届满后</w:t>
      </w:r>
      <w:r>
        <w:rPr>
          <w:rFonts w:ascii="Times New Roman" w:hAnsi="Times New Roman" w:eastAsia="Times New Roman"/>
          <w:sz w:val="24"/>
          <w:szCs w:val="24"/>
          <w:u w:val="single"/>
        </w:rPr>
        <w:t>90</w:t>
      </w:r>
      <w:r>
        <w:rPr>
          <w:rFonts w:ascii="宋体" w:hAnsi="宋体" w:eastAsia="宋体"/>
          <w:sz w:val="24"/>
          <w:szCs w:val="24"/>
        </w:rPr>
        <w:t>天。</w:t>
      </w:r>
    </w:p>
    <w:p>
      <w:pPr>
        <w:spacing w:line="360" w:lineRule="auto"/>
        <w:ind w:left="420" w:firstLine="480" w:firstLineChars="200"/>
        <w:rPr>
          <w:rFonts w:ascii="宋体" w:hAnsi="宋体" w:eastAsia="宋体"/>
          <w:sz w:val="24"/>
          <w:szCs w:val="24"/>
        </w:rPr>
      </w:pPr>
      <w:r>
        <w:rPr>
          <w:rFonts w:ascii="宋体" w:hAnsi="宋体" w:eastAsia="宋体"/>
          <w:sz w:val="24"/>
          <w:szCs w:val="24"/>
        </w:rPr>
        <w:t>5、我方愿意提供贵单位可能另外要求的，与投标有关的文件资料，并保证我方已提供和将要提供的文件资料是真实、准确的。</w:t>
      </w:r>
    </w:p>
    <w:p>
      <w:pPr>
        <w:spacing w:line="276" w:lineRule="auto"/>
        <w:ind w:left="420" w:firstLine="480" w:firstLineChars="200"/>
        <w:rPr>
          <w:rFonts w:ascii="宋体" w:hAnsi="宋体" w:eastAsia="宋体"/>
          <w:sz w:val="24"/>
          <w:szCs w:val="24"/>
        </w:rPr>
      </w:pPr>
    </w:p>
    <w:p>
      <w:pPr>
        <w:ind w:left="420" w:firstLine="480" w:firstLineChars="200"/>
        <w:rPr>
          <w:rFonts w:ascii="宋体" w:hAnsi="宋体" w:eastAsia="宋体"/>
          <w:sz w:val="24"/>
          <w:szCs w:val="24"/>
        </w:rPr>
      </w:pPr>
      <w:r>
        <w:rPr>
          <w:rFonts w:ascii="宋体" w:hAnsi="宋体" w:eastAsia="宋体"/>
          <w:sz w:val="24"/>
          <w:szCs w:val="24"/>
        </w:rPr>
        <w:t>投标人名称：（盖章）</w:t>
      </w:r>
    </w:p>
    <w:p>
      <w:pPr>
        <w:ind w:left="420" w:firstLine="480" w:firstLineChars="200"/>
        <w:rPr>
          <w:rFonts w:ascii="宋体" w:hAnsi="宋体" w:eastAsia="宋体"/>
          <w:sz w:val="24"/>
          <w:szCs w:val="24"/>
        </w:rPr>
      </w:pPr>
      <w:r>
        <w:rPr>
          <w:rFonts w:ascii="宋体" w:hAnsi="宋体" w:eastAsia="宋体"/>
          <w:sz w:val="24"/>
          <w:szCs w:val="24"/>
        </w:rPr>
        <w:t>法定代表人或授权代表（签字）：</w:t>
      </w:r>
    </w:p>
    <w:p>
      <w:pPr>
        <w:ind w:left="420" w:firstLine="480" w:firstLineChars="200"/>
        <w:rPr>
          <w:rFonts w:ascii="宋体" w:hAnsi="宋体" w:eastAsia="宋体"/>
          <w:sz w:val="24"/>
          <w:szCs w:val="24"/>
        </w:rPr>
      </w:pPr>
      <w:r>
        <w:rPr>
          <w:rFonts w:ascii="宋体" w:hAnsi="宋体" w:eastAsia="宋体"/>
          <w:sz w:val="24"/>
          <w:szCs w:val="24"/>
        </w:rPr>
        <w:t>通讯地址：</w:t>
      </w:r>
    </w:p>
    <w:p>
      <w:pPr>
        <w:ind w:left="420" w:firstLine="480" w:firstLineChars="200"/>
        <w:rPr>
          <w:rFonts w:ascii="宋体" w:hAnsi="宋体" w:eastAsia="宋体"/>
          <w:sz w:val="24"/>
          <w:szCs w:val="24"/>
        </w:rPr>
      </w:pPr>
      <w:r>
        <w:rPr>
          <w:rFonts w:ascii="宋体" w:hAnsi="宋体" w:eastAsia="宋体"/>
          <w:sz w:val="24"/>
          <w:szCs w:val="24"/>
        </w:rPr>
        <w:t>邮政编码：</w:t>
      </w:r>
    </w:p>
    <w:p>
      <w:pPr>
        <w:ind w:left="420" w:firstLine="480" w:firstLineChars="200"/>
        <w:rPr>
          <w:rFonts w:ascii="宋体" w:hAnsi="宋体" w:eastAsia="宋体"/>
          <w:sz w:val="24"/>
          <w:szCs w:val="24"/>
        </w:rPr>
      </w:pPr>
      <w:r>
        <w:rPr>
          <w:rFonts w:ascii="宋体" w:hAnsi="宋体" w:eastAsia="宋体"/>
          <w:sz w:val="24"/>
          <w:szCs w:val="24"/>
        </w:rPr>
        <w:t>联系电话：</w:t>
      </w:r>
    </w:p>
    <w:p>
      <w:pPr>
        <w:ind w:left="420" w:firstLine="480" w:firstLineChars="200"/>
        <w:rPr>
          <w:rFonts w:ascii="宋体" w:hAnsi="宋体" w:eastAsia="宋体"/>
          <w:sz w:val="24"/>
          <w:szCs w:val="24"/>
        </w:rPr>
      </w:pPr>
      <w:r>
        <w:rPr>
          <w:rFonts w:ascii="宋体" w:hAnsi="宋体" w:eastAsia="宋体"/>
          <w:sz w:val="24"/>
          <w:szCs w:val="24"/>
        </w:rPr>
        <w:t>传真：</w:t>
      </w:r>
    </w:p>
    <w:p>
      <w:pPr>
        <w:ind w:left="420" w:firstLine="480" w:firstLineChars="200"/>
        <w:rPr>
          <w:rFonts w:ascii="宋体" w:hAnsi="宋体" w:eastAsia="宋体"/>
          <w:sz w:val="24"/>
          <w:szCs w:val="24"/>
        </w:rPr>
      </w:pPr>
      <w:r>
        <w:rPr>
          <w:rFonts w:ascii="宋体" w:hAnsi="宋体" w:eastAsia="宋体"/>
          <w:sz w:val="24"/>
          <w:szCs w:val="24"/>
        </w:rPr>
        <w:t>日期：</w:t>
      </w:r>
    </w:p>
    <w:p>
      <w:pPr>
        <w:widowControl/>
        <w:jc w:val="left"/>
        <w:rPr>
          <w:rFonts w:ascii="宋体" w:hAnsi="宋体" w:eastAsia="宋体"/>
          <w:sz w:val="24"/>
          <w:szCs w:val="24"/>
        </w:rPr>
      </w:pPr>
      <w:r>
        <w:rPr>
          <w:rFonts w:ascii="宋体" w:hAnsi="宋体" w:eastAsia="宋体"/>
          <w:sz w:val="24"/>
          <w:szCs w:val="24"/>
        </w:rPr>
        <w:br w:type="page"/>
      </w:r>
    </w:p>
    <w:p>
      <w:pPr>
        <w:ind w:left="420" w:firstLine="480" w:firstLineChars="200"/>
        <w:rPr>
          <w:rFonts w:ascii="宋体" w:hAnsi="宋体" w:eastAsia="宋体"/>
          <w:sz w:val="24"/>
          <w:szCs w:val="24"/>
        </w:rPr>
      </w:pPr>
    </w:p>
    <w:p>
      <w:pPr>
        <w:pStyle w:val="6"/>
        <w:jc w:val="both"/>
        <w:rPr>
          <w:rFonts w:ascii="宋体" w:hAnsi="宋体" w:eastAsia="宋体"/>
          <w:color w:val="auto"/>
        </w:rPr>
      </w:pPr>
      <w:r>
        <w:rPr>
          <w:rFonts w:ascii="宋体" w:hAnsi="宋体" w:eastAsia="宋体"/>
          <w:color w:val="auto"/>
        </w:rPr>
        <w:t>格式</w:t>
      </w:r>
      <w:r>
        <w:rPr>
          <w:rFonts w:ascii="Times New Roman" w:hAnsi="Times New Roman" w:eastAsia="Times New Roman"/>
          <w:color w:val="auto"/>
        </w:rPr>
        <w:t xml:space="preserve">2-3 </w:t>
      </w:r>
      <w:r>
        <w:rPr>
          <w:rFonts w:ascii="宋体" w:hAnsi="宋体" w:eastAsia="宋体"/>
          <w:color w:val="auto"/>
        </w:rPr>
        <w:t>开标一览表</w:t>
      </w:r>
    </w:p>
    <w:tbl>
      <w:tblPr>
        <w:tblStyle w:val="18"/>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2370"/>
        <w:gridCol w:w="6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10" w:hRule="atLeast"/>
        </w:trPr>
        <w:tc>
          <w:tcPr>
            <w:tcW w:w="237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b/>
                <w:bCs/>
                <w:sz w:val="28"/>
                <w:szCs w:val="28"/>
              </w:rPr>
            </w:pPr>
            <w:r>
              <w:rPr>
                <w:rFonts w:ascii="宋体" w:hAnsi="宋体" w:eastAsia="宋体"/>
                <w:b/>
                <w:bCs/>
                <w:sz w:val="28"/>
                <w:szCs w:val="28"/>
              </w:rPr>
              <w:t>项目名称</w:t>
            </w:r>
          </w:p>
        </w:tc>
        <w:tc>
          <w:tcPr>
            <w:tcW w:w="6795"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25" w:hRule="atLeast"/>
        </w:trPr>
        <w:tc>
          <w:tcPr>
            <w:tcW w:w="237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b/>
                <w:bCs/>
                <w:sz w:val="28"/>
                <w:szCs w:val="28"/>
              </w:rPr>
            </w:pPr>
            <w:r>
              <w:rPr>
                <w:rFonts w:ascii="宋体" w:hAnsi="宋体" w:eastAsia="宋体"/>
                <w:b/>
                <w:bCs/>
                <w:sz w:val="28"/>
                <w:szCs w:val="28"/>
              </w:rPr>
              <w:t>项目编号</w:t>
            </w:r>
          </w:p>
        </w:tc>
        <w:tc>
          <w:tcPr>
            <w:tcW w:w="6795"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40" w:hRule="atLeast"/>
        </w:trPr>
        <w:tc>
          <w:tcPr>
            <w:tcW w:w="2370" w:type="dxa"/>
            <w:vMerge w:val="restar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Times New Roman" w:hAnsi="Times New Roman" w:eastAsia="Times New Roman"/>
                <w:b/>
                <w:bCs/>
                <w:sz w:val="28"/>
                <w:szCs w:val="28"/>
              </w:rPr>
            </w:pPr>
            <w:r>
              <w:rPr>
                <w:rFonts w:ascii="宋体" w:hAnsi="宋体" w:eastAsia="宋体"/>
                <w:b/>
                <w:bCs/>
                <w:sz w:val="28"/>
                <w:szCs w:val="28"/>
              </w:rPr>
              <w:t>报价</w:t>
            </w:r>
            <w:r>
              <w:rPr>
                <w:rFonts w:ascii="Times New Roman" w:hAnsi="Times New Roman" w:eastAsia="Times New Roman"/>
                <w:b/>
                <w:bCs/>
                <w:sz w:val="28"/>
                <w:szCs w:val="28"/>
              </w:rPr>
              <w:t xml:space="preserve"> (</w:t>
            </w:r>
            <w:r>
              <w:rPr>
                <w:rFonts w:ascii="宋体" w:hAnsi="宋体" w:eastAsia="宋体"/>
                <w:b/>
                <w:bCs/>
                <w:sz w:val="28"/>
                <w:szCs w:val="28"/>
              </w:rPr>
              <w:t>元</w:t>
            </w:r>
            <w:r>
              <w:rPr>
                <w:rFonts w:hint="eastAsia" w:ascii="宋体" w:hAnsi="宋体" w:eastAsia="宋体"/>
                <w:b/>
                <w:bCs/>
                <w:sz w:val="28"/>
                <w:szCs w:val="28"/>
              </w:rPr>
              <w:t>/年</w:t>
            </w:r>
            <w:r>
              <w:rPr>
                <w:rFonts w:ascii="Times New Roman" w:hAnsi="Times New Roman" w:eastAsia="Times New Roman"/>
                <w:b/>
                <w:bCs/>
                <w:sz w:val="28"/>
                <w:szCs w:val="28"/>
              </w:rPr>
              <w:t>)</w:t>
            </w:r>
          </w:p>
        </w:tc>
        <w:tc>
          <w:tcPr>
            <w:tcW w:w="6795"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left"/>
              <w:rPr>
                <w:rFonts w:ascii="宋体" w:hAnsi="宋体" w:eastAsia="宋体"/>
                <w:sz w:val="28"/>
                <w:szCs w:val="28"/>
              </w:rPr>
            </w:pPr>
            <w:r>
              <w:rPr>
                <w:rFonts w:hint="eastAsia" w:ascii="宋体" w:hAnsi="宋体" w:eastAsia="宋体"/>
                <w:sz w:val="28"/>
                <w:szCs w:val="28"/>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25" w:hRule="atLeast"/>
        </w:trPr>
        <w:tc>
          <w:tcPr>
            <w:tcW w:w="2370" w:type="dxa"/>
            <w:vMerge w:val="continue"/>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 w:val="28"/>
                <w:szCs w:val="28"/>
              </w:rPr>
            </w:pPr>
          </w:p>
        </w:tc>
        <w:tc>
          <w:tcPr>
            <w:tcW w:w="6795"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left"/>
              <w:rPr>
                <w:rFonts w:ascii="宋体" w:hAnsi="宋体" w:eastAsia="宋体"/>
                <w:sz w:val="28"/>
                <w:szCs w:val="28"/>
              </w:rPr>
            </w:pPr>
            <w:r>
              <w:rPr>
                <w:rFonts w:ascii="宋体" w:hAnsi="宋体" w:eastAsia="宋体"/>
                <w:sz w:val="28"/>
                <w:szCs w:val="28"/>
              </w:rPr>
              <w:t>大写：</w:t>
            </w:r>
          </w:p>
        </w:tc>
      </w:tr>
    </w:tbl>
    <w:p>
      <w:pPr>
        <w:snapToGrid w:val="0"/>
        <w:jc w:val="left"/>
        <w:rPr>
          <w:rFonts w:ascii="微软雅黑" w:hAnsi="微软雅黑" w:eastAsia="微软雅黑"/>
          <w:szCs w:val="21"/>
        </w:rPr>
      </w:pPr>
    </w:p>
    <w:p>
      <w:pPr>
        <w:spacing w:line="400" w:lineRule="exact"/>
        <w:ind w:firstLine="840" w:firstLineChars="300"/>
        <w:rPr>
          <w:rFonts w:ascii="宋体" w:hAnsi="宋体" w:eastAsia="宋体"/>
          <w:sz w:val="28"/>
          <w:szCs w:val="28"/>
        </w:rPr>
      </w:pPr>
    </w:p>
    <w:p>
      <w:pPr>
        <w:rPr>
          <w:rFonts w:ascii="宋体" w:hAnsi="宋体" w:eastAsia="宋体"/>
          <w:sz w:val="24"/>
          <w:szCs w:val="24"/>
        </w:rPr>
      </w:pPr>
      <w:r>
        <w:rPr>
          <w:rFonts w:ascii="宋体" w:hAnsi="宋体" w:eastAsia="宋体"/>
          <w:sz w:val="24"/>
          <w:szCs w:val="24"/>
        </w:rPr>
        <w:t>注：</w:t>
      </w:r>
    </w:p>
    <w:p>
      <w:pPr>
        <w:rPr>
          <w:rFonts w:ascii="宋体" w:hAnsi="宋体" w:eastAsia="宋体"/>
          <w:sz w:val="24"/>
          <w:szCs w:val="24"/>
        </w:rPr>
      </w:pPr>
      <w:r>
        <w:rPr>
          <w:rFonts w:ascii="宋体" w:hAnsi="宋体" w:eastAsia="宋体"/>
          <w:sz w:val="24"/>
          <w:szCs w:val="24"/>
        </w:rPr>
        <w:t>1. 报价应是最终用户验收合格后的</w:t>
      </w:r>
      <w:r>
        <w:rPr>
          <w:rFonts w:hint="eastAsia" w:ascii="宋体" w:hAnsi="宋体" w:eastAsia="宋体"/>
          <w:sz w:val="24"/>
          <w:szCs w:val="24"/>
        </w:rPr>
        <w:t>总价</w:t>
      </w:r>
      <w:r>
        <w:rPr>
          <w:rFonts w:ascii="宋体" w:hAnsi="宋体" w:eastAsia="宋体"/>
          <w:sz w:val="24"/>
          <w:szCs w:val="24"/>
        </w:rPr>
        <w:t>，包括人工</w:t>
      </w:r>
      <w:r>
        <w:rPr>
          <w:rFonts w:hint="eastAsia" w:ascii="宋体" w:hAnsi="宋体" w:eastAsia="宋体"/>
          <w:sz w:val="24"/>
          <w:szCs w:val="24"/>
        </w:rPr>
        <w:t>费</w:t>
      </w:r>
      <w:r>
        <w:rPr>
          <w:rFonts w:ascii="宋体" w:hAnsi="宋体" w:eastAsia="宋体"/>
          <w:sz w:val="24"/>
          <w:szCs w:val="24"/>
        </w:rPr>
        <w:t>、</w:t>
      </w:r>
      <w:r>
        <w:rPr>
          <w:rFonts w:hint="eastAsia" w:ascii="宋体" w:hAnsi="宋体" w:eastAsia="宋体"/>
          <w:sz w:val="24"/>
          <w:szCs w:val="24"/>
        </w:rPr>
        <w:t>车辆使用费</w:t>
      </w:r>
      <w:r>
        <w:rPr>
          <w:rFonts w:ascii="宋体" w:hAnsi="宋体" w:eastAsia="宋体"/>
          <w:sz w:val="24"/>
          <w:szCs w:val="24"/>
        </w:rPr>
        <w:t>、</w:t>
      </w:r>
      <w:r>
        <w:rPr>
          <w:rFonts w:hint="eastAsia" w:ascii="宋体" w:hAnsi="宋体" w:eastAsia="宋体"/>
          <w:sz w:val="24"/>
          <w:szCs w:val="24"/>
        </w:rPr>
        <w:t>各种</w:t>
      </w:r>
      <w:r>
        <w:rPr>
          <w:rFonts w:ascii="宋体" w:hAnsi="宋体" w:eastAsia="宋体"/>
          <w:sz w:val="24"/>
          <w:szCs w:val="24"/>
        </w:rPr>
        <w:t>税费</w:t>
      </w:r>
      <w:r>
        <w:rPr>
          <w:rFonts w:hint="eastAsia" w:ascii="宋体" w:hAnsi="宋体" w:eastAsia="宋体"/>
          <w:sz w:val="24"/>
          <w:szCs w:val="24"/>
        </w:rPr>
        <w:t>、服务费</w:t>
      </w:r>
      <w:r>
        <w:rPr>
          <w:rFonts w:ascii="宋体" w:hAnsi="宋体" w:eastAsia="宋体"/>
          <w:sz w:val="24"/>
          <w:szCs w:val="24"/>
        </w:rPr>
        <w:t>等招标文件规定的所有费用。</w:t>
      </w:r>
    </w:p>
    <w:p>
      <w:pPr>
        <w:rPr>
          <w:rFonts w:ascii="宋体" w:hAnsi="宋体" w:eastAsia="宋体"/>
          <w:sz w:val="24"/>
          <w:szCs w:val="24"/>
        </w:rPr>
      </w:pPr>
      <w:r>
        <w:rPr>
          <w:rFonts w:hint="eastAsia" w:ascii="宋体" w:hAnsi="宋体" w:eastAsia="宋体"/>
          <w:b/>
          <w:bCs/>
          <w:sz w:val="24"/>
          <w:szCs w:val="24"/>
        </w:rPr>
        <w:t>2</w:t>
      </w:r>
      <w:r>
        <w:rPr>
          <w:rFonts w:ascii="宋体" w:hAnsi="宋体" w:eastAsia="宋体"/>
          <w:b/>
          <w:bCs/>
          <w:sz w:val="24"/>
          <w:szCs w:val="24"/>
        </w:rPr>
        <w:t>.“开标一览表”为多页的，每页均需由法定代表人或授权代表签字并盖供应商印章</w:t>
      </w:r>
      <w:r>
        <w:rPr>
          <w:rFonts w:ascii="宋体" w:hAnsi="宋体" w:eastAsia="宋体"/>
          <w:sz w:val="24"/>
          <w:szCs w:val="24"/>
        </w:rPr>
        <w:t>。</w:t>
      </w:r>
    </w:p>
    <w:p>
      <w:pPr>
        <w:rPr>
          <w:rFonts w:ascii="宋体" w:hAnsi="宋体" w:eastAsia="宋体"/>
          <w:szCs w:val="21"/>
        </w:rPr>
      </w:pPr>
    </w:p>
    <w:p>
      <w:pPr>
        <w:spacing w:line="360" w:lineRule="auto"/>
        <w:rPr>
          <w:rFonts w:ascii="宋体" w:hAnsi="宋体" w:eastAsia="宋体"/>
          <w:sz w:val="24"/>
          <w:szCs w:val="24"/>
        </w:rPr>
      </w:pPr>
      <w:r>
        <w:rPr>
          <w:rFonts w:ascii="宋体" w:hAnsi="宋体" w:eastAsia="宋体"/>
          <w:sz w:val="24"/>
          <w:szCs w:val="24"/>
        </w:rPr>
        <w:t>投标人名称：（单位公章）。</w:t>
      </w:r>
    </w:p>
    <w:p>
      <w:pPr>
        <w:spacing w:line="360" w:lineRule="auto"/>
        <w:rPr>
          <w:rFonts w:ascii="Times New Roman" w:hAnsi="Times New Roman" w:eastAsia="Times New Roman"/>
          <w:sz w:val="24"/>
          <w:szCs w:val="24"/>
        </w:rPr>
      </w:pPr>
      <w:r>
        <w:rPr>
          <w:rFonts w:ascii="宋体" w:hAnsi="宋体" w:eastAsia="宋体"/>
          <w:sz w:val="24"/>
          <w:szCs w:val="24"/>
        </w:rPr>
        <w:t>法定代表人或授权代表（签字或加盖个人名章）：</w:t>
      </w:r>
    </w:p>
    <w:p>
      <w:pPr>
        <w:spacing w:line="360" w:lineRule="auto"/>
        <w:rPr>
          <w:rFonts w:ascii="宋体" w:hAnsi="宋体" w:eastAsia="宋体"/>
          <w:sz w:val="24"/>
          <w:szCs w:val="24"/>
        </w:rPr>
      </w:pPr>
      <w:r>
        <w:rPr>
          <w:rFonts w:ascii="宋体" w:hAnsi="宋体" w:eastAsia="宋体"/>
          <w:sz w:val="24"/>
          <w:szCs w:val="24"/>
        </w:rPr>
        <w:t>投标日期：</w:t>
      </w:r>
    </w:p>
    <w:p>
      <w:pPr>
        <w:widowControl/>
        <w:jc w:val="left"/>
        <w:rPr>
          <w:rFonts w:ascii="宋体" w:hAnsi="宋体" w:eastAsia="宋体"/>
          <w:sz w:val="24"/>
          <w:szCs w:val="24"/>
        </w:rPr>
      </w:pPr>
      <w:r>
        <w:rPr>
          <w:rFonts w:ascii="宋体" w:hAnsi="宋体" w:eastAsia="宋体"/>
          <w:sz w:val="24"/>
          <w:szCs w:val="24"/>
        </w:rPr>
        <w:br w:type="page"/>
      </w:r>
    </w:p>
    <w:p>
      <w:pPr>
        <w:pStyle w:val="6"/>
        <w:jc w:val="both"/>
        <w:rPr>
          <w:rFonts w:ascii="宋体" w:hAnsi="宋体" w:eastAsia="宋体"/>
          <w:color w:val="auto"/>
        </w:rPr>
      </w:pPr>
      <w:r>
        <w:rPr>
          <w:rFonts w:ascii="宋体" w:hAnsi="宋体" w:eastAsia="宋体"/>
          <w:color w:val="auto"/>
        </w:rPr>
        <w:t>格式</w:t>
      </w:r>
      <w:r>
        <w:rPr>
          <w:rFonts w:ascii="Times New Roman" w:hAnsi="Times New Roman" w:eastAsia="Times New Roman"/>
          <w:color w:val="auto"/>
        </w:rPr>
        <w:t xml:space="preserve">2-4 </w:t>
      </w:r>
      <w:r>
        <w:rPr>
          <w:rFonts w:ascii="宋体" w:hAnsi="宋体" w:eastAsia="宋体"/>
          <w:color w:val="auto"/>
        </w:rPr>
        <w:t>分项报价明细表</w:t>
      </w:r>
    </w:p>
    <w:tbl>
      <w:tblPr>
        <w:tblStyle w:val="103"/>
        <w:tblW w:w="83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8"/>
        <w:gridCol w:w="1749"/>
        <w:gridCol w:w="1868"/>
        <w:gridCol w:w="1765"/>
        <w:gridCol w:w="1226"/>
        <w:gridCol w:w="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18" w:type="dxa"/>
            <w:vAlign w:val="center"/>
          </w:tcPr>
          <w:p>
            <w:pPr>
              <w:pStyle w:val="102"/>
              <w:autoSpaceDE w:val="0"/>
              <w:autoSpaceDN w:val="0"/>
              <w:spacing w:before="157"/>
              <w:ind w:left="93" w:right="130"/>
              <w:jc w:val="center"/>
              <w:rPr>
                <w:sz w:val="24"/>
                <w:lang w:eastAsia="en-US"/>
              </w:rPr>
            </w:pPr>
            <w:r>
              <w:rPr>
                <w:sz w:val="24"/>
                <w:lang w:eastAsia="en-US"/>
              </w:rPr>
              <w:t>序号</w:t>
            </w:r>
          </w:p>
        </w:tc>
        <w:tc>
          <w:tcPr>
            <w:tcW w:w="1749" w:type="dxa"/>
          </w:tcPr>
          <w:p>
            <w:pPr>
              <w:pStyle w:val="102"/>
              <w:autoSpaceDE w:val="0"/>
              <w:autoSpaceDN w:val="0"/>
              <w:spacing w:before="157"/>
              <w:ind w:left="45" w:right="46"/>
              <w:jc w:val="center"/>
              <w:rPr>
                <w:sz w:val="24"/>
                <w:lang w:eastAsia="en-US"/>
              </w:rPr>
            </w:pPr>
            <w:r>
              <w:rPr>
                <w:sz w:val="24"/>
                <w:lang w:eastAsia="en-US"/>
              </w:rPr>
              <w:t>报价内容</w:t>
            </w:r>
          </w:p>
        </w:tc>
        <w:tc>
          <w:tcPr>
            <w:tcW w:w="1868" w:type="dxa"/>
          </w:tcPr>
          <w:p>
            <w:pPr>
              <w:pStyle w:val="102"/>
              <w:autoSpaceDE w:val="0"/>
              <w:autoSpaceDN w:val="0"/>
              <w:spacing w:before="157"/>
              <w:ind w:left="476"/>
              <w:rPr>
                <w:sz w:val="24"/>
                <w:lang w:eastAsia="en-US"/>
              </w:rPr>
            </w:pPr>
            <w:r>
              <w:rPr>
                <w:sz w:val="24"/>
                <w:lang w:eastAsia="en-US"/>
              </w:rPr>
              <w:t>投标单价</w:t>
            </w:r>
          </w:p>
        </w:tc>
        <w:tc>
          <w:tcPr>
            <w:tcW w:w="1765" w:type="dxa"/>
          </w:tcPr>
          <w:p>
            <w:pPr>
              <w:pStyle w:val="102"/>
              <w:autoSpaceDE w:val="0"/>
              <w:autoSpaceDN w:val="0"/>
              <w:spacing w:before="157"/>
              <w:ind w:left="52" w:right="52"/>
              <w:jc w:val="center"/>
              <w:rPr>
                <w:sz w:val="24"/>
                <w:lang w:eastAsia="en-US"/>
              </w:rPr>
            </w:pPr>
            <w:r>
              <w:rPr>
                <w:sz w:val="24"/>
                <w:lang w:eastAsia="en-US"/>
              </w:rPr>
              <w:t>面积/数量</w:t>
            </w:r>
          </w:p>
        </w:tc>
        <w:tc>
          <w:tcPr>
            <w:tcW w:w="1226" w:type="dxa"/>
          </w:tcPr>
          <w:p>
            <w:pPr>
              <w:pStyle w:val="102"/>
              <w:autoSpaceDE w:val="0"/>
              <w:autoSpaceDN w:val="0"/>
              <w:spacing w:before="1"/>
              <w:ind w:left="108"/>
              <w:rPr>
                <w:sz w:val="24"/>
                <w:lang w:eastAsia="zh-CN"/>
              </w:rPr>
            </w:pPr>
            <w:r>
              <w:rPr>
                <w:spacing w:val="-45"/>
                <w:sz w:val="24"/>
                <w:lang w:eastAsia="zh-CN"/>
              </w:rPr>
              <w:t>小计</w:t>
            </w:r>
            <w:r>
              <w:rPr>
                <w:spacing w:val="9"/>
                <w:sz w:val="24"/>
                <w:lang w:eastAsia="zh-CN"/>
              </w:rPr>
              <w:t>（投标单价</w:t>
            </w:r>
            <w:r>
              <w:rPr>
                <w:sz w:val="24"/>
                <w:lang w:eastAsia="zh-CN"/>
              </w:rPr>
              <w:t>*</w:t>
            </w:r>
          </w:p>
          <w:p>
            <w:pPr>
              <w:pStyle w:val="102"/>
              <w:autoSpaceDE w:val="0"/>
              <w:autoSpaceDN w:val="0"/>
              <w:spacing w:before="4" w:line="290" w:lineRule="exact"/>
              <w:ind w:left="108"/>
              <w:rPr>
                <w:sz w:val="24"/>
                <w:lang w:eastAsia="zh-CN"/>
              </w:rPr>
            </w:pPr>
            <w:r>
              <w:rPr>
                <w:sz w:val="24"/>
                <w:lang w:eastAsia="zh-CN"/>
              </w:rPr>
              <w:t>面积或数量）</w:t>
            </w:r>
          </w:p>
        </w:tc>
        <w:tc>
          <w:tcPr>
            <w:tcW w:w="990" w:type="dxa"/>
          </w:tcPr>
          <w:p>
            <w:pPr>
              <w:pStyle w:val="102"/>
              <w:autoSpaceDE w:val="0"/>
              <w:autoSpaceDN w:val="0"/>
              <w:spacing w:before="1"/>
              <w:ind w:left="107"/>
              <w:rPr>
                <w:sz w:val="24"/>
                <w:lang w:eastAsia="en-US"/>
              </w:rPr>
            </w:pPr>
            <w:r>
              <w:rPr>
                <w:sz w:val="24"/>
                <w:lang w:eastAsia="en-US"/>
              </w:rPr>
              <w:t>全年总价（小</w:t>
            </w:r>
          </w:p>
          <w:p>
            <w:pPr>
              <w:pStyle w:val="102"/>
              <w:autoSpaceDE w:val="0"/>
              <w:autoSpaceDN w:val="0"/>
              <w:spacing w:before="4" w:line="290" w:lineRule="exact"/>
              <w:ind w:left="107"/>
              <w:rPr>
                <w:sz w:val="24"/>
                <w:lang w:eastAsia="en-US"/>
              </w:rPr>
            </w:pPr>
            <w:r>
              <w:rPr>
                <w:sz w:val="24"/>
                <w:lang w:eastAsia="en-US"/>
              </w:rPr>
              <w:t>计*12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718" w:type="dxa"/>
            <w:vAlign w:val="center"/>
          </w:tcPr>
          <w:p>
            <w:pPr>
              <w:pStyle w:val="102"/>
              <w:autoSpaceDE w:val="0"/>
              <w:autoSpaceDN w:val="0"/>
              <w:jc w:val="center"/>
              <w:rPr>
                <w:b/>
                <w:sz w:val="24"/>
                <w:lang w:eastAsia="en-US"/>
              </w:rPr>
            </w:pPr>
          </w:p>
          <w:p>
            <w:pPr>
              <w:pStyle w:val="102"/>
              <w:autoSpaceDE w:val="0"/>
              <w:autoSpaceDN w:val="0"/>
              <w:jc w:val="center"/>
              <w:rPr>
                <w:b/>
                <w:sz w:val="24"/>
                <w:lang w:eastAsia="en-US"/>
              </w:rPr>
            </w:pPr>
          </w:p>
          <w:p>
            <w:pPr>
              <w:pStyle w:val="102"/>
              <w:autoSpaceDE w:val="0"/>
              <w:autoSpaceDN w:val="0"/>
              <w:spacing w:before="10"/>
              <w:jc w:val="center"/>
              <w:rPr>
                <w:b/>
                <w:sz w:val="24"/>
                <w:lang w:eastAsia="en-US"/>
              </w:rPr>
            </w:pPr>
          </w:p>
          <w:p>
            <w:pPr>
              <w:pStyle w:val="102"/>
              <w:autoSpaceDE w:val="0"/>
              <w:autoSpaceDN w:val="0"/>
              <w:ind w:left="4"/>
              <w:jc w:val="center"/>
              <w:rPr>
                <w:sz w:val="24"/>
                <w:lang w:eastAsia="en-US"/>
              </w:rPr>
            </w:pPr>
            <w:r>
              <w:rPr>
                <w:sz w:val="24"/>
                <w:lang w:eastAsia="en-US"/>
              </w:rPr>
              <w:t>1</w:t>
            </w:r>
          </w:p>
        </w:tc>
        <w:tc>
          <w:tcPr>
            <w:tcW w:w="1749" w:type="dxa"/>
          </w:tcPr>
          <w:p>
            <w:pPr>
              <w:pStyle w:val="102"/>
              <w:autoSpaceDE w:val="0"/>
              <w:autoSpaceDN w:val="0"/>
              <w:spacing w:before="2"/>
              <w:ind w:left="165"/>
              <w:rPr>
                <w:sz w:val="24"/>
                <w:lang w:eastAsia="zh-CN"/>
              </w:rPr>
            </w:pPr>
            <w:r>
              <w:rPr>
                <w:spacing w:val="7"/>
                <w:sz w:val="24"/>
                <w:lang w:eastAsia="zh-CN"/>
              </w:rPr>
              <w:t>道路清扫保洁</w:t>
            </w:r>
          </w:p>
          <w:p>
            <w:pPr>
              <w:pStyle w:val="102"/>
              <w:autoSpaceDE w:val="0"/>
              <w:autoSpaceDN w:val="0"/>
              <w:spacing w:before="4" w:line="289" w:lineRule="exact"/>
              <w:ind w:left="107"/>
              <w:rPr>
                <w:sz w:val="24"/>
                <w:lang w:eastAsia="zh-CN"/>
              </w:rPr>
            </w:pPr>
            <w:r>
              <w:rPr>
                <w:spacing w:val="9"/>
                <w:sz w:val="24"/>
                <w:lang w:eastAsia="zh-CN"/>
              </w:rPr>
              <w:t>（</w:t>
            </w:r>
            <w:r>
              <w:rPr>
                <w:spacing w:val="4"/>
                <w:sz w:val="24"/>
                <w:lang w:eastAsia="zh-CN"/>
              </w:rPr>
              <w:t>含</w:t>
            </w:r>
            <w:r>
              <w:rPr>
                <w:rFonts w:hint="eastAsia"/>
                <w:spacing w:val="4"/>
                <w:sz w:val="24"/>
                <w:lang w:eastAsia="zh-CN"/>
              </w:rPr>
              <w:t>机械清扫保洁、机械冲洗、机械洒水降尘、机械防尘降霾、小机械分组清扫保洁、牛皮癣去除、果屑箱冲洗、绿化带保洁、人工捡拾等</w:t>
            </w:r>
            <w:r>
              <w:rPr>
                <w:sz w:val="24"/>
                <w:lang w:eastAsia="zh-CN"/>
              </w:rPr>
              <w:t>）</w:t>
            </w:r>
          </w:p>
        </w:tc>
        <w:tc>
          <w:tcPr>
            <w:tcW w:w="1868" w:type="dxa"/>
          </w:tcPr>
          <w:p>
            <w:pPr>
              <w:pStyle w:val="102"/>
              <w:autoSpaceDE w:val="0"/>
              <w:autoSpaceDN w:val="0"/>
              <w:rPr>
                <w:b/>
                <w:sz w:val="24"/>
                <w:lang w:eastAsia="zh-CN"/>
              </w:rPr>
            </w:pPr>
          </w:p>
          <w:p>
            <w:pPr>
              <w:pStyle w:val="102"/>
              <w:autoSpaceDE w:val="0"/>
              <w:autoSpaceDN w:val="0"/>
              <w:rPr>
                <w:b/>
                <w:sz w:val="24"/>
                <w:lang w:eastAsia="zh-CN"/>
              </w:rPr>
            </w:pPr>
          </w:p>
          <w:p>
            <w:pPr>
              <w:pStyle w:val="102"/>
              <w:autoSpaceDE w:val="0"/>
              <w:autoSpaceDN w:val="0"/>
              <w:spacing w:before="10"/>
              <w:rPr>
                <w:b/>
                <w:sz w:val="24"/>
                <w:lang w:eastAsia="zh-CN"/>
              </w:rPr>
            </w:pPr>
          </w:p>
          <w:p>
            <w:pPr>
              <w:pStyle w:val="102"/>
              <w:autoSpaceDE w:val="0"/>
              <w:autoSpaceDN w:val="0"/>
              <w:ind w:right="107"/>
              <w:jc w:val="right"/>
              <w:rPr>
                <w:sz w:val="24"/>
                <w:lang w:eastAsia="en-US"/>
              </w:rPr>
            </w:pPr>
            <w:r>
              <w:rPr>
                <w:sz w:val="24"/>
                <w:lang w:eastAsia="en-US"/>
              </w:rPr>
              <w:t>元/平方米/月</w:t>
            </w:r>
          </w:p>
        </w:tc>
        <w:tc>
          <w:tcPr>
            <w:tcW w:w="1765" w:type="dxa"/>
          </w:tcPr>
          <w:p>
            <w:pPr>
              <w:pStyle w:val="102"/>
              <w:autoSpaceDE w:val="0"/>
              <w:autoSpaceDN w:val="0"/>
              <w:rPr>
                <w:b/>
                <w:sz w:val="24"/>
                <w:lang w:eastAsia="en-US"/>
              </w:rPr>
            </w:pPr>
          </w:p>
          <w:p>
            <w:pPr>
              <w:pStyle w:val="102"/>
              <w:autoSpaceDE w:val="0"/>
              <w:autoSpaceDN w:val="0"/>
              <w:rPr>
                <w:b/>
                <w:sz w:val="24"/>
                <w:lang w:eastAsia="en-US"/>
              </w:rPr>
            </w:pPr>
          </w:p>
          <w:p>
            <w:pPr>
              <w:pStyle w:val="102"/>
              <w:autoSpaceDE w:val="0"/>
              <w:autoSpaceDN w:val="0"/>
              <w:spacing w:before="4"/>
              <w:ind w:left="58" w:right="52"/>
              <w:jc w:val="center"/>
              <w:rPr>
                <w:sz w:val="24"/>
                <w:lang w:eastAsia="en-US"/>
              </w:rPr>
            </w:pPr>
            <w:r>
              <w:rPr>
                <w:rFonts w:hint="eastAsia"/>
                <w:sz w:val="24"/>
                <w:lang w:eastAsia="en-US"/>
              </w:rPr>
              <w:t>931,430.72平方米</w:t>
            </w:r>
          </w:p>
        </w:tc>
        <w:tc>
          <w:tcPr>
            <w:tcW w:w="1226" w:type="dxa"/>
          </w:tcPr>
          <w:p>
            <w:pPr>
              <w:pStyle w:val="102"/>
              <w:autoSpaceDE w:val="0"/>
              <w:autoSpaceDN w:val="0"/>
              <w:rPr>
                <w:rFonts w:ascii="Times New Roman"/>
                <w:lang w:eastAsia="en-US"/>
              </w:rPr>
            </w:pPr>
          </w:p>
        </w:tc>
        <w:tc>
          <w:tcPr>
            <w:tcW w:w="990" w:type="dxa"/>
          </w:tcPr>
          <w:p>
            <w:pPr>
              <w:pStyle w:val="102"/>
              <w:autoSpaceDE w:val="0"/>
              <w:autoSpaceDN w:val="0"/>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18" w:type="dxa"/>
            <w:vAlign w:val="center"/>
          </w:tcPr>
          <w:p>
            <w:pPr>
              <w:pStyle w:val="102"/>
              <w:autoSpaceDE w:val="0"/>
              <w:autoSpaceDN w:val="0"/>
              <w:spacing w:before="156"/>
              <w:ind w:left="4"/>
              <w:jc w:val="center"/>
              <w:rPr>
                <w:sz w:val="24"/>
                <w:lang w:eastAsia="en-US"/>
              </w:rPr>
            </w:pPr>
            <w:r>
              <w:rPr>
                <w:sz w:val="24"/>
                <w:lang w:eastAsia="en-US"/>
              </w:rPr>
              <w:t>2</w:t>
            </w:r>
          </w:p>
        </w:tc>
        <w:tc>
          <w:tcPr>
            <w:tcW w:w="1749" w:type="dxa"/>
          </w:tcPr>
          <w:p>
            <w:pPr>
              <w:pStyle w:val="102"/>
              <w:autoSpaceDE w:val="0"/>
              <w:autoSpaceDN w:val="0"/>
              <w:spacing w:line="310" w:lineRule="atLeast"/>
              <w:ind w:left="314" w:right="183" w:hanging="120"/>
              <w:rPr>
                <w:sz w:val="24"/>
                <w:lang w:eastAsia="zh-CN"/>
              </w:rPr>
            </w:pPr>
            <w:r>
              <w:rPr>
                <w:sz w:val="24"/>
                <w:lang w:eastAsia="zh-CN"/>
              </w:rPr>
              <w:t>桥梁及道路隔离护栏保洁</w:t>
            </w:r>
          </w:p>
        </w:tc>
        <w:tc>
          <w:tcPr>
            <w:tcW w:w="1868" w:type="dxa"/>
          </w:tcPr>
          <w:p>
            <w:pPr>
              <w:pStyle w:val="102"/>
              <w:autoSpaceDE w:val="0"/>
              <w:autoSpaceDN w:val="0"/>
              <w:spacing w:before="156"/>
              <w:ind w:right="107"/>
              <w:jc w:val="right"/>
              <w:rPr>
                <w:sz w:val="24"/>
                <w:lang w:eastAsia="en-US"/>
              </w:rPr>
            </w:pPr>
            <w:r>
              <w:rPr>
                <w:sz w:val="24"/>
                <w:lang w:eastAsia="en-US"/>
              </w:rPr>
              <w:t>元/米/月</w:t>
            </w:r>
          </w:p>
        </w:tc>
        <w:tc>
          <w:tcPr>
            <w:tcW w:w="1765" w:type="dxa"/>
          </w:tcPr>
          <w:p>
            <w:pPr>
              <w:pStyle w:val="102"/>
              <w:autoSpaceDE w:val="0"/>
              <w:autoSpaceDN w:val="0"/>
              <w:spacing w:before="156"/>
              <w:ind w:left="60" w:right="52"/>
              <w:jc w:val="center"/>
              <w:rPr>
                <w:sz w:val="24"/>
                <w:highlight w:val="yellow"/>
                <w:lang w:eastAsia="en-US"/>
              </w:rPr>
            </w:pPr>
            <w:r>
              <w:rPr>
                <w:rFonts w:hint="eastAsia"/>
                <w:spacing w:val="4"/>
                <w:sz w:val="24"/>
                <w:lang w:eastAsia="en-US"/>
              </w:rPr>
              <w:t>355</w:t>
            </w:r>
            <w:r>
              <w:rPr>
                <w:spacing w:val="4"/>
                <w:sz w:val="24"/>
                <w:lang w:eastAsia="en-US"/>
              </w:rPr>
              <w:t xml:space="preserve"> 米</w:t>
            </w:r>
          </w:p>
        </w:tc>
        <w:tc>
          <w:tcPr>
            <w:tcW w:w="1226" w:type="dxa"/>
          </w:tcPr>
          <w:p>
            <w:pPr>
              <w:pStyle w:val="102"/>
              <w:autoSpaceDE w:val="0"/>
              <w:autoSpaceDN w:val="0"/>
              <w:rPr>
                <w:rFonts w:ascii="Times New Roman"/>
                <w:highlight w:val="yellow"/>
                <w:lang w:eastAsia="en-US"/>
              </w:rPr>
            </w:pPr>
          </w:p>
        </w:tc>
        <w:tc>
          <w:tcPr>
            <w:tcW w:w="990" w:type="dxa"/>
          </w:tcPr>
          <w:p>
            <w:pPr>
              <w:pStyle w:val="102"/>
              <w:autoSpaceDE w:val="0"/>
              <w:autoSpaceDN w:val="0"/>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9" w:hRule="atLeast"/>
        </w:trPr>
        <w:tc>
          <w:tcPr>
            <w:tcW w:w="718" w:type="dxa"/>
            <w:vAlign w:val="center"/>
          </w:tcPr>
          <w:p>
            <w:pPr>
              <w:pStyle w:val="102"/>
              <w:autoSpaceDE w:val="0"/>
              <w:autoSpaceDN w:val="0"/>
              <w:spacing w:before="11"/>
              <w:rPr>
                <w:b/>
                <w:sz w:val="24"/>
                <w:lang w:eastAsia="en-US"/>
              </w:rPr>
            </w:pPr>
          </w:p>
          <w:p>
            <w:pPr>
              <w:pStyle w:val="102"/>
              <w:autoSpaceDE w:val="0"/>
              <w:autoSpaceDN w:val="0"/>
              <w:spacing w:before="1"/>
              <w:ind w:left="4"/>
              <w:jc w:val="center"/>
              <w:rPr>
                <w:sz w:val="24"/>
                <w:lang w:eastAsia="en-US"/>
              </w:rPr>
            </w:pPr>
            <w:r>
              <w:rPr>
                <w:sz w:val="24"/>
                <w:lang w:eastAsia="en-US"/>
              </w:rPr>
              <w:t>3</w:t>
            </w:r>
          </w:p>
        </w:tc>
        <w:tc>
          <w:tcPr>
            <w:tcW w:w="1749" w:type="dxa"/>
          </w:tcPr>
          <w:p>
            <w:pPr>
              <w:pStyle w:val="102"/>
              <w:autoSpaceDE w:val="0"/>
              <w:autoSpaceDN w:val="0"/>
              <w:spacing w:before="4" w:line="291" w:lineRule="exact"/>
              <w:ind w:left="45" w:right="46"/>
              <w:jc w:val="center"/>
              <w:rPr>
                <w:sz w:val="24"/>
                <w:lang w:eastAsia="zh-CN"/>
              </w:rPr>
            </w:pPr>
            <w:r>
              <w:rPr>
                <w:spacing w:val="9"/>
                <w:sz w:val="24"/>
                <w:lang w:eastAsia="zh-CN"/>
              </w:rPr>
              <w:t>垃圾清运（</w:t>
            </w:r>
            <w:r>
              <w:rPr>
                <w:sz w:val="24"/>
                <w:lang w:eastAsia="zh-CN"/>
              </w:rPr>
              <w:t>含</w:t>
            </w:r>
            <w:r>
              <w:rPr>
                <w:rFonts w:hint="eastAsia"/>
                <w:sz w:val="24"/>
                <w:lang w:eastAsia="zh-CN"/>
              </w:rPr>
              <w:t>垃圾收集转运、厨余垃圾收运、垃圾收集、街面无主建渣及大件垃圾收集、清运等</w:t>
            </w:r>
            <w:r>
              <w:rPr>
                <w:sz w:val="24"/>
                <w:lang w:eastAsia="zh-CN"/>
              </w:rPr>
              <w:t>）</w:t>
            </w:r>
          </w:p>
        </w:tc>
        <w:tc>
          <w:tcPr>
            <w:tcW w:w="1868" w:type="dxa"/>
          </w:tcPr>
          <w:p>
            <w:pPr>
              <w:pStyle w:val="102"/>
              <w:autoSpaceDE w:val="0"/>
              <w:autoSpaceDN w:val="0"/>
              <w:rPr>
                <w:b/>
                <w:sz w:val="24"/>
                <w:lang w:eastAsia="zh-CN"/>
              </w:rPr>
            </w:pPr>
          </w:p>
          <w:p>
            <w:pPr>
              <w:pStyle w:val="102"/>
              <w:autoSpaceDE w:val="0"/>
              <w:autoSpaceDN w:val="0"/>
              <w:rPr>
                <w:b/>
                <w:sz w:val="24"/>
                <w:lang w:eastAsia="zh-CN"/>
              </w:rPr>
            </w:pPr>
          </w:p>
          <w:p>
            <w:pPr>
              <w:pStyle w:val="102"/>
              <w:autoSpaceDE w:val="0"/>
              <w:autoSpaceDN w:val="0"/>
              <w:spacing w:before="11"/>
              <w:rPr>
                <w:b/>
                <w:sz w:val="24"/>
                <w:lang w:eastAsia="zh-CN"/>
              </w:rPr>
            </w:pPr>
          </w:p>
          <w:p>
            <w:pPr>
              <w:pStyle w:val="102"/>
              <w:autoSpaceDE w:val="0"/>
              <w:autoSpaceDN w:val="0"/>
              <w:spacing w:before="1"/>
              <w:ind w:right="107"/>
              <w:jc w:val="right"/>
              <w:rPr>
                <w:sz w:val="24"/>
                <w:lang w:eastAsia="en-US"/>
              </w:rPr>
            </w:pPr>
            <w:r>
              <w:rPr>
                <w:sz w:val="24"/>
                <w:lang w:eastAsia="en-US"/>
              </w:rPr>
              <w:t>元/吨/月</w:t>
            </w:r>
          </w:p>
        </w:tc>
        <w:tc>
          <w:tcPr>
            <w:tcW w:w="1765" w:type="dxa"/>
          </w:tcPr>
          <w:p>
            <w:pPr>
              <w:pStyle w:val="102"/>
              <w:autoSpaceDE w:val="0"/>
              <w:autoSpaceDN w:val="0"/>
              <w:rPr>
                <w:b/>
                <w:sz w:val="24"/>
                <w:lang w:eastAsia="en-US"/>
              </w:rPr>
            </w:pPr>
          </w:p>
          <w:p>
            <w:pPr>
              <w:pStyle w:val="102"/>
              <w:autoSpaceDE w:val="0"/>
              <w:autoSpaceDN w:val="0"/>
              <w:rPr>
                <w:b/>
                <w:sz w:val="24"/>
                <w:lang w:eastAsia="en-US"/>
              </w:rPr>
            </w:pPr>
          </w:p>
          <w:p>
            <w:pPr>
              <w:pStyle w:val="102"/>
              <w:autoSpaceDE w:val="0"/>
              <w:autoSpaceDN w:val="0"/>
              <w:spacing w:before="11"/>
              <w:rPr>
                <w:b/>
                <w:sz w:val="24"/>
                <w:lang w:eastAsia="en-US"/>
              </w:rPr>
            </w:pPr>
          </w:p>
          <w:p>
            <w:pPr>
              <w:pStyle w:val="102"/>
              <w:autoSpaceDE w:val="0"/>
              <w:autoSpaceDN w:val="0"/>
              <w:spacing w:before="1"/>
              <w:ind w:left="52" w:right="52"/>
              <w:jc w:val="center"/>
              <w:rPr>
                <w:sz w:val="24"/>
                <w:lang w:eastAsia="en-US"/>
              </w:rPr>
            </w:pPr>
            <w:r>
              <w:rPr>
                <w:rFonts w:hint="eastAsia"/>
                <w:sz w:val="24"/>
                <w:lang w:eastAsia="en-US"/>
              </w:rPr>
              <w:t>日产垃圾量约65.3吨</w:t>
            </w:r>
          </w:p>
        </w:tc>
        <w:tc>
          <w:tcPr>
            <w:tcW w:w="1226" w:type="dxa"/>
          </w:tcPr>
          <w:p>
            <w:pPr>
              <w:pStyle w:val="102"/>
              <w:autoSpaceDE w:val="0"/>
              <w:autoSpaceDN w:val="0"/>
              <w:rPr>
                <w:rFonts w:ascii="Times New Roman"/>
                <w:lang w:eastAsia="en-US"/>
              </w:rPr>
            </w:pPr>
          </w:p>
        </w:tc>
        <w:tc>
          <w:tcPr>
            <w:tcW w:w="990" w:type="dxa"/>
          </w:tcPr>
          <w:p>
            <w:pPr>
              <w:pStyle w:val="102"/>
              <w:autoSpaceDE w:val="0"/>
              <w:autoSpaceDN w:val="0"/>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718" w:type="dxa"/>
            <w:vAlign w:val="center"/>
          </w:tcPr>
          <w:p>
            <w:pPr>
              <w:pStyle w:val="102"/>
              <w:autoSpaceDE w:val="0"/>
              <w:autoSpaceDN w:val="0"/>
              <w:jc w:val="center"/>
              <w:rPr>
                <w:sz w:val="24"/>
                <w:lang w:eastAsia="en-US"/>
              </w:rPr>
            </w:pPr>
            <w:r>
              <w:rPr>
                <w:sz w:val="24"/>
                <w:lang w:eastAsia="en-US"/>
              </w:rPr>
              <w:t>4</w:t>
            </w:r>
          </w:p>
        </w:tc>
        <w:tc>
          <w:tcPr>
            <w:tcW w:w="1749" w:type="dxa"/>
            <w:vAlign w:val="center"/>
          </w:tcPr>
          <w:p>
            <w:pPr>
              <w:pStyle w:val="102"/>
              <w:autoSpaceDE w:val="0"/>
              <w:autoSpaceDN w:val="0"/>
              <w:spacing w:before="4" w:line="291" w:lineRule="exact"/>
              <w:ind w:left="45" w:right="46"/>
              <w:jc w:val="center"/>
              <w:rPr>
                <w:spacing w:val="9"/>
                <w:sz w:val="24"/>
                <w:lang w:eastAsia="en-US"/>
              </w:rPr>
            </w:pPr>
            <w:r>
              <w:rPr>
                <w:spacing w:val="9"/>
                <w:sz w:val="24"/>
                <w:lang w:eastAsia="en-US"/>
              </w:rPr>
              <w:t>………</w:t>
            </w:r>
          </w:p>
        </w:tc>
        <w:tc>
          <w:tcPr>
            <w:tcW w:w="1868" w:type="dxa"/>
            <w:vAlign w:val="center"/>
          </w:tcPr>
          <w:p>
            <w:pPr>
              <w:pStyle w:val="102"/>
              <w:autoSpaceDE w:val="0"/>
              <w:autoSpaceDN w:val="0"/>
              <w:jc w:val="center"/>
              <w:rPr>
                <w:b/>
                <w:sz w:val="24"/>
                <w:lang w:eastAsia="en-US"/>
              </w:rPr>
            </w:pPr>
          </w:p>
        </w:tc>
        <w:tc>
          <w:tcPr>
            <w:tcW w:w="1765" w:type="dxa"/>
            <w:vAlign w:val="center"/>
          </w:tcPr>
          <w:p>
            <w:pPr>
              <w:pStyle w:val="102"/>
              <w:autoSpaceDE w:val="0"/>
              <w:autoSpaceDN w:val="0"/>
              <w:jc w:val="center"/>
              <w:rPr>
                <w:b/>
                <w:sz w:val="24"/>
                <w:lang w:eastAsia="en-US"/>
              </w:rPr>
            </w:pPr>
          </w:p>
        </w:tc>
        <w:tc>
          <w:tcPr>
            <w:tcW w:w="1226" w:type="dxa"/>
            <w:vAlign w:val="center"/>
          </w:tcPr>
          <w:p>
            <w:pPr>
              <w:pStyle w:val="102"/>
              <w:autoSpaceDE w:val="0"/>
              <w:autoSpaceDN w:val="0"/>
              <w:jc w:val="center"/>
              <w:rPr>
                <w:rFonts w:ascii="Times New Roman"/>
                <w:lang w:eastAsia="en-US"/>
              </w:rPr>
            </w:pPr>
          </w:p>
        </w:tc>
        <w:tc>
          <w:tcPr>
            <w:tcW w:w="990" w:type="dxa"/>
            <w:vAlign w:val="center"/>
          </w:tcPr>
          <w:p>
            <w:pPr>
              <w:pStyle w:val="102"/>
              <w:autoSpaceDE w:val="0"/>
              <w:autoSpaceDN w:val="0"/>
              <w:jc w:val="center"/>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6100" w:type="dxa"/>
            <w:gridSpan w:val="4"/>
            <w:vAlign w:val="center"/>
          </w:tcPr>
          <w:p>
            <w:pPr>
              <w:pStyle w:val="102"/>
              <w:autoSpaceDE w:val="0"/>
              <w:autoSpaceDN w:val="0"/>
              <w:spacing w:before="110"/>
              <w:ind w:right="2925"/>
              <w:jc w:val="center"/>
              <w:rPr>
                <w:sz w:val="24"/>
                <w:lang w:eastAsia="en-US"/>
              </w:rPr>
            </w:pPr>
            <w:r>
              <w:rPr>
                <w:sz w:val="24"/>
                <w:lang w:eastAsia="en-US"/>
              </w:rPr>
              <w:t>合计</w:t>
            </w:r>
          </w:p>
        </w:tc>
        <w:tc>
          <w:tcPr>
            <w:tcW w:w="2216" w:type="dxa"/>
            <w:gridSpan w:val="2"/>
          </w:tcPr>
          <w:p>
            <w:pPr>
              <w:pStyle w:val="102"/>
              <w:autoSpaceDE w:val="0"/>
              <w:autoSpaceDN w:val="0"/>
              <w:spacing w:before="110"/>
              <w:ind w:right="105"/>
              <w:jc w:val="right"/>
              <w:rPr>
                <w:sz w:val="24"/>
                <w:lang w:eastAsia="en-US"/>
              </w:rPr>
            </w:pPr>
            <w:r>
              <w:rPr>
                <w:sz w:val="24"/>
                <w:lang w:eastAsia="en-US"/>
              </w:rPr>
              <w:t>元/年</w:t>
            </w:r>
          </w:p>
        </w:tc>
      </w:tr>
    </w:tbl>
    <w:p>
      <w:pPr>
        <w:spacing w:line="360" w:lineRule="auto"/>
        <w:rPr>
          <w:rFonts w:ascii="宋体" w:hAnsi="宋体" w:eastAsia="宋体"/>
          <w:sz w:val="24"/>
          <w:szCs w:val="24"/>
        </w:rPr>
      </w:pPr>
      <w:r>
        <w:rPr>
          <w:rFonts w:ascii="宋体" w:hAnsi="宋体" w:eastAsia="宋体"/>
          <w:sz w:val="24"/>
          <w:szCs w:val="24"/>
        </w:rPr>
        <w:t>注：</w:t>
      </w:r>
      <w:r>
        <w:rPr>
          <w:rFonts w:hint="eastAsia" w:ascii="宋体" w:hAnsi="宋体" w:eastAsia="宋体"/>
          <w:sz w:val="24"/>
          <w:szCs w:val="24"/>
        </w:rPr>
        <w:t>1、投标人按“分项报价明细表”的格式详细报出投标总价的各个组成部分的报价，投标人可自行增加分项报价项，但 “分项报价明细表”各分项报价合计应当与“开标一览表”报价相等。</w:t>
      </w:r>
    </w:p>
    <w:p>
      <w:pPr>
        <w:numPr>
          <w:ilvl w:val="0"/>
          <w:numId w:val="2"/>
        </w:numPr>
        <w:spacing w:line="360" w:lineRule="auto"/>
        <w:rPr>
          <w:rFonts w:ascii="宋体" w:hAnsi="宋体" w:eastAsia="宋体"/>
          <w:sz w:val="24"/>
          <w:szCs w:val="24"/>
        </w:rPr>
      </w:pPr>
      <w:r>
        <w:rPr>
          <w:rFonts w:hint="eastAsia" w:ascii="宋体" w:hAnsi="宋体" w:eastAsia="宋体"/>
          <w:sz w:val="24"/>
          <w:szCs w:val="24"/>
        </w:rPr>
        <w:t>最高限价：若供应商分项报价合计高于招标文件规定的最高限价，将视为无效报价。</w:t>
      </w:r>
    </w:p>
    <w:p>
      <w:pPr>
        <w:spacing w:line="360" w:lineRule="auto"/>
        <w:rPr>
          <w:rFonts w:ascii="宋体" w:hAnsi="宋体" w:eastAsia="宋体"/>
          <w:sz w:val="24"/>
          <w:szCs w:val="24"/>
        </w:rPr>
      </w:pPr>
      <w:r>
        <w:rPr>
          <w:rFonts w:ascii="宋体" w:hAnsi="宋体" w:eastAsia="宋体"/>
          <w:sz w:val="24"/>
          <w:szCs w:val="24"/>
        </w:rPr>
        <w:t>投标人名称：（盖章）</w:t>
      </w:r>
    </w:p>
    <w:p>
      <w:pPr>
        <w:spacing w:line="360" w:lineRule="auto"/>
        <w:rPr>
          <w:rFonts w:ascii="宋体" w:hAnsi="宋体" w:eastAsia="宋体"/>
          <w:sz w:val="24"/>
          <w:szCs w:val="24"/>
        </w:rPr>
      </w:pPr>
      <w:r>
        <w:rPr>
          <w:rFonts w:ascii="宋体" w:hAnsi="宋体" w:eastAsia="宋体"/>
          <w:sz w:val="24"/>
          <w:szCs w:val="24"/>
        </w:rPr>
        <w:t>法定代表人或授权代表（签字）：</w:t>
      </w:r>
    </w:p>
    <w:p>
      <w:pPr>
        <w:spacing w:line="360" w:lineRule="auto"/>
        <w:rPr>
          <w:rFonts w:ascii="宋体" w:hAnsi="宋体" w:eastAsia="宋体"/>
          <w:sz w:val="24"/>
          <w:szCs w:val="24"/>
        </w:rPr>
      </w:pPr>
      <w:r>
        <w:rPr>
          <w:rFonts w:ascii="宋体" w:hAnsi="宋体" w:eastAsia="宋体"/>
          <w:sz w:val="24"/>
          <w:szCs w:val="24"/>
        </w:rPr>
        <w:t>投标日期：</w:t>
      </w:r>
    </w:p>
    <w:p>
      <w:pPr>
        <w:pStyle w:val="6"/>
        <w:jc w:val="both"/>
        <w:rPr>
          <w:rFonts w:ascii="宋体" w:hAnsi="宋体" w:eastAsia="宋体"/>
          <w:color w:val="auto"/>
        </w:rPr>
      </w:pPr>
      <w:r>
        <w:rPr>
          <w:rFonts w:ascii="宋体" w:hAnsi="宋体" w:eastAsia="宋体"/>
          <w:color w:val="auto"/>
        </w:rPr>
        <w:t>格式</w:t>
      </w:r>
      <w:r>
        <w:rPr>
          <w:rFonts w:ascii="Times New Roman" w:hAnsi="Times New Roman" w:eastAsia="Times New Roman"/>
          <w:color w:val="auto"/>
        </w:rPr>
        <w:t xml:space="preserve">2-5 </w:t>
      </w:r>
      <w:r>
        <w:rPr>
          <w:rFonts w:ascii="宋体" w:hAnsi="宋体" w:eastAsia="宋体"/>
          <w:color w:val="auto"/>
        </w:rPr>
        <w:t>投标人基本情况表</w:t>
      </w:r>
    </w:p>
    <w:tbl>
      <w:tblPr>
        <w:tblStyle w:val="18"/>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500"/>
        <w:gridCol w:w="960"/>
        <w:gridCol w:w="1200"/>
        <w:gridCol w:w="1245"/>
        <w:gridCol w:w="15"/>
        <w:gridCol w:w="1320"/>
        <w:gridCol w:w="150"/>
        <w:gridCol w:w="100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150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kern w:val="0"/>
                <w:szCs w:val="21"/>
              </w:rPr>
            </w:pPr>
            <w:r>
              <w:rPr>
                <w:rFonts w:ascii="宋体" w:hAnsi="宋体" w:eastAsia="宋体"/>
                <w:kern w:val="0"/>
                <w:szCs w:val="21"/>
              </w:rPr>
              <w:t>投标人名称</w:t>
            </w:r>
          </w:p>
        </w:tc>
        <w:tc>
          <w:tcPr>
            <w:tcW w:w="6960" w:type="dxa"/>
            <w:gridSpan w:val="8"/>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150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kern w:val="0"/>
                <w:szCs w:val="21"/>
              </w:rPr>
            </w:pPr>
            <w:r>
              <w:rPr>
                <w:rFonts w:ascii="宋体" w:hAnsi="宋体" w:eastAsia="宋体"/>
                <w:kern w:val="0"/>
                <w:szCs w:val="21"/>
              </w:rPr>
              <w:t>注册地址</w:t>
            </w:r>
          </w:p>
        </w:tc>
        <w:tc>
          <w:tcPr>
            <w:tcW w:w="3420" w:type="dxa"/>
            <w:gridSpan w:val="4"/>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32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kern w:val="0"/>
                <w:szCs w:val="21"/>
              </w:rPr>
            </w:pPr>
            <w:r>
              <w:rPr>
                <w:rFonts w:ascii="宋体" w:hAnsi="宋体" w:eastAsia="宋体"/>
                <w:kern w:val="0"/>
                <w:szCs w:val="21"/>
              </w:rPr>
              <w:t>邮政编码</w:t>
            </w:r>
          </w:p>
        </w:tc>
        <w:tc>
          <w:tcPr>
            <w:tcW w:w="2220" w:type="dxa"/>
            <w:gridSpan w:val="3"/>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35" w:hRule="atLeast"/>
        </w:trPr>
        <w:tc>
          <w:tcPr>
            <w:tcW w:w="1500" w:type="dxa"/>
            <w:vMerge w:val="restar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kern w:val="0"/>
                <w:szCs w:val="21"/>
              </w:rPr>
            </w:pPr>
            <w:r>
              <w:rPr>
                <w:rFonts w:ascii="宋体" w:hAnsi="宋体" w:eastAsia="宋体"/>
                <w:kern w:val="0"/>
                <w:szCs w:val="21"/>
              </w:rPr>
              <w:t>联系方式</w:t>
            </w:r>
          </w:p>
        </w:tc>
        <w:tc>
          <w:tcPr>
            <w:tcW w:w="96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kern w:val="0"/>
                <w:szCs w:val="21"/>
              </w:rPr>
            </w:pPr>
            <w:r>
              <w:rPr>
                <w:rFonts w:ascii="宋体" w:hAnsi="宋体" w:eastAsia="宋体"/>
                <w:kern w:val="0"/>
                <w:szCs w:val="21"/>
              </w:rPr>
              <w:t>联系人</w:t>
            </w:r>
          </w:p>
        </w:tc>
        <w:tc>
          <w:tcPr>
            <w:tcW w:w="2445" w:type="dxa"/>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335" w:type="dxa"/>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kern w:val="0"/>
                <w:szCs w:val="21"/>
              </w:rPr>
            </w:pPr>
            <w:r>
              <w:rPr>
                <w:rFonts w:ascii="宋体" w:hAnsi="宋体" w:eastAsia="宋体"/>
                <w:kern w:val="0"/>
                <w:szCs w:val="21"/>
              </w:rPr>
              <w:t>电话</w:t>
            </w:r>
          </w:p>
        </w:tc>
        <w:tc>
          <w:tcPr>
            <w:tcW w:w="2220" w:type="dxa"/>
            <w:gridSpan w:val="3"/>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35" w:hRule="atLeast"/>
        </w:trPr>
        <w:tc>
          <w:tcPr>
            <w:tcW w:w="1500" w:type="dxa"/>
            <w:vMerge w:val="continue"/>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96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kern w:val="0"/>
                <w:szCs w:val="21"/>
              </w:rPr>
            </w:pPr>
            <w:r>
              <w:rPr>
                <w:rFonts w:ascii="宋体" w:hAnsi="宋体" w:eastAsia="宋体"/>
                <w:kern w:val="0"/>
                <w:szCs w:val="21"/>
              </w:rPr>
              <w:t>传真</w:t>
            </w:r>
          </w:p>
        </w:tc>
        <w:tc>
          <w:tcPr>
            <w:tcW w:w="2445" w:type="dxa"/>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335" w:type="dxa"/>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kern w:val="0"/>
                <w:szCs w:val="21"/>
              </w:rPr>
            </w:pPr>
            <w:r>
              <w:rPr>
                <w:rFonts w:ascii="宋体" w:hAnsi="宋体" w:eastAsia="宋体"/>
                <w:kern w:val="0"/>
                <w:szCs w:val="21"/>
              </w:rPr>
              <w:t>邮箱</w:t>
            </w:r>
          </w:p>
        </w:tc>
        <w:tc>
          <w:tcPr>
            <w:tcW w:w="2220" w:type="dxa"/>
            <w:gridSpan w:val="3"/>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35" w:hRule="atLeast"/>
        </w:trPr>
        <w:tc>
          <w:tcPr>
            <w:tcW w:w="150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kern w:val="0"/>
                <w:szCs w:val="21"/>
              </w:rPr>
            </w:pPr>
            <w:r>
              <w:rPr>
                <w:rFonts w:ascii="宋体" w:hAnsi="宋体" w:eastAsia="宋体"/>
                <w:kern w:val="0"/>
                <w:szCs w:val="21"/>
              </w:rPr>
              <w:t>组织结构</w:t>
            </w:r>
          </w:p>
        </w:tc>
        <w:tc>
          <w:tcPr>
            <w:tcW w:w="6960" w:type="dxa"/>
            <w:gridSpan w:val="8"/>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150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kern w:val="0"/>
                <w:szCs w:val="21"/>
              </w:rPr>
            </w:pPr>
            <w:r>
              <w:rPr>
                <w:rFonts w:ascii="宋体" w:hAnsi="宋体" w:eastAsia="宋体"/>
                <w:kern w:val="0"/>
                <w:szCs w:val="21"/>
              </w:rPr>
              <w:t>法定代表人</w:t>
            </w:r>
          </w:p>
        </w:tc>
        <w:tc>
          <w:tcPr>
            <w:tcW w:w="96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kern w:val="0"/>
                <w:szCs w:val="21"/>
              </w:rPr>
            </w:pPr>
            <w:r>
              <w:rPr>
                <w:rFonts w:ascii="宋体" w:hAnsi="宋体" w:eastAsia="宋体"/>
                <w:kern w:val="0"/>
                <w:szCs w:val="21"/>
              </w:rPr>
              <w:t>姓名</w:t>
            </w:r>
          </w:p>
        </w:tc>
        <w:tc>
          <w:tcPr>
            <w:tcW w:w="120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245"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kern w:val="0"/>
                <w:szCs w:val="21"/>
              </w:rPr>
            </w:pPr>
            <w:r>
              <w:rPr>
                <w:rFonts w:ascii="宋体" w:hAnsi="宋体" w:eastAsia="宋体"/>
                <w:kern w:val="0"/>
                <w:szCs w:val="21"/>
              </w:rPr>
              <w:t>技术职称</w:t>
            </w:r>
          </w:p>
        </w:tc>
        <w:tc>
          <w:tcPr>
            <w:tcW w:w="1335" w:type="dxa"/>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155" w:type="dxa"/>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kern w:val="0"/>
                <w:szCs w:val="21"/>
              </w:rPr>
            </w:pPr>
            <w:r>
              <w:rPr>
                <w:rFonts w:ascii="宋体" w:hAnsi="宋体" w:eastAsia="宋体"/>
                <w:kern w:val="0"/>
                <w:szCs w:val="21"/>
              </w:rPr>
              <w:t>电话</w:t>
            </w:r>
          </w:p>
        </w:tc>
        <w:tc>
          <w:tcPr>
            <w:tcW w:w="1065"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35" w:hRule="atLeast"/>
        </w:trPr>
        <w:tc>
          <w:tcPr>
            <w:tcW w:w="150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kern w:val="0"/>
                <w:szCs w:val="21"/>
              </w:rPr>
            </w:pPr>
            <w:r>
              <w:rPr>
                <w:rFonts w:ascii="宋体" w:hAnsi="宋体" w:eastAsia="宋体"/>
                <w:kern w:val="0"/>
                <w:szCs w:val="21"/>
              </w:rPr>
              <w:t>技术负责人</w:t>
            </w:r>
          </w:p>
        </w:tc>
        <w:tc>
          <w:tcPr>
            <w:tcW w:w="96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kern w:val="0"/>
                <w:szCs w:val="21"/>
              </w:rPr>
            </w:pPr>
            <w:r>
              <w:rPr>
                <w:rFonts w:ascii="宋体" w:hAnsi="宋体" w:eastAsia="宋体"/>
                <w:kern w:val="0"/>
                <w:szCs w:val="21"/>
              </w:rPr>
              <w:t>姓名</w:t>
            </w:r>
          </w:p>
        </w:tc>
        <w:tc>
          <w:tcPr>
            <w:tcW w:w="120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245"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kern w:val="0"/>
                <w:szCs w:val="21"/>
              </w:rPr>
            </w:pPr>
            <w:r>
              <w:rPr>
                <w:rFonts w:ascii="宋体" w:hAnsi="宋体" w:eastAsia="宋体"/>
                <w:kern w:val="0"/>
                <w:szCs w:val="21"/>
              </w:rPr>
              <w:t>技术职称</w:t>
            </w:r>
          </w:p>
        </w:tc>
        <w:tc>
          <w:tcPr>
            <w:tcW w:w="1335" w:type="dxa"/>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155" w:type="dxa"/>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kern w:val="0"/>
                <w:szCs w:val="21"/>
              </w:rPr>
            </w:pPr>
            <w:r>
              <w:rPr>
                <w:rFonts w:ascii="宋体" w:hAnsi="宋体" w:eastAsia="宋体"/>
                <w:kern w:val="0"/>
                <w:szCs w:val="21"/>
              </w:rPr>
              <w:t>电话</w:t>
            </w:r>
          </w:p>
        </w:tc>
        <w:tc>
          <w:tcPr>
            <w:tcW w:w="1065"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35" w:hRule="atLeast"/>
        </w:trPr>
        <w:tc>
          <w:tcPr>
            <w:tcW w:w="150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kern w:val="0"/>
                <w:szCs w:val="21"/>
              </w:rPr>
            </w:pPr>
            <w:r>
              <w:rPr>
                <w:rFonts w:ascii="宋体" w:hAnsi="宋体" w:eastAsia="宋体"/>
                <w:kern w:val="0"/>
                <w:szCs w:val="21"/>
              </w:rPr>
              <w:t>成立时间</w:t>
            </w:r>
          </w:p>
        </w:tc>
        <w:tc>
          <w:tcPr>
            <w:tcW w:w="2160" w:type="dxa"/>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4800" w:type="dxa"/>
            <w:gridSpan w:val="6"/>
            <w:tcBorders>
              <w:top w:val="single" w:color="000000" w:sz="8" w:space="0"/>
              <w:left w:val="single" w:color="000000" w:sz="8" w:space="0"/>
              <w:bottom w:val="single" w:color="000000" w:sz="8" w:space="0"/>
              <w:right w:val="single" w:color="000000" w:sz="8" w:space="0"/>
            </w:tcBorders>
            <w:vAlign w:val="center"/>
          </w:tcPr>
          <w:p>
            <w:pPr>
              <w:spacing w:line="400" w:lineRule="exact"/>
              <w:ind w:firstLine="1470" w:firstLineChars="700"/>
              <w:rPr>
                <w:rFonts w:ascii="宋体" w:hAnsi="宋体" w:eastAsia="宋体"/>
                <w:kern w:val="0"/>
                <w:szCs w:val="21"/>
              </w:rPr>
            </w:pPr>
            <w:r>
              <w:rPr>
                <w:rFonts w:ascii="宋体" w:hAnsi="宋体" w:eastAsia="宋体"/>
                <w:kern w:val="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150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kern w:val="0"/>
                <w:szCs w:val="21"/>
              </w:rPr>
            </w:pPr>
            <w:r>
              <w:rPr>
                <w:rFonts w:ascii="宋体" w:hAnsi="宋体" w:eastAsia="宋体"/>
                <w:kern w:val="0"/>
                <w:szCs w:val="21"/>
              </w:rPr>
              <w:t>企业资质等级</w:t>
            </w:r>
          </w:p>
        </w:tc>
        <w:tc>
          <w:tcPr>
            <w:tcW w:w="2160" w:type="dxa"/>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245" w:type="dxa"/>
            <w:vMerge w:val="restar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kern w:val="0"/>
                <w:szCs w:val="21"/>
              </w:rPr>
            </w:pPr>
            <w:r>
              <w:rPr>
                <w:rFonts w:ascii="宋体" w:hAnsi="宋体" w:eastAsia="宋体"/>
                <w:kern w:val="0"/>
                <w:szCs w:val="21"/>
              </w:rPr>
              <w:t>其中</w:t>
            </w:r>
          </w:p>
        </w:tc>
        <w:tc>
          <w:tcPr>
            <w:tcW w:w="1485" w:type="dxa"/>
            <w:gridSpan w:val="3"/>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kern w:val="0"/>
                <w:szCs w:val="21"/>
              </w:rPr>
            </w:pPr>
            <w:r>
              <w:rPr>
                <w:rFonts w:ascii="宋体" w:hAnsi="宋体" w:eastAsia="宋体"/>
                <w:kern w:val="0"/>
                <w:szCs w:val="21"/>
              </w:rPr>
              <w:t>项目经理</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35" w:hRule="atLeast"/>
        </w:trPr>
        <w:tc>
          <w:tcPr>
            <w:tcW w:w="150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kern w:val="0"/>
                <w:szCs w:val="21"/>
              </w:rPr>
            </w:pPr>
            <w:r>
              <w:rPr>
                <w:rFonts w:ascii="宋体" w:hAnsi="宋体" w:eastAsia="宋体"/>
                <w:kern w:val="0"/>
                <w:szCs w:val="21"/>
              </w:rPr>
              <w:t>营业执照号</w:t>
            </w:r>
          </w:p>
        </w:tc>
        <w:tc>
          <w:tcPr>
            <w:tcW w:w="2160" w:type="dxa"/>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245" w:type="dxa"/>
            <w:vMerge w:val="continue"/>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485" w:type="dxa"/>
            <w:gridSpan w:val="3"/>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kern w:val="0"/>
                <w:szCs w:val="21"/>
              </w:rPr>
            </w:pPr>
            <w:r>
              <w:rPr>
                <w:rFonts w:ascii="宋体" w:hAnsi="宋体" w:eastAsia="宋体"/>
                <w:kern w:val="0"/>
                <w:szCs w:val="21"/>
              </w:rPr>
              <w:t>高级职称人员</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35" w:hRule="atLeast"/>
        </w:trPr>
        <w:tc>
          <w:tcPr>
            <w:tcW w:w="150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kern w:val="0"/>
                <w:szCs w:val="21"/>
              </w:rPr>
            </w:pPr>
            <w:r>
              <w:rPr>
                <w:rFonts w:ascii="宋体" w:hAnsi="宋体" w:eastAsia="宋体"/>
                <w:kern w:val="0"/>
                <w:szCs w:val="21"/>
              </w:rPr>
              <w:t>注册资金</w:t>
            </w:r>
          </w:p>
        </w:tc>
        <w:tc>
          <w:tcPr>
            <w:tcW w:w="2160" w:type="dxa"/>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245" w:type="dxa"/>
            <w:vMerge w:val="continue"/>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485" w:type="dxa"/>
            <w:gridSpan w:val="3"/>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kern w:val="0"/>
                <w:szCs w:val="21"/>
              </w:rPr>
            </w:pPr>
            <w:r>
              <w:rPr>
                <w:rFonts w:ascii="宋体" w:hAnsi="宋体" w:eastAsia="宋体"/>
                <w:kern w:val="0"/>
                <w:szCs w:val="21"/>
              </w:rPr>
              <w:t>中级职称人员</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150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kern w:val="0"/>
                <w:szCs w:val="21"/>
              </w:rPr>
            </w:pPr>
            <w:r>
              <w:rPr>
                <w:rFonts w:ascii="宋体" w:hAnsi="宋体" w:eastAsia="宋体"/>
                <w:kern w:val="0"/>
                <w:szCs w:val="21"/>
              </w:rPr>
              <w:t>开户银行</w:t>
            </w:r>
          </w:p>
        </w:tc>
        <w:tc>
          <w:tcPr>
            <w:tcW w:w="2160" w:type="dxa"/>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245" w:type="dxa"/>
            <w:vMerge w:val="continue"/>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485" w:type="dxa"/>
            <w:gridSpan w:val="3"/>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kern w:val="0"/>
                <w:szCs w:val="21"/>
              </w:rPr>
            </w:pPr>
            <w:r>
              <w:rPr>
                <w:rFonts w:ascii="宋体" w:hAnsi="宋体" w:eastAsia="宋体"/>
                <w:kern w:val="0"/>
                <w:szCs w:val="21"/>
              </w:rPr>
              <w:t>初级职称人员</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35" w:hRule="atLeast"/>
        </w:trPr>
        <w:tc>
          <w:tcPr>
            <w:tcW w:w="150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kern w:val="0"/>
                <w:szCs w:val="21"/>
              </w:rPr>
            </w:pPr>
            <w:r>
              <w:rPr>
                <w:rFonts w:ascii="宋体" w:hAnsi="宋体" w:eastAsia="宋体"/>
                <w:kern w:val="0"/>
                <w:szCs w:val="21"/>
              </w:rPr>
              <w:t>账号</w:t>
            </w:r>
          </w:p>
        </w:tc>
        <w:tc>
          <w:tcPr>
            <w:tcW w:w="2160" w:type="dxa"/>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245" w:type="dxa"/>
            <w:vMerge w:val="continue"/>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485" w:type="dxa"/>
            <w:gridSpan w:val="3"/>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kern w:val="0"/>
                <w:szCs w:val="21"/>
              </w:rPr>
            </w:pPr>
            <w:r>
              <w:rPr>
                <w:rFonts w:ascii="宋体" w:hAnsi="宋体" w:eastAsia="宋体"/>
                <w:kern w:val="0"/>
                <w:szCs w:val="21"/>
              </w:rPr>
              <w:t>技工</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730" w:hRule="atLeast"/>
        </w:trPr>
        <w:tc>
          <w:tcPr>
            <w:tcW w:w="150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kern w:val="0"/>
                <w:szCs w:val="21"/>
              </w:rPr>
            </w:pPr>
            <w:r>
              <w:rPr>
                <w:rFonts w:ascii="宋体" w:hAnsi="宋体" w:eastAsia="宋体"/>
                <w:kern w:val="0"/>
                <w:szCs w:val="21"/>
              </w:rPr>
              <w:t>经营范围</w:t>
            </w:r>
          </w:p>
        </w:tc>
        <w:tc>
          <w:tcPr>
            <w:tcW w:w="6960" w:type="dxa"/>
            <w:gridSpan w:val="8"/>
            <w:tcBorders>
              <w:top w:val="single" w:color="000000" w:sz="8" w:space="0"/>
              <w:left w:val="single" w:color="000000" w:sz="8" w:space="0"/>
              <w:bottom w:val="single" w:color="000000" w:sz="8" w:space="0"/>
              <w:right w:val="single" w:color="000000" w:sz="8" w:space="0"/>
            </w:tcBorders>
            <w:vAlign w:val="center"/>
          </w:tcPr>
          <w:p>
            <w:pPr>
              <w:spacing w:line="40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738" w:hRule="atLeast"/>
        </w:trPr>
        <w:tc>
          <w:tcPr>
            <w:tcW w:w="150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kern w:val="0"/>
                <w:szCs w:val="21"/>
              </w:rPr>
            </w:pPr>
            <w:r>
              <w:rPr>
                <w:rFonts w:ascii="宋体" w:hAnsi="宋体" w:eastAsia="宋体"/>
                <w:kern w:val="0"/>
                <w:szCs w:val="21"/>
              </w:rPr>
              <w:t>备注</w:t>
            </w:r>
          </w:p>
        </w:tc>
        <w:tc>
          <w:tcPr>
            <w:tcW w:w="6960" w:type="dxa"/>
            <w:gridSpan w:val="8"/>
            <w:tcBorders>
              <w:top w:val="single" w:color="000000" w:sz="8" w:space="0"/>
              <w:left w:val="single" w:color="000000" w:sz="8" w:space="0"/>
              <w:bottom w:val="single" w:color="000000" w:sz="8" w:space="0"/>
              <w:right w:val="single" w:color="000000" w:sz="8" w:space="0"/>
            </w:tcBorders>
          </w:tcPr>
          <w:p>
            <w:pPr>
              <w:spacing w:line="400" w:lineRule="exact"/>
              <w:jc w:val="left"/>
              <w:rPr>
                <w:rFonts w:ascii="宋体" w:hAnsi="宋体" w:eastAsia="宋体"/>
                <w:szCs w:val="21"/>
              </w:rPr>
            </w:pPr>
          </w:p>
        </w:tc>
      </w:tr>
    </w:tbl>
    <w:p>
      <w:pPr>
        <w:spacing w:line="400" w:lineRule="exact"/>
        <w:rPr>
          <w:rFonts w:ascii="宋体" w:hAnsi="宋体" w:eastAsia="宋体"/>
          <w:szCs w:val="21"/>
        </w:rPr>
      </w:pPr>
    </w:p>
    <w:p>
      <w:pPr>
        <w:pStyle w:val="6"/>
        <w:jc w:val="both"/>
        <w:rPr>
          <w:rFonts w:ascii="宋体" w:hAnsi="宋体" w:eastAsia="宋体"/>
          <w:color w:val="auto"/>
        </w:rPr>
      </w:pPr>
      <w:r>
        <w:rPr>
          <w:rFonts w:ascii="宋体" w:hAnsi="宋体" w:eastAsia="宋体"/>
          <w:color w:val="auto"/>
        </w:rPr>
        <w:t>格式</w:t>
      </w:r>
      <w:r>
        <w:rPr>
          <w:rFonts w:ascii="Times New Roman" w:hAnsi="Times New Roman" w:eastAsia="Times New Roman"/>
          <w:color w:val="auto"/>
        </w:rPr>
        <w:t xml:space="preserve">2-6 </w:t>
      </w:r>
      <w:r>
        <w:rPr>
          <w:rFonts w:ascii="宋体" w:hAnsi="宋体" w:eastAsia="宋体"/>
          <w:color w:val="auto"/>
        </w:rPr>
        <w:t>投标人类似项目业绩一览表</w:t>
      </w:r>
    </w:p>
    <w:tbl>
      <w:tblPr>
        <w:tblStyle w:val="18"/>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720"/>
        <w:gridCol w:w="1440"/>
        <w:gridCol w:w="1320"/>
        <w:gridCol w:w="1155"/>
        <w:gridCol w:w="1260"/>
        <w:gridCol w:w="15"/>
        <w:gridCol w:w="1350"/>
        <w:gridCol w:w="1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00" w:hRule="atLeast"/>
        </w:trPr>
        <w:tc>
          <w:tcPr>
            <w:tcW w:w="720" w:type="dxa"/>
            <w:tcBorders>
              <w:top w:val="single" w:color="000000" w:sz="8" w:space="0"/>
              <w:left w:val="single" w:color="000000" w:sz="8" w:space="0"/>
              <w:bottom w:val="single" w:color="000000" w:sz="8" w:space="0"/>
              <w:right w:val="single" w:color="000000" w:sz="8" w:space="0"/>
            </w:tcBorders>
            <w:vAlign w:val="center"/>
          </w:tcPr>
          <w:p>
            <w:pPr>
              <w:spacing w:line="400" w:lineRule="exact"/>
              <w:ind w:firstLine="105" w:firstLineChars="50"/>
              <w:rPr>
                <w:rFonts w:ascii="宋体" w:hAnsi="宋体" w:eastAsia="宋体"/>
                <w:b/>
                <w:bCs/>
                <w:szCs w:val="21"/>
              </w:rPr>
            </w:pPr>
            <w:r>
              <w:rPr>
                <w:rFonts w:ascii="宋体" w:hAnsi="宋体" w:eastAsia="宋体"/>
                <w:b/>
                <w:bCs/>
                <w:szCs w:val="21"/>
              </w:rPr>
              <w:t>年份</w:t>
            </w:r>
          </w:p>
        </w:tc>
        <w:tc>
          <w:tcPr>
            <w:tcW w:w="144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b/>
                <w:bCs/>
                <w:szCs w:val="21"/>
              </w:rPr>
            </w:pPr>
            <w:r>
              <w:rPr>
                <w:rFonts w:ascii="宋体" w:hAnsi="宋体" w:eastAsia="宋体"/>
                <w:b/>
                <w:bCs/>
                <w:szCs w:val="21"/>
              </w:rPr>
              <w:t>用户名称</w:t>
            </w:r>
          </w:p>
        </w:tc>
        <w:tc>
          <w:tcPr>
            <w:tcW w:w="132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b/>
                <w:bCs/>
                <w:szCs w:val="21"/>
              </w:rPr>
            </w:pPr>
            <w:r>
              <w:rPr>
                <w:rFonts w:ascii="宋体" w:hAnsi="宋体" w:eastAsia="宋体"/>
                <w:b/>
                <w:bCs/>
                <w:szCs w:val="21"/>
              </w:rPr>
              <w:t>项目名称</w:t>
            </w:r>
          </w:p>
        </w:tc>
        <w:tc>
          <w:tcPr>
            <w:tcW w:w="1155"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b/>
                <w:bCs/>
                <w:szCs w:val="21"/>
              </w:rPr>
            </w:pPr>
            <w:r>
              <w:rPr>
                <w:rFonts w:ascii="宋体" w:hAnsi="宋体" w:eastAsia="宋体"/>
                <w:b/>
                <w:bCs/>
                <w:szCs w:val="21"/>
              </w:rPr>
              <w:t>完成时间</w:t>
            </w:r>
          </w:p>
        </w:tc>
        <w:tc>
          <w:tcPr>
            <w:tcW w:w="1260" w:type="dxa"/>
            <w:tcBorders>
              <w:top w:val="single" w:color="000000" w:sz="8" w:space="0"/>
              <w:left w:val="single" w:color="000000" w:sz="8" w:space="0"/>
              <w:bottom w:val="single" w:color="000000" w:sz="8" w:space="0"/>
              <w:right w:val="single" w:color="000000" w:sz="8" w:space="0"/>
            </w:tcBorders>
            <w:vAlign w:val="center"/>
          </w:tcPr>
          <w:p>
            <w:pPr>
              <w:spacing w:line="400" w:lineRule="exact"/>
              <w:ind w:firstLine="105" w:firstLineChars="50"/>
              <w:rPr>
                <w:rFonts w:ascii="宋体" w:hAnsi="宋体" w:eastAsia="宋体"/>
                <w:b/>
                <w:bCs/>
                <w:szCs w:val="21"/>
              </w:rPr>
            </w:pPr>
            <w:r>
              <w:rPr>
                <w:rFonts w:ascii="宋体" w:hAnsi="宋体" w:eastAsia="宋体"/>
                <w:b/>
                <w:bCs/>
                <w:szCs w:val="21"/>
              </w:rPr>
              <w:t>合同金额</w:t>
            </w:r>
          </w:p>
        </w:tc>
        <w:tc>
          <w:tcPr>
            <w:tcW w:w="1380" w:type="dxa"/>
            <w:gridSpan w:val="3"/>
            <w:tcBorders>
              <w:top w:val="single" w:color="000000" w:sz="8" w:space="0"/>
              <w:left w:val="single" w:color="000000" w:sz="8" w:space="0"/>
              <w:bottom w:val="single" w:color="000000" w:sz="8" w:space="0"/>
              <w:right w:val="single" w:color="000000" w:sz="8" w:space="0"/>
            </w:tcBorders>
            <w:vAlign w:val="center"/>
          </w:tcPr>
          <w:p>
            <w:pPr>
              <w:spacing w:line="400" w:lineRule="exact"/>
              <w:rPr>
                <w:rFonts w:ascii="宋体" w:hAnsi="宋体" w:eastAsia="宋体"/>
                <w:b/>
                <w:bCs/>
                <w:szCs w:val="21"/>
              </w:rPr>
            </w:pPr>
            <w:r>
              <w:rPr>
                <w:rFonts w:ascii="宋体" w:hAnsi="宋体" w:eastAsia="宋体"/>
                <w:b/>
                <w:bCs/>
                <w:szCs w:val="21"/>
              </w:rPr>
              <w:t>是否通过验收</w:t>
            </w:r>
          </w:p>
        </w:tc>
        <w:tc>
          <w:tcPr>
            <w:tcW w:w="1305" w:type="dxa"/>
            <w:tcBorders>
              <w:top w:val="single" w:color="000000" w:sz="8" w:space="0"/>
              <w:left w:val="single" w:color="000000" w:sz="8" w:space="0"/>
              <w:bottom w:val="single" w:color="000000" w:sz="8" w:space="0"/>
              <w:right w:val="single" w:color="000000" w:sz="8" w:space="0"/>
            </w:tcBorders>
            <w:vAlign w:val="center"/>
          </w:tcPr>
          <w:p>
            <w:pPr>
              <w:spacing w:line="400" w:lineRule="exact"/>
              <w:rPr>
                <w:rFonts w:ascii="宋体" w:hAnsi="宋体" w:eastAsia="宋体"/>
                <w:b/>
                <w:bCs/>
                <w:szCs w:val="21"/>
              </w:rPr>
            </w:pPr>
            <w:r>
              <w:rPr>
                <w:rFonts w:ascii="宋体" w:hAnsi="宋体" w:eastAsia="宋体"/>
                <w:b/>
                <w:bCs/>
                <w:szCs w:val="21"/>
              </w:rPr>
              <w:t xml:space="preserve">   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00" w:hRule="atLeast"/>
        </w:trPr>
        <w:tc>
          <w:tcPr>
            <w:tcW w:w="72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44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32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155"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26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380" w:type="dxa"/>
            <w:gridSpan w:val="3"/>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305"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00" w:hRule="atLeast"/>
        </w:trPr>
        <w:tc>
          <w:tcPr>
            <w:tcW w:w="72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44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32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155"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26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380" w:type="dxa"/>
            <w:gridSpan w:val="3"/>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305"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00" w:hRule="atLeast"/>
        </w:trPr>
        <w:tc>
          <w:tcPr>
            <w:tcW w:w="72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44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32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155"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26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380" w:type="dxa"/>
            <w:gridSpan w:val="3"/>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305"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00" w:hRule="atLeast"/>
        </w:trPr>
        <w:tc>
          <w:tcPr>
            <w:tcW w:w="72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44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32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155"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26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380" w:type="dxa"/>
            <w:gridSpan w:val="3"/>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305"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00" w:hRule="atLeast"/>
        </w:trPr>
        <w:tc>
          <w:tcPr>
            <w:tcW w:w="72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44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32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155"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275" w:type="dxa"/>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365" w:type="dxa"/>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305"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00" w:hRule="atLeast"/>
        </w:trPr>
        <w:tc>
          <w:tcPr>
            <w:tcW w:w="72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44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32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155"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275" w:type="dxa"/>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35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320" w:type="dxa"/>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00" w:hRule="atLeast"/>
        </w:trPr>
        <w:tc>
          <w:tcPr>
            <w:tcW w:w="72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44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32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155"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275" w:type="dxa"/>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35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320" w:type="dxa"/>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00" w:hRule="atLeast"/>
        </w:trPr>
        <w:tc>
          <w:tcPr>
            <w:tcW w:w="72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44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32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155"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275" w:type="dxa"/>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35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320" w:type="dxa"/>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10" w:hRule="atLeast"/>
        </w:trPr>
        <w:tc>
          <w:tcPr>
            <w:tcW w:w="72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44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32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155"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275" w:type="dxa"/>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35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320" w:type="dxa"/>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15" w:hRule="atLeast"/>
        </w:trPr>
        <w:tc>
          <w:tcPr>
            <w:tcW w:w="72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44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32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155"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275" w:type="dxa"/>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35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320" w:type="dxa"/>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r>
    </w:tbl>
    <w:p>
      <w:pPr>
        <w:spacing w:line="400" w:lineRule="exact"/>
        <w:rPr>
          <w:rFonts w:ascii="宋体" w:hAnsi="宋体" w:eastAsia="宋体"/>
          <w:sz w:val="24"/>
          <w:szCs w:val="24"/>
        </w:rPr>
      </w:pPr>
      <w:r>
        <w:rPr>
          <w:rFonts w:ascii="宋体" w:hAnsi="宋体" w:eastAsia="宋体"/>
          <w:sz w:val="24"/>
          <w:szCs w:val="24"/>
        </w:rPr>
        <w:t>注：投标人（仅限于投标人自己实施的）以上业绩需提供有关书面证明材料。</w:t>
      </w:r>
    </w:p>
    <w:p>
      <w:pPr>
        <w:snapToGrid w:val="0"/>
        <w:jc w:val="left"/>
        <w:rPr>
          <w:rFonts w:ascii="微软雅黑" w:hAnsi="微软雅黑" w:eastAsia="微软雅黑"/>
          <w:szCs w:val="21"/>
        </w:rPr>
      </w:pPr>
    </w:p>
    <w:p>
      <w:pPr>
        <w:spacing w:line="400" w:lineRule="exact"/>
        <w:ind w:left="360"/>
        <w:jc w:val="center"/>
        <w:rPr>
          <w:rFonts w:ascii="宋体" w:hAnsi="宋体" w:eastAsia="宋体"/>
          <w:sz w:val="24"/>
          <w:szCs w:val="24"/>
        </w:rPr>
      </w:pPr>
    </w:p>
    <w:p>
      <w:pPr>
        <w:spacing w:line="400" w:lineRule="exact"/>
        <w:ind w:left="360"/>
        <w:jc w:val="center"/>
        <w:rPr>
          <w:rFonts w:ascii="宋体" w:hAnsi="宋体" w:eastAsia="宋体"/>
          <w:szCs w:val="21"/>
        </w:rPr>
      </w:pPr>
    </w:p>
    <w:p>
      <w:pPr>
        <w:spacing w:line="400" w:lineRule="exact"/>
        <w:ind w:firstLine="480" w:firstLineChars="200"/>
        <w:jc w:val="left"/>
        <w:rPr>
          <w:rFonts w:ascii="宋体" w:hAnsi="宋体" w:eastAsia="宋体"/>
          <w:sz w:val="24"/>
          <w:szCs w:val="24"/>
        </w:rPr>
      </w:pPr>
      <w:r>
        <w:rPr>
          <w:rFonts w:ascii="宋体" w:hAnsi="宋体" w:eastAsia="宋体"/>
          <w:sz w:val="24"/>
          <w:szCs w:val="24"/>
        </w:rPr>
        <w:t>投标人名称：（盖章）</w:t>
      </w:r>
    </w:p>
    <w:p>
      <w:pPr>
        <w:spacing w:line="400" w:lineRule="exact"/>
        <w:ind w:firstLine="480" w:firstLineChars="200"/>
        <w:jc w:val="left"/>
        <w:rPr>
          <w:rFonts w:ascii="宋体" w:hAnsi="宋体" w:eastAsia="宋体"/>
          <w:sz w:val="24"/>
          <w:szCs w:val="24"/>
        </w:rPr>
      </w:pPr>
      <w:r>
        <w:rPr>
          <w:rFonts w:ascii="宋体" w:hAnsi="宋体" w:eastAsia="宋体"/>
          <w:sz w:val="24"/>
          <w:szCs w:val="24"/>
        </w:rPr>
        <w:t>法定代表人或授权代表（签字）：</w:t>
      </w:r>
    </w:p>
    <w:p>
      <w:pPr>
        <w:spacing w:line="400" w:lineRule="exact"/>
        <w:ind w:firstLine="480" w:firstLineChars="200"/>
        <w:rPr>
          <w:rFonts w:ascii="Times New Roman" w:hAnsi="Times New Roman" w:eastAsia="Times New Roman"/>
          <w:sz w:val="24"/>
          <w:szCs w:val="24"/>
        </w:rPr>
      </w:pPr>
      <w:r>
        <w:rPr>
          <w:rFonts w:ascii="宋体" w:hAnsi="宋体" w:eastAsia="宋体"/>
          <w:sz w:val="24"/>
          <w:szCs w:val="24"/>
        </w:rPr>
        <w:t>投标日期</w:t>
      </w:r>
      <w:r>
        <w:rPr>
          <w:rFonts w:ascii="Times New Roman" w:hAnsi="Times New Roman" w:eastAsia="Times New Roman"/>
          <w:sz w:val="24"/>
          <w:szCs w:val="24"/>
        </w:rPr>
        <w:t>:</w:t>
      </w:r>
    </w:p>
    <w:p>
      <w:pPr>
        <w:spacing w:line="400" w:lineRule="exact"/>
        <w:rPr>
          <w:rFonts w:ascii="宋体" w:hAnsi="宋体" w:eastAsia="宋体"/>
          <w:sz w:val="24"/>
          <w:szCs w:val="24"/>
        </w:rPr>
      </w:pPr>
    </w:p>
    <w:p>
      <w:pPr>
        <w:pStyle w:val="6"/>
        <w:jc w:val="both"/>
        <w:rPr>
          <w:rFonts w:ascii="宋体" w:hAnsi="宋体" w:eastAsia="宋体"/>
          <w:color w:val="auto"/>
        </w:rPr>
      </w:pPr>
      <w:r>
        <w:rPr>
          <w:rFonts w:ascii="宋体" w:hAnsi="宋体" w:eastAsia="宋体"/>
          <w:color w:val="auto"/>
        </w:rPr>
        <w:t>格式</w:t>
      </w:r>
      <w:r>
        <w:rPr>
          <w:rFonts w:ascii="Times New Roman" w:hAnsi="Times New Roman" w:eastAsia="Times New Roman"/>
          <w:color w:val="auto"/>
        </w:rPr>
        <w:t xml:space="preserve">2-7 </w:t>
      </w:r>
      <w:r>
        <w:rPr>
          <w:rFonts w:ascii="宋体" w:hAnsi="宋体" w:eastAsia="宋体"/>
          <w:color w:val="auto"/>
        </w:rPr>
        <w:t>商务应答表</w:t>
      </w:r>
    </w:p>
    <w:p>
      <w:pPr>
        <w:spacing w:line="400" w:lineRule="exact"/>
        <w:jc w:val="center"/>
        <w:rPr>
          <w:rFonts w:ascii="宋体" w:hAnsi="宋体" w:eastAsia="宋体"/>
          <w:sz w:val="28"/>
          <w:szCs w:val="28"/>
        </w:rPr>
      </w:pPr>
    </w:p>
    <w:tbl>
      <w:tblPr>
        <w:tblStyle w:val="18"/>
        <w:tblW w:w="73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810"/>
        <w:gridCol w:w="2400"/>
        <w:gridCol w:w="2745"/>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00" w:hRule="atLeast"/>
        </w:trPr>
        <w:tc>
          <w:tcPr>
            <w:tcW w:w="810" w:type="dxa"/>
            <w:tcBorders>
              <w:top w:val="single" w:color="000000" w:sz="8" w:space="0"/>
              <w:left w:val="single" w:color="000000" w:sz="8" w:space="0"/>
              <w:bottom w:val="single" w:color="000000" w:sz="8" w:space="0"/>
              <w:right w:val="single" w:color="000000" w:sz="8" w:space="0"/>
            </w:tcBorders>
            <w:vAlign w:val="center"/>
          </w:tcPr>
          <w:p>
            <w:pPr>
              <w:spacing w:line="360" w:lineRule="auto"/>
              <w:rPr>
                <w:rFonts w:ascii="宋体" w:hAnsi="宋体" w:eastAsia="宋体"/>
                <w:b/>
                <w:bCs/>
                <w:sz w:val="22"/>
              </w:rPr>
            </w:pPr>
            <w:r>
              <w:rPr>
                <w:rFonts w:ascii="宋体" w:hAnsi="宋体" w:eastAsia="宋体"/>
                <w:b/>
                <w:bCs/>
                <w:sz w:val="22"/>
              </w:rPr>
              <w:t>序号</w:t>
            </w:r>
          </w:p>
        </w:tc>
        <w:tc>
          <w:tcPr>
            <w:tcW w:w="2400" w:type="dxa"/>
            <w:tcBorders>
              <w:top w:val="single" w:color="000000" w:sz="8" w:space="0"/>
              <w:left w:val="single" w:color="000000" w:sz="8" w:space="0"/>
              <w:bottom w:val="single" w:color="000000" w:sz="8" w:space="0"/>
              <w:right w:val="single" w:color="000000" w:sz="8" w:space="0"/>
            </w:tcBorders>
            <w:vAlign w:val="center"/>
          </w:tcPr>
          <w:p>
            <w:pPr>
              <w:spacing w:line="360" w:lineRule="auto"/>
              <w:ind w:firstLine="442"/>
              <w:rPr>
                <w:rFonts w:ascii="宋体" w:hAnsi="宋体" w:eastAsia="宋体"/>
                <w:b/>
                <w:bCs/>
                <w:sz w:val="22"/>
              </w:rPr>
            </w:pPr>
            <w:r>
              <w:rPr>
                <w:rFonts w:ascii="宋体" w:hAnsi="宋体" w:eastAsia="宋体"/>
                <w:b/>
                <w:bCs/>
                <w:sz w:val="22"/>
              </w:rPr>
              <w:t>招标要求</w:t>
            </w:r>
          </w:p>
        </w:tc>
        <w:tc>
          <w:tcPr>
            <w:tcW w:w="2745" w:type="dxa"/>
            <w:tcBorders>
              <w:top w:val="single" w:color="000000" w:sz="8" w:space="0"/>
              <w:left w:val="single" w:color="000000" w:sz="8" w:space="0"/>
              <w:bottom w:val="single" w:color="000000" w:sz="8" w:space="0"/>
              <w:right w:val="single" w:color="000000" w:sz="8" w:space="0"/>
            </w:tcBorders>
            <w:vAlign w:val="center"/>
          </w:tcPr>
          <w:p>
            <w:pPr>
              <w:spacing w:line="360" w:lineRule="auto"/>
              <w:ind w:firstLine="442"/>
              <w:rPr>
                <w:rFonts w:ascii="宋体" w:hAnsi="宋体" w:eastAsia="宋体"/>
                <w:b/>
                <w:bCs/>
                <w:sz w:val="22"/>
              </w:rPr>
            </w:pPr>
            <w:r>
              <w:rPr>
                <w:rFonts w:ascii="宋体" w:hAnsi="宋体" w:eastAsia="宋体"/>
                <w:b/>
                <w:bCs/>
                <w:sz w:val="22"/>
              </w:rPr>
              <w:t>投标应答</w:t>
            </w:r>
          </w:p>
        </w:tc>
        <w:tc>
          <w:tcPr>
            <w:tcW w:w="1410" w:type="dxa"/>
            <w:tcBorders>
              <w:top w:val="single" w:color="000000" w:sz="8" w:space="0"/>
              <w:left w:val="single" w:color="000000" w:sz="8" w:space="0"/>
              <w:bottom w:val="single" w:color="000000" w:sz="8" w:space="0"/>
              <w:right w:val="single" w:color="000000" w:sz="8" w:space="0"/>
            </w:tcBorders>
            <w:vAlign w:val="center"/>
          </w:tcPr>
          <w:p>
            <w:pPr>
              <w:spacing w:line="360" w:lineRule="auto"/>
              <w:rPr>
                <w:rFonts w:ascii="宋体" w:hAnsi="宋体" w:eastAsia="宋体"/>
                <w:b/>
                <w:bCs/>
                <w:sz w:val="22"/>
              </w:rPr>
            </w:pPr>
            <w:r>
              <w:rPr>
                <w:rFonts w:ascii="宋体" w:hAnsi="宋体" w:eastAsia="宋体"/>
                <w:b/>
                <w:bCs/>
                <w:sz w:val="22"/>
              </w:rPr>
              <w:t>满足</w:t>
            </w:r>
            <w:r>
              <w:rPr>
                <w:rFonts w:ascii="Times New Roman" w:hAnsi="Times New Roman" w:eastAsia="Times New Roman"/>
                <w:b/>
                <w:bCs/>
                <w:sz w:val="22"/>
              </w:rPr>
              <w:t>/</w:t>
            </w:r>
            <w:r>
              <w:rPr>
                <w:rFonts w:ascii="宋体" w:hAnsi="宋体" w:eastAsia="宋体"/>
                <w:b/>
                <w:bCs/>
                <w:sz w:val="22"/>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080" w:hRule="atLeast"/>
        </w:trPr>
        <w:tc>
          <w:tcPr>
            <w:tcW w:w="810" w:type="dxa"/>
            <w:tcBorders>
              <w:top w:val="single" w:color="000000" w:sz="8" w:space="0"/>
              <w:left w:val="single" w:color="000000" w:sz="8" w:space="0"/>
              <w:bottom w:val="single" w:color="000000" w:sz="8" w:space="0"/>
              <w:right w:val="single" w:color="000000" w:sz="8" w:space="0"/>
            </w:tcBorders>
          </w:tcPr>
          <w:p>
            <w:pPr>
              <w:spacing w:line="360" w:lineRule="atLeast"/>
              <w:ind w:firstLine="470" w:firstLineChars="196"/>
              <w:jc w:val="left"/>
              <w:rPr>
                <w:rFonts w:ascii="宋体" w:hAnsi="宋体" w:eastAsia="宋体"/>
                <w:sz w:val="24"/>
                <w:szCs w:val="24"/>
              </w:rPr>
            </w:pPr>
          </w:p>
        </w:tc>
        <w:tc>
          <w:tcPr>
            <w:tcW w:w="2400" w:type="dxa"/>
            <w:tcBorders>
              <w:top w:val="single" w:color="000000" w:sz="8" w:space="0"/>
              <w:left w:val="single" w:color="000000" w:sz="8" w:space="0"/>
              <w:bottom w:val="single" w:color="000000" w:sz="8" w:space="0"/>
              <w:right w:val="single" w:color="000000" w:sz="8" w:space="0"/>
            </w:tcBorders>
          </w:tcPr>
          <w:p>
            <w:pPr>
              <w:spacing w:line="360" w:lineRule="atLeast"/>
              <w:ind w:firstLine="470" w:firstLineChars="196"/>
              <w:jc w:val="left"/>
              <w:rPr>
                <w:rFonts w:ascii="宋体" w:hAnsi="宋体" w:eastAsia="宋体"/>
                <w:sz w:val="24"/>
                <w:szCs w:val="24"/>
              </w:rPr>
            </w:pPr>
          </w:p>
        </w:tc>
        <w:tc>
          <w:tcPr>
            <w:tcW w:w="2745" w:type="dxa"/>
            <w:tcBorders>
              <w:top w:val="single" w:color="000000" w:sz="8" w:space="0"/>
              <w:left w:val="single" w:color="000000" w:sz="8" w:space="0"/>
              <w:bottom w:val="single" w:color="000000" w:sz="8" w:space="0"/>
              <w:right w:val="single" w:color="000000" w:sz="8" w:space="0"/>
            </w:tcBorders>
          </w:tcPr>
          <w:p>
            <w:pPr>
              <w:spacing w:line="360" w:lineRule="atLeast"/>
              <w:ind w:firstLine="470" w:firstLineChars="196"/>
              <w:jc w:val="left"/>
              <w:rPr>
                <w:rFonts w:ascii="宋体" w:hAnsi="宋体" w:eastAsia="宋体"/>
                <w:sz w:val="24"/>
                <w:szCs w:val="24"/>
              </w:rPr>
            </w:pPr>
          </w:p>
        </w:tc>
        <w:tc>
          <w:tcPr>
            <w:tcW w:w="1410" w:type="dxa"/>
            <w:tcBorders>
              <w:top w:val="single" w:color="000000" w:sz="8" w:space="0"/>
              <w:left w:val="single" w:color="000000" w:sz="8" w:space="0"/>
              <w:bottom w:val="single" w:color="000000" w:sz="8" w:space="0"/>
              <w:right w:val="single" w:color="000000" w:sz="8" w:space="0"/>
            </w:tcBorders>
          </w:tcPr>
          <w:p>
            <w:pPr>
              <w:spacing w:line="360" w:lineRule="atLeast"/>
              <w:ind w:firstLine="470" w:firstLineChars="196"/>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080" w:hRule="atLeast"/>
        </w:trPr>
        <w:tc>
          <w:tcPr>
            <w:tcW w:w="810" w:type="dxa"/>
            <w:tcBorders>
              <w:top w:val="single" w:color="000000" w:sz="8" w:space="0"/>
              <w:left w:val="single" w:color="000000" w:sz="8" w:space="0"/>
              <w:bottom w:val="single" w:color="000000" w:sz="8" w:space="0"/>
              <w:right w:val="single" w:color="000000" w:sz="8" w:space="0"/>
            </w:tcBorders>
          </w:tcPr>
          <w:p>
            <w:pPr>
              <w:spacing w:line="360" w:lineRule="atLeast"/>
              <w:ind w:firstLine="470" w:firstLineChars="196"/>
              <w:jc w:val="left"/>
              <w:rPr>
                <w:rFonts w:ascii="宋体" w:hAnsi="宋体" w:eastAsia="宋体"/>
                <w:sz w:val="24"/>
                <w:szCs w:val="24"/>
              </w:rPr>
            </w:pPr>
          </w:p>
        </w:tc>
        <w:tc>
          <w:tcPr>
            <w:tcW w:w="2400" w:type="dxa"/>
            <w:tcBorders>
              <w:top w:val="single" w:color="000000" w:sz="8" w:space="0"/>
              <w:left w:val="single" w:color="000000" w:sz="8" w:space="0"/>
              <w:bottom w:val="single" w:color="000000" w:sz="8" w:space="0"/>
              <w:right w:val="single" w:color="000000" w:sz="8" w:space="0"/>
            </w:tcBorders>
          </w:tcPr>
          <w:p>
            <w:pPr>
              <w:spacing w:line="360" w:lineRule="atLeast"/>
              <w:ind w:firstLine="470" w:firstLineChars="196"/>
              <w:jc w:val="left"/>
              <w:rPr>
                <w:rFonts w:ascii="宋体" w:hAnsi="宋体" w:eastAsia="宋体"/>
                <w:sz w:val="24"/>
                <w:szCs w:val="24"/>
              </w:rPr>
            </w:pPr>
          </w:p>
        </w:tc>
        <w:tc>
          <w:tcPr>
            <w:tcW w:w="2745" w:type="dxa"/>
            <w:tcBorders>
              <w:top w:val="single" w:color="000000" w:sz="8" w:space="0"/>
              <w:left w:val="single" w:color="000000" w:sz="8" w:space="0"/>
              <w:bottom w:val="single" w:color="000000" w:sz="8" w:space="0"/>
              <w:right w:val="single" w:color="000000" w:sz="8" w:space="0"/>
            </w:tcBorders>
          </w:tcPr>
          <w:p>
            <w:pPr>
              <w:spacing w:line="360" w:lineRule="atLeast"/>
              <w:ind w:firstLine="470" w:firstLineChars="196"/>
              <w:jc w:val="left"/>
              <w:rPr>
                <w:rFonts w:ascii="宋体" w:hAnsi="宋体" w:eastAsia="宋体"/>
                <w:sz w:val="24"/>
                <w:szCs w:val="24"/>
              </w:rPr>
            </w:pPr>
          </w:p>
        </w:tc>
        <w:tc>
          <w:tcPr>
            <w:tcW w:w="1410" w:type="dxa"/>
            <w:tcBorders>
              <w:top w:val="single" w:color="000000" w:sz="8" w:space="0"/>
              <w:left w:val="single" w:color="000000" w:sz="8" w:space="0"/>
              <w:bottom w:val="single" w:color="000000" w:sz="8" w:space="0"/>
              <w:right w:val="single" w:color="000000" w:sz="8" w:space="0"/>
            </w:tcBorders>
          </w:tcPr>
          <w:p>
            <w:pPr>
              <w:spacing w:line="360" w:lineRule="atLeast"/>
              <w:ind w:firstLine="470" w:firstLineChars="196"/>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080" w:hRule="atLeast"/>
        </w:trPr>
        <w:tc>
          <w:tcPr>
            <w:tcW w:w="810" w:type="dxa"/>
            <w:tcBorders>
              <w:top w:val="single" w:color="000000" w:sz="8" w:space="0"/>
              <w:left w:val="single" w:color="000000" w:sz="8" w:space="0"/>
              <w:bottom w:val="single" w:color="000000" w:sz="8" w:space="0"/>
              <w:right w:val="single" w:color="000000" w:sz="8" w:space="0"/>
            </w:tcBorders>
          </w:tcPr>
          <w:p>
            <w:pPr>
              <w:spacing w:line="360" w:lineRule="atLeast"/>
              <w:ind w:firstLine="470" w:firstLineChars="196"/>
              <w:jc w:val="left"/>
              <w:rPr>
                <w:rFonts w:ascii="宋体" w:hAnsi="宋体" w:eastAsia="宋体"/>
                <w:sz w:val="24"/>
                <w:szCs w:val="24"/>
              </w:rPr>
            </w:pPr>
          </w:p>
        </w:tc>
        <w:tc>
          <w:tcPr>
            <w:tcW w:w="2400" w:type="dxa"/>
            <w:tcBorders>
              <w:top w:val="single" w:color="000000" w:sz="8" w:space="0"/>
              <w:left w:val="single" w:color="000000" w:sz="8" w:space="0"/>
              <w:bottom w:val="single" w:color="000000" w:sz="8" w:space="0"/>
              <w:right w:val="single" w:color="000000" w:sz="8" w:space="0"/>
            </w:tcBorders>
          </w:tcPr>
          <w:p>
            <w:pPr>
              <w:spacing w:line="360" w:lineRule="atLeast"/>
              <w:ind w:firstLine="470" w:firstLineChars="196"/>
              <w:jc w:val="left"/>
              <w:rPr>
                <w:rFonts w:ascii="宋体" w:hAnsi="宋体" w:eastAsia="宋体"/>
                <w:sz w:val="24"/>
                <w:szCs w:val="24"/>
              </w:rPr>
            </w:pPr>
          </w:p>
        </w:tc>
        <w:tc>
          <w:tcPr>
            <w:tcW w:w="2745" w:type="dxa"/>
            <w:tcBorders>
              <w:top w:val="single" w:color="000000" w:sz="8" w:space="0"/>
              <w:left w:val="single" w:color="000000" w:sz="8" w:space="0"/>
              <w:bottom w:val="single" w:color="000000" w:sz="8" w:space="0"/>
              <w:right w:val="single" w:color="000000" w:sz="8" w:space="0"/>
            </w:tcBorders>
          </w:tcPr>
          <w:p>
            <w:pPr>
              <w:spacing w:line="360" w:lineRule="atLeast"/>
              <w:ind w:firstLine="470" w:firstLineChars="196"/>
              <w:jc w:val="left"/>
              <w:rPr>
                <w:rFonts w:ascii="宋体" w:hAnsi="宋体" w:eastAsia="宋体"/>
                <w:sz w:val="24"/>
                <w:szCs w:val="24"/>
              </w:rPr>
            </w:pPr>
          </w:p>
        </w:tc>
        <w:tc>
          <w:tcPr>
            <w:tcW w:w="1410" w:type="dxa"/>
            <w:tcBorders>
              <w:top w:val="single" w:color="000000" w:sz="8" w:space="0"/>
              <w:left w:val="single" w:color="000000" w:sz="8" w:space="0"/>
              <w:bottom w:val="single" w:color="000000" w:sz="8" w:space="0"/>
              <w:right w:val="single" w:color="000000" w:sz="8" w:space="0"/>
            </w:tcBorders>
          </w:tcPr>
          <w:p>
            <w:pPr>
              <w:spacing w:line="360" w:lineRule="atLeast"/>
              <w:ind w:firstLine="470" w:firstLineChars="196"/>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080" w:hRule="atLeast"/>
        </w:trPr>
        <w:tc>
          <w:tcPr>
            <w:tcW w:w="810" w:type="dxa"/>
            <w:tcBorders>
              <w:top w:val="single" w:color="000000" w:sz="8" w:space="0"/>
              <w:left w:val="single" w:color="000000" w:sz="8" w:space="0"/>
              <w:bottom w:val="single" w:color="000000" w:sz="8" w:space="0"/>
              <w:right w:val="single" w:color="000000" w:sz="8" w:space="0"/>
            </w:tcBorders>
          </w:tcPr>
          <w:p>
            <w:pPr>
              <w:spacing w:line="360" w:lineRule="atLeast"/>
              <w:ind w:firstLine="470" w:firstLineChars="196"/>
              <w:jc w:val="left"/>
              <w:rPr>
                <w:rFonts w:ascii="宋体" w:hAnsi="宋体" w:eastAsia="宋体"/>
                <w:sz w:val="24"/>
                <w:szCs w:val="24"/>
              </w:rPr>
            </w:pPr>
          </w:p>
        </w:tc>
        <w:tc>
          <w:tcPr>
            <w:tcW w:w="2400" w:type="dxa"/>
            <w:tcBorders>
              <w:top w:val="single" w:color="000000" w:sz="8" w:space="0"/>
              <w:left w:val="single" w:color="000000" w:sz="8" w:space="0"/>
              <w:bottom w:val="single" w:color="000000" w:sz="8" w:space="0"/>
              <w:right w:val="single" w:color="000000" w:sz="8" w:space="0"/>
            </w:tcBorders>
          </w:tcPr>
          <w:p>
            <w:pPr>
              <w:spacing w:line="360" w:lineRule="atLeast"/>
              <w:ind w:firstLine="470" w:firstLineChars="196"/>
              <w:jc w:val="left"/>
              <w:rPr>
                <w:rFonts w:ascii="宋体" w:hAnsi="宋体" w:eastAsia="宋体"/>
                <w:sz w:val="24"/>
                <w:szCs w:val="24"/>
              </w:rPr>
            </w:pPr>
          </w:p>
        </w:tc>
        <w:tc>
          <w:tcPr>
            <w:tcW w:w="2745" w:type="dxa"/>
            <w:tcBorders>
              <w:top w:val="single" w:color="000000" w:sz="8" w:space="0"/>
              <w:left w:val="single" w:color="000000" w:sz="8" w:space="0"/>
              <w:bottom w:val="single" w:color="000000" w:sz="8" w:space="0"/>
              <w:right w:val="single" w:color="000000" w:sz="8" w:space="0"/>
            </w:tcBorders>
          </w:tcPr>
          <w:p>
            <w:pPr>
              <w:spacing w:line="360" w:lineRule="atLeast"/>
              <w:ind w:firstLine="470" w:firstLineChars="196"/>
              <w:jc w:val="left"/>
              <w:rPr>
                <w:rFonts w:ascii="宋体" w:hAnsi="宋体" w:eastAsia="宋体"/>
                <w:sz w:val="24"/>
                <w:szCs w:val="24"/>
              </w:rPr>
            </w:pPr>
          </w:p>
        </w:tc>
        <w:tc>
          <w:tcPr>
            <w:tcW w:w="1410" w:type="dxa"/>
            <w:tcBorders>
              <w:top w:val="single" w:color="000000" w:sz="8" w:space="0"/>
              <w:left w:val="single" w:color="000000" w:sz="8" w:space="0"/>
              <w:bottom w:val="single" w:color="000000" w:sz="8" w:space="0"/>
              <w:right w:val="single" w:color="000000" w:sz="8" w:space="0"/>
            </w:tcBorders>
          </w:tcPr>
          <w:p>
            <w:pPr>
              <w:spacing w:line="360" w:lineRule="atLeast"/>
              <w:ind w:firstLine="470" w:firstLineChars="196"/>
              <w:jc w:val="left"/>
              <w:rPr>
                <w:rFonts w:ascii="宋体" w:hAnsi="宋体" w:eastAsia="宋体"/>
                <w:sz w:val="24"/>
                <w:szCs w:val="24"/>
              </w:rPr>
            </w:pPr>
          </w:p>
        </w:tc>
      </w:tr>
    </w:tbl>
    <w:p>
      <w:pPr>
        <w:snapToGrid w:val="0"/>
        <w:jc w:val="left"/>
        <w:rPr>
          <w:rFonts w:ascii="微软雅黑" w:hAnsi="微软雅黑" w:eastAsia="微软雅黑"/>
          <w:szCs w:val="21"/>
        </w:rPr>
      </w:pPr>
    </w:p>
    <w:p>
      <w:pPr>
        <w:spacing w:line="400" w:lineRule="exact"/>
        <w:ind w:left="-141" w:leftChars="-67"/>
        <w:rPr>
          <w:rFonts w:ascii="宋体" w:hAnsi="宋体" w:eastAsia="宋体"/>
          <w:sz w:val="24"/>
          <w:szCs w:val="24"/>
        </w:rPr>
      </w:pPr>
      <w:r>
        <w:rPr>
          <w:rFonts w:ascii="宋体" w:hAnsi="宋体" w:eastAsia="宋体"/>
          <w:sz w:val="24"/>
          <w:szCs w:val="24"/>
        </w:rPr>
        <w:t>注：供应商必须据实填写，不得虚假应答，否则将取消其投标或中标资格。如与招标文件所列商务相关条款无偏离（包括正偏离和负偏离），则无须逐条应答。如有偏离条款，请将偏离条款逐条应答。未明确偏离的条款，视为默认接受，投标人不得籍未作应答而拒不接受。</w:t>
      </w:r>
    </w:p>
    <w:p>
      <w:pPr>
        <w:spacing w:line="400" w:lineRule="exact"/>
        <w:ind w:firstLine="480" w:firstLineChars="200"/>
        <w:rPr>
          <w:rFonts w:ascii="宋体" w:hAnsi="宋体" w:eastAsia="宋体"/>
          <w:sz w:val="24"/>
          <w:szCs w:val="24"/>
        </w:rPr>
      </w:pPr>
    </w:p>
    <w:p>
      <w:pPr>
        <w:spacing w:line="400" w:lineRule="exact"/>
        <w:ind w:firstLine="480" w:firstLineChars="200"/>
        <w:jc w:val="left"/>
        <w:rPr>
          <w:rFonts w:ascii="宋体" w:hAnsi="宋体" w:eastAsia="宋体"/>
          <w:sz w:val="24"/>
          <w:szCs w:val="24"/>
        </w:rPr>
      </w:pPr>
      <w:r>
        <w:rPr>
          <w:rFonts w:ascii="宋体" w:hAnsi="宋体" w:eastAsia="宋体"/>
          <w:sz w:val="24"/>
          <w:szCs w:val="24"/>
        </w:rPr>
        <w:t>投标人名称：（盖章）</w:t>
      </w:r>
    </w:p>
    <w:p>
      <w:pPr>
        <w:spacing w:line="400" w:lineRule="exact"/>
        <w:ind w:firstLine="480" w:firstLineChars="200"/>
        <w:jc w:val="left"/>
        <w:rPr>
          <w:rFonts w:ascii="宋体" w:hAnsi="宋体" w:eastAsia="宋体"/>
          <w:sz w:val="24"/>
          <w:szCs w:val="24"/>
        </w:rPr>
      </w:pPr>
      <w:r>
        <w:rPr>
          <w:rFonts w:ascii="宋体" w:hAnsi="宋体" w:eastAsia="宋体"/>
          <w:sz w:val="24"/>
          <w:szCs w:val="24"/>
        </w:rPr>
        <w:t>法定代表人或授权代表（签字）：</w:t>
      </w:r>
    </w:p>
    <w:p>
      <w:pPr>
        <w:spacing w:line="400" w:lineRule="exact"/>
        <w:ind w:firstLine="480" w:firstLineChars="200"/>
        <w:rPr>
          <w:rFonts w:ascii="Times New Roman" w:hAnsi="Times New Roman" w:eastAsia="Times New Roman"/>
          <w:sz w:val="24"/>
          <w:szCs w:val="24"/>
        </w:rPr>
      </w:pPr>
      <w:r>
        <w:rPr>
          <w:rFonts w:ascii="宋体" w:hAnsi="宋体" w:eastAsia="宋体"/>
          <w:sz w:val="24"/>
          <w:szCs w:val="24"/>
        </w:rPr>
        <w:t>投标日期</w:t>
      </w:r>
      <w:r>
        <w:rPr>
          <w:rFonts w:ascii="Times New Roman" w:hAnsi="Times New Roman" w:eastAsia="Times New Roman"/>
          <w:sz w:val="24"/>
          <w:szCs w:val="24"/>
        </w:rPr>
        <w:t>:</w:t>
      </w:r>
    </w:p>
    <w:p>
      <w:pPr>
        <w:widowControl/>
        <w:jc w:val="left"/>
        <w:rPr>
          <w:rFonts w:ascii="Times New Roman" w:hAnsi="Times New Roman" w:eastAsia="Times New Roman"/>
          <w:sz w:val="24"/>
          <w:szCs w:val="24"/>
        </w:rPr>
      </w:pPr>
      <w:r>
        <w:rPr>
          <w:rFonts w:ascii="Times New Roman" w:hAnsi="Times New Roman" w:eastAsia="Times New Roman"/>
          <w:sz w:val="24"/>
          <w:szCs w:val="24"/>
        </w:rPr>
        <w:br w:type="page"/>
      </w:r>
    </w:p>
    <w:p>
      <w:pPr>
        <w:spacing w:line="400" w:lineRule="exact"/>
        <w:ind w:firstLine="480" w:firstLineChars="200"/>
        <w:rPr>
          <w:rFonts w:ascii="Times New Roman" w:hAnsi="Times New Roman" w:eastAsia="Times New Roman"/>
          <w:sz w:val="24"/>
          <w:szCs w:val="24"/>
        </w:rPr>
      </w:pPr>
    </w:p>
    <w:p>
      <w:pPr>
        <w:pStyle w:val="6"/>
        <w:jc w:val="both"/>
        <w:rPr>
          <w:rFonts w:ascii="宋体" w:hAnsi="宋体" w:eastAsia="宋体"/>
          <w:color w:val="auto"/>
        </w:rPr>
      </w:pPr>
      <w:r>
        <w:rPr>
          <w:rFonts w:ascii="宋体" w:hAnsi="宋体" w:eastAsia="宋体"/>
          <w:color w:val="auto"/>
        </w:rPr>
        <w:t>格式</w:t>
      </w:r>
      <w:r>
        <w:rPr>
          <w:rFonts w:ascii="Times New Roman" w:hAnsi="Times New Roman" w:eastAsia="Times New Roman"/>
          <w:color w:val="auto"/>
        </w:rPr>
        <w:t xml:space="preserve">2-8 </w:t>
      </w:r>
      <w:r>
        <w:rPr>
          <w:rFonts w:ascii="宋体" w:hAnsi="宋体" w:eastAsia="宋体"/>
          <w:color w:val="auto"/>
        </w:rPr>
        <w:t>服务要求应答表</w:t>
      </w:r>
    </w:p>
    <w:p>
      <w:pPr>
        <w:snapToGrid w:val="0"/>
        <w:rPr>
          <w:rFonts w:ascii="宋体" w:hAnsi="宋体" w:eastAsia="宋体"/>
          <w:sz w:val="24"/>
          <w:szCs w:val="24"/>
        </w:rPr>
      </w:pPr>
    </w:p>
    <w:tbl>
      <w:tblPr>
        <w:tblStyle w:val="18"/>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795"/>
        <w:gridCol w:w="2190"/>
        <w:gridCol w:w="2550"/>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795" w:type="dxa"/>
            <w:tcBorders>
              <w:top w:val="single" w:color="000000" w:sz="8" w:space="0"/>
              <w:left w:val="single" w:color="000000" w:sz="8" w:space="0"/>
              <w:bottom w:val="single" w:color="000000" w:sz="8" w:space="0"/>
              <w:right w:val="single" w:color="000000" w:sz="8" w:space="0"/>
            </w:tcBorders>
            <w:vAlign w:val="center"/>
          </w:tcPr>
          <w:p>
            <w:pPr>
              <w:spacing w:line="400" w:lineRule="exact"/>
              <w:rPr>
                <w:rFonts w:ascii="宋体" w:hAnsi="宋体" w:eastAsia="宋体"/>
                <w:b/>
                <w:bCs/>
                <w:szCs w:val="21"/>
              </w:rPr>
            </w:pPr>
            <w:r>
              <w:rPr>
                <w:rFonts w:ascii="宋体" w:hAnsi="宋体" w:eastAsia="宋体"/>
                <w:b/>
                <w:bCs/>
                <w:szCs w:val="21"/>
              </w:rPr>
              <w:t>序号</w:t>
            </w:r>
          </w:p>
        </w:tc>
        <w:tc>
          <w:tcPr>
            <w:tcW w:w="219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b/>
                <w:bCs/>
                <w:szCs w:val="21"/>
              </w:rPr>
            </w:pPr>
            <w:r>
              <w:rPr>
                <w:rFonts w:ascii="宋体" w:hAnsi="宋体" w:eastAsia="宋体"/>
                <w:b/>
                <w:bCs/>
                <w:szCs w:val="21"/>
              </w:rPr>
              <w:t>服务名称</w:t>
            </w:r>
          </w:p>
        </w:tc>
        <w:tc>
          <w:tcPr>
            <w:tcW w:w="2550" w:type="dxa"/>
            <w:tcBorders>
              <w:top w:val="single" w:color="000000" w:sz="8" w:space="0"/>
              <w:left w:val="single" w:color="000000" w:sz="8" w:space="0"/>
              <w:bottom w:val="single" w:color="000000" w:sz="8" w:space="0"/>
              <w:right w:val="single" w:color="000000" w:sz="8" w:space="0"/>
            </w:tcBorders>
            <w:vAlign w:val="center"/>
          </w:tcPr>
          <w:p>
            <w:pPr>
              <w:spacing w:line="400" w:lineRule="exact"/>
              <w:ind w:firstLine="422" w:firstLineChars="200"/>
              <w:rPr>
                <w:rFonts w:ascii="宋体" w:hAnsi="宋体" w:eastAsia="宋体"/>
                <w:b/>
                <w:bCs/>
                <w:szCs w:val="21"/>
              </w:rPr>
            </w:pPr>
            <w:r>
              <w:rPr>
                <w:rFonts w:ascii="宋体" w:hAnsi="宋体" w:eastAsia="宋体"/>
                <w:b/>
                <w:bCs/>
                <w:szCs w:val="21"/>
              </w:rPr>
              <w:t>招标文件要求</w:t>
            </w:r>
          </w:p>
        </w:tc>
        <w:tc>
          <w:tcPr>
            <w:tcW w:w="2970" w:type="dxa"/>
            <w:tcBorders>
              <w:top w:val="single" w:color="000000" w:sz="8" w:space="0"/>
              <w:left w:val="single" w:color="000000" w:sz="8" w:space="0"/>
              <w:bottom w:val="single" w:color="000000" w:sz="8" w:space="0"/>
              <w:right w:val="single" w:color="000000" w:sz="8" w:space="0"/>
            </w:tcBorders>
            <w:vAlign w:val="center"/>
          </w:tcPr>
          <w:p>
            <w:pPr>
              <w:spacing w:line="400" w:lineRule="exact"/>
              <w:ind w:firstLine="211" w:firstLineChars="100"/>
              <w:rPr>
                <w:rFonts w:ascii="宋体" w:hAnsi="宋体" w:eastAsia="宋体"/>
                <w:b/>
                <w:bCs/>
                <w:szCs w:val="21"/>
              </w:rPr>
            </w:pPr>
            <w:r>
              <w:rPr>
                <w:rFonts w:ascii="宋体" w:hAnsi="宋体" w:eastAsia="宋体"/>
                <w:b/>
                <w:bCs/>
                <w:szCs w:val="21"/>
              </w:rPr>
              <w:t xml:space="preserve">   投标文件响应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795" w:type="dxa"/>
            <w:tcBorders>
              <w:top w:val="single" w:color="000000" w:sz="8" w:space="0"/>
              <w:left w:val="single" w:color="000000" w:sz="8" w:space="0"/>
              <w:bottom w:val="single" w:color="000000" w:sz="8" w:space="0"/>
              <w:right w:val="single" w:color="000000" w:sz="8" w:space="0"/>
            </w:tcBorders>
          </w:tcPr>
          <w:p>
            <w:pPr>
              <w:spacing w:line="400" w:lineRule="exact"/>
              <w:rPr>
                <w:rFonts w:ascii="宋体" w:hAnsi="宋体" w:eastAsia="宋体"/>
                <w:szCs w:val="21"/>
              </w:rPr>
            </w:pPr>
          </w:p>
        </w:tc>
        <w:tc>
          <w:tcPr>
            <w:tcW w:w="2190" w:type="dxa"/>
            <w:tcBorders>
              <w:top w:val="single" w:color="000000" w:sz="8" w:space="0"/>
              <w:left w:val="single" w:color="000000" w:sz="8" w:space="0"/>
              <w:bottom w:val="single" w:color="000000" w:sz="8" w:space="0"/>
              <w:right w:val="single" w:color="000000" w:sz="8" w:space="0"/>
            </w:tcBorders>
          </w:tcPr>
          <w:p>
            <w:pPr>
              <w:spacing w:line="400" w:lineRule="exact"/>
              <w:rPr>
                <w:rFonts w:ascii="宋体" w:hAnsi="宋体" w:eastAsia="宋体"/>
                <w:szCs w:val="21"/>
              </w:rPr>
            </w:pPr>
          </w:p>
        </w:tc>
        <w:tc>
          <w:tcPr>
            <w:tcW w:w="2550" w:type="dxa"/>
            <w:tcBorders>
              <w:top w:val="single" w:color="000000" w:sz="8" w:space="0"/>
              <w:left w:val="single" w:color="000000" w:sz="8" w:space="0"/>
              <w:bottom w:val="single" w:color="000000" w:sz="8" w:space="0"/>
              <w:right w:val="single" w:color="000000" w:sz="8" w:space="0"/>
            </w:tcBorders>
          </w:tcPr>
          <w:p>
            <w:pPr>
              <w:spacing w:line="400" w:lineRule="exact"/>
              <w:rPr>
                <w:rFonts w:ascii="宋体" w:hAnsi="宋体" w:eastAsia="宋体"/>
                <w:szCs w:val="21"/>
              </w:rPr>
            </w:pPr>
          </w:p>
        </w:tc>
        <w:tc>
          <w:tcPr>
            <w:tcW w:w="2970" w:type="dxa"/>
            <w:tcBorders>
              <w:top w:val="single" w:color="000000" w:sz="8" w:space="0"/>
              <w:left w:val="single" w:color="000000" w:sz="8" w:space="0"/>
              <w:bottom w:val="single" w:color="000000" w:sz="8" w:space="0"/>
              <w:right w:val="single" w:color="000000" w:sz="8" w:space="0"/>
            </w:tcBorders>
          </w:tcPr>
          <w:p>
            <w:pPr>
              <w:spacing w:line="40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795" w:type="dxa"/>
            <w:tcBorders>
              <w:top w:val="single" w:color="000000" w:sz="8" w:space="0"/>
              <w:left w:val="single" w:color="000000" w:sz="8" w:space="0"/>
              <w:bottom w:val="single" w:color="000000" w:sz="8" w:space="0"/>
              <w:right w:val="single" w:color="000000" w:sz="8" w:space="0"/>
            </w:tcBorders>
          </w:tcPr>
          <w:p>
            <w:pPr>
              <w:spacing w:line="400" w:lineRule="exact"/>
              <w:rPr>
                <w:rFonts w:ascii="宋体" w:hAnsi="宋体" w:eastAsia="宋体"/>
                <w:szCs w:val="21"/>
              </w:rPr>
            </w:pPr>
          </w:p>
        </w:tc>
        <w:tc>
          <w:tcPr>
            <w:tcW w:w="2190" w:type="dxa"/>
            <w:tcBorders>
              <w:top w:val="single" w:color="000000" w:sz="8" w:space="0"/>
              <w:left w:val="single" w:color="000000" w:sz="8" w:space="0"/>
              <w:bottom w:val="single" w:color="000000" w:sz="8" w:space="0"/>
              <w:right w:val="single" w:color="000000" w:sz="8" w:space="0"/>
            </w:tcBorders>
          </w:tcPr>
          <w:p>
            <w:pPr>
              <w:spacing w:line="400" w:lineRule="exact"/>
              <w:rPr>
                <w:rFonts w:ascii="宋体" w:hAnsi="宋体" w:eastAsia="宋体"/>
                <w:szCs w:val="21"/>
              </w:rPr>
            </w:pPr>
          </w:p>
        </w:tc>
        <w:tc>
          <w:tcPr>
            <w:tcW w:w="2550" w:type="dxa"/>
            <w:tcBorders>
              <w:top w:val="single" w:color="000000" w:sz="8" w:space="0"/>
              <w:left w:val="single" w:color="000000" w:sz="8" w:space="0"/>
              <w:bottom w:val="single" w:color="000000" w:sz="8" w:space="0"/>
              <w:right w:val="single" w:color="000000" w:sz="8" w:space="0"/>
            </w:tcBorders>
          </w:tcPr>
          <w:p>
            <w:pPr>
              <w:spacing w:line="400" w:lineRule="exact"/>
              <w:rPr>
                <w:rFonts w:ascii="宋体" w:hAnsi="宋体" w:eastAsia="宋体"/>
                <w:szCs w:val="21"/>
              </w:rPr>
            </w:pPr>
          </w:p>
        </w:tc>
        <w:tc>
          <w:tcPr>
            <w:tcW w:w="2970" w:type="dxa"/>
            <w:tcBorders>
              <w:top w:val="single" w:color="000000" w:sz="8" w:space="0"/>
              <w:left w:val="single" w:color="000000" w:sz="8" w:space="0"/>
              <w:bottom w:val="single" w:color="000000" w:sz="8" w:space="0"/>
              <w:right w:val="single" w:color="000000" w:sz="8" w:space="0"/>
            </w:tcBorders>
          </w:tcPr>
          <w:p>
            <w:pPr>
              <w:spacing w:line="40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795" w:type="dxa"/>
            <w:tcBorders>
              <w:top w:val="single" w:color="000000" w:sz="8" w:space="0"/>
              <w:left w:val="single" w:color="000000" w:sz="8" w:space="0"/>
              <w:bottom w:val="single" w:color="000000" w:sz="8" w:space="0"/>
              <w:right w:val="single" w:color="000000" w:sz="8" w:space="0"/>
            </w:tcBorders>
          </w:tcPr>
          <w:p>
            <w:pPr>
              <w:spacing w:line="400" w:lineRule="exact"/>
              <w:rPr>
                <w:rFonts w:ascii="宋体" w:hAnsi="宋体" w:eastAsia="宋体"/>
                <w:szCs w:val="21"/>
              </w:rPr>
            </w:pPr>
          </w:p>
        </w:tc>
        <w:tc>
          <w:tcPr>
            <w:tcW w:w="2190" w:type="dxa"/>
            <w:tcBorders>
              <w:top w:val="single" w:color="000000" w:sz="8" w:space="0"/>
              <w:left w:val="single" w:color="000000" w:sz="8" w:space="0"/>
              <w:bottom w:val="single" w:color="000000" w:sz="8" w:space="0"/>
              <w:right w:val="single" w:color="000000" w:sz="8" w:space="0"/>
            </w:tcBorders>
          </w:tcPr>
          <w:p>
            <w:pPr>
              <w:spacing w:line="400" w:lineRule="exact"/>
              <w:rPr>
                <w:rFonts w:ascii="宋体" w:hAnsi="宋体" w:eastAsia="宋体"/>
                <w:szCs w:val="21"/>
              </w:rPr>
            </w:pPr>
          </w:p>
        </w:tc>
        <w:tc>
          <w:tcPr>
            <w:tcW w:w="2550" w:type="dxa"/>
            <w:tcBorders>
              <w:top w:val="single" w:color="000000" w:sz="8" w:space="0"/>
              <w:left w:val="single" w:color="000000" w:sz="8" w:space="0"/>
              <w:bottom w:val="single" w:color="000000" w:sz="8" w:space="0"/>
              <w:right w:val="single" w:color="000000" w:sz="8" w:space="0"/>
            </w:tcBorders>
          </w:tcPr>
          <w:p>
            <w:pPr>
              <w:spacing w:line="400" w:lineRule="exact"/>
              <w:rPr>
                <w:rFonts w:ascii="宋体" w:hAnsi="宋体" w:eastAsia="宋体"/>
                <w:szCs w:val="21"/>
              </w:rPr>
            </w:pPr>
          </w:p>
        </w:tc>
        <w:tc>
          <w:tcPr>
            <w:tcW w:w="2970" w:type="dxa"/>
            <w:tcBorders>
              <w:top w:val="single" w:color="000000" w:sz="8" w:space="0"/>
              <w:left w:val="single" w:color="000000" w:sz="8" w:space="0"/>
              <w:bottom w:val="single" w:color="000000" w:sz="8" w:space="0"/>
              <w:right w:val="single" w:color="000000" w:sz="8" w:space="0"/>
            </w:tcBorders>
          </w:tcPr>
          <w:p>
            <w:pPr>
              <w:spacing w:line="40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795" w:type="dxa"/>
            <w:tcBorders>
              <w:top w:val="single" w:color="000000" w:sz="8" w:space="0"/>
              <w:left w:val="single" w:color="000000" w:sz="8" w:space="0"/>
              <w:bottom w:val="single" w:color="000000" w:sz="8" w:space="0"/>
              <w:right w:val="single" w:color="000000" w:sz="8" w:space="0"/>
            </w:tcBorders>
          </w:tcPr>
          <w:p>
            <w:pPr>
              <w:spacing w:line="400" w:lineRule="exact"/>
              <w:rPr>
                <w:rFonts w:ascii="宋体" w:hAnsi="宋体" w:eastAsia="宋体"/>
                <w:szCs w:val="21"/>
              </w:rPr>
            </w:pPr>
          </w:p>
        </w:tc>
        <w:tc>
          <w:tcPr>
            <w:tcW w:w="2190" w:type="dxa"/>
            <w:tcBorders>
              <w:top w:val="single" w:color="000000" w:sz="8" w:space="0"/>
              <w:left w:val="single" w:color="000000" w:sz="8" w:space="0"/>
              <w:bottom w:val="single" w:color="000000" w:sz="8" w:space="0"/>
              <w:right w:val="single" w:color="000000" w:sz="8" w:space="0"/>
            </w:tcBorders>
          </w:tcPr>
          <w:p>
            <w:pPr>
              <w:spacing w:line="400" w:lineRule="exact"/>
              <w:rPr>
                <w:rFonts w:ascii="宋体" w:hAnsi="宋体" w:eastAsia="宋体"/>
                <w:szCs w:val="21"/>
              </w:rPr>
            </w:pPr>
          </w:p>
        </w:tc>
        <w:tc>
          <w:tcPr>
            <w:tcW w:w="2550" w:type="dxa"/>
            <w:tcBorders>
              <w:top w:val="single" w:color="000000" w:sz="8" w:space="0"/>
              <w:left w:val="single" w:color="000000" w:sz="8" w:space="0"/>
              <w:bottom w:val="single" w:color="000000" w:sz="8" w:space="0"/>
              <w:right w:val="single" w:color="000000" w:sz="8" w:space="0"/>
            </w:tcBorders>
          </w:tcPr>
          <w:p>
            <w:pPr>
              <w:spacing w:line="400" w:lineRule="exact"/>
              <w:rPr>
                <w:rFonts w:ascii="宋体" w:hAnsi="宋体" w:eastAsia="宋体"/>
                <w:szCs w:val="21"/>
              </w:rPr>
            </w:pPr>
          </w:p>
        </w:tc>
        <w:tc>
          <w:tcPr>
            <w:tcW w:w="2970" w:type="dxa"/>
            <w:tcBorders>
              <w:top w:val="single" w:color="000000" w:sz="8" w:space="0"/>
              <w:left w:val="single" w:color="000000" w:sz="8" w:space="0"/>
              <w:bottom w:val="single" w:color="000000" w:sz="8" w:space="0"/>
              <w:right w:val="single" w:color="000000" w:sz="8" w:space="0"/>
            </w:tcBorders>
          </w:tcPr>
          <w:p>
            <w:pPr>
              <w:spacing w:line="40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795" w:type="dxa"/>
            <w:tcBorders>
              <w:top w:val="single" w:color="000000" w:sz="8" w:space="0"/>
              <w:left w:val="single" w:color="000000" w:sz="8" w:space="0"/>
              <w:bottom w:val="single" w:color="000000" w:sz="8" w:space="0"/>
              <w:right w:val="single" w:color="000000" w:sz="8" w:space="0"/>
            </w:tcBorders>
          </w:tcPr>
          <w:p>
            <w:pPr>
              <w:spacing w:line="400" w:lineRule="exact"/>
              <w:rPr>
                <w:rFonts w:ascii="宋体" w:hAnsi="宋体" w:eastAsia="宋体"/>
                <w:szCs w:val="21"/>
              </w:rPr>
            </w:pPr>
          </w:p>
        </w:tc>
        <w:tc>
          <w:tcPr>
            <w:tcW w:w="2190" w:type="dxa"/>
            <w:tcBorders>
              <w:top w:val="single" w:color="000000" w:sz="8" w:space="0"/>
              <w:left w:val="single" w:color="000000" w:sz="8" w:space="0"/>
              <w:bottom w:val="single" w:color="000000" w:sz="8" w:space="0"/>
              <w:right w:val="single" w:color="000000" w:sz="8" w:space="0"/>
            </w:tcBorders>
          </w:tcPr>
          <w:p>
            <w:pPr>
              <w:spacing w:line="400" w:lineRule="exact"/>
              <w:rPr>
                <w:rFonts w:ascii="宋体" w:hAnsi="宋体" w:eastAsia="宋体"/>
                <w:szCs w:val="21"/>
              </w:rPr>
            </w:pPr>
          </w:p>
        </w:tc>
        <w:tc>
          <w:tcPr>
            <w:tcW w:w="2550" w:type="dxa"/>
            <w:tcBorders>
              <w:top w:val="single" w:color="000000" w:sz="8" w:space="0"/>
              <w:left w:val="single" w:color="000000" w:sz="8" w:space="0"/>
              <w:bottom w:val="single" w:color="000000" w:sz="8" w:space="0"/>
              <w:right w:val="single" w:color="000000" w:sz="8" w:space="0"/>
            </w:tcBorders>
          </w:tcPr>
          <w:p>
            <w:pPr>
              <w:spacing w:line="400" w:lineRule="exact"/>
              <w:rPr>
                <w:rFonts w:ascii="宋体" w:hAnsi="宋体" w:eastAsia="宋体"/>
                <w:szCs w:val="21"/>
              </w:rPr>
            </w:pPr>
          </w:p>
        </w:tc>
        <w:tc>
          <w:tcPr>
            <w:tcW w:w="2970" w:type="dxa"/>
            <w:tcBorders>
              <w:top w:val="single" w:color="000000" w:sz="8" w:space="0"/>
              <w:left w:val="single" w:color="000000" w:sz="8" w:space="0"/>
              <w:bottom w:val="single" w:color="000000" w:sz="8" w:space="0"/>
              <w:right w:val="single" w:color="000000" w:sz="8" w:space="0"/>
            </w:tcBorders>
          </w:tcPr>
          <w:p>
            <w:pPr>
              <w:spacing w:line="40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795" w:type="dxa"/>
            <w:tcBorders>
              <w:top w:val="single" w:color="000000" w:sz="8" w:space="0"/>
              <w:left w:val="single" w:color="000000" w:sz="8" w:space="0"/>
              <w:bottom w:val="single" w:color="000000" w:sz="8" w:space="0"/>
              <w:right w:val="single" w:color="000000" w:sz="8" w:space="0"/>
            </w:tcBorders>
          </w:tcPr>
          <w:p>
            <w:pPr>
              <w:spacing w:line="400" w:lineRule="exact"/>
              <w:rPr>
                <w:rFonts w:ascii="宋体" w:hAnsi="宋体" w:eastAsia="宋体"/>
                <w:szCs w:val="21"/>
              </w:rPr>
            </w:pPr>
          </w:p>
        </w:tc>
        <w:tc>
          <w:tcPr>
            <w:tcW w:w="2190" w:type="dxa"/>
            <w:tcBorders>
              <w:top w:val="single" w:color="000000" w:sz="8" w:space="0"/>
              <w:left w:val="single" w:color="000000" w:sz="8" w:space="0"/>
              <w:bottom w:val="single" w:color="000000" w:sz="8" w:space="0"/>
              <w:right w:val="single" w:color="000000" w:sz="8" w:space="0"/>
            </w:tcBorders>
          </w:tcPr>
          <w:p>
            <w:pPr>
              <w:spacing w:line="400" w:lineRule="exact"/>
              <w:rPr>
                <w:rFonts w:ascii="宋体" w:hAnsi="宋体" w:eastAsia="宋体"/>
                <w:szCs w:val="21"/>
              </w:rPr>
            </w:pPr>
          </w:p>
        </w:tc>
        <w:tc>
          <w:tcPr>
            <w:tcW w:w="2550" w:type="dxa"/>
            <w:tcBorders>
              <w:top w:val="single" w:color="000000" w:sz="8" w:space="0"/>
              <w:left w:val="single" w:color="000000" w:sz="8" w:space="0"/>
              <w:bottom w:val="single" w:color="000000" w:sz="8" w:space="0"/>
              <w:right w:val="single" w:color="000000" w:sz="8" w:space="0"/>
            </w:tcBorders>
          </w:tcPr>
          <w:p>
            <w:pPr>
              <w:spacing w:line="400" w:lineRule="exact"/>
              <w:rPr>
                <w:rFonts w:ascii="宋体" w:hAnsi="宋体" w:eastAsia="宋体"/>
                <w:szCs w:val="21"/>
              </w:rPr>
            </w:pPr>
          </w:p>
        </w:tc>
        <w:tc>
          <w:tcPr>
            <w:tcW w:w="2970" w:type="dxa"/>
            <w:tcBorders>
              <w:top w:val="single" w:color="000000" w:sz="8" w:space="0"/>
              <w:left w:val="single" w:color="000000" w:sz="8" w:space="0"/>
              <w:bottom w:val="single" w:color="000000" w:sz="8" w:space="0"/>
              <w:right w:val="single" w:color="000000" w:sz="8" w:space="0"/>
            </w:tcBorders>
          </w:tcPr>
          <w:p>
            <w:pPr>
              <w:spacing w:line="40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795" w:type="dxa"/>
            <w:tcBorders>
              <w:top w:val="single" w:color="000000" w:sz="8" w:space="0"/>
              <w:left w:val="single" w:color="000000" w:sz="8" w:space="0"/>
              <w:bottom w:val="single" w:color="000000" w:sz="8" w:space="0"/>
              <w:right w:val="single" w:color="000000" w:sz="8" w:space="0"/>
            </w:tcBorders>
          </w:tcPr>
          <w:p>
            <w:pPr>
              <w:spacing w:line="400" w:lineRule="exact"/>
              <w:rPr>
                <w:rFonts w:ascii="宋体" w:hAnsi="宋体" w:eastAsia="宋体"/>
                <w:szCs w:val="21"/>
              </w:rPr>
            </w:pPr>
          </w:p>
        </w:tc>
        <w:tc>
          <w:tcPr>
            <w:tcW w:w="2190" w:type="dxa"/>
            <w:tcBorders>
              <w:top w:val="single" w:color="000000" w:sz="8" w:space="0"/>
              <w:left w:val="single" w:color="000000" w:sz="8" w:space="0"/>
              <w:bottom w:val="single" w:color="000000" w:sz="8" w:space="0"/>
              <w:right w:val="single" w:color="000000" w:sz="8" w:space="0"/>
            </w:tcBorders>
          </w:tcPr>
          <w:p>
            <w:pPr>
              <w:spacing w:line="400" w:lineRule="exact"/>
              <w:rPr>
                <w:rFonts w:ascii="宋体" w:hAnsi="宋体" w:eastAsia="宋体"/>
                <w:szCs w:val="21"/>
              </w:rPr>
            </w:pPr>
          </w:p>
        </w:tc>
        <w:tc>
          <w:tcPr>
            <w:tcW w:w="2550" w:type="dxa"/>
            <w:tcBorders>
              <w:top w:val="single" w:color="000000" w:sz="8" w:space="0"/>
              <w:left w:val="single" w:color="000000" w:sz="8" w:space="0"/>
              <w:bottom w:val="single" w:color="000000" w:sz="8" w:space="0"/>
              <w:right w:val="single" w:color="000000" w:sz="8" w:space="0"/>
            </w:tcBorders>
          </w:tcPr>
          <w:p>
            <w:pPr>
              <w:spacing w:line="400" w:lineRule="exact"/>
              <w:rPr>
                <w:rFonts w:ascii="宋体" w:hAnsi="宋体" w:eastAsia="宋体"/>
                <w:szCs w:val="21"/>
              </w:rPr>
            </w:pPr>
          </w:p>
        </w:tc>
        <w:tc>
          <w:tcPr>
            <w:tcW w:w="2970" w:type="dxa"/>
            <w:tcBorders>
              <w:top w:val="single" w:color="000000" w:sz="8" w:space="0"/>
              <w:left w:val="single" w:color="000000" w:sz="8" w:space="0"/>
              <w:bottom w:val="single" w:color="000000" w:sz="8" w:space="0"/>
              <w:right w:val="single" w:color="000000" w:sz="8" w:space="0"/>
            </w:tcBorders>
          </w:tcPr>
          <w:p>
            <w:pPr>
              <w:spacing w:line="400" w:lineRule="exact"/>
              <w:rPr>
                <w:rFonts w:ascii="宋体" w:hAnsi="宋体" w:eastAsia="宋体"/>
                <w:szCs w:val="21"/>
              </w:rPr>
            </w:pPr>
          </w:p>
        </w:tc>
      </w:tr>
    </w:tbl>
    <w:p>
      <w:pPr>
        <w:spacing w:line="400" w:lineRule="exact"/>
        <w:jc w:val="left"/>
        <w:rPr>
          <w:rFonts w:ascii="宋体" w:hAnsi="宋体" w:eastAsia="宋体"/>
          <w:sz w:val="24"/>
          <w:szCs w:val="24"/>
        </w:rPr>
      </w:pPr>
      <w:r>
        <w:rPr>
          <w:rFonts w:ascii="宋体" w:hAnsi="宋体" w:eastAsia="宋体"/>
          <w:sz w:val="24"/>
          <w:szCs w:val="24"/>
        </w:rPr>
        <w:t>注：</w:t>
      </w:r>
    </w:p>
    <w:p>
      <w:pPr>
        <w:snapToGrid w:val="0"/>
        <w:jc w:val="left"/>
        <w:rPr>
          <w:rFonts w:ascii="微软雅黑" w:hAnsi="微软雅黑" w:eastAsia="微软雅黑"/>
          <w:szCs w:val="21"/>
        </w:rPr>
      </w:pPr>
    </w:p>
    <w:p>
      <w:pPr>
        <w:spacing w:line="400" w:lineRule="exact"/>
        <w:ind w:firstLine="480" w:firstLineChars="200"/>
        <w:jc w:val="left"/>
        <w:rPr>
          <w:rFonts w:ascii="宋体" w:hAnsi="宋体" w:eastAsia="宋体"/>
          <w:sz w:val="24"/>
          <w:szCs w:val="24"/>
        </w:rPr>
      </w:pPr>
      <w:r>
        <w:rPr>
          <w:rFonts w:ascii="宋体" w:hAnsi="宋体" w:eastAsia="宋体"/>
          <w:sz w:val="24"/>
          <w:szCs w:val="24"/>
        </w:rPr>
        <w:t>1. 如与招标文件</w:t>
      </w:r>
      <w:r>
        <w:rPr>
          <w:rFonts w:hint="eastAsia" w:ascii="宋体" w:hAnsi="宋体" w:eastAsia="宋体"/>
          <w:sz w:val="24"/>
          <w:szCs w:val="24"/>
        </w:rPr>
        <w:t>第五章</w:t>
      </w:r>
      <w:r>
        <w:rPr>
          <w:rFonts w:ascii="宋体" w:hAnsi="宋体" w:eastAsia="宋体"/>
          <w:sz w:val="24"/>
          <w:szCs w:val="24"/>
        </w:rPr>
        <w:t>无偏离（包括正偏离和负偏离），则无须</w:t>
      </w:r>
      <w:r>
        <w:rPr>
          <w:rFonts w:hint="eastAsia" w:ascii="宋体" w:hAnsi="宋体" w:eastAsia="宋体"/>
          <w:sz w:val="24"/>
          <w:szCs w:val="24"/>
        </w:rPr>
        <w:t>在此表</w:t>
      </w:r>
      <w:r>
        <w:rPr>
          <w:rFonts w:ascii="宋体" w:hAnsi="宋体" w:eastAsia="宋体"/>
          <w:sz w:val="24"/>
          <w:szCs w:val="24"/>
        </w:rPr>
        <w:t>逐条应答，</w:t>
      </w:r>
      <w:r>
        <w:rPr>
          <w:rFonts w:hint="eastAsia" w:ascii="宋体" w:hAnsi="宋体" w:eastAsia="宋体"/>
          <w:sz w:val="24"/>
          <w:szCs w:val="24"/>
        </w:rPr>
        <w:t>但招标文件要求单独承诺的投标人须单独提供承诺函。</w:t>
      </w:r>
      <w:r>
        <w:rPr>
          <w:rFonts w:ascii="宋体" w:hAnsi="宋体" w:eastAsia="宋体"/>
          <w:sz w:val="24"/>
          <w:szCs w:val="24"/>
        </w:rPr>
        <w:t>如有偏离条款，请将偏离条款逐条应答。未明确偏离的条款，视为默认接受，投标人不得籍未作应答而拒不接受。</w:t>
      </w:r>
    </w:p>
    <w:p>
      <w:pPr>
        <w:spacing w:line="400" w:lineRule="exact"/>
        <w:ind w:firstLine="480" w:firstLineChars="200"/>
        <w:jc w:val="left"/>
        <w:rPr>
          <w:rFonts w:ascii="宋体" w:hAnsi="宋体" w:eastAsia="宋体"/>
          <w:sz w:val="24"/>
          <w:szCs w:val="24"/>
        </w:rPr>
      </w:pPr>
      <w:r>
        <w:rPr>
          <w:rFonts w:hint="eastAsia" w:ascii="宋体" w:hAnsi="宋体" w:eastAsia="宋体"/>
          <w:sz w:val="24"/>
          <w:szCs w:val="24"/>
        </w:rPr>
        <w:t>2.此表若空白则视为：①投标人对招标文件服务要求完全响应而无差异，②投标人对招标文件表述的服务内容和要求完全理解而无异议。</w:t>
      </w:r>
    </w:p>
    <w:p>
      <w:pPr>
        <w:spacing w:line="400" w:lineRule="exact"/>
        <w:ind w:firstLine="480" w:firstLineChars="200"/>
        <w:jc w:val="left"/>
        <w:rPr>
          <w:rFonts w:ascii="宋体" w:hAnsi="宋体" w:eastAsia="宋体"/>
          <w:sz w:val="24"/>
          <w:szCs w:val="24"/>
        </w:rPr>
      </w:pPr>
      <w:r>
        <w:rPr>
          <w:rFonts w:ascii="宋体" w:hAnsi="宋体" w:eastAsia="宋体"/>
          <w:sz w:val="24"/>
          <w:szCs w:val="24"/>
        </w:rPr>
        <w:t>3.供应商必须据实填写，不得虚假响应，否则将取消其中标资格，并按有关规定进行处罚。</w:t>
      </w:r>
    </w:p>
    <w:p>
      <w:pPr>
        <w:spacing w:line="400" w:lineRule="exact"/>
        <w:ind w:firstLine="480" w:firstLineChars="200"/>
        <w:jc w:val="left"/>
        <w:rPr>
          <w:rFonts w:ascii="宋体" w:hAnsi="宋体" w:eastAsia="宋体"/>
          <w:sz w:val="24"/>
          <w:szCs w:val="24"/>
        </w:rPr>
      </w:pPr>
      <w:r>
        <w:rPr>
          <w:rFonts w:ascii="宋体" w:hAnsi="宋体" w:eastAsia="宋体"/>
          <w:sz w:val="24"/>
          <w:szCs w:val="24"/>
        </w:rPr>
        <w:t>投标人名称：（盖章）</w:t>
      </w:r>
    </w:p>
    <w:p>
      <w:pPr>
        <w:spacing w:line="400" w:lineRule="exact"/>
        <w:ind w:firstLine="480" w:firstLineChars="200"/>
        <w:jc w:val="left"/>
        <w:rPr>
          <w:rFonts w:ascii="宋体" w:hAnsi="宋体" w:eastAsia="宋体"/>
          <w:sz w:val="24"/>
          <w:szCs w:val="24"/>
        </w:rPr>
      </w:pPr>
      <w:r>
        <w:rPr>
          <w:rFonts w:ascii="宋体" w:hAnsi="宋体" w:eastAsia="宋体"/>
          <w:sz w:val="24"/>
          <w:szCs w:val="24"/>
        </w:rPr>
        <w:t>法定代表人或授权代表（签字）：</w:t>
      </w:r>
    </w:p>
    <w:p>
      <w:pPr>
        <w:spacing w:line="400" w:lineRule="exact"/>
        <w:ind w:firstLine="480" w:firstLineChars="200"/>
        <w:rPr>
          <w:rFonts w:ascii="Times New Roman" w:hAnsi="Times New Roman" w:eastAsia="Times New Roman"/>
          <w:sz w:val="24"/>
          <w:szCs w:val="24"/>
        </w:rPr>
      </w:pPr>
      <w:r>
        <w:rPr>
          <w:rFonts w:ascii="宋体" w:hAnsi="宋体" w:eastAsia="宋体"/>
          <w:sz w:val="24"/>
          <w:szCs w:val="24"/>
        </w:rPr>
        <w:t>投标日期</w:t>
      </w:r>
      <w:r>
        <w:rPr>
          <w:rFonts w:ascii="Times New Roman" w:hAnsi="Times New Roman" w:eastAsia="Times New Roman"/>
          <w:sz w:val="24"/>
          <w:szCs w:val="24"/>
        </w:rPr>
        <w:t>:</w:t>
      </w:r>
    </w:p>
    <w:p>
      <w:pPr>
        <w:widowControl/>
        <w:jc w:val="left"/>
        <w:rPr>
          <w:rFonts w:ascii="Times New Roman" w:hAnsi="Times New Roman" w:eastAsia="Times New Roman"/>
          <w:sz w:val="24"/>
          <w:szCs w:val="24"/>
        </w:rPr>
      </w:pPr>
      <w:r>
        <w:rPr>
          <w:rFonts w:ascii="Times New Roman" w:hAnsi="Times New Roman" w:eastAsia="Times New Roman"/>
          <w:sz w:val="24"/>
          <w:szCs w:val="24"/>
        </w:rPr>
        <w:br w:type="page"/>
      </w:r>
    </w:p>
    <w:p>
      <w:pPr>
        <w:spacing w:line="400" w:lineRule="exact"/>
        <w:ind w:firstLine="480" w:firstLineChars="200"/>
        <w:rPr>
          <w:rFonts w:ascii="Times New Roman" w:hAnsi="Times New Roman" w:eastAsia="Times New Roman"/>
          <w:sz w:val="24"/>
          <w:szCs w:val="24"/>
        </w:rPr>
      </w:pPr>
    </w:p>
    <w:p>
      <w:pPr>
        <w:rPr>
          <w:rFonts w:ascii="宋体" w:hAnsi="宋体" w:eastAsia="宋体"/>
          <w:szCs w:val="21"/>
        </w:rPr>
      </w:pPr>
    </w:p>
    <w:p>
      <w:pPr>
        <w:pStyle w:val="6"/>
        <w:jc w:val="both"/>
        <w:rPr>
          <w:rFonts w:ascii="宋体" w:hAnsi="宋体" w:eastAsia="宋体"/>
          <w:color w:val="auto"/>
        </w:rPr>
      </w:pPr>
      <w:r>
        <w:rPr>
          <w:rFonts w:ascii="宋体" w:hAnsi="宋体" w:eastAsia="宋体"/>
          <w:color w:val="auto"/>
        </w:rPr>
        <w:t>格式</w:t>
      </w:r>
      <w:r>
        <w:rPr>
          <w:rFonts w:ascii="Times New Roman" w:hAnsi="Times New Roman" w:eastAsia="Times New Roman"/>
          <w:color w:val="auto"/>
        </w:rPr>
        <w:t xml:space="preserve">2-9 </w:t>
      </w:r>
      <w:r>
        <w:rPr>
          <w:rFonts w:ascii="宋体" w:hAnsi="宋体" w:eastAsia="宋体"/>
          <w:color w:val="auto"/>
        </w:rPr>
        <w:t>投标人本项目管理、技术、服务人员情况表</w:t>
      </w:r>
    </w:p>
    <w:p>
      <w:pPr>
        <w:spacing w:line="400" w:lineRule="exact"/>
        <w:rPr>
          <w:rFonts w:ascii="Times New Roman" w:hAnsi="Times New Roman" w:eastAsia="Times New Roman"/>
          <w:sz w:val="24"/>
          <w:szCs w:val="24"/>
        </w:rPr>
      </w:pPr>
      <w:r>
        <w:rPr>
          <w:rFonts w:ascii="宋体" w:hAnsi="宋体" w:eastAsia="宋体"/>
          <w:sz w:val="24"/>
          <w:szCs w:val="24"/>
        </w:rPr>
        <w:t>招标编号：</w:t>
      </w:r>
    </w:p>
    <w:tbl>
      <w:tblPr>
        <w:tblStyle w:val="18"/>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930"/>
        <w:gridCol w:w="810"/>
        <w:gridCol w:w="810"/>
        <w:gridCol w:w="810"/>
        <w:gridCol w:w="810"/>
        <w:gridCol w:w="1050"/>
        <w:gridCol w:w="735"/>
        <w:gridCol w:w="84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25" w:hRule="atLeast"/>
        </w:trPr>
        <w:tc>
          <w:tcPr>
            <w:tcW w:w="930" w:type="dxa"/>
            <w:vMerge w:val="restar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r>
              <w:rPr>
                <w:rFonts w:ascii="宋体" w:hAnsi="宋体" w:eastAsia="宋体"/>
                <w:szCs w:val="21"/>
              </w:rPr>
              <w:t>类别</w:t>
            </w:r>
          </w:p>
        </w:tc>
        <w:tc>
          <w:tcPr>
            <w:tcW w:w="810" w:type="dxa"/>
            <w:vMerge w:val="restar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r>
              <w:rPr>
                <w:rFonts w:ascii="宋体" w:hAnsi="宋体" w:eastAsia="宋体"/>
                <w:szCs w:val="21"/>
              </w:rPr>
              <w:t>职务</w:t>
            </w:r>
          </w:p>
        </w:tc>
        <w:tc>
          <w:tcPr>
            <w:tcW w:w="810" w:type="dxa"/>
            <w:vMerge w:val="restar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r>
              <w:rPr>
                <w:rFonts w:ascii="宋体" w:hAnsi="宋体" w:eastAsia="宋体"/>
                <w:szCs w:val="21"/>
              </w:rPr>
              <w:t>姓名</w:t>
            </w:r>
          </w:p>
        </w:tc>
        <w:tc>
          <w:tcPr>
            <w:tcW w:w="810" w:type="dxa"/>
            <w:vMerge w:val="restar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r>
              <w:rPr>
                <w:rFonts w:ascii="宋体" w:hAnsi="宋体" w:eastAsia="宋体"/>
                <w:szCs w:val="21"/>
              </w:rPr>
              <w:t>职称</w:t>
            </w:r>
          </w:p>
        </w:tc>
        <w:tc>
          <w:tcPr>
            <w:tcW w:w="810" w:type="dxa"/>
            <w:vMerge w:val="restar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r>
              <w:rPr>
                <w:rFonts w:ascii="宋体" w:hAnsi="宋体" w:eastAsia="宋体"/>
                <w:szCs w:val="21"/>
              </w:rPr>
              <w:t>常住地</w:t>
            </w:r>
          </w:p>
        </w:tc>
        <w:tc>
          <w:tcPr>
            <w:tcW w:w="3360" w:type="dxa"/>
            <w:gridSpan w:val="4"/>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r>
              <w:rPr>
                <w:rFonts w:ascii="宋体" w:hAnsi="宋体" w:eastAsia="宋体"/>
                <w:szCs w:val="21"/>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25" w:hRule="atLeast"/>
        </w:trPr>
        <w:tc>
          <w:tcPr>
            <w:tcW w:w="930" w:type="dxa"/>
            <w:vMerge w:val="continue"/>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810" w:type="dxa"/>
            <w:vMerge w:val="continue"/>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810" w:type="dxa"/>
            <w:vMerge w:val="continue"/>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810" w:type="dxa"/>
            <w:vMerge w:val="continue"/>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810" w:type="dxa"/>
            <w:vMerge w:val="continue"/>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p>
        </w:tc>
        <w:tc>
          <w:tcPr>
            <w:tcW w:w="105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r>
              <w:rPr>
                <w:rFonts w:ascii="宋体" w:hAnsi="宋体" w:eastAsia="宋体"/>
                <w:szCs w:val="21"/>
              </w:rPr>
              <w:t>证书名称</w:t>
            </w:r>
          </w:p>
        </w:tc>
        <w:tc>
          <w:tcPr>
            <w:tcW w:w="735"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r>
              <w:rPr>
                <w:rFonts w:ascii="宋体" w:hAnsi="宋体" w:eastAsia="宋体"/>
                <w:szCs w:val="21"/>
              </w:rPr>
              <w:t>级别</w:t>
            </w:r>
          </w:p>
        </w:tc>
        <w:tc>
          <w:tcPr>
            <w:tcW w:w="84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r>
              <w:rPr>
                <w:rFonts w:ascii="宋体" w:hAnsi="宋体" w:eastAsia="宋体"/>
                <w:szCs w:val="21"/>
              </w:rPr>
              <w:t>证号</w:t>
            </w:r>
          </w:p>
        </w:tc>
        <w:tc>
          <w:tcPr>
            <w:tcW w:w="735"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eastAsia="宋体"/>
                <w:szCs w:val="21"/>
              </w:rPr>
            </w:pPr>
            <w:r>
              <w:rPr>
                <w:rFonts w:ascii="宋体" w:hAnsi="宋体" w:eastAsia="宋体"/>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25" w:hRule="atLeast"/>
        </w:trPr>
        <w:tc>
          <w:tcPr>
            <w:tcW w:w="930" w:type="dxa"/>
            <w:vMerge w:val="restart"/>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Cs w:val="21"/>
              </w:rPr>
            </w:pPr>
            <w:r>
              <w:rPr>
                <w:rFonts w:ascii="宋体" w:hAnsi="宋体" w:eastAsia="宋体"/>
                <w:szCs w:val="21"/>
              </w:rPr>
              <w:t>管</w:t>
            </w:r>
          </w:p>
          <w:p>
            <w:pPr>
              <w:spacing w:line="400" w:lineRule="exact"/>
              <w:jc w:val="center"/>
              <w:rPr>
                <w:rFonts w:ascii="宋体" w:hAnsi="宋体" w:eastAsia="宋体"/>
                <w:szCs w:val="21"/>
              </w:rPr>
            </w:pPr>
            <w:r>
              <w:rPr>
                <w:rFonts w:ascii="宋体" w:hAnsi="宋体" w:eastAsia="宋体"/>
                <w:szCs w:val="21"/>
              </w:rPr>
              <w:t>理</w:t>
            </w:r>
          </w:p>
          <w:p>
            <w:pPr>
              <w:spacing w:line="400" w:lineRule="exact"/>
              <w:jc w:val="center"/>
              <w:rPr>
                <w:rFonts w:ascii="宋体" w:hAnsi="宋体" w:eastAsia="宋体"/>
                <w:szCs w:val="21"/>
              </w:rPr>
            </w:pPr>
            <w:r>
              <w:rPr>
                <w:rFonts w:ascii="宋体" w:hAnsi="宋体" w:eastAsia="宋体"/>
                <w:szCs w:val="21"/>
              </w:rPr>
              <w:t>人</w:t>
            </w:r>
          </w:p>
          <w:p>
            <w:pPr>
              <w:spacing w:line="400" w:lineRule="exact"/>
              <w:jc w:val="center"/>
              <w:rPr>
                <w:rFonts w:ascii="宋体" w:hAnsi="宋体" w:eastAsia="宋体"/>
                <w:sz w:val="28"/>
                <w:szCs w:val="28"/>
              </w:rPr>
            </w:pPr>
            <w:r>
              <w:rPr>
                <w:rFonts w:ascii="宋体" w:hAnsi="宋体" w:eastAsia="宋体"/>
                <w:sz w:val="28"/>
                <w:szCs w:val="28"/>
              </w:rPr>
              <w:t>员</w:t>
            </w: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105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735"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4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735"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25" w:hRule="atLeast"/>
        </w:trPr>
        <w:tc>
          <w:tcPr>
            <w:tcW w:w="930" w:type="dxa"/>
            <w:vMerge w:val="continue"/>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105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735"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4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735"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25" w:hRule="atLeast"/>
        </w:trPr>
        <w:tc>
          <w:tcPr>
            <w:tcW w:w="930" w:type="dxa"/>
            <w:vMerge w:val="continue"/>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105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735"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4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735"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25" w:hRule="atLeast"/>
        </w:trPr>
        <w:tc>
          <w:tcPr>
            <w:tcW w:w="930" w:type="dxa"/>
            <w:vMerge w:val="restart"/>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Cs w:val="21"/>
              </w:rPr>
            </w:pPr>
            <w:r>
              <w:rPr>
                <w:rFonts w:ascii="宋体" w:hAnsi="宋体" w:eastAsia="宋体"/>
                <w:szCs w:val="21"/>
              </w:rPr>
              <w:t>技</w:t>
            </w:r>
          </w:p>
          <w:p>
            <w:pPr>
              <w:spacing w:line="400" w:lineRule="exact"/>
              <w:jc w:val="center"/>
              <w:rPr>
                <w:rFonts w:ascii="宋体" w:hAnsi="宋体" w:eastAsia="宋体"/>
                <w:szCs w:val="21"/>
              </w:rPr>
            </w:pPr>
            <w:r>
              <w:rPr>
                <w:rFonts w:ascii="宋体" w:hAnsi="宋体" w:eastAsia="宋体"/>
                <w:szCs w:val="21"/>
              </w:rPr>
              <w:t>术</w:t>
            </w:r>
          </w:p>
          <w:p>
            <w:pPr>
              <w:spacing w:line="400" w:lineRule="exact"/>
              <w:jc w:val="center"/>
              <w:rPr>
                <w:rFonts w:ascii="宋体" w:hAnsi="宋体" w:eastAsia="宋体"/>
                <w:szCs w:val="21"/>
              </w:rPr>
            </w:pPr>
            <w:r>
              <w:rPr>
                <w:rFonts w:ascii="宋体" w:hAnsi="宋体" w:eastAsia="宋体"/>
                <w:szCs w:val="21"/>
              </w:rPr>
              <w:t>人</w:t>
            </w:r>
          </w:p>
          <w:p>
            <w:pPr>
              <w:spacing w:line="400" w:lineRule="exact"/>
              <w:jc w:val="center"/>
              <w:rPr>
                <w:rFonts w:ascii="宋体" w:hAnsi="宋体" w:eastAsia="宋体"/>
                <w:szCs w:val="21"/>
              </w:rPr>
            </w:pPr>
            <w:r>
              <w:rPr>
                <w:rFonts w:ascii="宋体" w:hAnsi="宋体" w:eastAsia="宋体"/>
                <w:szCs w:val="21"/>
              </w:rPr>
              <w:t>员</w:t>
            </w: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105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735"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4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735"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25" w:hRule="atLeast"/>
        </w:trPr>
        <w:tc>
          <w:tcPr>
            <w:tcW w:w="930" w:type="dxa"/>
            <w:vMerge w:val="continue"/>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Cs w:val="21"/>
              </w:rPr>
            </w:pP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105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735"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4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735"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25" w:hRule="atLeast"/>
        </w:trPr>
        <w:tc>
          <w:tcPr>
            <w:tcW w:w="930" w:type="dxa"/>
            <w:vMerge w:val="continue"/>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Cs w:val="21"/>
              </w:rPr>
            </w:pP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105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735"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4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735"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25" w:hRule="atLeast"/>
        </w:trPr>
        <w:tc>
          <w:tcPr>
            <w:tcW w:w="930" w:type="dxa"/>
            <w:vMerge w:val="restart"/>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Cs w:val="21"/>
              </w:rPr>
            </w:pPr>
            <w:r>
              <w:rPr>
                <w:rFonts w:ascii="宋体" w:hAnsi="宋体" w:eastAsia="宋体"/>
                <w:szCs w:val="21"/>
              </w:rPr>
              <w:t>售后</w:t>
            </w:r>
          </w:p>
          <w:p>
            <w:pPr>
              <w:spacing w:line="400" w:lineRule="exact"/>
              <w:jc w:val="center"/>
              <w:rPr>
                <w:rFonts w:ascii="宋体" w:hAnsi="宋体" w:eastAsia="宋体"/>
                <w:szCs w:val="21"/>
              </w:rPr>
            </w:pPr>
            <w:r>
              <w:rPr>
                <w:rFonts w:ascii="宋体" w:hAnsi="宋体" w:eastAsia="宋体"/>
                <w:szCs w:val="21"/>
              </w:rPr>
              <w:t>服务</w:t>
            </w:r>
          </w:p>
          <w:p>
            <w:pPr>
              <w:spacing w:line="400" w:lineRule="exact"/>
              <w:jc w:val="center"/>
              <w:rPr>
                <w:rFonts w:ascii="宋体" w:hAnsi="宋体" w:eastAsia="宋体"/>
                <w:szCs w:val="21"/>
              </w:rPr>
            </w:pPr>
            <w:r>
              <w:rPr>
                <w:rFonts w:ascii="宋体" w:hAnsi="宋体" w:eastAsia="宋体"/>
                <w:szCs w:val="21"/>
              </w:rPr>
              <w:t>人员</w:t>
            </w: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105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735"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4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735"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25" w:hRule="atLeast"/>
        </w:trPr>
        <w:tc>
          <w:tcPr>
            <w:tcW w:w="930" w:type="dxa"/>
            <w:vMerge w:val="continue"/>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105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735"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4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735"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25" w:hRule="atLeast"/>
        </w:trPr>
        <w:tc>
          <w:tcPr>
            <w:tcW w:w="930" w:type="dxa"/>
            <w:vMerge w:val="continue"/>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1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105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735"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840"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c>
          <w:tcPr>
            <w:tcW w:w="735" w:type="dxa"/>
            <w:tcBorders>
              <w:top w:val="single" w:color="000000" w:sz="8" w:space="0"/>
              <w:left w:val="single" w:color="000000" w:sz="8" w:space="0"/>
              <w:bottom w:val="single" w:color="000000" w:sz="8" w:space="0"/>
              <w:right w:val="single" w:color="000000" w:sz="8" w:space="0"/>
            </w:tcBorders>
          </w:tcPr>
          <w:p>
            <w:pPr>
              <w:spacing w:line="400" w:lineRule="exact"/>
              <w:jc w:val="center"/>
              <w:rPr>
                <w:rFonts w:ascii="宋体" w:hAnsi="宋体" w:eastAsia="宋体"/>
                <w:sz w:val="28"/>
                <w:szCs w:val="28"/>
              </w:rPr>
            </w:pPr>
          </w:p>
        </w:tc>
      </w:tr>
    </w:tbl>
    <w:p>
      <w:pPr>
        <w:snapToGrid w:val="0"/>
        <w:jc w:val="left"/>
        <w:rPr>
          <w:rFonts w:ascii="微软雅黑" w:hAnsi="微软雅黑" w:eastAsia="微软雅黑"/>
          <w:szCs w:val="21"/>
        </w:rPr>
      </w:pPr>
    </w:p>
    <w:p>
      <w:pPr>
        <w:spacing w:line="400" w:lineRule="exact"/>
        <w:ind w:firstLine="900" w:firstLineChars="375"/>
        <w:jc w:val="left"/>
        <w:rPr>
          <w:rFonts w:ascii="宋体" w:hAnsi="宋体" w:eastAsia="宋体"/>
          <w:sz w:val="24"/>
          <w:szCs w:val="24"/>
        </w:rPr>
      </w:pPr>
      <w:r>
        <w:rPr>
          <w:rFonts w:ascii="宋体" w:hAnsi="宋体" w:eastAsia="宋体"/>
          <w:sz w:val="24"/>
          <w:szCs w:val="24"/>
        </w:rPr>
        <w:t>投标人名称：（盖章）</w:t>
      </w:r>
    </w:p>
    <w:p>
      <w:pPr>
        <w:spacing w:line="400" w:lineRule="exact"/>
        <w:ind w:firstLine="900" w:firstLineChars="375"/>
        <w:jc w:val="left"/>
        <w:rPr>
          <w:rFonts w:ascii="宋体" w:hAnsi="宋体" w:eastAsia="宋体"/>
          <w:sz w:val="24"/>
          <w:szCs w:val="24"/>
        </w:rPr>
      </w:pPr>
      <w:r>
        <w:rPr>
          <w:rFonts w:ascii="宋体" w:hAnsi="宋体" w:eastAsia="宋体"/>
          <w:sz w:val="24"/>
          <w:szCs w:val="24"/>
        </w:rPr>
        <w:t>法定代表人或授权代表（签字）：</w:t>
      </w:r>
    </w:p>
    <w:p>
      <w:pPr>
        <w:spacing w:line="400" w:lineRule="exact"/>
        <w:ind w:firstLine="900" w:firstLineChars="375"/>
        <w:jc w:val="left"/>
        <w:rPr>
          <w:rFonts w:ascii="Times New Roman" w:hAnsi="Times New Roman" w:eastAsia="Times New Roman"/>
          <w:sz w:val="24"/>
          <w:szCs w:val="24"/>
        </w:rPr>
      </w:pPr>
      <w:r>
        <w:rPr>
          <w:rFonts w:ascii="宋体" w:hAnsi="宋体" w:eastAsia="宋体"/>
          <w:sz w:val="24"/>
          <w:szCs w:val="24"/>
        </w:rPr>
        <w:t>投标日期</w:t>
      </w:r>
      <w:r>
        <w:rPr>
          <w:rFonts w:ascii="Times New Roman" w:hAnsi="Times New Roman" w:eastAsia="Times New Roman"/>
          <w:sz w:val="24"/>
          <w:szCs w:val="24"/>
        </w:rPr>
        <w:t>:</w:t>
      </w:r>
    </w:p>
    <w:p>
      <w:pPr>
        <w:spacing w:line="400" w:lineRule="exact"/>
        <w:jc w:val="left"/>
        <w:rPr>
          <w:rFonts w:ascii="宋体" w:hAnsi="宋体" w:eastAsia="宋体"/>
          <w:sz w:val="24"/>
          <w:szCs w:val="24"/>
        </w:rPr>
      </w:pPr>
    </w:p>
    <w:p>
      <w:pPr>
        <w:spacing w:line="400" w:lineRule="exact"/>
        <w:jc w:val="left"/>
        <w:rPr>
          <w:rFonts w:ascii="宋体" w:hAnsi="宋体" w:eastAsia="宋体"/>
          <w:sz w:val="24"/>
          <w:szCs w:val="24"/>
        </w:rPr>
      </w:pPr>
    </w:p>
    <w:p>
      <w:pPr>
        <w:spacing w:line="400" w:lineRule="exact"/>
        <w:jc w:val="left"/>
        <w:rPr>
          <w:rFonts w:ascii="宋体" w:hAnsi="宋体" w:eastAsia="宋体"/>
          <w:sz w:val="24"/>
          <w:szCs w:val="24"/>
        </w:rPr>
      </w:pPr>
    </w:p>
    <w:p>
      <w:pPr>
        <w:spacing w:line="400" w:lineRule="exact"/>
        <w:jc w:val="left"/>
        <w:rPr>
          <w:rFonts w:ascii="宋体" w:hAnsi="宋体" w:eastAsia="宋体"/>
          <w:sz w:val="24"/>
          <w:szCs w:val="24"/>
        </w:rPr>
      </w:pPr>
    </w:p>
    <w:p>
      <w:pPr>
        <w:spacing w:line="400" w:lineRule="exact"/>
        <w:jc w:val="left"/>
        <w:rPr>
          <w:rFonts w:ascii="宋体" w:hAnsi="宋体" w:eastAsia="宋体"/>
          <w:sz w:val="24"/>
          <w:szCs w:val="24"/>
        </w:rPr>
      </w:pPr>
    </w:p>
    <w:p>
      <w:pPr>
        <w:spacing w:line="400" w:lineRule="exact"/>
        <w:ind w:firstLine="420" w:firstLineChars="175"/>
        <w:jc w:val="left"/>
        <w:rPr>
          <w:rFonts w:ascii="宋体" w:hAnsi="宋体" w:eastAsia="宋体"/>
          <w:sz w:val="24"/>
          <w:szCs w:val="24"/>
        </w:rPr>
      </w:pPr>
    </w:p>
    <w:p>
      <w:pPr>
        <w:pStyle w:val="6"/>
        <w:spacing w:before="0" w:after="0" w:line="415" w:lineRule="auto"/>
        <w:jc w:val="both"/>
        <w:rPr>
          <w:rFonts w:ascii="宋体" w:hAnsi="宋体" w:eastAsia="宋体"/>
          <w:color w:val="auto"/>
        </w:rPr>
      </w:pPr>
      <w:r>
        <w:rPr>
          <w:rFonts w:ascii="宋体" w:hAnsi="宋体" w:eastAsia="宋体"/>
          <w:color w:val="auto"/>
        </w:rPr>
        <w:t>格式</w:t>
      </w:r>
      <w:r>
        <w:rPr>
          <w:rFonts w:ascii="Times New Roman" w:hAnsi="Times New Roman" w:eastAsia="Times New Roman"/>
          <w:color w:val="auto"/>
        </w:rPr>
        <w:t>2-10</w:t>
      </w:r>
      <w:r>
        <w:rPr>
          <w:rFonts w:ascii="宋体" w:hAnsi="宋体" w:eastAsia="宋体"/>
          <w:color w:val="auto"/>
        </w:rPr>
        <w:t>知识产权承诺</w:t>
      </w:r>
    </w:p>
    <w:p>
      <w:pPr>
        <w:rPr>
          <w:rFonts w:ascii="宋体" w:hAnsi="宋体" w:eastAsia="宋体"/>
          <w:sz w:val="24"/>
          <w:szCs w:val="24"/>
        </w:rPr>
      </w:pPr>
      <w:r>
        <w:rPr>
          <w:rFonts w:ascii="宋体" w:hAnsi="宋体" w:eastAsia="宋体"/>
          <w:sz w:val="24"/>
          <w:szCs w:val="24"/>
        </w:rPr>
        <w:t>XXX（采购代理机构名称）：</w:t>
      </w:r>
    </w:p>
    <w:p>
      <w:pPr>
        <w:rPr>
          <w:rFonts w:ascii="宋体" w:hAnsi="宋体" w:eastAsia="宋体"/>
          <w:szCs w:val="21"/>
        </w:rPr>
      </w:pPr>
    </w:p>
    <w:p>
      <w:pPr>
        <w:spacing w:line="360" w:lineRule="auto"/>
        <w:ind w:firstLine="480" w:firstLineChars="200"/>
        <w:rPr>
          <w:rFonts w:ascii="宋体" w:hAnsi="宋体" w:eastAsia="宋体"/>
          <w:sz w:val="24"/>
          <w:szCs w:val="24"/>
        </w:rPr>
      </w:pPr>
      <w:r>
        <w:rPr>
          <w:rFonts w:ascii="宋体" w:hAnsi="宋体" w:eastAsia="宋体"/>
          <w:sz w:val="24"/>
          <w:szCs w:val="24"/>
        </w:rPr>
        <w:t>根据招标文件要求，我公司承诺同意以下内容：</w:t>
      </w:r>
    </w:p>
    <w:p>
      <w:pPr>
        <w:spacing w:line="360" w:lineRule="auto"/>
        <w:ind w:firstLine="460" w:firstLineChars="192"/>
        <w:rPr>
          <w:rFonts w:ascii="宋体" w:hAnsi="宋体" w:eastAsia="宋体"/>
          <w:sz w:val="24"/>
          <w:szCs w:val="24"/>
        </w:rPr>
      </w:pPr>
      <w:r>
        <w:rPr>
          <w:rFonts w:ascii="宋体" w:hAnsi="宋体" w:eastAsia="宋体"/>
          <w:sz w:val="24"/>
          <w:szCs w:val="24"/>
        </w:rPr>
        <w:t>1、我公司保证在本项目使用的任何产品和服务（包括部分使用）时，不会产生因第三方提出侵犯其专利权、商标权或其它知识产权而引起的法律和经济纠纷，如因专利权、商标权或其它知识产权而引起法律和经济纠纷，由我公司承担所有相关责任。</w:t>
      </w:r>
    </w:p>
    <w:p>
      <w:pPr>
        <w:spacing w:line="360" w:lineRule="auto"/>
        <w:ind w:firstLine="460" w:firstLineChars="192"/>
        <w:rPr>
          <w:rFonts w:ascii="宋体" w:hAnsi="宋体" w:eastAsia="宋体"/>
          <w:sz w:val="24"/>
          <w:szCs w:val="24"/>
        </w:rPr>
      </w:pPr>
      <w:r>
        <w:rPr>
          <w:rFonts w:ascii="宋体" w:hAnsi="宋体" w:eastAsia="宋体"/>
          <w:sz w:val="24"/>
          <w:szCs w:val="24"/>
        </w:rPr>
        <w:t>2、采购人享有本项目实施过程中产生的知识成果及知识产权。</w:t>
      </w:r>
    </w:p>
    <w:p>
      <w:pPr>
        <w:spacing w:line="360" w:lineRule="auto"/>
        <w:ind w:firstLine="460" w:firstLineChars="192"/>
        <w:rPr>
          <w:rFonts w:ascii="宋体" w:hAnsi="宋体" w:eastAsia="宋体"/>
          <w:sz w:val="24"/>
          <w:szCs w:val="24"/>
        </w:rPr>
      </w:pPr>
      <w:r>
        <w:rPr>
          <w:rFonts w:ascii="宋体" w:hAnsi="宋体" w:eastAsia="宋体"/>
          <w:sz w:val="24"/>
          <w:szCs w:val="24"/>
        </w:rPr>
        <w:t>3、 我公司如欲在项目实施过程中采用自有知识成果，将在投标文件中声明，并提供相关知识产权证明文件。使用该知识成果后，我公司将提供开发接口和开发手册等技术文档，并承诺提供无限期技术支持，采购人享有永久使用权（含采购人委托第三方在该项目后续开发的使用权）。</w:t>
      </w:r>
    </w:p>
    <w:p>
      <w:pPr>
        <w:spacing w:line="360" w:lineRule="auto"/>
        <w:ind w:firstLine="460" w:firstLineChars="192"/>
        <w:rPr>
          <w:rFonts w:ascii="宋体" w:hAnsi="宋体" w:eastAsia="宋体"/>
          <w:sz w:val="24"/>
          <w:szCs w:val="24"/>
        </w:rPr>
      </w:pPr>
      <w:r>
        <w:rPr>
          <w:rFonts w:ascii="宋体" w:hAnsi="宋体" w:eastAsia="宋体"/>
          <w:sz w:val="24"/>
          <w:szCs w:val="24"/>
        </w:rPr>
        <w:t>4、我公司如采用我公司所不拥有的知识产权，投标报价中将包括合法获取该知识产权的相关费用。</w:t>
      </w: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spacing w:line="400" w:lineRule="exact"/>
        <w:ind w:firstLine="420" w:firstLineChars="175"/>
        <w:jc w:val="left"/>
        <w:rPr>
          <w:rFonts w:ascii="宋体" w:hAnsi="宋体" w:eastAsia="宋体"/>
          <w:sz w:val="24"/>
          <w:szCs w:val="24"/>
        </w:rPr>
      </w:pPr>
      <w:r>
        <w:rPr>
          <w:rFonts w:ascii="宋体" w:hAnsi="宋体" w:eastAsia="宋体"/>
          <w:sz w:val="24"/>
          <w:szCs w:val="24"/>
        </w:rPr>
        <w:t>投标人名称：（盖章）</w:t>
      </w:r>
    </w:p>
    <w:p>
      <w:pPr>
        <w:spacing w:line="400" w:lineRule="exact"/>
        <w:ind w:firstLine="420" w:firstLineChars="175"/>
        <w:jc w:val="left"/>
        <w:rPr>
          <w:rFonts w:ascii="宋体" w:hAnsi="宋体" w:eastAsia="宋体"/>
          <w:sz w:val="24"/>
          <w:szCs w:val="24"/>
        </w:rPr>
      </w:pPr>
      <w:r>
        <w:rPr>
          <w:rFonts w:ascii="宋体" w:hAnsi="宋体" w:eastAsia="宋体"/>
          <w:sz w:val="24"/>
          <w:szCs w:val="24"/>
        </w:rPr>
        <w:t>法定代表人或授权代表（签字）：</w:t>
      </w:r>
    </w:p>
    <w:p>
      <w:pPr>
        <w:spacing w:line="400" w:lineRule="exact"/>
        <w:ind w:firstLine="420" w:firstLineChars="175"/>
        <w:jc w:val="left"/>
        <w:rPr>
          <w:rFonts w:ascii="Times New Roman" w:hAnsi="Times New Roman" w:eastAsia="Times New Roman"/>
          <w:sz w:val="24"/>
          <w:szCs w:val="24"/>
        </w:rPr>
      </w:pPr>
      <w:r>
        <w:rPr>
          <w:rFonts w:ascii="宋体" w:hAnsi="宋体" w:eastAsia="宋体"/>
          <w:sz w:val="24"/>
          <w:szCs w:val="24"/>
        </w:rPr>
        <w:t>投标日期</w:t>
      </w:r>
      <w:r>
        <w:rPr>
          <w:rFonts w:ascii="Times New Roman" w:hAnsi="Times New Roman" w:eastAsia="Times New Roman"/>
          <w:sz w:val="24"/>
          <w:szCs w:val="24"/>
        </w:rPr>
        <w:t>:</w:t>
      </w:r>
    </w:p>
    <w:p>
      <w:pPr>
        <w:widowControl/>
        <w:jc w:val="left"/>
        <w:rPr>
          <w:rFonts w:ascii="Times New Roman" w:hAnsi="Times New Roman" w:eastAsia="Times New Roman"/>
          <w:sz w:val="24"/>
          <w:szCs w:val="24"/>
        </w:rPr>
      </w:pPr>
      <w:r>
        <w:rPr>
          <w:rFonts w:ascii="Times New Roman" w:hAnsi="Times New Roman" w:eastAsia="Times New Roman"/>
          <w:sz w:val="24"/>
          <w:szCs w:val="24"/>
        </w:rPr>
        <w:br w:type="page"/>
      </w:r>
    </w:p>
    <w:p>
      <w:pPr>
        <w:spacing w:line="400" w:lineRule="exact"/>
        <w:ind w:firstLine="420" w:firstLineChars="175"/>
        <w:jc w:val="left"/>
        <w:rPr>
          <w:rFonts w:ascii="Times New Roman" w:hAnsi="Times New Roman" w:eastAsia="Times New Roman"/>
          <w:sz w:val="24"/>
          <w:szCs w:val="24"/>
        </w:rPr>
      </w:pPr>
    </w:p>
    <w:p>
      <w:pPr>
        <w:pStyle w:val="6"/>
        <w:spacing w:before="0" w:after="0" w:line="415" w:lineRule="auto"/>
        <w:jc w:val="both"/>
        <w:rPr>
          <w:rFonts w:ascii="宋体" w:hAnsi="宋体" w:eastAsia="宋体"/>
          <w:color w:val="auto"/>
        </w:rPr>
      </w:pPr>
      <w:r>
        <w:rPr>
          <w:rFonts w:ascii="宋体" w:hAnsi="宋体" w:eastAsia="宋体"/>
          <w:color w:val="auto"/>
        </w:rPr>
        <w:t>格式</w:t>
      </w:r>
      <w:r>
        <w:rPr>
          <w:rFonts w:ascii="Times New Roman" w:hAnsi="Times New Roman" w:eastAsia="Times New Roman"/>
          <w:color w:val="auto"/>
        </w:rPr>
        <w:t>2-1</w:t>
      </w:r>
      <w:r>
        <w:rPr>
          <w:rFonts w:hint="eastAsia" w:ascii="Times New Roman" w:hAnsi="Times New Roman" w:eastAsia="宋体"/>
          <w:color w:val="auto"/>
        </w:rPr>
        <w:t>1</w:t>
      </w:r>
      <w:r>
        <w:rPr>
          <w:rFonts w:ascii="Times New Roman" w:hAnsi="Times New Roman" w:eastAsia="Times New Roman"/>
          <w:color w:val="auto"/>
        </w:rPr>
        <w:t xml:space="preserve"> </w:t>
      </w:r>
      <w:r>
        <w:rPr>
          <w:rFonts w:ascii="宋体" w:hAnsi="宋体" w:eastAsia="宋体"/>
          <w:color w:val="auto"/>
        </w:rPr>
        <w:t>招标代理服务费承诺函</w:t>
      </w:r>
    </w:p>
    <w:p>
      <w:pPr>
        <w:spacing w:line="360" w:lineRule="auto"/>
        <w:jc w:val="left"/>
        <w:rPr>
          <w:rFonts w:ascii="宋体" w:hAnsi="宋体" w:eastAsia="宋体"/>
          <w:sz w:val="24"/>
          <w:szCs w:val="24"/>
        </w:rPr>
      </w:pPr>
    </w:p>
    <w:p>
      <w:pPr>
        <w:spacing w:line="360" w:lineRule="auto"/>
        <w:jc w:val="left"/>
        <w:rPr>
          <w:rFonts w:ascii="宋体" w:hAnsi="宋体" w:eastAsia="宋体"/>
          <w:b/>
          <w:bCs/>
          <w:sz w:val="24"/>
          <w:szCs w:val="24"/>
        </w:rPr>
      </w:pPr>
      <w:r>
        <w:rPr>
          <w:rFonts w:ascii="宋体" w:hAnsi="宋体" w:eastAsia="宋体"/>
          <w:b/>
          <w:bCs/>
          <w:sz w:val="24"/>
          <w:szCs w:val="24"/>
        </w:rPr>
        <w:t>中金招标有限责任公司：</w:t>
      </w:r>
    </w:p>
    <w:p>
      <w:pPr>
        <w:spacing w:line="360" w:lineRule="auto"/>
        <w:ind w:firstLine="420" w:firstLineChars="175"/>
        <w:jc w:val="left"/>
        <w:rPr>
          <w:rFonts w:ascii="宋体" w:hAnsi="宋体" w:eastAsia="宋体"/>
          <w:sz w:val="24"/>
          <w:szCs w:val="24"/>
        </w:rPr>
      </w:pPr>
    </w:p>
    <w:p>
      <w:pPr>
        <w:spacing w:line="360" w:lineRule="auto"/>
        <w:ind w:firstLine="420" w:firstLineChars="175"/>
        <w:jc w:val="left"/>
        <w:rPr>
          <w:rFonts w:ascii="宋体" w:hAnsi="宋体" w:eastAsia="宋体"/>
          <w:sz w:val="24"/>
          <w:szCs w:val="24"/>
        </w:rPr>
      </w:pPr>
      <w:r>
        <w:rPr>
          <w:rFonts w:ascii="宋体" w:hAnsi="宋体" w:eastAsia="宋体"/>
          <w:sz w:val="24"/>
          <w:szCs w:val="24"/>
        </w:rPr>
        <w:t>我公司如在本项目（项目名称：，项目编号：）中取得中标资格，我公司保证在收到代理服务费缴纳通知后</w:t>
      </w:r>
      <w:r>
        <w:rPr>
          <w:rFonts w:ascii="Times New Roman" w:hAnsi="Times New Roman" w:eastAsia="Times New Roman"/>
          <w:sz w:val="24"/>
          <w:szCs w:val="24"/>
        </w:rPr>
        <w:t>2</w:t>
      </w:r>
      <w:r>
        <w:rPr>
          <w:rFonts w:ascii="宋体" w:hAnsi="宋体" w:eastAsia="宋体"/>
          <w:sz w:val="24"/>
          <w:szCs w:val="24"/>
        </w:rPr>
        <w:t>个工作日内以转账、现金等方式向贵公司指定的银行账号，按招标文件约定的招标代理服务费金额一次性支付。</w:t>
      </w:r>
    </w:p>
    <w:p>
      <w:pPr>
        <w:spacing w:line="360" w:lineRule="auto"/>
        <w:ind w:firstLine="420" w:firstLineChars="175"/>
        <w:jc w:val="left"/>
        <w:rPr>
          <w:rFonts w:ascii="宋体" w:hAnsi="宋体" w:eastAsia="宋体"/>
          <w:sz w:val="24"/>
          <w:szCs w:val="24"/>
        </w:rPr>
      </w:pPr>
    </w:p>
    <w:p>
      <w:pPr>
        <w:spacing w:line="360" w:lineRule="auto"/>
        <w:ind w:firstLine="420" w:firstLineChars="175"/>
        <w:jc w:val="left"/>
        <w:rPr>
          <w:rFonts w:ascii="宋体" w:hAnsi="宋体" w:eastAsia="宋体"/>
          <w:sz w:val="24"/>
          <w:szCs w:val="24"/>
        </w:rPr>
      </w:pPr>
      <w:r>
        <w:rPr>
          <w:rFonts w:ascii="宋体" w:hAnsi="宋体" w:eastAsia="宋体"/>
          <w:sz w:val="24"/>
          <w:szCs w:val="24"/>
        </w:rPr>
        <w:t>特此承诺！</w:t>
      </w: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spacing w:line="400" w:lineRule="exact"/>
        <w:ind w:firstLine="420" w:firstLineChars="175"/>
        <w:jc w:val="left"/>
        <w:rPr>
          <w:rFonts w:ascii="宋体" w:hAnsi="宋体" w:eastAsia="宋体"/>
          <w:sz w:val="24"/>
          <w:szCs w:val="24"/>
        </w:rPr>
      </w:pPr>
      <w:r>
        <w:rPr>
          <w:rFonts w:ascii="宋体" w:hAnsi="宋体" w:eastAsia="宋体"/>
          <w:sz w:val="24"/>
          <w:szCs w:val="24"/>
        </w:rPr>
        <w:t>投标人名称：（盖章）</w:t>
      </w:r>
    </w:p>
    <w:p>
      <w:pPr>
        <w:spacing w:line="400" w:lineRule="exact"/>
        <w:ind w:firstLine="420" w:firstLineChars="175"/>
        <w:jc w:val="left"/>
        <w:rPr>
          <w:rFonts w:ascii="宋体" w:hAnsi="宋体" w:eastAsia="宋体"/>
          <w:sz w:val="24"/>
          <w:szCs w:val="24"/>
        </w:rPr>
      </w:pPr>
      <w:r>
        <w:rPr>
          <w:rFonts w:ascii="宋体" w:hAnsi="宋体" w:eastAsia="宋体"/>
          <w:sz w:val="24"/>
          <w:szCs w:val="24"/>
        </w:rPr>
        <w:t>法定代表人或授权代表（签字）：</w:t>
      </w:r>
    </w:p>
    <w:p>
      <w:pPr>
        <w:spacing w:line="400" w:lineRule="exact"/>
        <w:ind w:firstLine="420" w:firstLineChars="175"/>
        <w:jc w:val="left"/>
        <w:rPr>
          <w:rFonts w:ascii="Times New Roman" w:hAnsi="Times New Roman" w:eastAsia="Times New Roman"/>
          <w:sz w:val="24"/>
          <w:szCs w:val="24"/>
        </w:rPr>
      </w:pPr>
      <w:r>
        <w:rPr>
          <w:rFonts w:ascii="宋体" w:hAnsi="宋体" w:eastAsia="宋体"/>
          <w:sz w:val="24"/>
          <w:szCs w:val="24"/>
        </w:rPr>
        <w:t>投标日期</w:t>
      </w:r>
      <w:r>
        <w:rPr>
          <w:rFonts w:ascii="Times New Roman" w:hAnsi="Times New Roman" w:eastAsia="Times New Roman"/>
          <w:sz w:val="24"/>
          <w:szCs w:val="24"/>
        </w:rPr>
        <w:t>:</w:t>
      </w:r>
    </w:p>
    <w:p>
      <w:pPr>
        <w:rPr>
          <w:rFonts w:ascii="宋体" w:hAnsi="宋体" w:eastAsia="宋体"/>
          <w:szCs w:val="21"/>
        </w:rPr>
      </w:pPr>
      <w:r>
        <w:rPr>
          <w:rFonts w:ascii="宋体" w:hAnsi="宋体" w:eastAsia="宋体"/>
          <w:szCs w:val="21"/>
        </w:rPr>
        <w:br w:type="page"/>
      </w:r>
    </w:p>
    <w:p>
      <w:pPr>
        <w:pStyle w:val="6"/>
        <w:jc w:val="both"/>
        <w:rPr>
          <w:rFonts w:ascii="宋体" w:hAnsi="宋体" w:eastAsia="宋体"/>
          <w:color w:val="auto"/>
        </w:rPr>
      </w:pPr>
      <w:r>
        <w:rPr>
          <w:rFonts w:ascii="宋体" w:hAnsi="宋体" w:eastAsia="宋体"/>
          <w:color w:val="auto"/>
        </w:rPr>
        <w:t>格式</w:t>
      </w:r>
      <w:r>
        <w:rPr>
          <w:rFonts w:hint="eastAsia" w:ascii="Times New Roman" w:hAnsi="Times New Roman" w:eastAsia="宋体"/>
          <w:color w:val="auto"/>
        </w:rPr>
        <w:t>2</w:t>
      </w:r>
      <w:r>
        <w:rPr>
          <w:rFonts w:ascii="Times New Roman" w:hAnsi="Times New Roman" w:eastAsia="Times New Roman"/>
          <w:color w:val="auto"/>
        </w:rPr>
        <w:t>-</w:t>
      </w:r>
      <w:r>
        <w:rPr>
          <w:rFonts w:hint="eastAsia" w:ascii="宋体" w:hAnsi="宋体" w:eastAsia="宋体"/>
          <w:color w:val="auto"/>
        </w:rPr>
        <w:t>12</w:t>
      </w:r>
      <w:r>
        <w:rPr>
          <w:rFonts w:ascii="宋体" w:hAnsi="宋体" w:eastAsia="宋体"/>
          <w:color w:val="auto"/>
        </w:rPr>
        <w:t>中小企业声明函</w:t>
      </w:r>
    </w:p>
    <w:p>
      <w:pPr>
        <w:autoSpaceDE w:val="0"/>
        <w:autoSpaceDN w:val="0"/>
        <w:adjustRightInd w:val="0"/>
        <w:spacing w:line="360" w:lineRule="auto"/>
        <w:ind w:firstLine="720" w:firstLineChars="300"/>
        <w:jc w:val="left"/>
        <w:rPr>
          <w:rFonts w:ascii="宋体" w:hAnsi="宋体" w:cs="仿宋"/>
          <w:kern w:val="0"/>
          <w:sz w:val="24"/>
          <w:szCs w:val="32"/>
        </w:rPr>
      </w:pPr>
      <w:bookmarkStart w:id="30" w:name="_Toc419811733"/>
      <w:bookmarkStart w:id="31" w:name="_Toc387147344"/>
      <w:bookmarkStart w:id="32" w:name="_Toc387658050"/>
      <w:bookmarkStart w:id="33" w:name="_Toc417911732"/>
      <w:bookmarkStart w:id="34" w:name="_Toc413748654"/>
      <w:r>
        <w:rPr>
          <w:rFonts w:hint="eastAsia" w:ascii="宋体" w:hAnsi="宋体" w:cs="仿宋"/>
          <w:kern w:val="0"/>
          <w:sz w:val="24"/>
          <w:szCs w:val="32"/>
        </w:rPr>
        <w:t>本公司（联合体）郑重声明，根据《政府采购促进中小企业发展管理办法》（财库</w:t>
      </w:r>
      <w:r>
        <w:rPr>
          <w:rFonts w:hint="eastAsia" w:ascii="宋体" w:hAnsi="宋体" w:cs="宋体"/>
          <w:kern w:val="0"/>
          <w:sz w:val="24"/>
          <w:szCs w:val="32"/>
        </w:rPr>
        <w:t>﹝</w:t>
      </w:r>
      <w:r>
        <w:rPr>
          <w:rFonts w:ascii="宋体" w:hAnsi="宋体" w:cs="仿宋"/>
          <w:kern w:val="0"/>
          <w:sz w:val="24"/>
          <w:szCs w:val="32"/>
        </w:rPr>
        <w:t>2020</w:t>
      </w:r>
      <w:r>
        <w:rPr>
          <w:rFonts w:hint="eastAsia" w:ascii="宋体" w:hAnsi="宋体" w:cs="宋体"/>
          <w:kern w:val="0"/>
          <w:sz w:val="24"/>
          <w:szCs w:val="32"/>
        </w:rPr>
        <w:t>﹞</w:t>
      </w:r>
      <w:r>
        <w:rPr>
          <w:rFonts w:ascii="宋体" w:hAnsi="宋体" w:cs="仿宋"/>
          <w:kern w:val="0"/>
          <w:sz w:val="24"/>
          <w:szCs w:val="32"/>
        </w:rPr>
        <w:t xml:space="preserve">46 </w:t>
      </w:r>
      <w:r>
        <w:rPr>
          <w:rFonts w:hint="eastAsia" w:ascii="宋体" w:hAnsi="宋体" w:cs="仿宋"/>
          <w:kern w:val="0"/>
          <w:sz w:val="24"/>
          <w:szCs w:val="32"/>
        </w:rPr>
        <w:t>号）的规定，本公司（联合体）参加</w:t>
      </w:r>
      <w:r>
        <w:rPr>
          <w:rFonts w:hint="eastAsia" w:ascii="宋体" w:hAnsi="宋体" w:cs="仿宋"/>
          <w:kern w:val="0"/>
          <w:sz w:val="24"/>
          <w:u w:val="single"/>
        </w:rPr>
        <w:t>（单位名称）</w:t>
      </w:r>
      <w:r>
        <w:rPr>
          <w:rFonts w:hint="eastAsia" w:ascii="宋体" w:hAnsi="宋体" w:cs="仿宋"/>
          <w:kern w:val="0"/>
          <w:sz w:val="24"/>
          <w:szCs w:val="32"/>
        </w:rPr>
        <w:t>的</w:t>
      </w:r>
      <w:r>
        <w:rPr>
          <w:rFonts w:hint="eastAsia" w:ascii="宋体" w:hAnsi="宋体" w:cs="仿宋"/>
          <w:kern w:val="0"/>
          <w:sz w:val="28"/>
          <w:szCs w:val="33"/>
          <w:u w:val="single"/>
        </w:rPr>
        <w:t>（</w:t>
      </w:r>
      <w:r>
        <w:rPr>
          <w:rFonts w:hint="eastAsia" w:ascii="宋体" w:hAnsi="宋体" w:cs="仿宋"/>
          <w:kern w:val="0"/>
          <w:sz w:val="24"/>
          <w:u w:val="single"/>
        </w:rPr>
        <w:t>项目名称）</w:t>
      </w:r>
      <w:r>
        <w:rPr>
          <w:rFonts w:hint="eastAsia" w:ascii="宋体" w:hAnsi="宋体" w:cs="仿宋"/>
          <w:kern w:val="0"/>
          <w:sz w:val="24"/>
          <w:szCs w:val="32"/>
        </w:rPr>
        <w:t>采购活动，服务全部由符合政策要求的中小企业承接。相关企业（含联合体中的中小企业、签订分包意向协议的中小企业）的具体情况如下：</w:t>
      </w:r>
    </w:p>
    <w:p>
      <w:pPr>
        <w:autoSpaceDE w:val="0"/>
        <w:autoSpaceDN w:val="0"/>
        <w:adjustRightInd w:val="0"/>
        <w:spacing w:line="360" w:lineRule="auto"/>
        <w:jc w:val="left"/>
        <w:rPr>
          <w:rFonts w:ascii="宋体" w:hAnsi="宋体" w:cs="仿宋"/>
          <w:kern w:val="0"/>
          <w:sz w:val="24"/>
          <w:szCs w:val="32"/>
        </w:rPr>
      </w:pPr>
      <w:r>
        <w:rPr>
          <w:rFonts w:ascii="宋体" w:hAnsi="宋体" w:cs="仿宋"/>
          <w:kern w:val="0"/>
          <w:sz w:val="24"/>
          <w:szCs w:val="32"/>
        </w:rPr>
        <w:t>1.</w:t>
      </w:r>
      <w:r>
        <w:rPr>
          <w:rFonts w:ascii="宋体" w:hAnsi="宋体" w:cs="仿宋"/>
          <w:kern w:val="0"/>
          <w:sz w:val="24"/>
          <w:u w:val="single"/>
        </w:rPr>
        <w:t xml:space="preserve"> </w:t>
      </w:r>
      <w:r>
        <w:rPr>
          <w:rFonts w:hint="eastAsia" w:ascii="宋体" w:hAnsi="宋体" w:cs="仿宋"/>
          <w:kern w:val="0"/>
          <w:sz w:val="24"/>
          <w:u w:val="single"/>
        </w:rPr>
        <w:t>（标的名称）</w:t>
      </w:r>
      <w:r>
        <w:rPr>
          <w:rFonts w:ascii="宋体" w:hAnsi="宋体" w:cs="仿宋"/>
          <w:kern w:val="0"/>
          <w:sz w:val="28"/>
          <w:szCs w:val="33"/>
        </w:rPr>
        <w:t xml:space="preserve"> </w:t>
      </w:r>
      <w:r>
        <w:rPr>
          <w:rFonts w:hint="eastAsia" w:ascii="宋体" w:hAnsi="宋体" w:cs="仿宋"/>
          <w:kern w:val="0"/>
          <w:sz w:val="24"/>
          <w:szCs w:val="32"/>
        </w:rPr>
        <w:t>，属于</w:t>
      </w:r>
      <w:r>
        <w:rPr>
          <w:rFonts w:hint="eastAsia" w:ascii="宋体" w:hAnsi="宋体" w:cs="仿宋"/>
          <w:kern w:val="0"/>
          <w:sz w:val="28"/>
          <w:szCs w:val="33"/>
          <w:u w:val="single"/>
        </w:rPr>
        <w:t xml:space="preserve">     </w:t>
      </w:r>
      <w:r>
        <w:rPr>
          <w:rFonts w:hint="eastAsia" w:ascii="宋体" w:hAnsi="宋体" w:cs="仿宋"/>
          <w:kern w:val="0"/>
          <w:sz w:val="24"/>
          <w:u w:val="single"/>
        </w:rPr>
        <w:t>行业</w:t>
      </w:r>
      <w:r>
        <w:rPr>
          <w:rFonts w:hint="eastAsia" w:ascii="宋体" w:hAnsi="宋体" w:cs="仿宋"/>
          <w:kern w:val="0"/>
          <w:sz w:val="24"/>
          <w:szCs w:val="32"/>
        </w:rPr>
        <w:t>；承接企业为</w:t>
      </w:r>
      <w:r>
        <w:rPr>
          <w:rFonts w:hint="eastAsia" w:ascii="宋体" w:hAnsi="宋体" w:cs="仿宋"/>
          <w:kern w:val="0"/>
          <w:sz w:val="24"/>
          <w:u w:val="single"/>
        </w:rPr>
        <w:t>（企业名称），</w:t>
      </w:r>
      <w:r>
        <w:rPr>
          <w:rFonts w:hint="eastAsia" w:ascii="宋体" w:hAnsi="宋体" w:cs="仿宋"/>
          <w:kern w:val="0"/>
          <w:sz w:val="24"/>
          <w:szCs w:val="32"/>
        </w:rPr>
        <w:t>从业人员</w:t>
      </w:r>
      <w:r>
        <w:rPr>
          <w:rFonts w:hint="eastAsia" w:ascii="宋体" w:hAnsi="宋体" w:cs="仿宋"/>
          <w:kern w:val="0"/>
          <w:sz w:val="24"/>
          <w:szCs w:val="32"/>
          <w:u w:val="single"/>
        </w:rPr>
        <w:t xml:space="preserve">      </w:t>
      </w:r>
      <w:r>
        <w:rPr>
          <w:rFonts w:hint="eastAsia" w:ascii="宋体" w:hAnsi="宋体" w:cs="仿宋"/>
          <w:kern w:val="0"/>
          <w:sz w:val="24"/>
          <w:szCs w:val="32"/>
        </w:rPr>
        <w:t xml:space="preserve">人，营业收入为 </w:t>
      </w:r>
      <w:r>
        <w:rPr>
          <w:rFonts w:hint="eastAsia" w:ascii="宋体" w:hAnsi="宋体" w:cs="仿宋"/>
          <w:kern w:val="0"/>
          <w:sz w:val="24"/>
          <w:szCs w:val="32"/>
          <w:u w:val="single"/>
        </w:rPr>
        <w:t xml:space="preserve">        </w:t>
      </w:r>
      <w:r>
        <w:rPr>
          <w:rFonts w:hint="eastAsia" w:ascii="宋体" w:hAnsi="宋体" w:cs="仿宋"/>
          <w:kern w:val="0"/>
          <w:sz w:val="24"/>
          <w:szCs w:val="32"/>
        </w:rPr>
        <w:t>万元，资产总额为</w:t>
      </w:r>
      <w:r>
        <w:rPr>
          <w:rFonts w:hint="eastAsia" w:ascii="宋体" w:hAnsi="宋体" w:cs="仿宋"/>
          <w:kern w:val="0"/>
          <w:sz w:val="24"/>
          <w:szCs w:val="32"/>
          <w:u w:val="single"/>
        </w:rPr>
        <w:t xml:space="preserve">   </w:t>
      </w:r>
      <w:r>
        <w:rPr>
          <w:rFonts w:hint="eastAsia" w:ascii="宋体" w:hAnsi="宋体" w:cs="仿宋"/>
          <w:kern w:val="0"/>
          <w:sz w:val="24"/>
          <w:szCs w:val="32"/>
        </w:rPr>
        <w:t xml:space="preserve">万元，属于 </w:t>
      </w:r>
      <w:r>
        <w:rPr>
          <w:rFonts w:hint="eastAsia" w:ascii="宋体" w:hAnsi="宋体" w:cs="仿宋"/>
          <w:kern w:val="0"/>
          <w:sz w:val="24"/>
          <w:u w:val="single"/>
        </w:rPr>
        <w:t>（中型企业、小型企业、微型企业）</w:t>
      </w:r>
      <w:r>
        <w:rPr>
          <w:rFonts w:hint="eastAsia" w:ascii="宋体" w:hAnsi="宋体" w:cs="仿宋"/>
          <w:kern w:val="0"/>
          <w:sz w:val="24"/>
          <w:szCs w:val="32"/>
        </w:rPr>
        <w:t>；</w:t>
      </w:r>
    </w:p>
    <w:p>
      <w:pPr>
        <w:autoSpaceDE w:val="0"/>
        <w:autoSpaceDN w:val="0"/>
        <w:adjustRightInd w:val="0"/>
        <w:spacing w:line="360" w:lineRule="auto"/>
        <w:jc w:val="left"/>
        <w:rPr>
          <w:rFonts w:ascii="宋体" w:hAnsi="宋体" w:cs="仿宋"/>
          <w:kern w:val="0"/>
          <w:sz w:val="24"/>
          <w:szCs w:val="32"/>
        </w:rPr>
      </w:pPr>
      <w:r>
        <w:rPr>
          <w:rFonts w:ascii="宋体" w:hAnsi="宋体" w:cs="仿宋"/>
          <w:kern w:val="0"/>
          <w:sz w:val="24"/>
          <w:szCs w:val="32"/>
        </w:rPr>
        <w:t xml:space="preserve">2. </w:t>
      </w:r>
      <w:r>
        <w:rPr>
          <w:rFonts w:hint="eastAsia" w:ascii="宋体" w:hAnsi="宋体" w:cs="仿宋"/>
          <w:kern w:val="0"/>
          <w:sz w:val="24"/>
          <w:u w:val="single"/>
        </w:rPr>
        <w:t>（标的名称）</w:t>
      </w:r>
      <w:r>
        <w:rPr>
          <w:rFonts w:ascii="宋体" w:hAnsi="宋体" w:cs="仿宋"/>
          <w:kern w:val="0"/>
          <w:sz w:val="28"/>
          <w:szCs w:val="33"/>
        </w:rPr>
        <w:t xml:space="preserve"> </w:t>
      </w:r>
      <w:r>
        <w:rPr>
          <w:rFonts w:hint="eastAsia" w:ascii="宋体" w:hAnsi="宋体" w:cs="仿宋"/>
          <w:kern w:val="0"/>
          <w:sz w:val="24"/>
          <w:szCs w:val="32"/>
        </w:rPr>
        <w:t>，属于</w:t>
      </w:r>
      <w:r>
        <w:rPr>
          <w:rFonts w:hint="eastAsia" w:ascii="宋体" w:hAnsi="宋体" w:cs="仿宋"/>
          <w:kern w:val="0"/>
          <w:sz w:val="24"/>
          <w:szCs w:val="32"/>
          <w:u w:val="single"/>
        </w:rPr>
        <w:t xml:space="preserve">       </w:t>
      </w:r>
      <w:r>
        <w:rPr>
          <w:rFonts w:hint="eastAsia" w:ascii="宋体" w:hAnsi="宋体" w:cs="仿宋"/>
          <w:kern w:val="0"/>
          <w:sz w:val="24"/>
          <w:u w:val="single"/>
        </w:rPr>
        <w:t>行业</w:t>
      </w:r>
      <w:r>
        <w:rPr>
          <w:rFonts w:hint="eastAsia" w:ascii="宋体" w:hAnsi="宋体" w:cs="仿宋"/>
          <w:kern w:val="0"/>
          <w:sz w:val="24"/>
          <w:szCs w:val="32"/>
        </w:rPr>
        <w:t>；承接企业为</w:t>
      </w:r>
      <w:r>
        <w:rPr>
          <w:rFonts w:hint="eastAsia" w:ascii="宋体" w:hAnsi="宋体" w:cs="仿宋"/>
          <w:kern w:val="0"/>
          <w:sz w:val="24"/>
          <w:u w:val="single"/>
        </w:rPr>
        <w:t>（企业名称）</w:t>
      </w:r>
      <w:r>
        <w:rPr>
          <w:rFonts w:hint="eastAsia" w:ascii="宋体" w:hAnsi="宋体" w:cs="仿宋"/>
          <w:kern w:val="0"/>
          <w:sz w:val="24"/>
        </w:rPr>
        <w:t>，</w:t>
      </w:r>
      <w:r>
        <w:rPr>
          <w:rFonts w:hint="eastAsia" w:ascii="宋体" w:hAnsi="宋体" w:cs="仿宋"/>
          <w:kern w:val="0"/>
          <w:sz w:val="24"/>
          <w:szCs w:val="32"/>
        </w:rPr>
        <w:t xml:space="preserve">从业人员 </w:t>
      </w:r>
      <w:r>
        <w:rPr>
          <w:rFonts w:hint="eastAsia" w:ascii="宋体" w:hAnsi="宋体" w:cs="仿宋"/>
          <w:kern w:val="0"/>
          <w:sz w:val="24"/>
          <w:szCs w:val="32"/>
          <w:u w:val="single"/>
        </w:rPr>
        <w:t xml:space="preserve">     </w:t>
      </w:r>
      <w:r>
        <w:rPr>
          <w:rFonts w:hint="eastAsia" w:ascii="宋体" w:hAnsi="宋体" w:cs="仿宋"/>
          <w:kern w:val="0"/>
          <w:sz w:val="24"/>
          <w:szCs w:val="32"/>
        </w:rPr>
        <w:t>人，营业收入为</w:t>
      </w:r>
      <w:r>
        <w:rPr>
          <w:rFonts w:hint="eastAsia" w:ascii="宋体" w:hAnsi="宋体" w:cs="仿宋"/>
          <w:kern w:val="0"/>
          <w:sz w:val="24"/>
          <w:szCs w:val="32"/>
          <w:u w:val="single"/>
        </w:rPr>
        <w:t xml:space="preserve">     </w:t>
      </w:r>
      <w:r>
        <w:rPr>
          <w:rFonts w:hint="eastAsia" w:ascii="宋体" w:hAnsi="宋体" w:cs="仿宋"/>
          <w:kern w:val="0"/>
          <w:sz w:val="24"/>
          <w:szCs w:val="32"/>
        </w:rPr>
        <w:t>万元，资产总额为</w:t>
      </w:r>
      <w:r>
        <w:rPr>
          <w:rFonts w:hint="eastAsia" w:ascii="宋体" w:hAnsi="宋体" w:cs="仿宋"/>
          <w:kern w:val="0"/>
          <w:sz w:val="24"/>
          <w:szCs w:val="32"/>
          <w:u w:val="single"/>
        </w:rPr>
        <w:t xml:space="preserve">    </w:t>
      </w:r>
      <w:r>
        <w:rPr>
          <w:rFonts w:hint="eastAsia" w:ascii="宋体" w:hAnsi="宋体" w:cs="仿宋"/>
          <w:kern w:val="0"/>
          <w:sz w:val="24"/>
          <w:szCs w:val="32"/>
        </w:rPr>
        <w:t>万元，属于</w:t>
      </w:r>
      <w:r>
        <w:rPr>
          <w:rFonts w:hint="eastAsia" w:ascii="宋体" w:hAnsi="宋体" w:cs="仿宋"/>
          <w:kern w:val="0"/>
          <w:sz w:val="24"/>
          <w:szCs w:val="32"/>
          <w:u w:val="single"/>
        </w:rPr>
        <w:t>（中型企业、小型企业、微型企业）</w:t>
      </w:r>
      <w:r>
        <w:rPr>
          <w:rFonts w:hint="eastAsia" w:ascii="宋体" w:hAnsi="宋体" w:cs="仿宋"/>
          <w:kern w:val="0"/>
          <w:sz w:val="24"/>
          <w:szCs w:val="32"/>
        </w:rPr>
        <w:t>；</w:t>
      </w:r>
    </w:p>
    <w:p>
      <w:pPr>
        <w:autoSpaceDE w:val="0"/>
        <w:autoSpaceDN w:val="0"/>
        <w:adjustRightInd w:val="0"/>
        <w:spacing w:line="360" w:lineRule="auto"/>
        <w:jc w:val="left"/>
        <w:rPr>
          <w:rFonts w:ascii="宋体" w:hAnsi="宋体" w:cs="仿宋"/>
          <w:kern w:val="0"/>
          <w:sz w:val="24"/>
          <w:szCs w:val="32"/>
        </w:rPr>
      </w:pPr>
      <w:r>
        <w:rPr>
          <w:rFonts w:hint="eastAsia" w:ascii="宋体" w:hAnsi="宋体" w:cs="仿宋"/>
          <w:kern w:val="0"/>
          <w:sz w:val="24"/>
          <w:szCs w:val="32"/>
        </w:rPr>
        <w:t>……</w:t>
      </w:r>
    </w:p>
    <w:p>
      <w:pPr>
        <w:autoSpaceDE w:val="0"/>
        <w:autoSpaceDN w:val="0"/>
        <w:adjustRightInd w:val="0"/>
        <w:spacing w:line="360" w:lineRule="auto"/>
        <w:jc w:val="left"/>
        <w:rPr>
          <w:rFonts w:ascii="宋体" w:hAnsi="宋体" w:cs="仿宋"/>
          <w:kern w:val="0"/>
          <w:sz w:val="24"/>
          <w:szCs w:val="32"/>
        </w:rPr>
      </w:pPr>
      <w:r>
        <w:rPr>
          <w:rFonts w:hint="eastAsia" w:ascii="宋体" w:hAnsi="宋体" w:cs="仿宋"/>
          <w:kern w:val="0"/>
          <w:sz w:val="24"/>
          <w:szCs w:val="32"/>
        </w:rPr>
        <w:t>以上企业，不属于大企业的分支机构，不存在控股股东为大企业的情形，也不存在与大企业的负责人为同一人的情形。</w:t>
      </w:r>
    </w:p>
    <w:p>
      <w:pPr>
        <w:autoSpaceDE w:val="0"/>
        <w:autoSpaceDN w:val="0"/>
        <w:adjustRightInd w:val="0"/>
        <w:spacing w:line="360" w:lineRule="auto"/>
        <w:jc w:val="left"/>
        <w:rPr>
          <w:rFonts w:ascii="宋体" w:hAnsi="宋体" w:cs="仿宋"/>
          <w:kern w:val="0"/>
          <w:sz w:val="24"/>
          <w:szCs w:val="32"/>
        </w:rPr>
      </w:pPr>
      <w:r>
        <w:rPr>
          <w:rFonts w:hint="eastAsia" w:ascii="宋体" w:hAnsi="宋体" w:cs="仿宋"/>
          <w:kern w:val="0"/>
          <w:sz w:val="24"/>
          <w:szCs w:val="32"/>
        </w:rPr>
        <w:t>本企业对上述声明内容的真实性负责。如有虚假，将依法承担相应责任。</w:t>
      </w:r>
    </w:p>
    <w:p>
      <w:pPr>
        <w:autoSpaceDE w:val="0"/>
        <w:autoSpaceDN w:val="0"/>
        <w:adjustRightInd w:val="0"/>
        <w:spacing w:line="360" w:lineRule="auto"/>
        <w:jc w:val="left"/>
        <w:rPr>
          <w:rFonts w:ascii="宋体" w:hAnsi="宋体" w:cs="仿宋"/>
          <w:kern w:val="0"/>
          <w:sz w:val="24"/>
          <w:szCs w:val="32"/>
        </w:rPr>
      </w:pPr>
    </w:p>
    <w:p>
      <w:pPr>
        <w:autoSpaceDE w:val="0"/>
        <w:autoSpaceDN w:val="0"/>
        <w:adjustRightInd w:val="0"/>
        <w:spacing w:line="360" w:lineRule="auto"/>
        <w:jc w:val="left"/>
        <w:rPr>
          <w:rFonts w:ascii="宋体" w:hAnsi="宋体" w:cs="仿宋"/>
          <w:kern w:val="0"/>
          <w:sz w:val="24"/>
          <w:szCs w:val="32"/>
        </w:rPr>
      </w:pPr>
      <w:r>
        <w:rPr>
          <w:rFonts w:hint="eastAsia" w:ascii="宋体" w:hAnsi="宋体" w:cs="仿宋"/>
          <w:kern w:val="0"/>
          <w:sz w:val="24"/>
          <w:szCs w:val="32"/>
        </w:rPr>
        <w:t>企业名称（盖章）：</w:t>
      </w:r>
    </w:p>
    <w:p>
      <w:pPr>
        <w:autoSpaceDE w:val="0"/>
        <w:autoSpaceDN w:val="0"/>
        <w:adjustRightInd w:val="0"/>
        <w:spacing w:line="360" w:lineRule="auto"/>
        <w:jc w:val="left"/>
        <w:rPr>
          <w:rFonts w:ascii="宋体" w:hAnsi="宋体" w:cs="仿宋"/>
          <w:kern w:val="0"/>
          <w:sz w:val="24"/>
          <w:szCs w:val="32"/>
        </w:rPr>
      </w:pPr>
      <w:r>
        <w:rPr>
          <w:rFonts w:hint="eastAsia" w:ascii="宋体" w:hAnsi="宋体" w:cs="仿宋"/>
          <w:kern w:val="0"/>
          <w:sz w:val="24"/>
          <w:szCs w:val="32"/>
        </w:rPr>
        <w:t>日期：</w:t>
      </w:r>
    </w:p>
    <w:p>
      <w:pPr>
        <w:spacing w:line="360" w:lineRule="auto"/>
        <w:rPr>
          <w:rFonts w:ascii="宋体" w:hAnsi="宋体" w:cs="宋体"/>
          <w:sz w:val="24"/>
        </w:rPr>
      </w:pPr>
    </w:p>
    <w:bookmarkEnd w:id="30"/>
    <w:bookmarkEnd w:id="31"/>
    <w:bookmarkEnd w:id="32"/>
    <w:bookmarkEnd w:id="33"/>
    <w:bookmarkEnd w:id="34"/>
    <w:p>
      <w:pPr>
        <w:spacing w:line="360" w:lineRule="auto"/>
        <w:ind w:firstLine="220" w:firstLineChars="100"/>
        <w:rPr>
          <w:rFonts w:ascii="宋体" w:hAnsi="宋体" w:cs="宋体"/>
          <w:kern w:val="0"/>
          <w:sz w:val="22"/>
        </w:rPr>
      </w:pPr>
      <w:r>
        <w:rPr>
          <w:rFonts w:hint="eastAsia" w:ascii="宋体" w:hAnsi="宋体" w:cs="TimesNewRomanPSMT"/>
          <w:kern w:val="0"/>
          <w:sz w:val="22"/>
        </w:rPr>
        <w:t>注：</w:t>
      </w:r>
      <w:r>
        <w:rPr>
          <w:rFonts w:hint="eastAsia" w:ascii="宋体" w:hAnsi="宋体" w:cs="宋体"/>
          <w:kern w:val="0"/>
          <w:sz w:val="22"/>
        </w:rPr>
        <w:t>从业人员、营业收入、资产总额填报上一年度数据，无上一年度数据的新成立企业可不填报。</w:t>
      </w:r>
    </w:p>
    <w:p>
      <w:pPr>
        <w:spacing w:line="360" w:lineRule="auto"/>
        <w:ind w:firstLine="504" w:firstLineChars="200"/>
        <w:rPr>
          <w:rFonts w:ascii="宋体" w:hAnsi="宋体" w:eastAsia="宋体"/>
          <w:spacing w:val="6"/>
          <w:sz w:val="24"/>
          <w:szCs w:val="24"/>
        </w:rPr>
      </w:pPr>
      <w:r>
        <w:rPr>
          <w:rFonts w:hint="eastAsia" w:ascii="宋体" w:hAnsi="宋体" w:eastAsia="宋体"/>
          <w:spacing w:val="6"/>
          <w:sz w:val="24"/>
          <w:szCs w:val="24"/>
        </w:rPr>
        <w:t xml:space="preserve">  </w:t>
      </w:r>
    </w:p>
    <w:p>
      <w:pPr>
        <w:rPr>
          <w:rFonts w:ascii="宋体" w:hAnsi="宋体" w:eastAsia="宋体"/>
          <w:szCs w:val="21"/>
        </w:rPr>
      </w:pPr>
    </w:p>
    <w:p>
      <w:pPr>
        <w:rPr>
          <w:rFonts w:ascii="宋体" w:hAnsi="宋体" w:eastAsia="宋体"/>
          <w:szCs w:val="21"/>
        </w:rPr>
      </w:pPr>
    </w:p>
    <w:p>
      <w:pPr>
        <w:pStyle w:val="2"/>
      </w:pPr>
    </w:p>
    <w:p>
      <w:pPr>
        <w:rPr>
          <w:rFonts w:ascii="宋体" w:hAnsi="宋体" w:eastAsia="宋体"/>
          <w:szCs w:val="21"/>
        </w:rPr>
      </w:pPr>
    </w:p>
    <w:p>
      <w:pPr>
        <w:pStyle w:val="6"/>
        <w:jc w:val="both"/>
        <w:rPr>
          <w:rFonts w:ascii="宋体" w:hAnsi="宋体" w:eastAsia="宋体"/>
          <w:color w:val="auto"/>
        </w:rPr>
      </w:pPr>
      <w:r>
        <w:rPr>
          <w:rFonts w:ascii="宋体" w:hAnsi="宋体" w:eastAsia="宋体"/>
          <w:color w:val="auto"/>
        </w:rPr>
        <w:t>格式</w:t>
      </w:r>
      <w:r>
        <w:rPr>
          <w:rFonts w:hint="eastAsia" w:ascii="Times New Roman" w:hAnsi="Times New Roman" w:eastAsia="宋体"/>
          <w:color w:val="auto"/>
        </w:rPr>
        <w:t>2</w:t>
      </w:r>
      <w:r>
        <w:rPr>
          <w:rFonts w:ascii="Times New Roman" w:hAnsi="Times New Roman" w:eastAsia="Times New Roman"/>
          <w:color w:val="auto"/>
        </w:rPr>
        <w:t>-</w:t>
      </w:r>
      <w:r>
        <w:rPr>
          <w:rFonts w:hint="eastAsia" w:ascii="宋体" w:hAnsi="宋体" w:eastAsia="宋体"/>
          <w:color w:val="auto"/>
        </w:rPr>
        <w:t>13</w:t>
      </w:r>
      <w:r>
        <w:rPr>
          <w:rFonts w:ascii="宋体" w:hAnsi="宋体" w:eastAsia="宋体"/>
          <w:color w:val="auto"/>
        </w:rPr>
        <w:t>残疾人福利性单位（监狱企业）声明函</w:t>
      </w:r>
    </w:p>
    <w:p>
      <w:pPr>
        <w:spacing w:line="588" w:lineRule="exact"/>
        <w:rPr>
          <w:rFonts w:ascii="宋体" w:hAnsi="宋体" w:eastAsia="宋体"/>
          <w:spacing w:val="6"/>
          <w:sz w:val="24"/>
          <w:szCs w:val="24"/>
        </w:rPr>
      </w:pPr>
    </w:p>
    <w:p>
      <w:pPr>
        <w:spacing w:line="360" w:lineRule="auto"/>
        <w:ind w:firstLine="504" w:firstLineChars="200"/>
        <w:rPr>
          <w:rFonts w:ascii="宋体" w:hAnsi="宋体" w:eastAsia="宋体"/>
          <w:spacing w:val="6"/>
          <w:sz w:val="24"/>
          <w:szCs w:val="24"/>
        </w:rPr>
      </w:pPr>
      <w:r>
        <w:rPr>
          <w:rFonts w:hint="eastAsia" w:ascii="宋体" w:hAnsi="宋体" w:eastAsia="宋体"/>
          <w:spacing w:val="6"/>
          <w:sz w:val="24"/>
          <w:szCs w:val="24"/>
        </w:rPr>
        <w:t>本单位郑重声明，根据《财政部 民政部 中国残疾人联合会关于促进残疾人就业政府采购政策的通知》（财库〔2017〕141号）及《政府采购支持监狱企业发展有关问题的通知》（财库〔2014〕68号）的规定，本单位为符合条件的残疾人福利性单位（或监狱企业），且本单位参加______单位的______项目采购活动提供本单位制造的货物/由本单位承担工程/提供服务，或者提供其他残疾人福利性单位（监狱企业）制造的货物（不包括使用非残疾人福利性单位（监狱企业）注册商标的货物）。</w:t>
      </w:r>
    </w:p>
    <w:p>
      <w:pPr>
        <w:spacing w:line="360" w:lineRule="auto"/>
        <w:ind w:firstLine="504" w:firstLineChars="200"/>
        <w:rPr>
          <w:rFonts w:ascii="宋体" w:hAnsi="宋体" w:eastAsia="宋体"/>
          <w:spacing w:val="6"/>
          <w:sz w:val="24"/>
          <w:szCs w:val="24"/>
        </w:rPr>
      </w:pPr>
      <w:r>
        <w:rPr>
          <w:rFonts w:hint="eastAsia" w:ascii="宋体" w:hAnsi="宋体" w:eastAsia="宋体"/>
          <w:spacing w:val="6"/>
          <w:sz w:val="24"/>
          <w:szCs w:val="24"/>
        </w:rPr>
        <w:t>本单位对上述声明的真实性负责。如有虚假，将依法承担相应责任。</w:t>
      </w:r>
    </w:p>
    <w:p>
      <w:pPr>
        <w:spacing w:line="360" w:lineRule="auto"/>
        <w:ind w:firstLine="504" w:firstLineChars="200"/>
        <w:rPr>
          <w:rFonts w:ascii="宋体" w:hAnsi="宋体" w:eastAsia="宋体"/>
          <w:spacing w:val="6"/>
          <w:sz w:val="24"/>
          <w:szCs w:val="24"/>
        </w:rPr>
      </w:pPr>
    </w:p>
    <w:p>
      <w:pPr>
        <w:spacing w:line="360" w:lineRule="auto"/>
        <w:ind w:firstLine="504" w:firstLineChars="200"/>
        <w:rPr>
          <w:rFonts w:ascii="宋体" w:hAnsi="宋体" w:eastAsia="宋体"/>
          <w:spacing w:val="6"/>
          <w:sz w:val="24"/>
          <w:szCs w:val="24"/>
        </w:rPr>
      </w:pPr>
      <w:r>
        <w:rPr>
          <w:rFonts w:hint="eastAsia" w:ascii="宋体" w:hAnsi="宋体" w:eastAsia="宋体"/>
          <w:spacing w:val="6"/>
          <w:sz w:val="24"/>
          <w:szCs w:val="24"/>
        </w:rPr>
        <w:t>单位名称（盖章）：</w:t>
      </w:r>
    </w:p>
    <w:p>
      <w:pPr>
        <w:spacing w:line="360" w:lineRule="auto"/>
        <w:ind w:firstLine="504" w:firstLineChars="200"/>
        <w:rPr>
          <w:rFonts w:ascii="宋体" w:hAnsi="宋体" w:eastAsia="宋体"/>
          <w:spacing w:val="6"/>
          <w:sz w:val="24"/>
          <w:szCs w:val="24"/>
        </w:rPr>
      </w:pPr>
      <w:r>
        <w:rPr>
          <w:rFonts w:hint="eastAsia" w:ascii="宋体" w:hAnsi="宋体" w:eastAsia="宋体"/>
          <w:spacing w:val="6"/>
          <w:sz w:val="24"/>
          <w:szCs w:val="24"/>
        </w:rPr>
        <w:t>日  期：</w:t>
      </w:r>
    </w:p>
    <w:p>
      <w:pPr>
        <w:spacing w:line="360" w:lineRule="auto"/>
        <w:ind w:firstLine="504" w:firstLineChars="200"/>
        <w:rPr>
          <w:rFonts w:ascii="宋体" w:hAnsi="宋体" w:eastAsia="宋体"/>
          <w:spacing w:val="6"/>
          <w:sz w:val="24"/>
          <w:szCs w:val="24"/>
        </w:rPr>
      </w:pPr>
    </w:p>
    <w:p>
      <w:pPr>
        <w:spacing w:line="360" w:lineRule="auto"/>
        <w:ind w:firstLine="504" w:firstLineChars="200"/>
        <w:rPr>
          <w:rFonts w:ascii="宋体" w:hAnsi="宋体" w:eastAsia="宋体"/>
          <w:spacing w:val="6"/>
          <w:sz w:val="24"/>
          <w:szCs w:val="24"/>
        </w:rPr>
      </w:pPr>
      <w:r>
        <w:rPr>
          <w:rFonts w:hint="eastAsia" w:ascii="宋体" w:hAnsi="宋体" w:eastAsia="宋体"/>
          <w:spacing w:val="6"/>
          <w:sz w:val="24"/>
          <w:szCs w:val="24"/>
        </w:rPr>
        <w:t>注：</w:t>
      </w:r>
    </w:p>
    <w:p>
      <w:pPr>
        <w:spacing w:line="360" w:lineRule="auto"/>
        <w:ind w:firstLine="504" w:firstLineChars="200"/>
        <w:rPr>
          <w:rFonts w:ascii="宋体" w:hAnsi="宋体" w:eastAsia="宋体"/>
          <w:spacing w:val="6"/>
          <w:sz w:val="24"/>
          <w:szCs w:val="24"/>
        </w:rPr>
      </w:pPr>
      <w:r>
        <w:rPr>
          <w:rFonts w:hint="eastAsia" w:ascii="宋体" w:hAnsi="宋体" w:eastAsia="宋体"/>
          <w:spacing w:val="6"/>
          <w:sz w:val="24"/>
          <w:szCs w:val="24"/>
        </w:rPr>
        <w:t>1、残疾人福利性单位、监狱企业视同小型、微型企业，享受预留份额、评审中价格扣除等促进中小企业发展的政府采购政策。残疾人福利性单位属于小型、微型企业的，不重复享受政策。</w:t>
      </w:r>
    </w:p>
    <w:p>
      <w:pPr>
        <w:spacing w:line="360" w:lineRule="auto"/>
        <w:ind w:firstLine="504" w:firstLineChars="200"/>
        <w:rPr>
          <w:rFonts w:ascii="宋体" w:hAnsi="宋体" w:eastAsia="宋体"/>
          <w:spacing w:val="6"/>
          <w:sz w:val="24"/>
          <w:szCs w:val="24"/>
        </w:rPr>
        <w:sectPr>
          <w:footerReference r:id="rId3" w:type="default"/>
          <w:pgSz w:w="11906" w:h="16838"/>
          <w:pgMar w:top="1440" w:right="1800" w:bottom="1440" w:left="1800" w:header="851" w:footer="992" w:gutter="0"/>
          <w:pgNumType w:start="1"/>
          <w:cols w:space="720" w:num="1"/>
          <w:docGrid w:type="lines" w:linePitch="312" w:charSpace="0"/>
        </w:sectPr>
      </w:pPr>
      <w:r>
        <w:rPr>
          <w:rFonts w:hint="eastAsia" w:ascii="宋体" w:hAnsi="宋体" w:eastAsia="宋体"/>
          <w:spacing w:val="6"/>
          <w:sz w:val="24"/>
          <w:szCs w:val="24"/>
        </w:rPr>
        <w:t>2、该声明根据实际情况提供，未提供则无法享受招标文件规定的价格扣除，但不影响供应商投标文件有效性。</w:t>
      </w:r>
    </w:p>
    <w:p>
      <w:pPr>
        <w:pStyle w:val="4"/>
        <w:spacing w:line="480" w:lineRule="auto"/>
        <w:jc w:val="center"/>
        <w:rPr>
          <w:rFonts w:ascii="宋体" w:hAnsi="宋体" w:eastAsia="宋体"/>
          <w:color w:val="auto"/>
          <w:sz w:val="32"/>
          <w:szCs w:val="32"/>
        </w:rPr>
      </w:pPr>
      <w:bookmarkStart w:id="35" w:name="_Toc28475"/>
      <w:r>
        <w:rPr>
          <w:rFonts w:ascii="宋体" w:hAnsi="宋体" w:eastAsia="宋体"/>
          <w:color w:val="auto"/>
          <w:sz w:val="32"/>
          <w:szCs w:val="32"/>
        </w:rPr>
        <w:t>第四章投标人的资格、资质性及其他类似效力要求</w:t>
      </w:r>
      <w:bookmarkEnd w:id="35"/>
    </w:p>
    <w:p>
      <w:pPr>
        <w:spacing w:line="360" w:lineRule="auto"/>
        <w:ind w:firstLine="484" w:firstLineChars="202"/>
        <w:rPr>
          <w:rFonts w:ascii="宋体" w:hAnsi="宋体" w:eastAsia="宋体"/>
          <w:sz w:val="24"/>
          <w:szCs w:val="24"/>
        </w:rPr>
      </w:pPr>
      <w:r>
        <w:rPr>
          <w:rFonts w:ascii="宋体" w:hAnsi="宋体" w:eastAsia="宋体"/>
          <w:sz w:val="24"/>
          <w:szCs w:val="24"/>
        </w:rPr>
        <w:t>资格性审查由采购代理机构或采购人组成的资格审查小组依据法律法规和招标文件的规定，对投标文件中的资格证明等进行审查，以确定投标人是否具备投标资格，并出具资格性审查报告。</w:t>
      </w:r>
    </w:p>
    <w:p>
      <w:pPr>
        <w:spacing w:line="360" w:lineRule="auto"/>
        <w:ind w:firstLine="484" w:firstLineChars="202"/>
        <w:rPr>
          <w:rFonts w:ascii="宋体" w:hAnsi="宋体" w:eastAsia="宋体"/>
          <w:sz w:val="24"/>
          <w:szCs w:val="24"/>
        </w:rPr>
      </w:pPr>
    </w:p>
    <w:tbl>
      <w:tblPr>
        <w:tblStyle w:val="17"/>
        <w:tblW w:w="86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904"/>
        <w:gridCol w:w="6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496" w:type="dxa"/>
            <w:gridSpan w:val="2"/>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jc w:val="center"/>
              <w:rPr>
                <w:b/>
                <w:color w:val="auto"/>
                <w:sz w:val="20"/>
              </w:rPr>
            </w:pPr>
            <w:r>
              <w:rPr>
                <w:rFonts w:hint="eastAsia"/>
                <w:b/>
                <w:color w:val="auto"/>
                <w:sz w:val="20"/>
              </w:rPr>
              <w:t>资格性审查项</w:t>
            </w:r>
          </w:p>
        </w:tc>
        <w:tc>
          <w:tcPr>
            <w:tcW w:w="6202"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jc w:val="center"/>
              <w:rPr>
                <w:color w:val="auto"/>
                <w:sz w:val="20"/>
              </w:rPr>
            </w:pPr>
            <w:r>
              <w:rPr>
                <w:rFonts w:hint="eastAsia"/>
                <w:b/>
                <w:color w:val="auto"/>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1</w:t>
            </w:r>
          </w:p>
        </w:tc>
        <w:tc>
          <w:tcPr>
            <w:tcW w:w="1904"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具有独立承担民事责任的能力</w:t>
            </w:r>
          </w:p>
        </w:tc>
        <w:tc>
          <w:tcPr>
            <w:tcW w:w="6202"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2</w:t>
            </w:r>
          </w:p>
        </w:tc>
        <w:tc>
          <w:tcPr>
            <w:tcW w:w="1904"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具有良好的商业信誉的证明材料</w:t>
            </w:r>
          </w:p>
        </w:tc>
        <w:tc>
          <w:tcPr>
            <w:tcW w:w="6202"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 xml:space="preserve">投标人具有良好的商业信誉的书面声明材料。【注：按招标文件第三章的格式及要求提供书面声明材料。】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3</w:t>
            </w:r>
          </w:p>
        </w:tc>
        <w:tc>
          <w:tcPr>
            <w:tcW w:w="1904"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具有健全的财务会计制度的证明材料</w:t>
            </w:r>
          </w:p>
        </w:tc>
        <w:tc>
          <w:tcPr>
            <w:tcW w:w="6202"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①可提供2019年以来任意一年年度经审计的财务报告复印件（包含审计报告和审计报告中所涉及的财务报表和报表附注）；②也可提供2019年以来任意一年年度供应商内部财务报表复印件（至少包含资产负债表）;③可提供截至响应文件递交截止日一年内银行出具的资信证明（复印件）;④供应商注册时间截至响应文件递交截止日不足一年的，也可提供在工商备案的公司章程（复印件）；⑤也可提供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4</w:t>
            </w:r>
          </w:p>
        </w:tc>
        <w:tc>
          <w:tcPr>
            <w:tcW w:w="1904"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具有履行合同所必须的设备和专业技术能力</w:t>
            </w:r>
          </w:p>
        </w:tc>
        <w:tc>
          <w:tcPr>
            <w:tcW w:w="6202"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采购人对投标人履行合同所必须的设备和专业技术能无其他特殊要求，投标人具有有效的营业执照或法人证书即可，可不提供其他证明材料。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5</w:t>
            </w:r>
          </w:p>
        </w:tc>
        <w:tc>
          <w:tcPr>
            <w:tcW w:w="1904"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缴纳社会保障资金的证明材料</w:t>
            </w:r>
          </w:p>
        </w:tc>
        <w:tc>
          <w:tcPr>
            <w:tcW w:w="6202"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投标人缴纳20</w:t>
            </w:r>
            <w:r>
              <w:rPr>
                <w:color w:val="auto"/>
                <w:sz w:val="20"/>
              </w:rPr>
              <w:t>2</w:t>
            </w:r>
            <w:r>
              <w:rPr>
                <w:rFonts w:hint="eastAsia"/>
                <w:color w:val="auto"/>
                <w:sz w:val="20"/>
              </w:rPr>
              <w:t>1年以来任意时段的社保的银行电子回单或行政部门出具的社保缴纳证明材料复印件，也可自行提供承诺函（格式自拟）。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6</w:t>
            </w:r>
          </w:p>
        </w:tc>
        <w:tc>
          <w:tcPr>
            <w:tcW w:w="1904"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缴纳税收的证明材料</w:t>
            </w:r>
          </w:p>
        </w:tc>
        <w:tc>
          <w:tcPr>
            <w:tcW w:w="6202"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投标人缴纳20</w:t>
            </w:r>
            <w:r>
              <w:rPr>
                <w:color w:val="auto"/>
                <w:sz w:val="20"/>
              </w:rPr>
              <w:t>2</w:t>
            </w:r>
            <w:r>
              <w:rPr>
                <w:rFonts w:hint="eastAsia"/>
                <w:color w:val="auto"/>
                <w:sz w:val="20"/>
              </w:rPr>
              <w:t>1年以来任意时段的税收的银行电子回单或者行政部门出具的纳税证明或完税证明的复印件，也可自行提供承诺函（格式自拟）。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7</w:t>
            </w:r>
          </w:p>
        </w:tc>
        <w:tc>
          <w:tcPr>
            <w:tcW w:w="1904"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参加政府采购活动前三年内，在经营活动中没有重大违法记录</w:t>
            </w:r>
          </w:p>
        </w:tc>
        <w:tc>
          <w:tcPr>
            <w:tcW w:w="6202"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投标人参加政府采购活动前三年内，在经营活动中没有重大违法记录的书面声明材料【注：（1）投标人参加政府采购活动前三年内，在经营活动中没有重大违法记录（说明：投标人在参加政府采购活动前3年内因违法经营被禁止在一定期限内参加政府采购活动，期限届满的，可以参加政府采购活动，但投标人应提供相关证明材料）；（2）按第三章的格式及要求提供书面声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8</w:t>
            </w:r>
          </w:p>
        </w:tc>
        <w:tc>
          <w:tcPr>
            <w:tcW w:w="1904"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未被列入失信被执行人、重大税收违法案件当事人名单、政府采购严重违法失信行为记录名单</w:t>
            </w:r>
          </w:p>
        </w:tc>
        <w:tc>
          <w:tcPr>
            <w:tcW w:w="6202"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投标人未被列入失信被执行人、重大税收违法案件当事人名单、政府采购严重违法失信行为记录名单的书面声明材料【注：（1）投标人未被列入失信被执行人、重大税收违法案件当事人名单、政府采购严重违法失信行为记录名单（说明：投标人在参加政府采购活动前3年内因违法经营被禁止在一定期限内参加政府采购活动，期限届满的，可以参加政府采购活动，但投标人应提供相关证明材料）；（2）按第三章的格式及要求提供书面声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592"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color w:val="auto"/>
                <w:sz w:val="20"/>
              </w:rPr>
              <w:t>9</w:t>
            </w:r>
          </w:p>
        </w:tc>
        <w:tc>
          <w:tcPr>
            <w:tcW w:w="1904"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行贿犯罪记录</w:t>
            </w:r>
          </w:p>
        </w:tc>
        <w:tc>
          <w:tcPr>
            <w:tcW w:w="6202"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在行贿犯罪信息查询期限内，投标人及其现任法定代表人、主要负责人没有行贿犯罪记录的书面声明材料【注：按招标文件第三章的格式及要求提供书面声明材料，投标文件中不需提供中国裁判文书网（https://wenshu.court.gov.cn）查询结果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color w:val="auto"/>
                <w:sz w:val="20"/>
              </w:rPr>
              <w:t>10</w:t>
            </w:r>
          </w:p>
        </w:tc>
        <w:tc>
          <w:tcPr>
            <w:tcW w:w="1904"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法律、行政法规规定的其他条件</w:t>
            </w:r>
          </w:p>
        </w:tc>
        <w:tc>
          <w:tcPr>
            <w:tcW w:w="6202"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采购人对法律、行政法规规定的其他条件无其他特殊要求，投标人具有有效的营业执照或法人证书即可，可不提供其他证明材料。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11</w:t>
            </w:r>
          </w:p>
        </w:tc>
        <w:tc>
          <w:tcPr>
            <w:tcW w:w="1904"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关于投标人资格申明的函</w:t>
            </w:r>
          </w:p>
        </w:tc>
        <w:tc>
          <w:tcPr>
            <w:tcW w:w="6202"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按招标文件第三章的格式及要求提供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trPr>
        <w:tc>
          <w:tcPr>
            <w:tcW w:w="592"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12</w:t>
            </w:r>
          </w:p>
        </w:tc>
        <w:tc>
          <w:tcPr>
            <w:tcW w:w="1904"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应当提供的投标人其他类似效力要求的相关证明材料</w:t>
            </w:r>
          </w:p>
        </w:tc>
        <w:tc>
          <w:tcPr>
            <w:tcW w:w="6202"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color w:val="auto"/>
                <w:sz w:val="20"/>
              </w:rPr>
              <w:t>1</w:t>
            </w:r>
            <w:r>
              <w:rPr>
                <w:rFonts w:hint="eastAsia"/>
                <w:color w:val="auto"/>
                <w:sz w:val="20"/>
              </w:rPr>
              <w:t>．非法定代表人参与投标并签署投标文件时，提供法定代表人授权书原件以及法定代表人和代理人的身份证复印件（提供身份证有困难的，也可提供户口本或军官证或护照等身份证明材料）；</w:t>
            </w:r>
          </w:p>
          <w:p>
            <w:pPr>
              <w:pStyle w:val="105"/>
              <w:tabs>
                <w:tab w:val="left" w:pos="0"/>
              </w:tabs>
              <w:spacing w:line="360" w:lineRule="auto"/>
              <w:rPr>
                <w:color w:val="auto"/>
                <w:sz w:val="20"/>
              </w:rPr>
            </w:pPr>
            <w:r>
              <w:rPr>
                <w:color w:val="auto"/>
                <w:sz w:val="20"/>
              </w:rPr>
              <w:t>2</w:t>
            </w:r>
            <w:r>
              <w:rPr>
                <w:rFonts w:hint="eastAsia"/>
                <w:color w:val="auto"/>
                <w:sz w:val="20"/>
              </w:rPr>
              <w:t>．法定代表人直接参与投标并签署投标文件时，提供法定代表人证明书原件和法定代表人身份证复印件（提供身份证有困难的，也可提供户口本或军官证或护照等身份证明材料）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color w:val="auto"/>
                <w:sz w:val="20"/>
              </w:rPr>
              <w:t>13</w:t>
            </w:r>
          </w:p>
        </w:tc>
        <w:tc>
          <w:tcPr>
            <w:tcW w:w="1904"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投标文件资格性审查部分签章</w:t>
            </w:r>
          </w:p>
        </w:tc>
        <w:tc>
          <w:tcPr>
            <w:tcW w:w="6202" w:type="dxa"/>
            <w:tcBorders>
              <w:top w:val="single" w:color="auto" w:sz="2" w:space="0"/>
              <w:left w:val="single" w:color="auto" w:sz="2" w:space="0"/>
              <w:bottom w:val="single" w:color="auto" w:sz="2" w:space="0"/>
              <w:right w:val="single" w:color="auto" w:sz="2" w:space="0"/>
            </w:tcBorders>
            <w:vAlign w:val="center"/>
          </w:tcPr>
          <w:p>
            <w:pPr>
              <w:pStyle w:val="105"/>
              <w:tabs>
                <w:tab w:val="left" w:pos="0"/>
              </w:tabs>
              <w:spacing w:line="360" w:lineRule="auto"/>
              <w:rPr>
                <w:color w:val="auto"/>
                <w:sz w:val="20"/>
              </w:rPr>
            </w:pPr>
            <w:r>
              <w:rPr>
                <w:rFonts w:hint="eastAsia"/>
                <w:color w:val="auto"/>
                <w:sz w:val="20"/>
              </w:rPr>
              <w:t>均按招标文件要求签章</w:t>
            </w:r>
          </w:p>
        </w:tc>
      </w:tr>
    </w:tbl>
    <w:p>
      <w:pPr>
        <w:snapToGrid w:val="0"/>
        <w:jc w:val="left"/>
        <w:rPr>
          <w:rFonts w:ascii="微软雅黑" w:hAnsi="微软雅黑" w:eastAsia="微软雅黑"/>
          <w:szCs w:val="21"/>
        </w:rPr>
      </w:pPr>
    </w:p>
    <w:p>
      <w:pPr>
        <w:spacing w:line="360" w:lineRule="auto"/>
        <w:ind w:firstLine="480"/>
        <w:rPr>
          <w:rFonts w:ascii="宋体" w:hAnsi="宋体" w:eastAsia="宋体"/>
          <w:b/>
          <w:bCs/>
          <w:sz w:val="24"/>
          <w:szCs w:val="24"/>
        </w:rPr>
      </w:pPr>
      <w:r>
        <w:rPr>
          <w:rFonts w:ascii="宋体" w:hAnsi="宋体" w:eastAsia="宋体"/>
          <w:b/>
          <w:bCs/>
          <w:sz w:val="24"/>
          <w:szCs w:val="24"/>
        </w:rPr>
        <w:t>注：</w:t>
      </w:r>
    </w:p>
    <w:p>
      <w:pPr>
        <w:spacing w:line="360" w:lineRule="auto"/>
        <w:ind w:firstLine="480"/>
        <w:rPr>
          <w:rFonts w:ascii="宋体" w:hAnsi="宋体" w:eastAsia="宋体"/>
          <w:b/>
          <w:bCs/>
          <w:sz w:val="24"/>
          <w:szCs w:val="24"/>
        </w:rPr>
      </w:pPr>
      <w:r>
        <w:rPr>
          <w:rFonts w:ascii="宋体" w:hAnsi="宋体" w:eastAsia="宋体"/>
          <w:b/>
          <w:bCs/>
          <w:sz w:val="24"/>
          <w:szCs w:val="24"/>
        </w:rPr>
        <w:t>1、本章所称重大违法记录，是指供应商因违法经营受到刑事处罚或者责令停产停业、吊销许可证或者执照、较大数额罚款等行政处罚。（“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spacing w:line="360" w:lineRule="auto"/>
        <w:ind w:firstLine="480"/>
        <w:rPr>
          <w:rFonts w:ascii="宋体" w:hAnsi="宋体" w:eastAsia="宋体"/>
          <w:b/>
          <w:bCs/>
          <w:sz w:val="24"/>
          <w:szCs w:val="24"/>
        </w:rPr>
      </w:pPr>
      <w:r>
        <w:rPr>
          <w:rFonts w:ascii="宋体" w:hAnsi="宋体" w:eastAsia="宋体"/>
          <w:b/>
          <w:bCs/>
          <w:sz w:val="24"/>
          <w:szCs w:val="24"/>
        </w:rPr>
        <w:t>2、本章要求提供的复印件均须加盖投标单位的公章（鲜章）。</w:t>
      </w:r>
    </w:p>
    <w:p>
      <w:pPr>
        <w:widowControl/>
        <w:jc w:val="left"/>
        <w:rPr>
          <w:rFonts w:ascii="宋体" w:hAnsi="宋体" w:eastAsia="宋体"/>
          <w:szCs w:val="21"/>
        </w:rPr>
      </w:pPr>
      <w:r>
        <w:rPr>
          <w:rFonts w:ascii="宋体" w:hAnsi="宋体" w:eastAsia="宋体"/>
          <w:szCs w:val="21"/>
        </w:rPr>
        <w:br w:type="page"/>
      </w:r>
    </w:p>
    <w:p>
      <w:pPr>
        <w:rPr>
          <w:rFonts w:ascii="宋体" w:hAnsi="宋体" w:eastAsia="宋体"/>
          <w:szCs w:val="21"/>
        </w:rPr>
      </w:pPr>
    </w:p>
    <w:p>
      <w:pPr>
        <w:pStyle w:val="4"/>
        <w:spacing w:line="276" w:lineRule="auto"/>
        <w:jc w:val="center"/>
        <w:rPr>
          <w:rFonts w:ascii="宋体" w:hAnsi="宋体" w:eastAsia="宋体"/>
          <w:color w:val="auto"/>
          <w:sz w:val="32"/>
          <w:szCs w:val="32"/>
        </w:rPr>
      </w:pPr>
      <w:bookmarkStart w:id="36" w:name="_Toc11702"/>
      <w:r>
        <w:rPr>
          <w:rFonts w:ascii="宋体" w:hAnsi="宋体" w:eastAsia="宋体"/>
          <w:color w:val="auto"/>
          <w:sz w:val="32"/>
          <w:szCs w:val="32"/>
        </w:rPr>
        <w:t>第五章招标项目技术、商务及其他要求</w:t>
      </w:r>
      <w:bookmarkEnd w:id="36"/>
    </w:p>
    <w:p>
      <w:pPr>
        <w:pStyle w:val="5"/>
      </w:pPr>
      <w:bookmarkStart w:id="37" w:name="_Toc31235"/>
      <w:r>
        <w:t>一、项目概况</w:t>
      </w:r>
      <w:bookmarkEnd w:id="37"/>
    </w:p>
    <w:p>
      <w:pPr>
        <w:spacing w:line="360" w:lineRule="auto"/>
        <w:ind w:firstLine="480"/>
        <w:rPr>
          <w:rFonts w:ascii="宋体" w:hAnsi="宋体" w:eastAsia="宋体"/>
          <w:kern w:val="0"/>
          <w:sz w:val="24"/>
          <w:szCs w:val="24"/>
        </w:rPr>
      </w:pPr>
      <w:r>
        <w:rPr>
          <w:rFonts w:hint="eastAsia" w:ascii="宋体" w:hAnsi="宋体" w:eastAsia="宋体"/>
          <w:sz w:val="24"/>
          <w:szCs w:val="24"/>
        </w:rPr>
        <w:t>成都市武侯区人民政府华兴街道办事处城镇公共卫生环卫服务采购项目主要包括道路清扫保洁作业、垃圾分类收集清运、大件垃圾收集等内容</w:t>
      </w:r>
      <w:r>
        <w:rPr>
          <w:rFonts w:hint="eastAsia" w:ascii="宋体" w:hAnsi="宋体" w:eastAsia="宋体"/>
          <w:kern w:val="0"/>
          <w:sz w:val="24"/>
          <w:szCs w:val="24"/>
        </w:rPr>
        <w:t>。</w:t>
      </w:r>
    </w:p>
    <w:p>
      <w:pPr>
        <w:spacing w:line="360" w:lineRule="auto"/>
        <w:ind w:firstLine="480"/>
        <w:rPr>
          <w:rFonts w:ascii="宋体" w:hAnsi="宋体" w:eastAsia="宋体"/>
          <w:kern w:val="0"/>
          <w:sz w:val="24"/>
          <w:szCs w:val="24"/>
        </w:rPr>
      </w:pPr>
      <w:r>
        <w:rPr>
          <w:rFonts w:hint="eastAsia" w:ascii="宋体" w:hAnsi="宋体" w:eastAsia="宋体"/>
          <w:kern w:val="0"/>
          <w:sz w:val="24"/>
          <w:szCs w:val="24"/>
        </w:rPr>
        <w:t>项目范围：成都市武侯区人民政府华兴街道办事处辖区。</w:t>
      </w:r>
    </w:p>
    <w:p>
      <w:pPr>
        <w:spacing w:line="360" w:lineRule="auto"/>
        <w:ind w:firstLine="480" w:firstLineChars="200"/>
        <w:rPr>
          <w:rFonts w:ascii="宋体" w:hAnsi="宋体" w:eastAsia="宋体"/>
          <w:kern w:val="0"/>
          <w:sz w:val="24"/>
          <w:szCs w:val="24"/>
        </w:rPr>
      </w:pPr>
      <w:r>
        <w:rPr>
          <w:rFonts w:hint="eastAsia" w:ascii="宋体" w:hAnsi="宋体" w:eastAsia="宋体"/>
          <w:kern w:val="0"/>
          <w:sz w:val="24"/>
          <w:szCs w:val="24"/>
        </w:rPr>
        <w:t>资金来源：财政资金，采购预算：人民币12,459,092.22元/年。</w:t>
      </w:r>
    </w:p>
    <w:p>
      <w:pPr>
        <w:widowControl/>
        <w:spacing w:line="360" w:lineRule="auto"/>
        <w:ind w:firstLine="480" w:firstLineChars="200"/>
        <w:rPr>
          <w:rFonts w:ascii="宋体" w:hAnsi="宋体" w:eastAsia="宋体"/>
          <w:kern w:val="0"/>
          <w:sz w:val="24"/>
          <w:szCs w:val="24"/>
        </w:rPr>
      </w:pPr>
      <w:r>
        <w:rPr>
          <w:rFonts w:hint="eastAsia" w:ascii="宋体" w:hAnsi="宋体" w:eastAsia="宋体"/>
          <w:kern w:val="0"/>
          <w:sz w:val="24"/>
          <w:szCs w:val="24"/>
        </w:rPr>
        <w:t>辖区东邻成都高新区肖家河街道科韵路，南接金花桥街道武侯大道文昌段、文昌路，西邻簇桥街道簇桥后街、簇锦街道聚龙路，北接红牌楼街道太平社区六组；辖区内具有一级道路佳灵路一条，二级道路成双大道第一段、新安大道、文昌路、南桥二路第一段、南桥一路、华泰四路等30条，三级道路簇桥上街第一段、华锦路、科运路、五桂路、正兴路、红簇路、企业中路等52条，四级道路南桥2组支路、南桥2组支路、沈家桥8组支路、沈家桥5组支路、机场路支路等93条，详见华兴街道辖区道路情况表。</w:t>
      </w:r>
    </w:p>
    <w:p>
      <w:pPr>
        <w:pStyle w:val="5"/>
        <w:rPr>
          <w:rFonts w:ascii="宋体" w:hAnsi="宋体"/>
          <w:color w:val="auto"/>
          <w:kern w:val="0"/>
          <w:sz w:val="24"/>
          <w:szCs w:val="24"/>
        </w:rPr>
      </w:pPr>
      <w:bookmarkStart w:id="38" w:name="_Toc20174"/>
      <w:r>
        <w:rPr>
          <w:rFonts w:hint="eastAsia"/>
        </w:rPr>
        <w:t>二</w:t>
      </w:r>
      <w:r>
        <w:t>、</w:t>
      </w:r>
      <w:r>
        <w:rPr>
          <w:rFonts w:hint="eastAsia"/>
        </w:rPr>
        <w:t>服务内容</w:t>
      </w:r>
      <w:bookmarkEnd w:id="38"/>
    </w:p>
    <w:p>
      <w:pPr>
        <w:spacing w:line="360" w:lineRule="auto"/>
        <w:ind w:firstLine="480"/>
        <w:rPr>
          <w:rFonts w:ascii="宋体" w:hAnsi="宋体" w:eastAsia="宋体"/>
          <w:kern w:val="0"/>
          <w:sz w:val="24"/>
          <w:szCs w:val="24"/>
        </w:rPr>
      </w:pPr>
      <w:r>
        <w:rPr>
          <w:rFonts w:hint="eastAsia" w:ascii="宋体" w:hAnsi="宋体" w:eastAsia="宋体"/>
          <w:kern w:val="0"/>
          <w:sz w:val="24"/>
          <w:szCs w:val="24"/>
        </w:rPr>
        <w:t>道路实行24小时全区域全时段清扫保洁作业；</w:t>
      </w:r>
      <w:r>
        <w:rPr>
          <w:rFonts w:hint="eastAsia" w:ascii="宋体" w:hAnsi="宋体" w:cs="宋体"/>
          <w:sz w:val="24"/>
          <w:szCs w:val="20"/>
        </w:rPr>
        <w:t>路面冲洗降尘；人行道清洗；</w:t>
      </w:r>
      <w:r>
        <w:rPr>
          <w:rFonts w:hint="eastAsia" w:ascii="宋体" w:hAnsi="宋体" w:eastAsia="宋体"/>
          <w:kern w:val="0"/>
          <w:sz w:val="24"/>
          <w:szCs w:val="24"/>
        </w:rPr>
        <w:t>道路灰带、标识标线、路沿石清洗；</w:t>
      </w:r>
      <w:r>
        <w:rPr>
          <w:rFonts w:hint="eastAsia" w:ascii="宋体" w:hAnsi="宋体" w:cs="宋体"/>
          <w:sz w:val="24"/>
          <w:szCs w:val="20"/>
        </w:rPr>
        <w:t>河道堤岸以外区域保洁</w:t>
      </w:r>
      <w:r>
        <w:rPr>
          <w:rFonts w:hint="eastAsia" w:ascii="宋体" w:hAnsi="宋体" w:eastAsia="宋体"/>
          <w:kern w:val="0"/>
          <w:sz w:val="24"/>
          <w:szCs w:val="24"/>
        </w:rPr>
        <w:t>、绿化带保洁、牛皮癣清理、环卫设施（果屑箱、垃圾桶等）管理维护；桥梁及道路隔离护栏保洁；生活垃圾（含厨余垃圾）分类收集、清运：</w:t>
      </w:r>
      <w:r>
        <w:rPr>
          <w:rFonts w:hint="eastAsia" w:ascii="宋体" w:hAnsi="宋体" w:cs="宋体"/>
          <w:sz w:val="24"/>
          <w:szCs w:val="20"/>
        </w:rPr>
        <w:t>街面无主建筑垃圾清运、大件垃圾收集</w:t>
      </w:r>
      <w:r>
        <w:rPr>
          <w:rFonts w:hint="eastAsia" w:ascii="宋体" w:hAnsi="宋体" w:eastAsia="宋体"/>
          <w:kern w:val="0"/>
          <w:sz w:val="24"/>
          <w:szCs w:val="24"/>
        </w:rPr>
        <w:t>等。</w:t>
      </w:r>
    </w:p>
    <w:p>
      <w:pPr>
        <w:pStyle w:val="5"/>
      </w:pPr>
      <w:bookmarkStart w:id="39" w:name="_Toc28808"/>
      <w:r>
        <w:rPr>
          <w:rFonts w:hint="eastAsia"/>
        </w:rPr>
        <w:t>三、服务范围</w:t>
      </w:r>
      <w:bookmarkEnd w:id="39"/>
    </w:p>
    <w:p>
      <w:pPr>
        <w:spacing w:line="360" w:lineRule="auto"/>
        <w:ind w:firstLine="480"/>
        <w:rPr>
          <w:rFonts w:ascii="宋体" w:hAnsi="宋体" w:eastAsia="宋体"/>
          <w:kern w:val="0"/>
          <w:sz w:val="24"/>
          <w:szCs w:val="24"/>
        </w:rPr>
      </w:pPr>
      <w:r>
        <w:rPr>
          <w:rFonts w:hint="eastAsia" w:ascii="宋体" w:hAnsi="宋体" w:eastAsia="宋体"/>
          <w:kern w:val="0"/>
          <w:sz w:val="24"/>
          <w:szCs w:val="24"/>
        </w:rPr>
        <w:t>作业范围：清扫保洁面积包括华兴街道办事处辖区内所有的道路、街巷、广场、游园、桥梁、过街天桥等公共区域，华兴</w:t>
      </w:r>
      <w:r>
        <w:rPr>
          <w:rFonts w:ascii="宋体" w:hAnsi="宋体" w:eastAsia="宋体"/>
          <w:kern w:val="0"/>
          <w:sz w:val="24"/>
          <w:szCs w:val="24"/>
        </w:rPr>
        <w:t>辖区清扫保洁面积共计</w:t>
      </w:r>
      <w:r>
        <w:rPr>
          <w:rFonts w:hint="eastAsia" w:ascii="宋体" w:hAnsi="宋体" w:eastAsia="宋体"/>
          <w:kern w:val="0"/>
          <w:sz w:val="24"/>
          <w:szCs w:val="24"/>
        </w:rPr>
        <w:t>931</w:t>
      </w:r>
      <w:r>
        <w:rPr>
          <w:rFonts w:ascii="宋体" w:hAnsi="宋体" w:eastAsia="宋体"/>
          <w:kern w:val="0"/>
          <w:sz w:val="24"/>
          <w:szCs w:val="24"/>
        </w:rPr>
        <w:t>,</w:t>
      </w:r>
      <w:r>
        <w:rPr>
          <w:rFonts w:hint="eastAsia" w:ascii="宋体" w:hAnsi="宋体" w:eastAsia="宋体"/>
          <w:kern w:val="0"/>
          <w:sz w:val="24"/>
          <w:szCs w:val="24"/>
        </w:rPr>
        <w:t>430</w:t>
      </w:r>
      <w:r>
        <w:rPr>
          <w:rFonts w:ascii="宋体" w:hAnsi="宋体" w:eastAsia="宋体"/>
          <w:kern w:val="0"/>
          <w:sz w:val="24"/>
          <w:szCs w:val="24"/>
        </w:rPr>
        <w:t>.</w:t>
      </w:r>
      <w:r>
        <w:rPr>
          <w:rFonts w:hint="eastAsia" w:ascii="宋体" w:hAnsi="宋体" w:eastAsia="宋体"/>
          <w:kern w:val="0"/>
          <w:sz w:val="24"/>
          <w:szCs w:val="24"/>
        </w:rPr>
        <w:t>72</w:t>
      </w:r>
      <w:r>
        <w:rPr>
          <w:rFonts w:ascii="宋体" w:hAnsi="宋体" w:eastAsia="宋体"/>
          <w:kern w:val="0"/>
          <w:sz w:val="24"/>
          <w:szCs w:val="24"/>
        </w:rPr>
        <w:t>平方米，其中机动车道面积590,824.22平方米，人行道83,188.36平方米，道路至建筑物间空地面积</w:t>
      </w:r>
      <w:r>
        <w:rPr>
          <w:rFonts w:hint="eastAsia" w:ascii="宋体" w:hAnsi="宋体" w:eastAsia="宋体"/>
          <w:kern w:val="0"/>
          <w:sz w:val="24"/>
          <w:szCs w:val="24"/>
        </w:rPr>
        <w:t>83</w:t>
      </w:r>
      <w:r>
        <w:rPr>
          <w:rFonts w:ascii="宋体" w:hAnsi="宋体" w:eastAsia="宋体"/>
          <w:kern w:val="0"/>
          <w:sz w:val="24"/>
          <w:szCs w:val="24"/>
        </w:rPr>
        <w:t>,</w:t>
      </w:r>
      <w:r>
        <w:rPr>
          <w:rFonts w:hint="eastAsia" w:ascii="宋体" w:hAnsi="宋体" w:eastAsia="宋体"/>
          <w:kern w:val="0"/>
          <w:sz w:val="24"/>
          <w:szCs w:val="24"/>
        </w:rPr>
        <w:t>567.</w:t>
      </w:r>
      <w:r>
        <w:rPr>
          <w:rFonts w:ascii="宋体" w:hAnsi="宋体" w:eastAsia="宋体"/>
          <w:kern w:val="0"/>
          <w:sz w:val="24"/>
          <w:szCs w:val="24"/>
        </w:rPr>
        <w:t>5</w:t>
      </w:r>
      <w:r>
        <w:rPr>
          <w:rFonts w:hint="eastAsia" w:ascii="宋体" w:hAnsi="宋体" w:eastAsia="宋体"/>
          <w:kern w:val="0"/>
          <w:sz w:val="24"/>
          <w:szCs w:val="24"/>
        </w:rPr>
        <w:t>5</w:t>
      </w:r>
      <w:r>
        <w:rPr>
          <w:rFonts w:ascii="宋体" w:hAnsi="宋体" w:eastAsia="宋体"/>
          <w:kern w:val="0"/>
          <w:sz w:val="24"/>
          <w:szCs w:val="24"/>
        </w:rPr>
        <w:t>平方米，绿化面积1</w:t>
      </w:r>
      <w:r>
        <w:rPr>
          <w:rFonts w:hint="eastAsia" w:ascii="宋体" w:hAnsi="宋体" w:eastAsia="宋体"/>
          <w:kern w:val="0"/>
          <w:sz w:val="24"/>
          <w:szCs w:val="24"/>
        </w:rPr>
        <w:t>73</w:t>
      </w:r>
      <w:r>
        <w:rPr>
          <w:rFonts w:ascii="宋体" w:hAnsi="宋体" w:eastAsia="宋体"/>
          <w:kern w:val="0"/>
          <w:sz w:val="24"/>
          <w:szCs w:val="24"/>
        </w:rPr>
        <w:t>,</w:t>
      </w:r>
      <w:r>
        <w:rPr>
          <w:rFonts w:hint="eastAsia" w:ascii="宋体" w:hAnsi="宋体" w:eastAsia="宋体"/>
          <w:kern w:val="0"/>
          <w:sz w:val="24"/>
          <w:szCs w:val="24"/>
        </w:rPr>
        <w:t>850</w:t>
      </w:r>
      <w:r>
        <w:rPr>
          <w:rFonts w:ascii="宋体" w:hAnsi="宋体" w:eastAsia="宋体"/>
          <w:kern w:val="0"/>
          <w:sz w:val="24"/>
          <w:szCs w:val="24"/>
        </w:rPr>
        <w:t>.</w:t>
      </w:r>
      <w:r>
        <w:rPr>
          <w:rFonts w:hint="eastAsia" w:ascii="宋体" w:hAnsi="宋体" w:eastAsia="宋体"/>
          <w:kern w:val="0"/>
          <w:sz w:val="24"/>
          <w:szCs w:val="24"/>
        </w:rPr>
        <w:t>59</w:t>
      </w:r>
      <w:r>
        <w:rPr>
          <w:rFonts w:ascii="宋体" w:hAnsi="宋体" w:eastAsia="宋体"/>
          <w:kern w:val="0"/>
          <w:sz w:val="24"/>
          <w:szCs w:val="24"/>
        </w:rPr>
        <w:t>平方米</w:t>
      </w:r>
      <w:r>
        <w:rPr>
          <w:rFonts w:hint="eastAsia" w:ascii="宋体" w:hAnsi="宋体" w:eastAsia="宋体"/>
          <w:kern w:val="0"/>
          <w:sz w:val="24"/>
          <w:szCs w:val="24"/>
        </w:rPr>
        <w:t>，道路隔离护栏共约355米，服务范围包含不限于辖区内道路和人行天桥人工清扫保洁和快速保洁；机动车道机械清扫、机械冲洗除尘；非机动车道及路沿石机械冲洗除尘；绿化带的清理及巡回保洁；环卫设施（垃圾桶、果屑箱、垃圾中转房、雨篦子等）清洗清掏和维护；收集、运输华兴街道办事处作业辖区内每天生活垃圾分类收运所产生的可回收物、厨余垃圾、有毒有害垃圾和其他垃圾，负责将每天收集的厨余垃圾、有毒有害垃圾和其他垃圾转运至武侯区综合行政执法局指定的位置进行处置，道路灰带、标识标线、路沿石清洗；牛皮癣清除；道路桥梁护栏保洁（中央护栏、机非护栏</w:t>
      </w:r>
      <w:r>
        <w:rPr>
          <w:rFonts w:hint="eastAsia"/>
        </w:rPr>
        <w:t>、</w:t>
      </w:r>
      <w:r>
        <w:rPr>
          <w:rFonts w:hint="eastAsia" w:ascii="宋体" w:hAnsi="宋体" w:eastAsia="宋体"/>
          <w:kern w:val="0"/>
          <w:sz w:val="24"/>
          <w:szCs w:val="24"/>
        </w:rPr>
        <w:t>桥体、隔音屏内侧、栏杆等）；</w:t>
      </w:r>
      <w:r>
        <w:rPr>
          <w:rFonts w:hint="eastAsia" w:ascii="宋体" w:hAnsi="宋体" w:cs="宋体"/>
          <w:sz w:val="24"/>
          <w:szCs w:val="20"/>
        </w:rPr>
        <w:t>街面无主建筑垃圾清运</w:t>
      </w:r>
      <w:r>
        <w:rPr>
          <w:rFonts w:hint="eastAsia" w:ascii="宋体" w:hAnsi="宋体" w:eastAsia="宋体"/>
          <w:kern w:val="0"/>
          <w:sz w:val="24"/>
          <w:szCs w:val="24"/>
        </w:rPr>
        <w:t>及大件垃圾收集等工作。</w:t>
      </w:r>
    </w:p>
    <w:p>
      <w:pPr>
        <w:spacing w:line="360" w:lineRule="auto"/>
        <w:ind w:firstLine="480"/>
        <w:rPr>
          <w:rFonts w:ascii="宋体" w:hAnsi="宋体" w:eastAsia="宋体"/>
          <w:kern w:val="0"/>
          <w:sz w:val="24"/>
          <w:szCs w:val="24"/>
        </w:rPr>
        <w:sectPr>
          <w:headerReference r:id="rId4" w:type="default"/>
          <w:footerReference r:id="rId5" w:type="default"/>
          <w:pgSz w:w="11906" w:h="16838"/>
          <w:pgMar w:top="1440" w:right="1800" w:bottom="1440" w:left="1800" w:header="851" w:footer="992" w:gutter="0"/>
          <w:cols w:space="425" w:num="1"/>
          <w:docGrid w:type="lines" w:linePitch="312" w:charSpace="0"/>
        </w:sectPr>
      </w:pPr>
      <w:r>
        <w:rPr>
          <w:rFonts w:hint="eastAsia" w:ascii="宋体" w:hAnsi="宋体" w:eastAsia="宋体"/>
          <w:kern w:val="0"/>
          <w:sz w:val="24"/>
          <w:szCs w:val="24"/>
        </w:rPr>
        <w:t>华兴</w:t>
      </w:r>
      <w:r>
        <w:rPr>
          <w:rFonts w:ascii="宋体" w:hAnsi="宋体" w:eastAsia="宋体"/>
          <w:kern w:val="0"/>
          <w:sz w:val="24"/>
          <w:szCs w:val="24"/>
        </w:rPr>
        <w:t>街道办事处辖区日产垃圾量约65.3吨，根据</w:t>
      </w:r>
      <w:r>
        <w:rPr>
          <w:rFonts w:hint="eastAsia" w:ascii="宋体" w:hAnsi="宋体" w:eastAsia="宋体"/>
          <w:kern w:val="0"/>
          <w:sz w:val="24"/>
          <w:szCs w:val="24"/>
        </w:rPr>
        <w:t>测算及</w:t>
      </w:r>
      <w:r>
        <w:rPr>
          <w:rFonts w:ascii="宋体" w:hAnsi="宋体" w:eastAsia="宋体"/>
          <w:kern w:val="0"/>
          <w:sz w:val="24"/>
          <w:szCs w:val="24"/>
        </w:rPr>
        <w:t>道路实际情况，</w:t>
      </w:r>
      <w:r>
        <w:rPr>
          <w:rFonts w:hint="eastAsia" w:ascii="宋体" w:hAnsi="宋体" w:eastAsia="宋体"/>
          <w:kern w:val="0"/>
          <w:sz w:val="24"/>
          <w:szCs w:val="24"/>
        </w:rPr>
        <w:t>应配备多功能吸扫车2台（其中至少1台为新能源车），道路冲洗车、洒水降尘车各1台（其中至少1台为新能源车），隔离栏护栏清洗车、新能源车多功能雾炮车各1台、小型扫地车9台、小型高压清洗车10台、快保车38台、小型电动密闭垃圾车10台、其他垃圾压缩垃圾车3台、厨余垃圾车1台、有害垃圾车1台、可回收垃圾车1台、大件垃圾车1台，其中新能源垃圾密闭运输车核定载质量应≥</w:t>
      </w:r>
      <w:r>
        <w:rPr>
          <w:rFonts w:ascii="宋体" w:hAnsi="宋体" w:eastAsia="宋体"/>
          <w:kern w:val="0"/>
          <w:sz w:val="24"/>
          <w:szCs w:val="24"/>
        </w:rPr>
        <w:t>2</w:t>
      </w:r>
      <w:r>
        <w:rPr>
          <w:rFonts w:hint="eastAsia" w:ascii="宋体" w:hAnsi="宋体" w:eastAsia="宋体"/>
          <w:kern w:val="0"/>
          <w:sz w:val="24"/>
          <w:szCs w:val="24"/>
        </w:rPr>
        <w:t>吨，新能源厨余垃圾车核定载质量应≥</w:t>
      </w:r>
      <w:r>
        <w:rPr>
          <w:rFonts w:ascii="宋体" w:hAnsi="宋体" w:eastAsia="宋体"/>
          <w:kern w:val="0"/>
          <w:sz w:val="24"/>
          <w:szCs w:val="24"/>
        </w:rPr>
        <w:t>3</w:t>
      </w:r>
      <w:r>
        <w:rPr>
          <w:rFonts w:hint="eastAsia" w:ascii="宋体" w:hAnsi="宋体" w:eastAsia="宋体"/>
          <w:kern w:val="0"/>
          <w:sz w:val="24"/>
          <w:szCs w:val="24"/>
        </w:rPr>
        <w:t>吨，有害垃圾、可回收垃圾、大件垃圾因产生时间不确定性高，配备车辆核定载质量分别应为≥2吨、≥2吨、≥</w:t>
      </w:r>
      <w:r>
        <w:rPr>
          <w:rFonts w:ascii="宋体" w:hAnsi="宋体" w:eastAsia="宋体"/>
          <w:kern w:val="0"/>
          <w:sz w:val="24"/>
          <w:szCs w:val="24"/>
        </w:rPr>
        <w:t>2</w:t>
      </w:r>
      <w:r>
        <w:rPr>
          <w:rFonts w:hint="eastAsia" w:ascii="宋体" w:hAnsi="宋体" w:eastAsia="宋体"/>
          <w:kern w:val="0"/>
          <w:sz w:val="24"/>
          <w:szCs w:val="24"/>
        </w:rPr>
        <w:t>吨的新能源垃圾密闭运输车，详见环卫及垃圾清运作业车辆配置表。部分狭小街道、</w:t>
      </w:r>
      <w:r>
        <w:rPr>
          <w:rFonts w:ascii="宋体" w:hAnsi="宋体" w:eastAsia="宋体"/>
          <w:kern w:val="0"/>
          <w:sz w:val="24"/>
          <w:szCs w:val="24"/>
        </w:rPr>
        <w:t>老旧小区无垃圾中转房及清转点，</w:t>
      </w:r>
      <w:r>
        <w:rPr>
          <w:rFonts w:hint="eastAsia" w:ascii="宋体" w:hAnsi="宋体" w:eastAsia="宋体"/>
          <w:kern w:val="0"/>
          <w:sz w:val="24"/>
          <w:szCs w:val="24"/>
        </w:rPr>
        <w:t>由电动三轮车转运垃圾。华兴到南桥村垃圾压缩站往返运输基准距离为</w:t>
      </w:r>
      <w:r>
        <w:rPr>
          <w:rFonts w:ascii="宋体" w:hAnsi="宋体" w:eastAsia="宋体"/>
          <w:kern w:val="0"/>
          <w:sz w:val="24"/>
          <w:szCs w:val="24"/>
        </w:rPr>
        <w:t>2.7</w:t>
      </w:r>
      <w:r>
        <w:rPr>
          <w:rFonts w:hint="eastAsia" w:ascii="宋体" w:hAnsi="宋体" w:eastAsia="宋体"/>
          <w:kern w:val="0"/>
          <w:sz w:val="24"/>
          <w:szCs w:val="24"/>
        </w:rPr>
        <w:t>公里，小区内收集装车单边收集运距平均约</w:t>
      </w:r>
      <w:r>
        <w:rPr>
          <w:rFonts w:ascii="宋体" w:hAnsi="宋体" w:eastAsia="宋体"/>
          <w:kern w:val="0"/>
          <w:sz w:val="24"/>
          <w:szCs w:val="24"/>
        </w:rPr>
        <w:t>1</w:t>
      </w:r>
      <w:r>
        <w:rPr>
          <w:rFonts w:hint="eastAsia" w:ascii="宋体" w:hAnsi="宋体" w:eastAsia="宋体"/>
          <w:kern w:val="0"/>
          <w:sz w:val="24"/>
          <w:szCs w:val="24"/>
        </w:rPr>
        <w:t>公里。</w:t>
      </w:r>
    </w:p>
    <w:p>
      <w:pPr>
        <w:pStyle w:val="2"/>
        <w:ind w:firstLine="0" w:firstLineChars="0"/>
        <w:jc w:val="center"/>
        <w:rPr>
          <w:rFonts w:ascii="宋体" w:hAnsi="宋体" w:eastAsia="宋体"/>
          <w:b/>
          <w:bCs/>
          <w:kern w:val="44"/>
          <w:sz w:val="28"/>
          <w:szCs w:val="28"/>
        </w:rPr>
      </w:pPr>
      <w:r>
        <w:rPr>
          <w:rFonts w:hint="eastAsia" w:ascii="宋体" w:hAnsi="宋体" w:eastAsia="宋体"/>
          <w:b/>
          <w:bCs/>
          <w:kern w:val="44"/>
          <w:sz w:val="28"/>
          <w:szCs w:val="28"/>
        </w:rPr>
        <w:t>华兴街道辖区道路情况表</w:t>
      </w:r>
    </w:p>
    <w:tbl>
      <w:tblPr>
        <w:tblStyle w:val="17"/>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1740"/>
        <w:gridCol w:w="1446"/>
        <w:gridCol w:w="1279"/>
        <w:gridCol w:w="1191"/>
        <w:gridCol w:w="13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061" w:type="dxa"/>
            <w:gridSpan w:val="7"/>
            <w:shd w:val="clear" w:color="auto" w:fill="auto"/>
            <w:vAlign w:val="center"/>
          </w:tcPr>
          <w:p>
            <w:pPr>
              <w:widowControl/>
              <w:jc w:val="center"/>
              <w:rPr>
                <w:rFonts w:ascii="宋体" w:hAnsi="宋体" w:eastAsia="宋体" w:cs="宋体"/>
                <w:b/>
                <w:bCs/>
                <w:kern w:val="0"/>
                <w:sz w:val="32"/>
                <w:szCs w:val="32"/>
              </w:rPr>
            </w:pPr>
            <w:r>
              <w:rPr>
                <w:rFonts w:hint="eastAsia" w:cs="宋体" w:asciiTheme="minorEastAsia" w:hAnsiTheme="minorEastAsia"/>
                <w:kern w:val="0"/>
                <w:sz w:val="20"/>
                <w:szCs w:val="20"/>
              </w:rPr>
              <w:t>华兴街道辖区道路、广场、空地、绿地环卫清扫区域面积统计表（一级道路）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44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序号</w:t>
            </w:r>
          </w:p>
        </w:tc>
        <w:tc>
          <w:tcPr>
            <w:tcW w:w="174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道路名称</w:t>
            </w:r>
          </w:p>
        </w:tc>
        <w:tc>
          <w:tcPr>
            <w:tcW w:w="1446"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道路面积（㎡）</w:t>
            </w:r>
          </w:p>
        </w:tc>
        <w:tc>
          <w:tcPr>
            <w:tcW w:w="1279"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人行道面积（㎡）</w:t>
            </w:r>
          </w:p>
        </w:tc>
        <w:tc>
          <w:tcPr>
            <w:tcW w:w="1191"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道路绿化带面积（㎡）</w:t>
            </w:r>
          </w:p>
        </w:tc>
        <w:tc>
          <w:tcPr>
            <w:tcW w:w="134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道路或人行道至建筑物间空地面积（㎡）</w:t>
            </w:r>
          </w:p>
        </w:tc>
        <w:tc>
          <w:tcPr>
            <w:tcW w:w="162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道路或人行道至建筑物间绿地面积（㎡）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44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w:t>
            </w:r>
          </w:p>
        </w:tc>
        <w:tc>
          <w:tcPr>
            <w:tcW w:w="1740"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佳灵路</w:t>
            </w:r>
          </w:p>
        </w:tc>
        <w:tc>
          <w:tcPr>
            <w:tcW w:w="1446"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8432.00 </w:t>
            </w:r>
          </w:p>
        </w:tc>
        <w:tc>
          <w:tcPr>
            <w:tcW w:w="1279"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1736.00 </w:t>
            </w:r>
          </w:p>
        </w:tc>
        <w:tc>
          <w:tcPr>
            <w:tcW w:w="1191"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40"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20"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bl>
    <w:p>
      <w:pPr>
        <w:widowControl/>
        <w:jc w:val="left"/>
        <w:rPr>
          <w:rFonts w:ascii="宋体" w:hAnsi="宋体" w:eastAsia="宋体" w:cs="宋体"/>
          <w:kern w:val="0"/>
          <w:sz w:val="24"/>
          <w:szCs w:val="24"/>
        </w:rPr>
      </w:pPr>
    </w:p>
    <w:tbl>
      <w:tblPr>
        <w:tblStyle w:val="17"/>
        <w:tblW w:w="907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45"/>
        <w:gridCol w:w="1770"/>
        <w:gridCol w:w="1532"/>
        <w:gridCol w:w="1297"/>
        <w:gridCol w:w="1297"/>
        <w:gridCol w:w="1241"/>
        <w:gridCol w:w="149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0" w:hRule="atLeast"/>
          <w:tblHeader/>
          <w:jc w:val="center"/>
        </w:trPr>
        <w:tc>
          <w:tcPr>
            <w:tcW w:w="9077" w:type="dxa"/>
            <w:gridSpan w:val="7"/>
            <w:shd w:val="clear" w:color="auto" w:fill="auto"/>
            <w:noWrap/>
            <w:vAlign w:val="center"/>
          </w:tcPr>
          <w:p>
            <w:pPr>
              <w:widowControl/>
              <w:jc w:val="center"/>
              <w:rPr>
                <w:rFonts w:ascii="宋体" w:hAnsi="宋体" w:eastAsia="宋体" w:cs="宋体"/>
                <w:b/>
                <w:bCs/>
                <w:kern w:val="0"/>
                <w:sz w:val="32"/>
                <w:szCs w:val="32"/>
              </w:rPr>
            </w:pPr>
            <w:r>
              <w:rPr>
                <w:rFonts w:hint="eastAsia" w:cs="宋体" w:asciiTheme="minorEastAsia" w:hAnsiTheme="minorEastAsia"/>
                <w:kern w:val="0"/>
                <w:sz w:val="20"/>
                <w:szCs w:val="20"/>
              </w:rPr>
              <w:t>华兴街道辖区道路、广场、空地、绿地环卫清扫区域面积统计表（二级道路）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58" w:hRule="atLeast"/>
          <w:tblHeader/>
          <w:jc w:val="center"/>
        </w:trPr>
        <w:tc>
          <w:tcPr>
            <w:tcW w:w="44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序号</w:t>
            </w:r>
          </w:p>
        </w:tc>
        <w:tc>
          <w:tcPr>
            <w:tcW w:w="177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道路名称</w:t>
            </w:r>
          </w:p>
        </w:tc>
        <w:tc>
          <w:tcPr>
            <w:tcW w:w="1532"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道路面积（㎡）</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人行道面积（㎡）</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道路绿化带面积（㎡）</w:t>
            </w:r>
          </w:p>
        </w:tc>
        <w:tc>
          <w:tcPr>
            <w:tcW w:w="1241"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道路或人行道至建筑物间空地面积（㎡）</w:t>
            </w:r>
          </w:p>
        </w:tc>
        <w:tc>
          <w:tcPr>
            <w:tcW w:w="149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道路或人行道至建筑物间绿地面积（㎡）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44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w:t>
            </w:r>
          </w:p>
        </w:tc>
        <w:tc>
          <w:tcPr>
            <w:tcW w:w="1770"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成双大道第一段</w:t>
            </w:r>
          </w:p>
        </w:tc>
        <w:tc>
          <w:tcPr>
            <w:tcW w:w="1532"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14437.87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3001.42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569.21 </w:t>
            </w:r>
          </w:p>
        </w:tc>
        <w:tc>
          <w:tcPr>
            <w:tcW w:w="1241"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495"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44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w:t>
            </w:r>
          </w:p>
        </w:tc>
        <w:tc>
          <w:tcPr>
            <w:tcW w:w="1770"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成双大道第二段</w:t>
            </w:r>
          </w:p>
        </w:tc>
        <w:tc>
          <w:tcPr>
            <w:tcW w:w="1532"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64094.24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13894.30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3334.00 </w:t>
            </w:r>
          </w:p>
        </w:tc>
        <w:tc>
          <w:tcPr>
            <w:tcW w:w="1241"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495"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6575.32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44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3</w:t>
            </w:r>
          </w:p>
        </w:tc>
        <w:tc>
          <w:tcPr>
            <w:tcW w:w="1770"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新安大道</w:t>
            </w:r>
          </w:p>
        </w:tc>
        <w:tc>
          <w:tcPr>
            <w:tcW w:w="1532"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24295.76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5324.55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1566.34 </w:t>
            </w:r>
          </w:p>
        </w:tc>
        <w:tc>
          <w:tcPr>
            <w:tcW w:w="1241"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2647.48 </w:t>
            </w:r>
          </w:p>
        </w:tc>
        <w:tc>
          <w:tcPr>
            <w:tcW w:w="1495"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21853.52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44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4</w:t>
            </w:r>
          </w:p>
        </w:tc>
        <w:tc>
          <w:tcPr>
            <w:tcW w:w="177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文昌路</w:t>
            </w:r>
          </w:p>
        </w:tc>
        <w:tc>
          <w:tcPr>
            <w:tcW w:w="1532"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7774.78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3567.25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41"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4897.87 </w:t>
            </w:r>
          </w:p>
        </w:tc>
        <w:tc>
          <w:tcPr>
            <w:tcW w:w="1495"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1440.24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44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5</w:t>
            </w:r>
          </w:p>
        </w:tc>
        <w:tc>
          <w:tcPr>
            <w:tcW w:w="177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南桥二路第一段</w:t>
            </w:r>
          </w:p>
        </w:tc>
        <w:tc>
          <w:tcPr>
            <w:tcW w:w="1532"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10290.00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41"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495"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44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6</w:t>
            </w:r>
          </w:p>
        </w:tc>
        <w:tc>
          <w:tcPr>
            <w:tcW w:w="177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南桥二路第二段</w:t>
            </w:r>
          </w:p>
        </w:tc>
        <w:tc>
          <w:tcPr>
            <w:tcW w:w="1532"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7096.14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2759.61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41"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495"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44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7</w:t>
            </w:r>
          </w:p>
        </w:tc>
        <w:tc>
          <w:tcPr>
            <w:tcW w:w="1770"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南桥一路</w:t>
            </w:r>
          </w:p>
        </w:tc>
        <w:tc>
          <w:tcPr>
            <w:tcW w:w="1532"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1766.70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777.35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41"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721.90 </w:t>
            </w:r>
          </w:p>
        </w:tc>
        <w:tc>
          <w:tcPr>
            <w:tcW w:w="1495"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1947.58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44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8</w:t>
            </w:r>
          </w:p>
        </w:tc>
        <w:tc>
          <w:tcPr>
            <w:tcW w:w="1770"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南桥四路</w:t>
            </w:r>
          </w:p>
        </w:tc>
        <w:tc>
          <w:tcPr>
            <w:tcW w:w="1532"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1857.15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1403.18 </w:t>
            </w:r>
          </w:p>
        </w:tc>
        <w:tc>
          <w:tcPr>
            <w:tcW w:w="1297"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41"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1933.20 </w:t>
            </w:r>
          </w:p>
        </w:tc>
        <w:tc>
          <w:tcPr>
            <w:tcW w:w="149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868.46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44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9</w:t>
            </w:r>
          </w:p>
        </w:tc>
        <w:tc>
          <w:tcPr>
            <w:tcW w:w="1770"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华泰四路</w:t>
            </w:r>
          </w:p>
        </w:tc>
        <w:tc>
          <w:tcPr>
            <w:tcW w:w="1532"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8277.36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4457.04 </w:t>
            </w:r>
          </w:p>
        </w:tc>
        <w:tc>
          <w:tcPr>
            <w:tcW w:w="1297"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41"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49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172.27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44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10</w:t>
            </w:r>
          </w:p>
        </w:tc>
        <w:tc>
          <w:tcPr>
            <w:tcW w:w="1770"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华泰五路</w:t>
            </w:r>
          </w:p>
        </w:tc>
        <w:tc>
          <w:tcPr>
            <w:tcW w:w="1532"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4639.14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3608.22 </w:t>
            </w:r>
          </w:p>
        </w:tc>
        <w:tc>
          <w:tcPr>
            <w:tcW w:w="1297"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41"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3927.66 </w:t>
            </w:r>
          </w:p>
        </w:tc>
        <w:tc>
          <w:tcPr>
            <w:tcW w:w="149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4781.52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44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11</w:t>
            </w:r>
          </w:p>
        </w:tc>
        <w:tc>
          <w:tcPr>
            <w:tcW w:w="177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武侯大道第一段</w:t>
            </w:r>
          </w:p>
        </w:tc>
        <w:tc>
          <w:tcPr>
            <w:tcW w:w="1532"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6839.22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1719.20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283.18 </w:t>
            </w:r>
          </w:p>
        </w:tc>
        <w:tc>
          <w:tcPr>
            <w:tcW w:w="1241"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49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22793.17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44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12</w:t>
            </w:r>
          </w:p>
        </w:tc>
        <w:tc>
          <w:tcPr>
            <w:tcW w:w="177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武侯大道第二段</w:t>
            </w:r>
          </w:p>
        </w:tc>
        <w:tc>
          <w:tcPr>
            <w:tcW w:w="1532"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20251.72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6671.70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1193.03 </w:t>
            </w:r>
          </w:p>
        </w:tc>
        <w:tc>
          <w:tcPr>
            <w:tcW w:w="1241"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49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22802.73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44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13</w:t>
            </w:r>
          </w:p>
        </w:tc>
        <w:tc>
          <w:tcPr>
            <w:tcW w:w="177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武侯大道第三段</w:t>
            </w:r>
          </w:p>
        </w:tc>
        <w:tc>
          <w:tcPr>
            <w:tcW w:w="1532"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1530.72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765.36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41"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49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11966.77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44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14</w:t>
            </w:r>
          </w:p>
        </w:tc>
        <w:tc>
          <w:tcPr>
            <w:tcW w:w="177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武侯大道第四段</w:t>
            </w:r>
          </w:p>
        </w:tc>
        <w:tc>
          <w:tcPr>
            <w:tcW w:w="1532"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3892.42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1112.12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41"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49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26811.68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10" w:hRule="atLeast"/>
          <w:jc w:val="center"/>
        </w:trPr>
        <w:tc>
          <w:tcPr>
            <w:tcW w:w="44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15</w:t>
            </w:r>
          </w:p>
        </w:tc>
        <w:tc>
          <w:tcPr>
            <w:tcW w:w="1770"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聚龙路</w:t>
            </w:r>
          </w:p>
        </w:tc>
        <w:tc>
          <w:tcPr>
            <w:tcW w:w="1532"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8184.95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2322.57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441.72 </w:t>
            </w:r>
          </w:p>
        </w:tc>
        <w:tc>
          <w:tcPr>
            <w:tcW w:w="1241"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3389.76 </w:t>
            </w:r>
          </w:p>
        </w:tc>
        <w:tc>
          <w:tcPr>
            <w:tcW w:w="149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44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16</w:t>
            </w:r>
          </w:p>
        </w:tc>
        <w:tc>
          <w:tcPr>
            <w:tcW w:w="177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机场专用路</w:t>
            </w:r>
          </w:p>
        </w:tc>
        <w:tc>
          <w:tcPr>
            <w:tcW w:w="1532"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12096.36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41"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1239.75 </w:t>
            </w:r>
          </w:p>
        </w:tc>
        <w:tc>
          <w:tcPr>
            <w:tcW w:w="149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25917.31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44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17</w:t>
            </w:r>
          </w:p>
        </w:tc>
        <w:tc>
          <w:tcPr>
            <w:tcW w:w="177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机场专用通道</w:t>
            </w:r>
          </w:p>
        </w:tc>
        <w:tc>
          <w:tcPr>
            <w:tcW w:w="1532"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2441.23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41"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49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44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18</w:t>
            </w:r>
          </w:p>
        </w:tc>
        <w:tc>
          <w:tcPr>
            <w:tcW w:w="177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文盛路</w:t>
            </w:r>
          </w:p>
        </w:tc>
        <w:tc>
          <w:tcPr>
            <w:tcW w:w="1532"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9584.26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4107.54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41"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49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44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19</w:t>
            </w:r>
          </w:p>
        </w:tc>
        <w:tc>
          <w:tcPr>
            <w:tcW w:w="177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太平寺路</w:t>
            </w:r>
          </w:p>
        </w:tc>
        <w:tc>
          <w:tcPr>
            <w:tcW w:w="1532"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8424.36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41"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49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44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20</w:t>
            </w:r>
          </w:p>
        </w:tc>
        <w:tc>
          <w:tcPr>
            <w:tcW w:w="177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太平寺东路</w:t>
            </w:r>
          </w:p>
        </w:tc>
        <w:tc>
          <w:tcPr>
            <w:tcW w:w="1532"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12645.80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41"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49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1793.60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44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21</w:t>
            </w:r>
          </w:p>
        </w:tc>
        <w:tc>
          <w:tcPr>
            <w:tcW w:w="177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进厂路第一段</w:t>
            </w:r>
          </w:p>
        </w:tc>
        <w:tc>
          <w:tcPr>
            <w:tcW w:w="1532"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6613.39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1484.52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314.37 </w:t>
            </w:r>
          </w:p>
        </w:tc>
        <w:tc>
          <w:tcPr>
            <w:tcW w:w="1241"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49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286.21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44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22</w:t>
            </w:r>
          </w:p>
        </w:tc>
        <w:tc>
          <w:tcPr>
            <w:tcW w:w="177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进厂路第二段</w:t>
            </w:r>
          </w:p>
        </w:tc>
        <w:tc>
          <w:tcPr>
            <w:tcW w:w="1532"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1074.57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41"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49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2479.88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44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23</w:t>
            </w:r>
          </w:p>
        </w:tc>
        <w:tc>
          <w:tcPr>
            <w:tcW w:w="177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新蕾路</w:t>
            </w:r>
          </w:p>
        </w:tc>
        <w:tc>
          <w:tcPr>
            <w:tcW w:w="1532"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2054.00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1106.00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41"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1079.30 </w:t>
            </w:r>
          </w:p>
        </w:tc>
        <w:tc>
          <w:tcPr>
            <w:tcW w:w="149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44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24</w:t>
            </w:r>
          </w:p>
        </w:tc>
        <w:tc>
          <w:tcPr>
            <w:tcW w:w="177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龙井南路</w:t>
            </w:r>
          </w:p>
        </w:tc>
        <w:tc>
          <w:tcPr>
            <w:tcW w:w="1532"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868.86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1061.94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41"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104.00 </w:t>
            </w:r>
          </w:p>
        </w:tc>
        <w:tc>
          <w:tcPr>
            <w:tcW w:w="149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44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25</w:t>
            </w:r>
          </w:p>
        </w:tc>
        <w:tc>
          <w:tcPr>
            <w:tcW w:w="177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簇锦南街</w:t>
            </w:r>
          </w:p>
        </w:tc>
        <w:tc>
          <w:tcPr>
            <w:tcW w:w="1532"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1452.00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1210.00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41" w:type="dxa"/>
            <w:shd w:val="clear" w:color="auto" w:fill="auto"/>
            <w:noWrap/>
            <w:vAlign w:val="bottom"/>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49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44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26</w:t>
            </w:r>
          </w:p>
        </w:tc>
        <w:tc>
          <w:tcPr>
            <w:tcW w:w="177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簇桥后街</w:t>
            </w:r>
          </w:p>
        </w:tc>
        <w:tc>
          <w:tcPr>
            <w:tcW w:w="1532"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10200.71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5335.76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41"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4304.60 </w:t>
            </w:r>
          </w:p>
        </w:tc>
        <w:tc>
          <w:tcPr>
            <w:tcW w:w="149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1913.66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44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27</w:t>
            </w:r>
          </w:p>
        </w:tc>
        <w:tc>
          <w:tcPr>
            <w:tcW w:w="177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夏家湾一路</w:t>
            </w:r>
          </w:p>
        </w:tc>
        <w:tc>
          <w:tcPr>
            <w:tcW w:w="1532"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2755.29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1740.18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41"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2877.22 </w:t>
            </w:r>
          </w:p>
        </w:tc>
        <w:tc>
          <w:tcPr>
            <w:tcW w:w="149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147.81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44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28</w:t>
            </w:r>
          </w:p>
        </w:tc>
        <w:tc>
          <w:tcPr>
            <w:tcW w:w="177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夏家湾二路</w:t>
            </w:r>
          </w:p>
        </w:tc>
        <w:tc>
          <w:tcPr>
            <w:tcW w:w="1532"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3986.15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1948.78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41"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600.06 </w:t>
            </w:r>
          </w:p>
        </w:tc>
        <w:tc>
          <w:tcPr>
            <w:tcW w:w="149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118.90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44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29</w:t>
            </w:r>
          </w:p>
        </w:tc>
        <w:tc>
          <w:tcPr>
            <w:tcW w:w="177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雷家坡二路</w:t>
            </w:r>
          </w:p>
        </w:tc>
        <w:tc>
          <w:tcPr>
            <w:tcW w:w="1532"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13622.85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4860.04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41"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3535.18 </w:t>
            </w:r>
          </w:p>
        </w:tc>
        <w:tc>
          <w:tcPr>
            <w:tcW w:w="149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751.11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44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30</w:t>
            </w:r>
          </w:p>
        </w:tc>
        <w:tc>
          <w:tcPr>
            <w:tcW w:w="177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雷家坡三路</w:t>
            </w:r>
          </w:p>
        </w:tc>
        <w:tc>
          <w:tcPr>
            <w:tcW w:w="1532"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6522.36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3311.35 </w:t>
            </w:r>
          </w:p>
        </w:tc>
        <w:tc>
          <w:tcPr>
            <w:tcW w:w="129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41"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1683.45 </w:t>
            </w:r>
          </w:p>
        </w:tc>
        <w:tc>
          <w:tcPr>
            <w:tcW w:w="149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bl>
    <w:p>
      <w:pPr>
        <w:widowControl/>
        <w:jc w:val="left"/>
        <w:rPr>
          <w:rFonts w:ascii="宋体" w:hAnsi="宋体" w:eastAsia="宋体" w:cs="宋体"/>
          <w:kern w:val="0"/>
          <w:sz w:val="24"/>
          <w:szCs w:val="24"/>
        </w:rPr>
      </w:pPr>
    </w:p>
    <w:p>
      <w:pPr>
        <w:widowControl/>
        <w:jc w:val="center"/>
        <w:rPr>
          <w:rFonts w:ascii="宋体" w:hAnsi="宋体" w:eastAsia="宋体" w:cs="宋体"/>
          <w:b/>
          <w:bCs/>
          <w:kern w:val="0"/>
          <w:sz w:val="32"/>
          <w:szCs w:val="32"/>
        </w:rPr>
        <w:sectPr>
          <w:pgSz w:w="11906" w:h="16838"/>
          <w:pgMar w:top="1440" w:right="1797" w:bottom="1440" w:left="1797" w:header="851" w:footer="992" w:gutter="0"/>
          <w:cols w:space="425" w:num="1"/>
          <w:docGrid w:type="linesAndChars" w:linePitch="312" w:charSpace="0"/>
        </w:sectPr>
      </w:pP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77"/>
        <w:gridCol w:w="1903"/>
        <w:gridCol w:w="1460"/>
        <w:gridCol w:w="1268"/>
        <w:gridCol w:w="1124"/>
        <w:gridCol w:w="1335"/>
        <w:gridCol w:w="16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8" w:hRule="atLeast"/>
          <w:tblHeader/>
          <w:jc w:val="center"/>
        </w:trPr>
        <w:tc>
          <w:tcPr>
            <w:tcW w:w="9180" w:type="dxa"/>
            <w:gridSpan w:val="7"/>
            <w:shd w:val="clear" w:color="auto" w:fill="auto"/>
            <w:noWrap/>
            <w:vAlign w:val="center"/>
          </w:tcPr>
          <w:p>
            <w:pPr>
              <w:widowControl/>
              <w:jc w:val="center"/>
              <w:rPr>
                <w:rFonts w:ascii="宋体" w:hAnsi="宋体" w:eastAsia="宋体" w:cs="宋体"/>
                <w:b/>
                <w:bCs/>
                <w:kern w:val="0"/>
                <w:sz w:val="32"/>
                <w:szCs w:val="32"/>
              </w:rPr>
            </w:pPr>
            <w:r>
              <w:rPr>
                <w:rFonts w:hint="eastAsia" w:cs="宋体" w:asciiTheme="minorEastAsia" w:hAnsiTheme="minorEastAsia"/>
                <w:kern w:val="0"/>
                <w:sz w:val="20"/>
                <w:szCs w:val="20"/>
              </w:rPr>
              <w:t>华兴街道辖区道路、广场、空地、绿地环卫清扫区域面积统计表（三级道路）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84" w:hRule="atLeast"/>
          <w:tblHeader/>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序号</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道路名称</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道路面积（㎡）</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人行道面积（㎡）</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道路绿化带面积（㎡）</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道路或人行道至建筑物间空地面积（㎡）</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道路或人行道至建筑物间绿地面积（㎡）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簇桥上街第一段</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2799.08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1944.62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簇桥上街第二段</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4577.51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2484.11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3</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华锦路</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8204.38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4</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科运路</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1020.00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5</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124街</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7132.13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6</w:t>
            </w:r>
          </w:p>
        </w:tc>
        <w:tc>
          <w:tcPr>
            <w:tcW w:w="1903"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五桂路</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5407.80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7</w:t>
            </w:r>
          </w:p>
        </w:tc>
        <w:tc>
          <w:tcPr>
            <w:tcW w:w="1903"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正兴路</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4853.68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8</w:t>
            </w:r>
          </w:p>
        </w:tc>
        <w:tc>
          <w:tcPr>
            <w:tcW w:w="1903"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红簇路</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5484.00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9</w:t>
            </w:r>
          </w:p>
        </w:tc>
        <w:tc>
          <w:tcPr>
            <w:tcW w:w="1903"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企业中路</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12570.72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10</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武华巷</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7270.24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11</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太平寺西路第一段</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8222.70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900.81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12</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太平寺西路第二段</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4623.21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6"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13</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围机路第一段</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4305.78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14</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围机路第二段</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27593.50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15</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围机路第三段</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4571.46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16</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华烨路</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8395.31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17</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京荷窗帘城支路</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2290.56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18</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招商路</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2669.67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1957.76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4745.92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19</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货运大道</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5497.65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20</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南沈路</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13905.15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21</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八益广场通道</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6062.54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22</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龙井东街第一段</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1816.98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23</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龙井东街第二段</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13024.22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24</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压缩站门前路</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1960.16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25</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三河3组大道</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5557.80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26</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三河4组大道</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4368.85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27</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沈家桥2组菜市第一段</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8729.93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28</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沈家桥2组菜市第二段</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1889.50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29</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沈家桥2组菜市支路</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1438.29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2522.31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30</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沈家桥2组道路</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3179.28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31</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沈三路</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3630.14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32</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沈三路支路</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2578.62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33</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衡桥家居沙发城支路</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2813.00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34</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旧货市场道路</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1787.32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35</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124街支路1</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1201.20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36</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124街支路2</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935.70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37</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124街支路3</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1218.64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38</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南沈路支路1</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758.16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39</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南沈路支路2</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509.92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40</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南桥二路商铺广场</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1980.24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41</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华泰四路商铺广场</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4961.61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42</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佳灵路商铺广场</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6783.36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43</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成双大道办公城广场</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3356.65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44</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成双大道西部材料城广场</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7121.85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45</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成双大道八益金属家具广场</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2776.34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46</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成双大道95号衡桥沙发城广场</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1058.26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47</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成双大道灯具城广场</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3646.35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48</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成双大道窗帘城</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1854.83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49</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成双大道爱驰国际家居广场</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1439.16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50</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成双大道九峰(三九佛兰)广场</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7272.10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9"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51</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成双大道北段489号汽修铺面广场</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1709.37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52</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成双大道簇锦家园A区广场</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4181.89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bl>
    <w:p>
      <w:pPr>
        <w:pStyle w:val="2"/>
        <w:ind w:firstLine="0" w:firstLineChars="0"/>
        <w:sectPr>
          <w:footerReference r:id="rId6" w:type="default"/>
          <w:pgSz w:w="11906" w:h="16838"/>
          <w:pgMar w:top="1440" w:right="1797" w:bottom="1440" w:left="1797" w:header="851" w:footer="992" w:gutter="0"/>
          <w:cols w:space="425" w:num="1"/>
          <w:docGrid w:type="linesAndChars" w:linePitch="312" w:charSpace="0"/>
        </w:sectPr>
      </w:pP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77"/>
        <w:gridCol w:w="1903"/>
        <w:gridCol w:w="1460"/>
        <w:gridCol w:w="1268"/>
        <w:gridCol w:w="1124"/>
        <w:gridCol w:w="1335"/>
        <w:gridCol w:w="16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1" w:hRule="atLeast"/>
          <w:tblHeader/>
          <w:jc w:val="center"/>
        </w:trPr>
        <w:tc>
          <w:tcPr>
            <w:tcW w:w="9180" w:type="dxa"/>
            <w:gridSpan w:val="7"/>
            <w:shd w:val="clear" w:color="auto" w:fill="auto"/>
            <w:noWrap/>
            <w:vAlign w:val="center"/>
          </w:tcPr>
          <w:p>
            <w:pPr>
              <w:widowControl/>
              <w:jc w:val="center"/>
              <w:rPr>
                <w:rFonts w:ascii="宋体" w:hAnsi="宋体" w:eastAsia="宋体" w:cs="宋体"/>
                <w:b/>
                <w:bCs/>
                <w:kern w:val="0"/>
                <w:sz w:val="32"/>
                <w:szCs w:val="32"/>
              </w:rPr>
            </w:pPr>
            <w:r>
              <w:rPr>
                <w:rFonts w:hint="eastAsia" w:cs="宋体" w:asciiTheme="minorEastAsia" w:hAnsiTheme="minorEastAsia"/>
                <w:kern w:val="0"/>
                <w:sz w:val="20"/>
                <w:szCs w:val="20"/>
              </w:rPr>
              <w:t>华兴街道辖区道路、广场、空地、绿地环卫清扫区域面积统计表（四级道路）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84" w:hRule="atLeast"/>
          <w:tblHeader/>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序号</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道路名称</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道路面积（㎡）</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人行道面积（㎡）</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道路绿化带面积（㎡）</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道路或人行道至建筑物间空地面积（㎡）</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道路或人行道至建筑物间绿地面积（㎡）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太平园D区旁巷道</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888.23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奶牛场宿舍支路</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2318.40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3</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世华家具城支路</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1224.06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4</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南桥2组支路1</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2203.13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5</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南桥2组支路2</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361.79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6</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南桥2组支路3</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483.67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7</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南桥2组支路4第一段</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332.99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8</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南桥2组支路4第二段</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880.17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9</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南桥2组支路5</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266.63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10</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南桥2组支路6第一段</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304.92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11</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南桥2组支路6第二段</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1341.19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12</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南桥2组支路7</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803.44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13</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南桥2组支路8</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277.92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14</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南桥2组支路9</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283.92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15</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南桥2组支路10第一段</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326.97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16</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南桥2组支路10第二段</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289.16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17</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南桥2组支路11</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868.64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18</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南桥2组支路12</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274.20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19</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南桥花市道路</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1325.52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20</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南桥3组支路1</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1512.39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21</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南桥3组支路2</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2579.07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22</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南桥3组支路3</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459.84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23</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南桥3组支路4</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1769.60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24</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南桥3组支路5</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772.00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25</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南桥3组支路6</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318.05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26</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南桥1组支路1第一段</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817.70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27</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南桥1组支路1第二段</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755.10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28</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南桥1组支路2</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561.96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29</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南桥1组支路3</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727.13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30</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南桥1组支路4</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208.32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31</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南桥1组支路5</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449.47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32</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南桥1组支路6第一段</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980.56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33</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南桥1组支路6第二段</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701.47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34</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南桥1组支路6第三段</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619.74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35</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西部家园支路</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410.49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305.12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36</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沈家桥8组支路1</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717.50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37</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沈家桥8组支路2</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2087.09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3"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38</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沈家桥8组支路3</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437.99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39</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沈家桥10组支路1</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1881.75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40</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沈家桥7组支路1</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1912.64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41</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沈家桥4组支路1</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1846.98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42</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沈家桥9组支路1</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2027.04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43</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沈家桥9组支路2</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237.65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44</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沈家桥9组支路3</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815.22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45</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沈家桥9组支路4</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202.28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46</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沈家桥9组支路5</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1016.20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47</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沈家桥9组支路6</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2265.06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48</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沈家桥1组支路1第一段</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2221.90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49</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沈家桥1组支路1第二段</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1024.14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50</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沈家桥1组支路1第三段</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1405.50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51</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沈家桥1组支路2</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876.26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52</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沈家桥1组支路3</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331.87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53</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沈家桥1组支路4</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319.62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54</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沈家桥1组院落道路</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567.00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55</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沈家桥5组院落道路</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701.75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56</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机场专用路支路</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1929.45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57</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沈家桥5组支路1</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401.80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58</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沈家桥5组支路2</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240.20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59</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沈家桥5组支路3</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1395.62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60</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沈家桥5组支路4</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777.81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61</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水厂路</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3283.00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62</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骏峰装饰支路</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477.68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63</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众联汽修支路</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298.84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64</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万佳福窗帘轨道支路1</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680.33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65</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沈家桥3组支路1</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616.86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66</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沈家桥2组支路1</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525.75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67</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沈家桥2组支路2</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440.83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68</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沈家桥2组支路3</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206.91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69</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沈家桥2组支路4</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507.60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70</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三河4组支路1第一段</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1240.33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71</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三河4组支路1第二段</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1410.88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72</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三河3组支路1</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1222.24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73</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三河5组支路1</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2785.32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74</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三河5组支路2</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793.30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75</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三河5组支路3</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526.47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76</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三河9组支路1</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5349.47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77</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三河9组支路2第一段</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880.40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78</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三河9组支路2第二段</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1908.50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79</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三河9组支路2第三段</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3589.30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80</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三河9组支路2第四段</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1538.88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81</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三河9组支路3</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574.62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82</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三河9组支路4</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1347.80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83</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三河9组支路5</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393.44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84</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三河8组支路1</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442.23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85</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三河8组支路2</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1182.67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86</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三河10组支路1</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247.12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87</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三河10组支路2</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967.47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88</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三河10组支路3</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1110.73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89</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三河10组支路4</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608.41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90</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三河10组支路5</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1339.34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91</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三河10组支路6</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1483.79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92</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宏鼎停车场支路</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2774.33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2252.84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477"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93</w:t>
            </w:r>
          </w:p>
        </w:tc>
        <w:tc>
          <w:tcPr>
            <w:tcW w:w="190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华艺外国语学校支路</w:t>
            </w:r>
          </w:p>
        </w:tc>
        <w:tc>
          <w:tcPr>
            <w:tcW w:w="1460"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xml:space="preserve">874.17 </w:t>
            </w:r>
          </w:p>
        </w:tc>
        <w:tc>
          <w:tcPr>
            <w:tcW w:w="1268"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124"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335"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13"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bl>
    <w:p>
      <w:pPr>
        <w:widowControl/>
        <w:jc w:val="left"/>
        <w:rPr>
          <w:rFonts w:asciiTheme="majorHAnsi" w:hAnsiTheme="majorHAnsi" w:eastAsiaTheme="majorEastAsia" w:cstheme="majorBidi"/>
          <w:b/>
          <w:bCs/>
          <w:color w:val="000000"/>
          <w:sz w:val="32"/>
          <w:szCs w:val="32"/>
        </w:rPr>
      </w:pPr>
    </w:p>
    <w:p>
      <w:pPr>
        <w:pStyle w:val="5"/>
      </w:pPr>
      <w:bookmarkStart w:id="40" w:name="_Toc889"/>
      <w:r>
        <w:rPr>
          <w:rFonts w:hint="eastAsia"/>
        </w:rPr>
        <w:t>四、人员及机具配备要求（实质性要求）</w:t>
      </w:r>
      <w:bookmarkEnd w:id="40"/>
    </w:p>
    <w:p>
      <w:pPr>
        <w:spacing w:line="360" w:lineRule="auto"/>
        <w:ind w:firstLine="482" w:firstLineChars="200"/>
        <w:rPr>
          <w:rFonts w:ascii="宋体" w:hAnsi="宋体" w:eastAsia="宋体"/>
          <w:b/>
          <w:kern w:val="44"/>
          <w:sz w:val="24"/>
          <w:szCs w:val="24"/>
        </w:rPr>
      </w:pPr>
      <w:r>
        <w:rPr>
          <w:rFonts w:hint="eastAsia" w:ascii="宋体" w:hAnsi="宋体" w:eastAsia="宋体"/>
          <w:b/>
          <w:kern w:val="44"/>
          <w:sz w:val="24"/>
          <w:szCs w:val="24"/>
        </w:rPr>
        <w:t>1、环卫作业车辆配置表</w:t>
      </w:r>
    </w:p>
    <w:tbl>
      <w:tblPr>
        <w:tblStyle w:val="17"/>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061"/>
        <w:gridCol w:w="936"/>
        <w:gridCol w:w="5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456" w:type="dxa"/>
            <w:shd w:val="clear" w:color="auto" w:fill="auto"/>
            <w:vAlign w:val="center"/>
          </w:tcPr>
          <w:p>
            <w:pPr>
              <w:spacing w:line="360" w:lineRule="auto"/>
              <w:rPr>
                <w:rFonts w:ascii="宋体" w:hAnsi="宋体" w:eastAsia="宋体"/>
                <w:kern w:val="44"/>
                <w:sz w:val="24"/>
                <w:szCs w:val="24"/>
              </w:rPr>
            </w:pPr>
            <w:r>
              <w:rPr>
                <w:rFonts w:hint="eastAsia" w:ascii="宋体" w:hAnsi="宋体" w:eastAsia="宋体"/>
                <w:kern w:val="44"/>
                <w:sz w:val="24"/>
                <w:szCs w:val="24"/>
              </w:rPr>
              <w:t>序号</w:t>
            </w:r>
          </w:p>
        </w:tc>
        <w:tc>
          <w:tcPr>
            <w:tcW w:w="2061" w:type="dxa"/>
            <w:shd w:val="clear" w:color="auto" w:fill="auto"/>
            <w:vAlign w:val="center"/>
          </w:tcPr>
          <w:p>
            <w:pPr>
              <w:spacing w:line="360" w:lineRule="auto"/>
              <w:jc w:val="center"/>
              <w:rPr>
                <w:rFonts w:ascii="宋体" w:hAnsi="宋体" w:eastAsia="宋体"/>
                <w:kern w:val="44"/>
                <w:sz w:val="24"/>
                <w:szCs w:val="24"/>
              </w:rPr>
            </w:pPr>
            <w:r>
              <w:rPr>
                <w:rFonts w:hint="eastAsia" w:ascii="宋体" w:hAnsi="宋体" w:eastAsia="宋体"/>
                <w:kern w:val="44"/>
                <w:sz w:val="24"/>
                <w:szCs w:val="24"/>
              </w:rPr>
              <w:t>车辆类别</w:t>
            </w:r>
          </w:p>
        </w:tc>
        <w:tc>
          <w:tcPr>
            <w:tcW w:w="936" w:type="dxa"/>
            <w:shd w:val="clear" w:color="auto" w:fill="auto"/>
            <w:vAlign w:val="center"/>
          </w:tcPr>
          <w:p>
            <w:pPr>
              <w:spacing w:line="360" w:lineRule="auto"/>
              <w:rPr>
                <w:rFonts w:ascii="宋体" w:hAnsi="宋体" w:eastAsia="宋体"/>
                <w:kern w:val="44"/>
                <w:sz w:val="24"/>
                <w:szCs w:val="24"/>
              </w:rPr>
            </w:pPr>
            <w:r>
              <w:rPr>
                <w:rFonts w:hint="eastAsia" w:ascii="宋体" w:hAnsi="宋体" w:eastAsia="宋体"/>
                <w:kern w:val="44"/>
                <w:sz w:val="24"/>
                <w:szCs w:val="24"/>
              </w:rPr>
              <w:t>机械数量（台）</w:t>
            </w:r>
          </w:p>
        </w:tc>
        <w:tc>
          <w:tcPr>
            <w:tcW w:w="5076" w:type="dxa"/>
            <w:shd w:val="clear" w:color="auto" w:fill="auto"/>
            <w:noWrap/>
            <w:vAlign w:val="center"/>
          </w:tcPr>
          <w:p>
            <w:pPr>
              <w:spacing w:line="360" w:lineRule="auto"/>
              <w:jc w:val="center"/>
              <w:rPr>
                <w:rFonts w:ascii="宋体" w:hAnsi="宋体" w:eastAsia="宋体"/>
                <w:kern w:val="44"/>
                <w:sz w:val="24"/>
                <w:szCs w:val="24"/>
              </w:rPr>
            </w:pPr>
            <w:r>
              <w:rPr>
                <w:rFonts w:hint="eastAsia" w:ascii="宋体" w:hAnsi="宋体" w:eastAsia="宋体"/>
                <w:kern w:val="44"/>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56" w:type="dxa"/>
            <w:shd w:val="clear" w:color="auto" w:fill="auto"/>
            <w:vAlign w:val="center"/>
          </w:tcPr>
          <w:p>
            <w:pPr>
              <w:spacing w:line="360" w:lineRule="auto"/>
              <w:rPr>
                <w:rFonts w:ascii="宋体" w:hAnsi="宋体" w:eastAsia="宋体"/>
                <w:kern w:val="44"/>
                <w:sz w:val="24"/>
                <w:szCs w:val="24"/>
              </w:rPr>
            </w:pPr>
            <w:r>
              <w:rPr>
                <w:rFonts w:ascii="宋体" w:hAnsi="宋体" w:eastAsia="宋体"/>
                <w:kern w:val="44"/>
                <w:sz w:val="24"/>
                <w:szCs w:val="24"/>
              </w:rPr>
              <w:t>1</w:t>
            </w:r>
          </w:p>
        </w:tc>
        <w:tc>
          <w:tcPr>
            <w:tcW w:w="2061" w:type="dxa"/>
            <w:shd w:val="clear" w:color="auto" w:fill="auto"/>
            <w:vAlign w:val="center"/>
          </w:tcPr>
          <w:p>
            <w:pPr>
              <w:spacing w:line="360" w:lineRule="auto"/>
              <w:rPr>
                <w:rFonts w:ascii="宋体" w:hAnsi="宋体" w:eastAsia="宋体"/>
                <w:kern w:val="44"/>
                <w:sz w:val="24"/>
                <w:szCs w:val="24"/>
              </w:rPr>
            </w:pPr>
            <w:r>
              <w:rPr>
                <w:rFonts w:hint="eastAsia" w:ascii="宋体" w:hAnsi="宋体" w:eastAsia="宋体"/>
                <w:kern w:val="44"/>
                <w:sz w:val="24"/>
                <w:szCs w:val="24"/>
              </w:rPr>
              <w:t>多功能吸扫车</w:t>
            </w:r>
          </w:p>
        </w:tc>
        <w:tc>
          <w:tcPr>
            <w:tcW w:w="936" w:type="dxa"/>
            <w:shd w:val="clear" w:color="auto" w:fill="auto"/>
            <w:vAlign w:val="center"/>
          </w:tcPr>
          <w:p>
            <w:pPr>
              <w:spacing w:line="360" w:lineRule="auto"/>
              <w:jc w:val="center"/>
              <w:rPr>
                <w:rFonts w:ascii="宋体" w:hAnsi="宋体" w:eastAsia="宋体"/>
                <w:kern w:val="44"/>
                <w:sz w:val="24"/>
                <w:szCs w:val="24"/>
              </w:rPr>
            </w:pPr>
            <w:r>
              <w:rPr>
                <w:rFonts w:ascii="宋体" w:hAnsi="宋体" w:eastAsia="宋体"/>
                <w:kern w:val="44"/>
                <w:sz w:val="24"/>
                <w:szCs w:val="24"/>
              </w:rPr>
              <w:t>2</w:t>
            </w:r>
          </w:p>
        </w:tc>
        <w:tc>
          <w:tcPr>
            <w:tcW w:w="5076" w:type="dxa"/>
            <w:shd w:val="clear" w:color="auto" w:fill="auto"/>
            <w:noWrap/>
            <w:vAlign w:val="center"/>
          </w:tcPr>
          <w:p>
            <w:pPr>
              <w:spacing w:line="360" w:lineRule="auto"/>
              <w:rPr>
                <w:rFonts w:ascii="宋体" w:hAnsi="宋体" w:eastAsia="宋体"/>
                <w:kern w:val="44"/>
                <w:sz w:val="24"/>
                <w:szCs w:val="24"/>
              </w:rPr>
            </w:pPr>
            <w:r>
              <w:rPr>
                <w:rFonts w:hint="eastAsia" w:ascii="宋体" w:hAnsi="宋体" w:eastAsia="宋体"/>
                <w:kern w:val="44"/>
                <w:sz w:val="24"/>
                <w:szCs w:val="24"/>
              </w:rPr>
              <w:t>核定载质量≥4吨，（其中至少一台为新能源车）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56" w:type="dxa"/>
            <w:shd w:val="clear" w:color="auto" w:fill="auto"/>
            <w:vAlign w:val="center"/>
          </w:tcPr>
          <w:p>
            <w:pPr>
              <w:spacing w:line="360" w:lineRule="auto"/>
              <w:rPr>
                <w:rFonts w:ascii="宋体" w:hAnsi="宋体" w:eastAsia="宋体"/>
                <w:kern w:val="44"/>
                <w:sz w:val="24"/>
                <w:szCs w:val="24"/>
              </w:rPr>
            </w:pPr>
            <w:r>
              <w:rPr>
                <w:rFonts w:ascii="宋体" w:hAnsi="宋体" w:eastAsia="宋体"/>
                <w:kern w:val="44"/>
                <w:sz w:val="24"/>
                <w:szCs w:val="24"/>
              </w:rPr>
              <w:t>2</w:t>
            </w:r>
          </w:p>
        </w:tc>
        <w:tc>
          <w:tcPr>
            <w:tcW w:w="2061" w:type="dxa"/>
            <w:shd w:val="clear" w:color="auto" w:fill="auto"/>
            <w:vAlign w:val="center"/>
          </w:tcPr>
          <w:p>
            <w:pPr>
              <w:spacing w:line="360" w:lineRule="auto"/>
              <w:rPr>
                <w:rFonts w:ascii="宋体" w:hAnsi="宋体" w:eastAsia="宋体"/>
                <w:kern w:val="44"/>
                <w:sz w:val="24"/>
                <w:szCs w:val="24"/>
              </w:rPr>
            </w:pPr>
            <w:r>
              <w:rPr>
                <w:rFonts w:hint="eastAsia" w:ascii="宋体" w:hAnsi="宋体" w:eastAsia="宋体"/>
                <w:kern w:val="44"/>
                <w:sz w:val="24"/>
                <w:szCs w:val="24"/>
              </w:rPr>
              <w:t>洒水车</w:t>
            </w:r>
          </w:p>
        </w:tc>
        <w:tc>
          <w:tcPr>
            <w:tcW w:w="936" w:type="dxa"/>
            <w:shd w:val="clear" w:color="auto" w:fill="auto"/>
            <w:vAlign w:val="center"/>
          </w:tcPr>
          <w:p>
            <w:pPr>
              <w:spacing w:line="360" w:lineRule="auto"/>
              <w:jc w:val="center"/>
              <w:rPr>
                <w:rFonts w:ascii="宋体" w:hAnsi="宋体" w:eastAsia="宋体"/>
                <w:kern w:val="44"/>
                <w:sz w:val="24"/>
                <w:szCs w:val="24"/>
              </w:rPr>
            </w:pPr>
            <w:r>
              <w:rPr>
                <w:rFonts w:ascii="宋体" w:hAnsi="宋体" w:eastAsia="宋体"/>
                <w:kern w:val="44"/>
                <w:sz w:val="24"/>
                <w:szCs w:val="24"/>
              </w:rPr>
              <w:t>2</w:t>
            </w:r>
          </w:p>
        </w:tc>
        <w:tc>
          <w:tcPr>
            <w:tcW w:w="5076" w:type="dxa"/>
            <w:shd w:val="clear" w:color="auto" w:fill="auto"/>
            <w:noWrap/>
            <w:vAlign w:val="center"/>
          </w:tcPr>
          <w:p>
            <w:pPr>
              <w:spacing w:line="360" w:lineRule="auto"/>
              <w:rPr>
                <w:rFonts w:ascii="宋体" w:hAnsi="宋体" w:eastAsia="宋体"/>
                <w:kern w:val="44"/>
                <w:sz w:val="24"/>
                <w:szCs w:val="24"/>
              </w:rPr>
            </w:pPr>
            <w:r>
              <w:rPr>
                <w:rFonts w:hint="eastAsia" w:ascii="宋体" w:hAnsi="宋体" w:eastAsia="宋体"/>
                <w:kern w:val="44"/>
                <w:sz w:val="24"/>
                <w:szCs w:val="24"/>
              </w:rPr>
              <w:t>核定载质量≥8吨,新能源车（</w:t>
            </w:r>
            <w:r>
              <w:rPr>
                <w:rFonts w:ascii="宋体" w:hAnsi="宋体" w:eastAsia="宋体"/>
                <w:kern w:val="44"/>
                <w:sz w:val="24"/>
                <w:szCs w:val="24"/>
              </w:rPr>
              <w:t>道路</w:t>
            </w:r>
            <w:r>
              <w:rPr>
                <w:rFonts w:hint="eastAsia" w:ascii="宋体" w:hAnsi="宋体" w:eastAsia="宋体"/>
                <w:kern w:val="44"/>
                <w:sz w:val="24"/>
                <w:szCs w:val="24"/>
              </w:rPr>
              <w:t>冲洗、洒水降尘各一台）（其中至少一台为新能源车）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56" w:type="dxa"/>
            <w:shd w:val="clear" w:color="auto" w:fill="auto"/>
            <w:vAlign w:val="center"/>
          </w:tcPr>
          <w:p>
            <w:pPr>
              <w:spacing w:line="360" w:lineRule="auto"/>
              <w:rPr>
                <w:rFonts w:ascii="宋体" w:hAnsi="宋体" w:eastAsia="宋体"/>
                <w:kern w:val="44"/>
                <w:sz w:val="24"/>
                <w:szCs w:val="24"/>
              </w:rPr>
            </w:pPr>
            <w:r>
              <w:rPr>
                <w:rFonts w:ascii="宋体" w:hAnsi="宋体" w:eastAsia="宋体"/>
                <w:kern w:val="44"/>
                <w:sz w:val="24"/>
                <w:szCs w:val="24"/>
              </w:rPr>
              <w:t>3</w:t>
            </w:r>
          </w:p>
        </w:tc>
        <w:tc>
          <w:tcPr>
            <w:tcW w:w="2061" w:type="dxa"/>
            <w:shd w:val="clear" w:color="auto" w:fill="auto"/>
            <w:vAlign w:val="center"/>
          </w:tcPr>
          <w:p>
            <w:pPr>
              <w:spacing w:line="360" w:lineRule="auto"/>
              <w:rPr>
                <w:rFonts w:ascii="宋体" w:hAnsi="宋体" w:eastAsia="宋体"/>
                <w:kern w:val="44"/>
                <w:sz w:val="24"/>
                <w:szCs w:val="24"/>
              </w:rPr>
            </w:pPr>
            <w:r>
              <w:rPr>
                <w:rFonts w:hint="eastAsia" w:ascii="宋体" w:hAnsi="宋体" w:eastAsia="宋体"/>
                <w:kern w:val="44"/>
                <w:sz w:val="24"/>
                <w:szCs w:val="24"/>
              </w:rPr>
              <w:t>多功能雾炮车</w:t>
            </w:r>
          </w:p>
        </w:tc>
        <w:tc>
          <w:tcPr>
            <w:tcW w:w="936" w:type="dxa"/>
            <w:shd w:val="clear" w:color="auto" w:fill="auto"/>
            <w:vAlign w:val="center"/>
          </w:tcPr>
          <w:p>
            <w:pPr>
              <w:spacing w:line="360" w:lineRule="auto"/>
              <w:jc w:val="center"/>
              <w:rPr>
                <w:rFonts w:ascii="宋体" w:hAnsi="宋体" w:eastAsia="宋体"/>
                <w:kern w:val="44"/>
                <w:sz w:val="24"/>
                <w:szCs w:val="24"/>
              </w:rPr>
            </w:pPr>
            <w:r>
              <w:rPr>
                <w:rFonts w:ascii="宋体" w:hAnsi="宋体" w:eastAsia="宋体"/>
                <w:kern w:val="44"/>
                <w:sz w:val="24"/>
                <w:szCs w:val="24"/>
              </w:rPr>
              <w:t>1</w:t>
            </w:r>
          </w:p>
        </w:tc>
        <w:tc>
          <w:tcPr>
            <w:tcW w:w="5076" w:type="dxa"/>
            <w:shd w:val="clear" w:color="auto" w:fill="auto"/>
            <w:noWrap/>
            <w:vAlign w:val="center"/>
          </w:tcPr>
          <w:p>
            <w:pPr>
              <w:spacing w:line="360" w:lineRule="auto"/>
              <w:rPr>
                <w:rFonts w:ascii="宋体" w:hAnsi="宋体" w:eastAsia="宋体"/>
                <w:kern w:val="44"/>
                <w:sz w:val="24"/>
                <w:szCs w:val="24"/>
              </w:rPr>
            </w:pPr>
            <w:r>
              <w:rPr>
                <w:rFonts w:hint="eastAsia" w:ascii="宋体" w:hAnsi="宋体" w:eastAsia="宋体"/>
                <w:kern w:val="44"/>
                <w:sz w:val="24"/>
                <w:szCs w:val="24"/>
              </w:rPr>
              <w:t>核定载质量≥5吨或整备质量≥18吨，新能源车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56" w:type="dxa"/>
            <w:shd w:val="clear" w:color="auto" w:fill="auto"/>
            <w:vAlign w:val="center"/>
          </w:tcPr>
          <w:p>
            <w:pPr>
              <w:spacing w:line="360" w:lineRule="auto"/>
              <w:rPr>
                <w:rFonts w:ascii="宋体" w:hAnsi="宋体" w:eastAsia="宋体"/>
                <w:kern w:val="44"/>
                <w:sz w:val="24"/>
                <w:szCs w:val="24"/>
              </w:rPr>
            </w:pPr>
            <w:r>
              <w:rPr>
                <w:rFonts w:ascii="宋体" w:hAnsi="宋体" w:eastAsia="宋体"/>
                <w:kern w:val="44"/>
                <w:sz w:val="24"/>
                <w:szCs w:val="24"/>
              </w:rPr>
              <w:t>4</w:t>
            </w:r>
          </w:p>
        </w:tc>
        <w:tc>
          <w:tcPr>
            <w:tcW w:w="2061" w:type="dxa"/>
            <w:shd w:val="clear" w:color="auto" w:fill="auto"/>
            <w:vAlign w:val="center"/>
          </w:tcPr>
          <w:p>
            <w:pPr>
              <w:spacing w:line="360" w:lineRule="auto"/>
              <w:rPr>
                <w:rFonts w:ascii="宋体" w:hAnsi="宋体" w:eastAsia="宋体"/>
                <w:kern w:val="44"/>
                <w:sz w:val="24"/>
                <w:szCs w:val="24"/>
              </w:rPr>
            </w:pPr>
            <w:r>
              <w:rPr>
                <w:rFonts w:hint="eastAsia" w:ascii="宋体" w:hAnsi="宋体" w:eastAsia="宋体"/>
                <w:kern w:val="44"/>
                <w:sz w:val="24"/>
                <w:szCs w:val="24"/>
              </w:rPr>
              <w:t>隔离栏护栏清洗车</w:t>
            </w:r>
          </w:p>
        </w:tc>
        <w:tc>
          <w:tcPr>
            <w:tcW w:w="936" w:type="dxa"/>
            <w:shd w:val="clear" w:color="auto" w:fill="auto"/>
            <w:vAlign w:val="center"/>
          </w:tcPr>
          <w:p>
            <w:pPr>
              <w:rPr>
                <w:rFonts w:ascii="宋体" w:hAnsi="宋体" w:eastAsia="宋体"/>
                <w:kern w:val="44"/>
                <w:sz w:val="24"/>
                <w:szCs w:val="24"/>
              </w:rPr>
            </w:pPr>
            <w:r>
              <w:rPr>
                <w:rFonts w:hint="eastAsia" w:ascii="宋体" w:hAnsi="宋体" w:eastAsia="宋体"/>
                <w:kern w:val="44"/>
                <w:sz w:val="24"/>
                <w:szCs w:val="24"/>
              </w:rPr>
              <w:t xml:space="preserve">  1</w:t>
            </w:r>
          </w:p>
        </w:tc>
        <w:tc>
          <w:tcPr>
            <w:tcW w:w="5076" w:type="dxa"/>
            <w:shd w:val="clear" w:color="auto" w:fill="auto"/>
            <w:noWrap/>
            <w:vAlign w:val="center"/>
          </w:tcPr>
          <w:p>
            <w:pPr>
              <w:spacing w:line="360" w:lineRule="auto"/>
              <w:rPr>
                <w:rFonts w:ascii="宋体" w:hAnsi="宋体" w:eastAsia="宋体"/>
                <w:kern w:val="44"/>
                <w:sz w:val="24"/>
                <w:szCs w:val="24"/>
              </w:rPr>
            </w:pPr>
            <w:r>
              <w:rPr>
                <w:rFonts w:hint="eastAsia" w:ascii="宋体" w:hAnsi="宋体" w:eastAsia="宋体"/>
                <w:kern w:val="44"/>
                <w:sz w:val="24"/>
                <w:szCs w:val="24"/>
              </w:rPr>
              <w:t>核定载质量≥4吨或整备质量≥12吨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56" w:type="dxa"/>
            <w:shd w:val="clear" w:color="auto" w:fill="auto"/>
            <w:vAlign w:val="center"/>
          </w:tcPr>
          <w:p>
            <w:pPr>
              <w:spacing w:line="360" w:lineRule="auto"/>
              <w:rPr>
                <w:rFonts w:ascii="宋体" w:hAnsi="宋体" w:eastAsia="宋体"/>
                <w:kern w:val="44"/>
                <w:sz w:val="24"/>
                <w:szCs w:val="24"/>
              </w:rPr>
            </w:pPr>
            <w:r>
              <w:rPr>
                <w:rFonts w:hint="eastAsia" w:ascii="宋体" w:hAnsi="宋体" w:eastAsia="宋体"/>
                <w:kern w:val="44"/>
                <w:sz w:val="24"/>
                <w:szCs w:val="24"/>
              </w:rPr>
              <w:t>5</w:t>
            </w:r>
          </w:p>
        </w:tc>
        <w:tc>
          <w:tcPr>
            <w:tcW w:w="2061" w:type="dxa"/>
            <w:shd w:val="clear" w:color="auto" w:fill="auto"/>
            <w:vAlign w:val="center"/>
          </w:tcPr>
          <w:p>
            <w:pPr>
              <w:spacing w:line="360" w:lineRule="auto"/>
              <w:rPr>
                <w:rFonts w:ascii="宋体" w:hAnsi="宋体" w:eastAsia="宋体"/>
                <w:kern w:val="44"/>
                <w:sz w:val="24"/>
                <w:szCs w:val="24"/>
              </w:rPr>
            </w:pPr>
            <w:r>
              <w:rPr>
                <w:rFonts w:hint="eastAsia" w:ascii="宋体" w:hAnsi="宋体" w:eastAsia="宋体"/>
                <w:kern w:val="44"/>
                <w:sz w:val="24"/>
                <w:szCs w:val="24"/>
              </w:rPr>
              <w:t>小型扫地车</w:t>
            </w:r>
            <w:r>
              <w:rPr>
                <w:rFonts w:ascii="宋体" w:hAnsi="宋体" w:eastAsia="宋体"/>
                <w:kern w:val="44"/>
                <w:sz w:val="24"/>
                <w:szCs w:val="24"/>
              </w:rPr>
              <w:t xml:space="preserve"> </w:t>
            </w:r>
          </w:p>
        </w:tc>
        <w:tc>
          <w:tcPr>
            <w:tcW w:w="936" w:type="dxa"/>
            <w:shd w:val="clear" w:color="auto" w:fill="auto"/>
            <w:vAlign w:val="center"/>
          </w:tcPr>
          <w:p>
            <w:pPr>
              <w:spacing w:line="360" w:lineRule="auto"/>
              <w:jc w:val="center"/>
            </w:pPr>
            <w:r>
              <w:rPr>
                <w:rFonts w:ascii="宋体" w:hAnsi="宋体" w:eastAsia="宋体"/>
                <w:kern w:val="44"/>
                <w:sz w:val="24"/>
                <w:szCs w:val="24"/>
              </w:rPr>
              <w:t>9</w:t>
            </w:r>
          </w:p>
        </w:tc>
        <w:tc>
          <w:tcPr>
            <w:tcW w:w="5076" w:type="dxa"/>
            <w:shd w:val="clear" w:color="auto" w:fill="auto"/>
            <w:noWrap/>
            <w:vAlign w:val="center"/>
          </w:tcPr>
          <w:p>
            <w:pPr>
              <w:spacing w:line="360" w:lineRule="auto"/>
              <w:rPr>
                <w:rFonts w:ascii="宋体" w:hAnsi="宋体" w:eastAsia="宋体"/>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456" w:type="dxa"/>
            <w:shd w:val="clear" w:color="auto" w:fill="auto"/>
            <w:vAlign w:val="center"/>
          </w:tcPr>
          <w:p>
            <w:pPr>
              <w:spacing w:line="360" w:lineRule="auto"/>
              <w:rPr>
                <w:rFonts w:ascii="宋体" w:hAnsi="宋体" w:eastAsia="宋体"/>
                <w:kern w:val="44"/>
                <w:sz w:val="24"/>
                <w:szCs w:val="24"/>
              </w:rPr>
            </w:pPr>
            <w:r>
              <w:rPr>
                <w:rFonts w:ascii="宋体" w:hAnsi="宋体" w:eastAsia="宋体"/>
                <w:kern w:val="44"/>
                <w:sz w:val="24"/>
                <w:szCs w:val="24"/>
              </w:rPr>
              <w:t>6</w:t>
            </w:r>
          </w:p>
        </w:tc>
        <w:tc>
          <w:tcPr>
            <w:tcW w:w="2061" w:type="dxa"/>
            <w:shd w:val="clear" w:color="auto" w:fill="auto"/>
            <w:vAlign w:val="center"/>
          </w:tcPr>
          <w:p>
            <w:pPr>
              <w:spacing w:line="360" w:lineRule="auto"/>
              <w:rPr>
                <w:rFonts w:ascii="宋体" w:hAnsi="宋体" w:eastAsia="宋体"/>
                <w:kern w:val="44"/>
                <w:sz w:val="24"/>
                <w:szCs w:val="24"/>
              </w:rPr>
            </w:pPr>
            <w:r>
              <w:rPr>
                <w:rFonts w:hint="eastAsia" w:ascii="宋体" w:hAnsi="宋体" w:eastAsia="宋体"/>
                <w:kern w:val="44"/>
                <w:sz w:val="24"/>
                <w:szCs w:val="24"/>
              </w:rPr>
              <w:t>小型高压清洗车</w:t>
            </w:r>
          </w:p>
        </w:tc>
        <w:tc>
          <w:tcPr>
            <w:tcW w:w="936" w:type="dxa"/>
            <w:shd w:val="clear" w:color="auto" w:fill="auto"/>
            <w:vAlign w:val="center"/>
          </w:tcPr>
          <w:p>
            <w:pPr>
              <w:spacing w:line="360" w:lineRule="auto"/>
              <w:jc w:val="center"/>
              <w:rPr>
                <w:rFonts w:ascii="宋体" w:hAnsi="宋体" w:eastAsia="宋体"/>
                <w:kern w:val="44"/>
                <w:sz w:val="24"/>
                <w:szCs w:val="24"/>
              </w:rPr>
            </w:pPr>
            <w:r>
              <w:rPr>
                <w:rFonts w:ascii="宋体" w:hAnsi="宋体" w:eastAsia="宋体"/>
                <w:kern w:val="44"/>
                <w:sz w:val="24"/>
                <w:szCs w:val="24"/>
              </w:rPr>
              <w:t>10</w:t>
            </w:r>
          </w:p>
        </w:tc>
        <w:tc>
          <w:tcPr>
            <w:tcW w:w="5076" w:type="dxa"/>
            <w:shd w:val="clear" w:color="auto" w:fill="auto"/>
            <w:noWrap/>
            <w:vAlign w:val="center"/>
          </w:tcPr>
          <w:p>
            <w:pPr>
              <w:spacing w:line="360" w:lineRule="auto"/>
              <w:rPr>
                <w:rFonts w:ascii="宋体" w:hAnsi="宋体" w:eastAsia="宋体"/>
                <w:kern w:val="44"/>
                <w:sz w:val="24"/>
                <w:szCs w:val="24"/>
              </w:rPr>
            </w:pPr>
            <w:r>
              <w:rPr>
                <w:rFonts w:ascii="宋体" w:hAnsi="宋体" w:eastAsia="宋体"/>
                <w:kern w:val="44"/>
                <w:sz w:val="24"/>
                <w:szCs w:val="24"/>
              </w:rPr>
              <w:t>道路冲洗9辆，路面标线清洗</w:t>
            </w:r>
            <w:r>
              <w:rPr>
                <w:rFonts w:hint="eastAsia" w:ascii="宋体" w:hAnsi="宋体" w:eastAsia="宋体"/>
                <w:kern w:val="44"/>
                <w:sz w:val="24"/>
                <w:szCs w:val="24"/>
              </w:rPr>
              <w:t>1辆</w:t>
            </w:r>
            <w:r>
              <w:rPr>
                <w:rFonts w:ascii="宋体" w:hAnsi="宋体" w:eastAsia="宋体"/>
                <w:kern w:val="44"/>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56" w:type="dxa"/>
            <w:shd w:val="clear" w:color="auto" w:fill="auto"/>
            <w:vAlign w:val="center"/>
          </w:tcPr>
          <w:p>
            <w:pPr>
              <w:spacing w:line="360" w:lineRule="auto"/>
              <w:rPr>
                <w:rFonts w:ascii="宋体" w:hAnsi="宋体" w:eastAsia="宋体"/>
                <w:kern w:val="44"/>
                <w:sz w:val="24"/>
                <w:szCs w:val="24"/>
              </w:rPr>
            </w:pPr>
            <w:r>
              <w:rPr>
                <w:rFonts w:ascii="宋体" w:hAnsi="宋体" w:eastAsia="宋体"/>
                <w:kern w:val="44"/>
                <w:sz w:val="24"/>
                <w:szCs w:val="24"/>
              </w:rPr>
              <w:t>7</w:t>
            </w:r>
          </w:p>
        </w:tc>
        <w:tc>
          <w:tcPr>
            <w:tcW w:w="2061" w:type="dxa"/>
            <w:shd w:val="clear" w:color="auto" w:fill="auto"/>
            <w:vAlign w:val="center"/>
          </w:tcPr>
          <w:p>
            <w:pPr>
              <w:spacing w:line="360" w:lineRule="auto"/>
              <w:rPr>
                <w:rFonts w:ascii="宋体" w:hAnsi="宋体" w:eastAsia="宋体"/>
                <w:kern w:val="44"/>
                <w:sz w:val="24"/>
                <w:szCs w:val="24"/>
              </w:rPr>
            </w:pPr>
            <w:r>
              <w:rPr>
                <w:rFonts w:hint="eastAsia" w:ascii="宋体" w:hAnsi="宋体" w:eastAsia="宋体"/>
                <w:kern w:val="44"/>
                <w:sz w:val="24"/>
                <w:szCs w:val="24"/>
              </w:rPr>
              <w:t>快保车</w:t>
            </w:r>
            <w:r>
              <w:rPr>
                <w:rFonts w:ascii="宋体" w:hAnsi="宋体" w:eastAsia="宋体"/>
                <w:kern w:val="44"/>
                <w:sz w:val="24"/>
                <w:szCs w:val="24"/>
              </w:rPr>
              <w:t xml:space="preserve"> </w:t>
            </w:r>
          </w:p>
        </w:tc>
        <w:tc>
          <w:tcPr>
            <w:tcW w:w="936" w:type="dxa"/>
            <w:shd w:val="clear" w:color="auto" w:fill="auto"/>
            <w:vAlign w:val="center"/>
          </w:tcPr>
          <w:p>
            <w:pPr>
              <w:spacing w:line="360" w:lineRule="auto"/>
              <w:jc w:val="center"/>
              <w:rPr>
                <w:rFonts w:ascii="宋体" w:hAnsi="宋体" w:eastAsia="宋体"/>
                <w:kern w:val="44"/>
                <w:sz w:val="24"/>
                <w:szCs w:val="24"/>
              </w:rPr>
            </w:pPr>
            <w:r>
              <w:rPr>
                <w:rFonts w:ascii="宋体" w:hAnsi="宋体" w:eastAsia="宋体"/>
                <w:kern w:val="44"/>
                <w:sz w:val="24"/>
                <w:szCs w:val="24"/>
              </w:rPr>
              <w:t>38</w:t>
            </w:r>
          </w:p>
        </w:tc>
        <w:tc>
          <w:tcPr>
            <w:tcW w:w="5076" w:type="dxa"/>
            <w:shd w:val="clear" w:color="auto" w:fill="auto"/>
            <w:noWrap/>
            <w:vAlign w:val="center"/>
          </w:tcPr>
          <w:p>
            <w:pPr>
              <w:spacing w:line="360" w:lineRule="auto"/>
              <w:ind w:firstLine="480" w:firstLineChars="200"/>
              <w:rPr>
                <w:rFonts w:ascii="宋体" w:hAnsi="宋体" w:eastAsia="宋体"/>
                <w:kern w:val="44"/>
                <w:sz w:val="24"/>
                <w:szCs w:val="24"/>
              </w:rPr>
            </w:pPr>
            <w:r>
              <w:rPr>
                <w:rFonts w:ascii="宋体" w:hAnsi="宋体" w:eastAsia="宋体"/>
                <w:kern w:val="44"/>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56" w:type="dxa"/>
            <w:shd w:val="clear" w:color="auto" w:fill="auto"/>
            <w:vAlign w:val="center"/>
          </w:tcPr>
          <w:p>
            <w:pPr>
              <w:spacing w:line="360" w:lineRule="auto"/>
              <w:rPr>
                <w:rFonts w:ascii="宋体" w:hAnsi="宋体" w:eastAsia="宋体"/>
                <w:kern w:val="44"/>
                <w:sz w:val="24"/>
                <w:szCs w:val="24"/>
              </w:rPr>
            </w:pPr>
            <w:r>
              <w:rPr>
                <w:rFonts w:ascii="宋体" w:hAnsi="宋体" w:eastAsia="宋体"/>
                <w:kern w:val="44"/>
                <w:sz w:val="24"/>
                <w:szCs w:val="24"/>
              </w:rPr>
              <w:t>8</w:t>
            </w:r>
          </w:p>
        </w:tc>
        <w:tc>
          <w:tcPr>
            <w:tcW w:w="2061" w:type="dxa"/>
            <w:shd w:val="clear" w:color="auto" w:fill="auto"/>
            <w:vAlign w:val="center"/>
          </w:tcPr>
          <w:p>
            <w:pPr>
              <w:spacing w:line="360" w:lineRule="auto"/>
              <w:rPr>
                <w:rFonts w:ascii="宋体" w:hAnsi="宋体" w:eastAsia="宋体"/>
                <w:kern w:val="44"/>
                <w:sz w:val="24"/>
                <w:szCs w:val="24"/>
              </w:rPr>
            </w:pPr>
            <w:r>
              <w:rPr>
                <w:rFonts w:hint="eastAsia" w:ascii="宋体" w:hAnsi="宋体" w:eastAsia="宋体"/>
                <w:kern w:val="44"/>
                <w:sz w:val="24"/>
                <w:szCs w:val="24"/>
              </w:rPr>
              <w:t>小型电动密闭垃圾车</w:t>
            </w:r>
          </w:p>
        </w:tc>
        <w:tc>
          <w:tcPr>
            <w:tcW w:w="936" w:type="dxa"/>
            <w:shd w:val="clear" w:color="auto" w:fill="auto"/>
            <w:vAlign w:val="center"/>
          </w:tcPr>
          <w:p>
            <w:pPr>
              <w:spacing w:line="360" w:lineRule="auto"/>
              <w:jc w:val="center"/>
              <w:rPr>
                <w:rFonts w:ascii="宋体" w:hAnsi="宋体" w:eastAsia="宋体"/>
                <w:kern w:val="44"/>
                <w:sz w:val="24"/>
                <w:szCs w:val="24"/>
              </w:rPr>
            </w:pPr>
            <w:r>
              <w:rPr>
                <w:rFonts w:ascii="宋体" w:hAnsi="宋体" w:eastAsia="宋体"/>
                <w:kern w:val="44"/>
                <w:sz w:val="24"/>
                <w:szCs w:val="24"/>
              </w:rPr>
              <w:t>10</w:t>
            </w:r>
          </w:p>
        </w:tc>
        <w:tc>
          <w:tcPr>
            <w:tcW w:w="5076" w:type="dxa"/>
            <w:shd w:val="clear" w:color="auto" w:fill="auto"/>
            <w:noWrap/>
            <w:vAlign w:val="center"/>
          </w:tcPr>
          <w:p>
            <w:pPr>
              <w:spacing w:line="360" w:lineRule="auto"/>
              <w:rPr>
                <w:rFonts w:ascii="宋体" w:hAnsi="宋体" w:eastAsia="宋体"/>
                <w:kern w:val="44"/>
                <w:sz w:val="24"/>
                <w:szCs w:val="24"/>
              </w:rPr>
            </w:pPr>
            <w:r>
              <w:rPr>
                <w:rFonts w:ascii="宋体" w:hAnsi="宋体" w:eastAsia="宋体"/>
                <w:kern w:val="44"/>
                <w:sz w:val="24"/>
                <w:szCs w:val="24"/>
              </w:rPr>
              <w:t>垃圾收集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56" w:type="dxa"/>
            <w:shd w:val="clear" w:color="auto" w:fill="auto"/>
            <w:vAlign w:val="center"/>
          </w:tcPr>
          <w:p>
            <w:pPr>
              <w:spacing w:line="360" w:lineRule="auto"/>
              <w:rPr>
                <w:rFonts w:ascii="宋体" w:hAnsi="宋体" w:eastAsia="宋体"/>
                <w:kern w:val="44"/>
                <w:sz w:val="24"/>
                <w:szCs w:val="24"/>
              </w:rPr>
            </w:pPr>
            <w:r>
              <w:rPr>
                <w:rFonts w:ascii="宋体" w:hAnsi="宋体" w:eastAsia="宋体"/>
                <w:kern w:val="44"/>
                <w:sz w:val="24"/>
                <w:szCs w:val="24"/>
              </w:rPr>
              <w:t>9</w:t>
            </w:r>
          </w:p>
        </w:tc>
        <w:tc>
          <w:tcPr>
            <w:tcW w:w="2061" w:type="dxa"/>
            <w:shd w:val="clear" w:color="auto" w:fill="auto"/>
            <w:vAlign w:val="center"/>
          </w:tcPr>
          <w:p>
            <w:pPr>
              <w:spacing w:line="360" w:lineRule="auto"/>
              <w:rPr>
                <w:rFonts w:ascii="宋体" w:hAnsi="宋体" w:eastAsia="宋体"/>
                <w:kern w:val="44"/>
                <w:sz w:val="24"/>
                <w:szCs w:val="24"/>
              </w:rPr>
            </w:pPr>
            <w:r>
              <w:rPr>
                <w:rFonts w:hint="eastAsia" w:ascii="宋体" w:hAnsi="宋体" w:eastAsia="宋体"/>
                <w:kern w:val="0"/>
                <w:sz w:val="24"/>
                <w:szCs w:val="24"/>
              </w:rPr>
              <w:t>其他垃圾密闭运输车</w:t>
            </w:r>
          </w:p>
        </w:tc>
        <w:tc>
          <w:tcPr>
            <w:tcW w:w="936" w:type="dxa"/>
            <w:shd w:val="clear" w:color="auto" w:fill="auto"/>
            <w:vAlign w:val="center"/>
          </w:tcPr>
          <w:p>
            <w:pPr>
              <w:spacing w:line="360" w:lineRule="auto"/>
              <w:jc w:val="center"/>
              <w:rPr>
                <w:rFonts w:ascii="宋体" w:hAnsi="宋体" w:eastAsia="宋体"/>
                <w:kern w:val="44"/>
                <w:sz w:val="24"/>
                <w:szCs w:val="24"/>
              </w:rPr>
            </w:pPr>
            <w:r>
              <w:rPr>
                <w:rFonts w:ascii="宋体" w:hAnsi="宋体" w:eastAsia="宋体"/>
                <w:kern w:val="44"/>
                <w:sz w:val="24"/>
                <w:szCs w:val="24"/>
              </w:rPr>
              <w:t>3</w:t>
            </w:r>
          </w:p>
        </w:tc>
        <w:tc>
          <w:tcPr>
            <w:tcW w:w="5076" w:type="dxa"/>
            <w:shd w:val="clear" w:color="auto" w:fill="auto"/>
            <w:vAlign w:val="center"/>
          </w:tcPr>
          <w:p>
            <w:pPr>
              <w:spacing w:line="360" w:lineRule="auto"/>
              <w:rPr>
                <w:rFonts w:ascii="宋体" w:hAnsi="宋体" w:eastAsia="宋体"/>
                <w:kern w:val="44"/>
                <w:sz w:val="24"/>
                <w:szCs w:val="24"/>
              </w:rPr>
            </w:pPr>
            <w:r>
              <w:rPr>
                <w:rFonts w:hint="eastAsia" w:ascii="宋体" w:hAnsi="宋体" w:eastAsia="宋体"/>
                <w:kern w:val="44"/>
                <w:sz w:val="24"/>
                <w:szCs w:val="24"/>
              </w:rPr>
              <w:t>核定载质量≥</w:t>
            </w:r>
            <w:r>
              <w:rPr>
                <w:rFonts w:ascii="宋体" w:hAnsi="宋体" w:eastAsia="宋体"/>
                <w:kern w:val="44"/>
                <w:sz w:val="24"/>
                <w:szCs w:val="24"/>
              </w:rPr>
              <w:t>2</w:t>
            </w:r>
            <w:r>
              <w:rPr>
                <w:rFonts w:hint="eastAsia" w:ascii="宋体" w:hAnsi="宋体" w:eastAsia="宋体"/>
                <w:kern w:val="44"/>
                <w:sz w:val="24"/>
                <w:szCs w:val="24"/>
              </w:rPr>
              <w:t>吨,新能源车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56" w:type="dxa"/>
            <w:shd w:val="clear" w:color="auto" w:fill="auto"/>
            <w:vAlign w:val="center"/>
          </w:tcPr>
          <w:p>
            <w:pPr>
              <w:spacing w:line="360" w:lineRule="auto"/>
              <w:rPr>
                <w:rFonts w:ascii="宋体" w:hAnsi="宋体" w:eastAsia="宋体"/>
                <w:kern w:val="44"/>
                <w:sz w:val="24"/>
                <w:szCs w:val="24"/>
              </w:rPr>
            </w:pPr>
            <w:r>
              <w:rPr>
                <w:rFonts w:ascii="宋体" w:hAnsi="宋体" w:eastAsia="宋体"/>
                <w:kern w:val="44"/>
                <w:sz w:val="24"/>
                <w:szCs w:val="24"/>
              </w:rPr>
              <w:t>10</w:t>
            </w:r>
          </w:p>
        </w:tc>
        <w:tc>
          <w:tcPr>
            <w:tcW w:w="2061" w:type="dxa"/>
            <w:shd w:val="clear" w:color="auto" w:fill="auto"/>
            <w:vAlign w:val="center"/>
          </w:tcPr>
          <w:p>
            <w:pPr>
              <w:spacing w:line="360" w:lineRule="auto"/>
              <w:rPr>
                <w:rFonts w:ascii="宋体" w:hAnsi="宋体" w:eastAsia="宋体"/>
                <w:kern w:val="44"/>
                <w:sz w:val="24"/>
                <w:szCs w:val="24"/>
              </w:rPr>
            </w:pPr>
            <w:r>
              <w:rPr>
                <w:rFonts w:hint="eastAsia" w:ascii="宋体" w:hAnsi="宋体" w:eastAsia="宋体"/>
                <w:kern w:val="44"/>
                <w:sz w:val="24"/>
                <w:szCs w:val="24"/>
              </w:rPr>
              <w:t>厨</w:t>
            </w:r>
            <w:r>
              <w:rPr>
                <w:rFonts w:hint="eastAsia"/>
              </w:rPr>
              <w:t>余</w:t>
            </w:r>
            <w:r>
              <w:rPr>
                <w:rFonts w:hint="eastAsia" w:ascii="宋体" w:hAnsi="宋体" w:eastAsia="宋体"/>
                <w:kern w:val="44"/>
                <w:sz w:val="24"/>
                <w:szCs w:val="24"/>
              </w:rPr>
              <w:t>垃圾车</w:t>
            </w:r>
          </w:p>
        </w:tc>
        <w:tc>
          <w:tcPr>
            <w:tcW w:w="936" w:type="dxa"/>
            <w:shd w:val="clear" w:color="auto" w:fill="auto"/>
            <w:vAlign w:val="center"/>
          </w:tcPr>
          <w:p>
            <w:pPr>
              <w:spacing w:line="360" w:lineRule="auto"/>
              <w:jc w:val="center"/>
              <w:rPr>
                <w:rFonts w:ascii="宋体" w:hAnsi="宋体" w:eastAsia="宋体"/>
                <w:kern w:val="44"/>
                <w:sz w:val="24"/>
                <w:szCs w:val="24"/>
              </w:rPr>
            </w:pPr>
            <w:r>
              <w:rPr>
                <w:rFonts w:ascii="宋体" w:hAnsi="宋体" w:eastAsia="宋体"/>
                <w:kern w:val="44"/>
                <w:sz w:val="24"/>
                <w:szCs w:val="24"/>
              </w:rPr>
              <w:t>1</w:t>
            </w:r>
          </w:p>
        </w:tc>
        <w:tc>
          <w:tcPr>
            <w:tcW w:w="5076" w:type="dxa"/>
            <w:shd w:val="clear" w:color="auto" w:fill="auto"/>
            <w:vAlign w:val="center"/>
          </w:tcPr>
          <w:p>
            <w:pPr>
              <w:spacing w:line="360" w:lineRule="auto"/>
              <w:rPr>
                <w:rFonts w:ascii="宋体" w:hAnsi="宋体" w:eastAsia="宋体"/>
                <w:kern w:val="44"/>
                <w:sz w:val="24"/>
                <w:szCs w:val="24"/>
              </w:rPr>
            </w:pPr>
            <w:r>
              <w:rPr>
                <w:rFonts w:hint="eastAsia" w:ascii="宋体" w:hAnsi="宋体" w:eastAsia="宋体"/>
                <w:kern w:val="44"/>
                <w:sz w:val="24"/>
                <w:szCs w:val="24"/>
              </w:rPr>
              <w:t>核定载质量≥3吨,新能源车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56" w:type="dxa"/>
            <w:shd w:val="clear" w:color="auto" w:fill="auto"/>
            <w:vAlign w:val="center"/>
          </w:tcPr>
          <w:p>
            <w:pPr>
              <w:spacing w:line="360" w:lineRule="auto"/>
              <w:rPr>
                <w:rFonts w:ascii="宋体" w:hAnsi="宋体" w:eastAsia="宋体"/>
                <w:kern w:val="44"/>
                <w:sz w:val="24"/>
                <w:szCs w:val="24"/>
              </w:rPr>
            </w:pPr>
            <w:r>
              <w:rPr>
                <w:rFonts w:hint="eastAsia" w:ascii="宋体" w:hAnsi="宋体" w:eastAsia="宋体"/>
                <w:kern w:val="44"/>
                <w:sz w:val="24"/>
                <w:szCs w:val="24"/>
              </w:rPr>
              <w:t>1</w:t>
            </w:r>
            <w:r>
              <w:rPr>
                <w:rFonts w:ascii="宋体" w:hAnsi="宋体" w:eastAsia="宋体"/>
                <w:kern w:val="44"/>
                <w:sz w:val="24"/>
                <w:szCs w:val="24"/>
              </w:rPr>
              <w:t>1</w:t>
            </w:r>
          </w:p>
        </w:tc>
        <w:tc>
          <w:tcPr>
            <w:tcW w:w="2061" w:type="dxa"/>
            <w:shd w:val="clear" w:color="auto" w:fill="auto"/>
            <w:vAlign w:val="center"/>
          </w:tcPr>
          <w:p>
            <w:pPr>
              <w:spacing w:line="360" w:lineRule="auto"/>
              <w:rPr>
                <w:rFonts w:ascii="宋体" w:hAnsi="宋体" w:eastAsia="宋体"/>
                <w:kern w:val="44"/>
                <w:sz w:val="24"/>
                <w:szCs w:val="24"/>
              </w:rPr>
            </w:pPr>
            <w:r>
              <w:rPr>
                <w:rFonts w:hint="eastAsia" w:ascii="宋体" w:hAnsi="宋体" w:eastAsia="宋体"/>
                <w:kern w:val="44"/>
                <w:sz w:val="24"/>
                <w:szCs w:val="24"/>
              </w:rPr>
              <w:t>有害垃圾车</w:t>
            </w:r>
          </w:p>
        </w:tc>
        <w:tc>
          <w:tcPr>
            <w:tcW w:w="936" w:type="dxa"/>
            <w:shd w:val="clear" w:color="auto" w:fill="auto"/>
            <w:vAlign w:val="center"/>
          </w:tcPr>
          <w:p>
            <w:pPr>
              <w:spacing w:line="360" w:lineRule="auto"/>
              <w:jc w:val="center"/>
              <w:rPr>
                <w:rFonts w:ascii="宋体" w:hAnsi="宋体" w:eastAsia="宋体"/>
                <w:kern w:val="44"/>
                <w:sz w:val="24"/>
                <w:szCs w:val="24"/>
              </w:rPr>
            </w:pPr>
            <w:r>
              <w:rPr>
                <w:rFonts w:ascii="宋体" w:hAnsi="宋体" w:eastAsia="宋体"/>
                <w:kern w:val="44"/>
                <w:sz w:val="24"/>
                <w:szCs w:val="24"/>
              </w:rPr>
              <w:t>1</w:t>
            </w:r>
          </w:p>
        </w:tc>
        <w:tc>
          <w:tcPr>
            <w:tcW w:w="5076" w:type="dxa"/>
            <w:shd w:val="clear" w:color="auto" w:fill="auto"/>
            <w:vAlign w:val="center"/>
          </w:tcPr>
          <w:p>
            <w:pPr>
              <w:spacing w:line="360" w:lineRule="auto"/>
              <w:rPr>
                <w:rFonts w:ascii="宋体" w:hAnsi="宋体" w:eastAsia="宋体"/>
                <w:kern w:val="44"/>
                <w:sz w:val="24"/>
                <w:szCs w:val="24"/>
              </w:rPr>
            </w:pPr>
            <w:r>
              <w:rPr>
                <w:rFonts w:hint="eastAsia" w:ascii="宋体" w:hAnsi="宋体" w:eastAsia="宋体"/>
                <w:kern w:val="44"/>
                <w:sz w:val="24"/>
                <w:szCs w:val="24"/>
              </w:rPr>
              <w:t>核定载质量≥2吨,新能源车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56" w:type="dxa"/>
            <w:shd w:val="clear" w:color="auto" w:fill="auto"/>
            <w:vAlign w:val="center"/>
          </w:tcPr>
          <w:p>
            <w:pPr>
              <w:spacing w:line="360" w:lineRule="auto"/>
              <w:rPr>
                <w:rFonts w:ascii="宋体" w:hAnsi="宋体" w:eastAsia="宋体"/>
                <w:kern w:val="44"/>
                <w:sz w:val="24"/>
                <w:szCs w:val="24"/>
              </w:rPr>
            </w:pPr>
            <w:r>
              <w:rPr>
                <w:rFonts w:hint="eastAsia" w:ascii="宋体" w:hAnsi="宋体" w:eastAsia="宋体"/>
                <w:kern w:val="44"/>
                <w:sz w:val="24"/>
                <w:szCs w:val="24"/>
              </w:rPr>
              <w:t>1</w:t>
            </w:r>
            <w:r>
              <w:rPr>
                <w:rFonts w:ascii="宋体" w:hAnsi="宋体" w:eastAsia="宋体"/>
                <w:kern w:val="44"/>
                <w:sz w:val="24"/>
                <w:szCs w:val="24"/>
              </w:rPr>
              <w:t>2</w:t>
            </w:r>
          </w:p>
        </w:tc>
        <w:tc>
          <w:tcPr>
            <w:tcW w:w="2061" w:type="dxa"/>
            <w:shd w:val="clear" w:color="auto" w:fill="auto"/>
            <w:vAlign w:val="center"/>
          </w:tcPr>
          <w:p>
            <w:pPr>
              <w:spacing w:line="360" w:lineRule="auto"/>
              <w:rPr>
                <w:rFonts w:ascii="宋体" w:hAnsi="宋体" w:eastAsia="宋体"/>
                <w:kern w:val="44"/>
                <w:sz w:val="24"/>
                <w:szCs w:val="24"/>
              </w:rPr>
            </w:pPr>
            <w:r>
              <w:rPr>
                <w:rFonts w:hint="eastAsia" w:ascii="宋体" w:hAnsi="宋体" w:eastAsia="宋体"/>
                <w:kern w:val="44"/>
                <w:sz w:val="24"/>
                <w:szCs w:val="24"/>
              </w:rPr>
              <w:t>可回收垃圾车</w:t>
            </w:r>
          </w:p>
        </w:tc>
        <w:tc>
          <w:tcPr>
            <w:tcW w:w="936" w:type="dxa"/>
            <w:shd w:val="clear" w:color="auto" w:fill="auto"/>
            <w:vAlign w:val="center"/>
          </w:tcPr>
          <w:p>
            <w:pPr>
              <w:spacing w:line="360" w:lineRule="auto"/>
              <w:jc w:val="center"/>
              <w:rPr>
                <w:rFonts w:ascii="宋体" w:hAnsi="宋体" w:eastAsia="宋体"/>
                <w:kern w:val="44"/>
                <w:sz w:val="24"/>
                <w:szCs w:val="24"/>
              </w:rPr>
            </w:pPr>
            <w:r>
              <w:rPr>
                <w:rFonts w:ascii="宋体" w:hAnsi="宋体" w:eastAsia="宋体"/>
                <w:kern w:val="44"/>
                <w:sz w:val="24"/>
                <w:szCs w:val="24"/>
              </w:rPr>
              <w:t>1</w:t>
            </w:r>
          </w:p>
        </w:tc>
        <w:tc>
          <w:tcPr>
            <w:tcW w:w="5076" w:type="dxa"/>
            <w:shd w:val="clear" w:color="auto" w:fill="auto"/>
            <w:vAlign w:val="center"/>
          </w:tcPr>
          <w:p>
            <w:pPr>
              <w:spacing w:line="360" w:lineRule="auto"/>
              <w:rPr>
                <w:rFonts w:ascii="宋体" w:hAnsi="宋体" w:eastAsia="宋体"/>
                <w:kern w:val="44"/>
                <w:sz w:val="24"/>
                <w:szCs w:val="24"/>
              </w:rPr>
            </w:pPr>
            <w:r>
              <w:rPr>
                <w:rFonts w:hint="eastAsia" w:ascii="宋体" w:hAnsi="宋体" w:eastAsia="宋体"/>
                <w:kern w:val="44"/>
                <w:sz w:val="24"/>
                <w:szCs w:val="24"/>
              </w:rPr>
              <w:t>核定载质量≥2吨,新能源车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6" w:type="dxa"/>
            <w:shd w:val="clear" w:color="auto" w:fill="auto"/>
            <w:vAlign w:val="center"/>
          </w:tcPr>
          <w:p>
            <w:pPr>
              <w:spacing w:line="360" w:lineRule="auto"/>
              <w:rPr>
                <w:rFonts w:ascii="宋体" w:hAnsi="宋体" w:eastAsia="宋体"/>
                <w:kern w:val="44"/>
                <w:sz w:val="24"/>
                <w:szCs w:val="24"/>
              </w:rPr>
            </w:pPr>
            <w:r>
              <w:rPr>
                <w:rFonts w:hint="eastAsia" w:ascii="宋体" w:hAnsi="宋体" w:eastAsia="宋体"/>
                <w:kern w:val="44"/>
                <w:sz w:val="24"/>
                <w:szCs w:val="24"/>
              </w:rPr>
              <w:t>13</w:t>
            </w:r>
          </w:p>
        </w:tc>
        <w:tc>
          <w:tcPr>
            <w:tcW w:w="2061" w:type="dxa"/>
            <w:shd w:val="clear" w:color="auto" w:fill="auto"/>
            <w:vAlign w:val="center"/>
          </w:tcPr>
          <w:p>
            <w:pPr>
              <w:spacing w:line="360" w:lineRule="auto"/>
              <w:rPr>
                <w:rFonts w:ascii="宋体" w:hAnsi="宋体" w:eastAsia="宋体"/>
                <w:kern w:val="44"/>
                <w:sz w:val="24"/>
                <w:szCs w:val="24"/>
              </w:rPr>
            </w:pPr>
            <w:r>
              <w:rPr>
                <w:rFonts w:hint="eastAsia" w:ascii="宋体" w:hAnsi="宋体" w:eastAsia="宋体"/>
                <w:kern w:val="44"/>
                <w:sz w:val="24"/>
                <w:szCs w:val="24"/>
              </w:rPr>
              <w:t>大件垃圾车</w:t>
            </w:r>
          </w:p>
        </w:tc>
        <w:tc>
          <w:tcPr>
            <w:tcW w:w="936" w:type="dxa"/>
            <w:shd w:val="clear" w:color="auto" w:fill="auto"/>
            <w:vAlign w:val="center"/>
          </w:tcPr>
          <w:p>
            <w:pPr>
              <w:spacing w:line="360" w:lineRule="auto"/>
              <w:jc w:val="center"/>
              <w:rPr>
                <w:rFonts w:ascii="宋体" w:hAnsi="宋体" w:eastAsia="宋体"/>
                <w:kern w:val="44"/>
                <w:sz w:val="24"/>
                <w:szCs w:val="24"/>
              </w:rPr>
            </w:pPr>
            <w:r>
              <w:rPr>
                <w:rFonts w:hint="eastAsia" w:ascii="宋体" w:hAnsi="宋体" w:eastAsia="宋体"/>
                <w:kern w:val="44"/>
                <w:sz w:val="24"/>
                <w:szCs w:val="24"/>
              </w:rPr>
              <w:t>1</w:t>
            </w:r>
          </w:p>
        </w:tc>
        <w:tc>
          <w:tcPr>
            <w:tcW w:w="5076" w:type="dxa"/>
            <w:shd w:val="clear" w:color="auto" w:fill="auto"/>
            <w:vAlign w:val="center"/>
          </w:tcPr>
          <w:p>
            <w:pPr>
              <w:spacing w:line="360" w:lineRule="auto"/>
              <w:rPr>
                <w:rFonts w:ascii="宋体" w:hAnsi="宋体" w:eastAsia="宋体"/>
                <w:kern w:val="44"/>
                <w:sz w:val="24"/>
                <w:szCs w:val="24"/>
              </w:rPr>
            </w:pPr>
            <w:r>
              <w:rPr>
                <w:rFonts w:hint="eastAsia" w:ascii="宋体" w:hAnsi="宋体" w:eastAsia="宋体"/>
                <w:kern w:val="44"/>
                <w:sz w:val="24"/>
                <w:szCs w:val="24"/>
              </w:rPr>
              <w:t>核定载质量≥</w:t>
            </w:r>
            <w:r>
              <w:rPr>
                <w:rFonts w:ascii="宋体" w:hAnsi="宋体" w:eastAsia="宋体"/>
                <w:kern w:val="44"/>
                <w:sz w:val="24"/>
                <w:szCs w:val="24"/>
              </w:rPr>
              <w:t>2</w:t>
            </w:r>
            <w:r>
              <w:rPr>
                <w:rFonts w:hint="eastAsia" w:ascii="宋体" w:hAnsi="宋体" w:eastAsia="宋体"/>
                <w:kern w:val="44"/>
                <w:sz w:val="24"/>
                <w:szCs w:val="24"/>
              </w:rPr>
              <w:t>吨,新能源车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6" w:type="dxa"/>
            <w:shd w:val="clear" w:color="auto" w:fill="auto"/>
            <w:vAlign w:val="center"/>
          </w:tcPr>
          <w:p>
            <w:pPr>
              <w:spacing w:line="360" w:lineRule="auto"/>
              <w:rPr>
                <w:rFonts w:ascii="宋体" w:hAnsi="宋体" w:eastAsia="宋体"/>
                <w:kern w:val="44"/>
                <w:sz w:val="24"/>
                <w:szCs w:val="24"/>
              </w:rPr>
            </w:pPr>
          </w:p>
        </w:tc>
        <w:tc>
          <w:tcPr>
            <w:tcW w:w="2061" w:type="dxa"/>
            <w:shd w:val="clear" w:color="auto" w:fill="auto"/>
            <w:vAlign w:val="center"/>
          </w:tcPr>
          <w:p>
            <w:pPr>
              <w:spacing w:line="360" w:lineRule="auto"/>
              <w:rPr>
                <w:rFonts w:ascii="宋体" w:hAnsi="宋体" w:eastAsia="宋体"/>
                <w:kern w:val="44"/>
                <w:sz w:val="24"/>
                <w:szCs w:val="24"/>
              </w:rPr>
            </w:pPr>
            <w:r>
              <w:rPr>
                <w:rFonts w:hint="eastAsia" w:ascii="宋体" w:hAnsi="宋体" w:eastAsia="宋体"/>
                <w:kern w:val="44"/>
                <w:sz w:val="24"/>
                <w:szCs w:val="24"/>
              </w:rPr>
              <w:t>合计</w:t>
            </w:r>
          </w:p>
        </w:tc>
        <w:tc>
          <w:tcPr>
            <w:tcW w:w="936" w:type="dxa"/>
            <w:shd w:val="clear" w:color="auto" w:fill="auto"/>
            <w:vAlign w:val="center"/>
          </w:tcPr>
          <w:p>
            <w:pPr>
              <w:spacing w:line="360" w:lineRule="auto"/>
              <w:jc w:val="center"/>
              <w:rPr>
                <w:rFonts w:ascii="宋体" w:hAnsi="宋体" w:eastAsia="宋体"/>
                <w:kern w:val="44"/>
                <w:sz w:val="24"/>
                <w:szCs w:val="24"/>
              </w:rPr>
            </w:pPr>
            <w:r>
              <w:rPr>
                <w:rFonts w:ascii="宋体" w:hAnsi="宋体" w:eastAsia="宋体"/>
                <w:kern w:val="44"/>
                <w:sz w:val="24"/>
                <w:szCs w:val="24"/>
              </w:rPr>
              <w:t>80</w:t>
            </w:r>
          </w:p>
        </w:tc>
        <w:tc>
          <w:tcPr>
            <w:tcW w:w="5076" w:type="dxa"/>
            <w:shd w:val="clear" w:color="auto" w:fill="auto"/>
            <w:vAlign w:val="center"/>
          </w:tcPr>
          <w:p>
            <w:pPr>
              <w:spacing w:line="360" w:lineRule="auto"/>
              <w:rPr>
                <w:rFonts w:ascii="宋体" w:hAnsi="宋体" w:eastAsia="宋体"/>
                <w:kern w:val="44"/>
                <w:sz w:val="24"/>
                <w:szCs w:val="24"/>
              </w:rPr>
            </w:pPr>
          </w:p>
        </w:tc>
      </w:tr>
    </w:tbl>
    <w:p>
      <w:pPr>
        <w:numPr>
          <w:ilvl w:val="255"/>
          <w:numId w:val="0"/>
        </w:numPr>
        <w:spacing w:line="360" w:lineRule="auto"/>
        <w:jc w:val="left"/>
        <w:rPr>
          <w:color w:val="FF0000"/>
          <w:sz w:val="24"/>
          <w:szCs w:val="24"/>
        </w:rPr>
      </w:pPr>
      <w:r>
        <w:rPr>
          <w:rFonts w:hint="eastAsia" w:ascii="宋体" w:hAnsi="宋体"/>
          <w:sz w:val="24"/>
          <w:szCs w:val="24"/>
        </w:rPr>
        <w:t>注：</w:t>
      </w:r>
      <w:r>
        <w:rPr>
          <w:rFonts w:hint="eastAsia"/>
          <w:sz w:val="24"/>
          <w:szCs w:val="24"/>
        </w:rPr>
        <w:t>1</w:t>
      </w:r>
      <w:r>
        <w:rPr>
          <w:rFonts w:hint="eastAsia" w:ascii="宋体" w:hAnsi="宋体"/>
          <w:sz w:val="24"/>
          <w:szCs w:val="24"/>
        </w:rPr>
        <w:t>、所提供机械设备车辆 (含新能源车)须提供以下证明材料：（1）自有车辆需提供有效的行驶证、登记证书、购置发票；（2）租赁车辆需提供服务期限内的租赁合同、有效的行驶证、登记证书；（3）承诺中标后配置齐全的，应当在中标后合同签订前向采购人提供车辆配置报告并提供上诉证明材料复印件加盖公章</w:t>
      </w:r>
      <w:r>
        <w:rPr>
          <w:rFonts w:hint="eastAsia" w:ascii="宋体" w:hAnsi="宋体"/>
          <w:color w:val="FF0000"/>
          <w:sz w:val="24"/>
          <w:szCs w:val="24"/>
        </w:rPr>
        <w:t>。</w:t>
      </w:r>
    </w:p>
    <w:p>
      <w:pPr>
        <w:numPr>
          <w:ilvl w:val="255"/>
          <w:numId w:val="0"/>
        </w:numPr>
        <w:spacing w:line="360" w:lineRule="auto"/>
        <w:ind w:firstLine="480" w:firstLineChars="200"/>
        <w:jc w:val="left"/>
        <w:rPr>
          <w:rFonts w:ascii="宋体" w:hAnsi="宋体"/>
          <w:sz w:val="24"/>
          <w:szCs w:val="24"/>
        </w:rPr>
      </w:pPr>
      <w:r>
        <w:rPr>
          <w:rFonts w:hint="eastAsia" w:ascii="宋体" w:hAnsi="宋体"/>
          <w:sz w:val="24"/>
          <w:szCs w:val="24"/>
        </w:rPr>
        <w:t>2、所有环卫作业车辆外观颜色原则上为“蓝白相间”，如成都市或区相关规定变更，按新规定进行外观调整。</w:t>
      </w:r>
    </w:p>
    <w:p>
      <w:pPr>
        <w:spacing w:line="360" w:lineRule="auto"/>
        <w:ind w:firstLine="482" w:firstLineChars="200"/>
        <w:rPr>
          <w:rFonts w:ascii="宋体" w:hAnsi="宋体" w:eastAsia="宋体"/>
          <w:b/>
          <w:kern w:val="44"/>
          <w:sz w:val="24"/>
          <w:szCs w:val="24"/>
        </w:rPr>
      </w:pPr>
    </w:p>
    <w:p>
      <w:pPr>
        <w:spacing w:line="360" w:lineRule="auto"/>
        <w:ind w:firstLine="482" w:firstLineChars="200"/>
        <w:rPr>
          <w:rFonts w:ascii="宋体" w:hAnsi="宋体" w:eastAsia="宋体"/>
          <w:b/>
          <w:kern w:val="44"/>
          <w:sz w:val="24"/>
          <w:szCs w:val="24"/>
        </w:rPr>
      </w:pPr>
      <w:r>
        <w:rPr>
          <w:rFonts w:hint="eastAsia" w:ascii="宋体" w:hAnsi="宋体" w:eastAsia="宋体"/>
          <w:b/>
          <w:kern w:val="44"/>
          <w:sz w:val="24"/>
          <w:szCs w:val="24"/>
        </w:rPr>
        <w:t>2、环卫作业人员配置表。</w:t>
      </w:r>
    </w:p>
    <w:p>
      <w:pPr>
        <w:spacing w:line="360" w:lineRule="auto"/>
        <w:ind w:firstLine="480" w:firstLineChars="200"/>
        <w:rPr>
          <w:rFonts w:ascii="宋体" w:hAnsi="宋体" w:eastAsia="宋体"/>
          <w:kern w:val="44"/>
          <w:sz w:val="24"/>
          <w:szCs w:val="24"/>
        </w:rPr>
      </w:pPr>
      <w:r>
        <w:rPr>
          <w:rFonts w:hint="eastAsia" w:ascii="宋体" w:hAnsi="宋体" w:eastAsia="宋体"/>
          <w:kern w:val="44"/>
          <w:sz w:val="24"/>
          <w:szCs w:val="24"/>
        </w:rPr>
        <w:t>人员配置明细如下：</w:t>
      </w:r>
      <w:r>
        <w:rPr>
          <w:rFonts w:ascii="宋体" w:hAnsi="宋体" w:eastAsia="宋体"/>
          <w:kern w:val="44"/>
          <w:sz w:val="24"/>
          <w:szCs w:val="24"/>
        </w:rPr>
        <w:t xml:space="preserve"> </w:t>
      </w:r>
    </w:p>
    <w:tbl>
      <w:tblPr>
        <w:tblStyle w:val="17"/>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694"/>
        <w:gridCol w:w="4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blHeader/>
          <w:jc w:val="center"/>
        </w:trPr>
        <w:tc>
          <w:tcPr>
            <w:tcW w:w="1809" w:type="dxa"/>
            <w:vAlign w:val="center"/>
          </w:tcPr>
          <w:p>
            <w:pPr>
              <w:spacing w:line="360" w:lineRule="auto"/>
              <w:jc w:val="center"/>
              <w:rPr>
                <w:rFonts w:ascii="宋体" w:hAnsi="宋体" w:eastAsia="宋体" w:cs="宋体"/>
                <w:kern w:val="44"/>
                <w:szCs w:val="21"/>
              </w:rPr>
            </w:pPr>
            <w:bookmarkStart w:id="41" w:name="_Toc6397"/>
            <w:r>
              <w:rPr>
                <w:rFonts w:hint="eastAsia" w:ascii="宋体" w:hAnsi="宋体" w:eastAsia="宋体" w:cs="宋体"/>
                <w:kern w:val="44"/>
                <w:szCs w:val="21"/>
              </w:rPr>
              <w:t>人员类型</w:t>
            </w:r>
          </w:p>
        </w:tc>
        <w:tc>
          <w:tcPr>
            <w:tcW w:w="2694"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人数</w:t>
            </w:r>
          </w:p>
        </w:tc>
        <w:tc>
          <w:tcPr>
            <w:tcW w:w="4026" w:type="dxa"/>
            <w:shd w:val="clear" w:color="auto" w:fill="auto"/>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09"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驾驶员</w:t>
            </w:r>
          </w:p>
        </w:tc>
        <w:tc>
          <w:tcPr>
            <w:tcW w:w="2694"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2</w:t>
            </w:r>
          </w:p>
        </w:tc>
        <w:tc>
          <w:tcPr>
            <w:tcW w:w="4026" w:type="dxa"/>
            <w:shd w:val="clear" w:color="auto" w:fill="auto"/>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多功能吸扫车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09"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驾驶员</w:t>
            </w:r>
          </w:p>
        </w:tc>
        <w:tc>
          <w:tcPr>
            <w:tcW w:w="2694"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2</w:t>
            </w:r>
          </w:p>
        </w:tc>
        <w:tc>
          <w:tcPr>
            <w:tcW w:w="4026" w:type="dxa"/>
            <w:shd w:val="clear" w:color="auto" w:fill="auto"/>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洒水车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09"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驾驶员</w:t>
            </w:r>
          </w:p>
        </w:tc>
        <w:tc>
          <w:tcPr>
            <w:tcW w:w="2694"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1</w:t>
            </w:r>
          </w:p>
        </w:tc>
        <w:tc>
          <w:tcPr>
            <w:tcW w:w="4026" w:type="dxa"/>
            <w:shd w:val="clear" w:color="auto" w:fill="auto"/>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多功能雾炮车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09"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转运工</w:t>
            </w:r>
          </w:p>
        </w:tc>
        <w:tc>
          <w:tcPr>
            <w:tcW w:w="2694"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10</w:t>
            </w:r>
          </w:p>
        </w:tc>
        <w:tc>
          <w:tcPr>
            <w:tcW w:w="4026" w:type="dxa"/>
            <w:shd w:val="clear" w:color="auto" w:fill="auto"/>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小型电动密闭垃圾车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09"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驾驶员</w:t>
            </w:r>
          </w:p>
        </w:tc>
        <w:tc>
          <w:tcPr>
            <w:tcW w:w="2694"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3</w:t>
            </w:r>
          </w:p>
        </w:tc>
        <w:tc>
          <w:tcPr>
            <w:tcW w:w="4026" w:type="dxa"/>
            <w:shd w:val="clear" w:color="auto" w:fill="auto"/>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其他垃圾压缩垃圾车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09"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辅助工</w:t>
            </w:r>
          </w:p>
        </w:tc>
        <w:tc>
          <w:tcPr>
            <w:tcW w:w="2694"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3</w:t>
            </w:r>
          </w:p>
        </w:tc>
        <w:tc>
          <w:tcPr>
            <w:tcW w:w="4026" w:type="dxa"/>
            <w:shd w:val="clear" w:color="auto" w:fill="auto"/>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其他垃圾压缩垃圾车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09"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驾驶员</w:t>
            </w:r>
          </w:p>
        </w:tc>
        <w:tc>
          <w:tcPr>
            <w:tcW w:w="2694"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1</w:t>
            </w:r>
          </w:p>
        </w:tc>
        <w:tc>
          <w:tcPr>
            <w:tcW w:w="4026" w:type="dxa"/>
            <w:shd w:val="clear" w:color="auto" w:fill="auto"/>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隔离栏护栏清洗车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09"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驾驶员</w:t>
            </w:r>
          </w:p>
        </w:tc>
        <w:tc>
          <w:tcPr>
            <w:tcW w:w="2694"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1</w:t>
            </w:r>
          </w:p>
        </w:tc>
        <w:tc>
          <w:tcPr>
            <w:tcW w:w="4026" w:type="dxa"/>
            <w:shd w:val="clear" w:color="auto" w:fill="auto"/>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厨余垃圾车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09"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辅助工</w:t>
            </w:r>
          </w:p>
        </w:tc>
        <w:tc>
          <w:tcPr>
            <w:tcW w:w="2694"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1</w:t>
            </w:r>
          </w:p>
        </w:tc>
        <w:tc>
          <w:tcPr>
            <w:tcW w:w="4026" w:type="dxa"/>
            <w:shd w:val="clear" w:color="auto" w:fill="auto"/>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厨余垃圾车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09"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驾驶员</w:t>
            </w:r>
          </w:p>
        </w:tc>
        <w:tc>
          <w:tcPr>
            <w:tcW w:w="2694"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1</w:t>
            </w:r>
          </w:p>
        </w:tc>
        <w:tc>
          <w:tcPr>
            <w:tcW w:w="4026" w:type="dxa"/>
            <w:shd w:val="clear" w:color="auto" w:fill="auto"/>
          </w:tcPr>
          <w:p>
            <w:pPr>
              <w:jc w:val="center"/>
            </w:pPr>
            <w:r>
              <w:rPr>
                <w:rFonts w:hint="eastAsia"/>
              </w:rPr>
              <w:t>有害垃圾车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09"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辅助工</w:t>
            </w:r>
          </w:p>
        </w:tc>
        <w:tc>
          <w:tcPr>
            <w:tcW w:w="2694"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1</w:t>
            </w:r>
          </w:p>
        </w:tc>
        <w:tc>
          <w:tcPr>
            <w:tcW w:w="4026" w:type="dxa"/>
            <w:shd w:val="clear" w:color="auto" w:fill="auto"/>
          </w:tcPr>
          <w:p>
            <w:pPr>
              <w:jc w:val="center"/>
            </w:pPr>
            <w:r>
              <w:rPr>
                <w:rFonts w:hint="eastAsia"/>
              </w:rPr>
              <w:t>有害垃圾车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09"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驾驶员</w:t>
            </w:r>
          </w:p>
        </w:tc>
        <w:tc>
          <w:tcPr>
            <w:tcW w:w="2694"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1</w:t>
            </w:r>
          </w:p>
        </w:tc>
        <w:tc>
          <w:tcPr>
            <w:tcW w:w="4026" w:type="dxa"/>
            <w:shd w:val="clear" w:color="auto" w:fill="auto"/>
          </w:tcPr>
          <w:p>
            <w:pPr>
              <w:jc w:val="center"/>
            </w:pPr>
            <w:r>
              <w:rPr>
                <w:rFonts w:hint="eastAsia"/>
              </w:rPr>
              <w:t>可回收垃圾车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09"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辅助工</w:t>
            </w:r>
          </w:p>
        </w:tc>
        <w:tc>
          <w:tcPr>
            <w:tcW w:w="2694"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1</w:t>
            </w:r>
          </w:p>
        </w:tc>
        <w:tc>
          <w:tcPr>
            <w:tcW w:w="4026" w:type="dxa"/>
            <w:shd w:val="clear" w:color="auto" w:fill="auto"/>
          </w:tcPr>
          <w:p>
            <w:pPr>
              <w:jc w:val="center"/>
            </w:pPr>
            <w:r>
              <w:rPr>
                <w:rFonts w:hint="eastAsia"/>
              </w:rPr>
              <w:t>可回收垃圾车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09"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驾驶员</w:t>
            </w:r>
          </w:p>
        </w:tc>
        <w:tc>
          <w:tcPr>
            <w:tcW w:w="2694"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1</w:t>
            </w:r>
          </w:p>
        </w:tc>
        <w:tc>
          <w:tcPr>
            <w:tcW w:w="4026" w:type="dxa"/>
            <w:shd w:val="clear" w:color="auto" w:fill="auto"/>
          </w:tcPr>
          <w:p>
            <w:pPr>
              <w:jc w:val="center"/>
            </w:pPr>
            <w:r>
              <w:rPr>
                <w:rFonts w:hint="eastAsia"/>
              </w:rPr>
              <w:t>大件垃圾车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09"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辅助工</w:t>
            </w:r>
          </w:p>
        </w:tc>
        <w:tc>
          <w:tcPr>
            <w:tcW w:w="2694"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1</w:t>
            </w:r>
          </w:p>
        </w:tc>
        <w:tc>
          <w:tcPr>
            <w:tcW w:w="4026" w:type="dxa"/>
            <w:shd w:val="clear" w:color="auto" w:fill="auto"/>
          </w:tcPr>
          <w:p>
            <w:pPr>
              <w:jc w:val="center"/>
            </w:pPr>
            <w:r>
              <w:rPr>
                <w:rFonts w:hint="eastAsia"/>
              </w:rPr>
              <w:t>大件垃圾车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09"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保洁员</w:t>
            </w:r>
          </w:p>
        </w:tc>
        <w:tc>
          <w:tcPr>
            <w:tcW w:w="2694"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3</w:t>
            </w:r>
          </w:p>
        </w:tc>
        <w:tc>
          <w:tcPr>
            <w:tcW w:w="4026" w:type="dxa"/>
            <w:shd w:val="clear" w:color="auto" w:fill="auto"/>
          </w:tcPr>
          <w:p>
            <w:pPr>
              <w:jc w:val="center"/>
            </w:pPr>
            <w:r>
              <w:rPr>
                <w:rFonts w:hint="eastAsia"/>
              </w:rPr>
              <w:t>牛皮癣清理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09"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保洁员</w:t>
            </w:r>
          </w:p>
        </w:tc>
        <w:tc>
          <w:tcPr>
            <w:tcW w:w="2694"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8</w:t>
            </w:r>
          </w:p>
        </w:tc>
        <w:tc>
          <w:tcPr>
            <w:tcW w:w="4026" w:type="dxa"/>
            <w:shd w:val="clear" w:color="auto" w:fill="auto"/>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人工捡拾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09"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驾驶员</w:t>
            </w:r>
          </w:p>
        </w:tc>
        <w:tc>
          <w:tcPr>
            <w:tcW w:w="2694"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9</w:t>
            </w:r>
          </w:p>
        </w:tc>
        <w:tc>
          <w:tcPr>
            <w:tcW w:w="4026" w:type="dxa"/>
            <w:shd w:val="clear" w:color="auto" w:fill="auto"/>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小机械清扫保洁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09"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保洁员</w:t>
            </w:r>
          </w:p>
        </w:tc>
        <w:tc>
          <w:tcPr>
            <w:tcW w:w="2694"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9</w:t>
            </w:r>
          </w:p>
        </w:tc>
        <w:tc>
          <w:tcPr>
            <w:tcW w:w="4026" w:type="dxa"/>
            <w:shd w:val="clear" w:color="auto" w:fill="auto"/>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小机械冲洗除尘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09"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驾驶员</w:t>
            </w:r>
          </w:p>
        </w:tc>
        <w:tc>
          <w:tcPr>
            <w:tcW w:w="2694"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9</w:t>
            </w:r>
          </w:p>
        </w:tc>
        <w:tc>
          <w:tcPr>
            <w:tcW w:w="4026" w:type="dxa"/>
            <w:shd w:val="clear" w:color="auto" w:fill="auto"/>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小机械冲洗除尘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09"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保洁员</w:t>
            </w:r>
          </w:p>
        </w:tc>
        <w:tc>
          <w:tcPr>
            <w:tcW w:w="2694"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3</w:t>
            </w:r>
          </w:p>
        </w:tc>
        <w:tc>
          <w:tcPr>
            <w:tcW w:w="4026" w:type="dxa"/>
            <w:shd w:val="clear" w:color="auto" w:fill="auto"/>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果屑箱清洗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09"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保洁员</w:t>
            </w:r>
          </w:p>
        </w:tc>
        <w:tc>
          <w:tcPr>
            <w:tcW w:w="2694"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30</w:t>
            </w:r>
          </w:p>
        </w:tc>
        <w:tc>
          <w:tcPr>
            <w:tcW w:w="4026" w:type="dxa"/>
            <w:shd w:val="clear" w:color="auto" w:fill="auto"/>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快速保洁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09"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保洁员</w:t>
            </w:r>
          </w:p>
        </w:tc>
        <w:tc>
          <w:tcPr>
            <w:tcW w:w="2694"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1</w:t>
            </w:r>
          </w:p>
        </w:tc>
        <w:tc>
          <w:tcPr>
            <w:tcW w:w="4026" w:type="dxa"/>
            <w:shd w:val="clear" w:color="auto" w:fill="auto"/>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道路标线清洗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09"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驾驶员</w:t>
            </w:r>
          </w:p>
        </w:tc>
        <w:tc>
          <w:tcPr>
            <w:tcW w:w="2694"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1</w:t>
            </w:r>
          </w:p>
        </w:tc>
        <w:tc>
          <w:tcPr>
            <w:tcW w:w="4026" w:type="dxa"/>
            <w:shd w:val="clear" w:color="auto" w:fill="auto"/>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道路标线清洗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09"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保洁员</w:t>
            </w:r>
          </w:p>
        </w:tc>
        <w:tc>
          <w:tcPr>
            <w:tcW w:w="2694"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90</w:t>
            </w:r>
          </w:p>
        </w:tc>
        <w:tc>
          <w:tcPr>
            <w:tcW w:w="4026" w:type="dxa"/>
            <w:shd w:val="clear" w:color="auto" w:fill="auto"/>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人工清扫保洁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09"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保洁员</w:t>
            </w:r>
          </w:p>
        </w:tc>
        <w:tc>
          <w:tcPr>
            <w:tcW w:w="2694"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28</w:t>
            </w:r>
          </w:p>
        </w:tc>
        <w:tc>
          <w:tcPr>
            <w:tcW w:w="4026" w:type="dxa"/>
            <w:shd w:val="clear" w:color="auto" w:fill="auto"/>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人工走保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09"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保洁员</w:t>
            </w:r>
          </w:p>
        </w:tc>
        <w:tc>
          <w:tcPr>
            <w:tcW w:w="2694"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24</w:t>
            </w:r>
          </w:p>
        </w:tc>
        <w:tc>
          <w:tcPr>
            <w:tcW w:w="4026" w:type="dxa"/>
            <w:shd w:val="clear" w:color="auto" w:fill="auto"/>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夜间保洁（非拖班制）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09"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合计</w:t>
            </w:r>
          </w:p>
        </w:tc>
        <w:tc>
          <w:tcPr>
            <w:tcW w:w="2694" w:type="dxa"/>
            <w:vAlign w:val="center"/>
          </w:tcPr>
          <w:p>
            <w:pPr>
              <w:spacing w:line="360" w:lineRule="auto"/>
              <w:jc w:val="center"/>
              <w:rPr>
                <w:rFonts w:ascii="宋体" w:hAnsi="宋体" w:eastAsia="宋体" w:cs="宋体"/>
                <w:kern w:val="44"/>
                <w:szCs w:val="21"/>
              </w:rPr>
            </w:pPr>
            <w:r>
              <w:rPr>
                <w:rFonts w:hint="eastAsia" w:ascii="宋体" w:hAnsi="宋体" w:eastAsia="宋体" w:cs="宋体"/>
                <w:kern w:val="44"/>
                <w:szCs w:val="21"/>
              </w:rPr>
              <w:t>245</w:t>
            </w:r>
          </w:p>
        </w:tc>
        <w:tc>
          <w:tcPr>
            <w:tcW w:w="4026" w:type="dxa"/>
            <w:shd w:val="clear" w:color="auto" w:fill="auto"/>
            <w:vAlign w:val="center"/>
          </w:tcPr>
          <w:p>
            <w:pPr>
              <w:spacing w:line="360" w:lineRule="auto"/>
              <w:jc w:val="center"/>
              <w:rPr>
                <w:rFonts w:ascii="宋体" w:hAnsi="宋体" w:eastAsia="宋体" w:cs="宋体"/>
                <w:kern w:val="44"/>
                <w:szCs w:val="21"/>
              </w:rPr>
            </w:pPr>
          </w:p>
        </w:tc>
      </w:tr>
    </w:tbl>
    <w:p>
      <w:pPr>
        <w:pStyle w:val="5"/>
      </w:pPr>
      <w:r>
        <w:rPr>
          <w:rFonts w:hint="eastAsia"/>
        </w:rPr>
        <w:t>五、其他要求（实质性要求）</w:t>
      </w:r>
      <w:bookmarkEnd w:id="41"/>
    </w:p>
    <w:p>
      <w:pPr>
        <w:spacing w:line="360" w:lineRule="auto"/>
        <w:ind w:firstLine="480"/>
        <w:rPr>
          <w:rFonts w:ascii="宋体" w:hAnsi="宋体" w:eastAsia="宋体"/>
          <w:kern w:val="0"/>
          <w:sz w:val="24"/>
          <w:szCs w:val="24"/>
        </w:rPr>
      </w:pPr>
      <w:r>
        <w:rPr>
          <w:rFonts w:hint="eastAsia" w:ascii="宋体" w:hAnsi="宋体" w:eastAsia="宋体"/>
          <w:kern w:val="0"/>
          <w:sz w:val="24"/>
          <w:szCs w:val="24"/>
        </w:rPr>
        <w:t>（一）环卫作业人员待遇保障</w:t>
      </w:r>
    </w:p>
    <w:p>
      <w:pPr>
        <w:spacing w:line="360" w:lineRule="auto"/>
        <w:ind w:firstLine="480"/>
        <w:rPr>
          <w:rFonts w:ascii="宋体" w:hAnsi="宋体" w:eastAsia="宋体"/>
          <w:color w:val="FF0000"/>
          <w:kern w:val="0"/>
          <w:sz w:val="24"/>
          <w:szCs w:val="24"/>
        </w:rPr>
      </w:pPr>
      <w:r>
        <w:rPr>
          <w:rFonts w:hint="eastAsia" w:ascii="宋体" w:hAnsi="宋体" w:eastAsia="宋体"/>
          <w:kern w:val="0"/>
          <w:sz w:val="24"/>
          <w:szCs w:val="24"/>
        </w:rPr>
        <w:t>严格执行国家和省、市环境卫生作业人员工资管理相关规定，按时足额支付环境卫生作业人员的劳动报酬，中标人须按照国家工资标准发放环卫工人薪资，逢国家政策性调整省市最低工资标准，环卫工人人工工资上调部分资金按政策文件要求由采购人与中标人协商解决。</w:t>
      </w:r>
    </w:p>
    <w:p>
      <w:pPr>
        <w:spacing w:line="360" w:lineRule="auto"/>
        <w:ind w:firstLine="480"/>
        <w:rPr>
          <w:rFonts w:ascii="宋体" w:hAnsi="宋体" w:eastAsia="宋体"/>
          <w:kern w:val="0"/>
          <w:sz w:val="24"/>
          <w:szCs w:val="24"/>
        </w:rPr>
      </w:pPr>
      <w:r>
        <w:rPr>
          <w:rFonts w:hint="eastAsia" w:ascii="宋体" w:hAnsi="宋体" w:eastAsia="宋体"/>
          <w:kern w:val="0"/>
          <w:sz w:val="24"/>
          <w:szCs w:val="24"/>
        </w:rPr>
        <w:t>（二）着装要求</w:t>
      </w:r>
    </w:p>
    <w:p>
      <w:pPr>
        <w:spacing w:line="360" w:lineRule="auto"/>
        <w:ind w:firstLine="480"/>
        <w:rPr>
          <w:rFonts w:ascii="宋体" w:hAnsi="宋体" w:eastAsia="宋体"/>
          <w:kern w:val="0"/>
          <w:sz w:val="24"/>
          <w:szCs w:val="24"/>
        </w:rPr>
      </w:pPr>
      <w:r>
        <w:rPr>
          <w:rFonts w:hint="eastAsia" w:ascii="宋体" w:hAnsi="宋体" w:eastAsia="宋体"/>
          <w:kern w:val="0"/>
          <w:sz w:val="24"/>
          <w:szCs w:val="24"/>
        </w:rPr>
        <w:t>中标人根据全市统一环卫作业服装装备，按要求执行。</w:t>
      </w:r>
      <w:r>
        <w:rPr>
          <w:rFonts w:hint="eastAsia" w:ascii="宋体" w:hAnsi="宋体" w:eastAsia="宋体"/>
          <w:b/>
          <w:kern w:val="0"/>
          <w:sz w:val="24"/>
          <w:szCs w:val="24"/>
        </w:rPr>
        <w:t>（提供承诺书）</w:t>
      </w:r>
    </w:p>
    <w:p>
      <w:pPr>
        <w:spacing w:line="360" w:lineRule="auto"/>
        <w:ind w:firstLine="480"/>
        <w:rPr>
          <w:rFonts w:ascii="宋体" w:hAnsi="宋体" w:eastAsia="宋体"/>
          <w:kern w:val="0"/>
          <w:sz w:val="24"/>
          <w:szCs w:val="24"/>
        </w:rPr>
      </w:pPr>
      <w:r>
        <w:rPr>
          <w:rFonts w:hint="eastAsia" w:ascii="宋体" w:hAnsi="宋体" w:eastAsia="宋体"/>
          <w:kern w:val="0"/>
          <w:sz w:val="24"/>
          <w:szCs w:val="24"/>
        </w:rPr>
        <w:t>（三）在合同履行过程中严格按照招标文件的配员标准，切实要求中标人在中标通知书下达后的一个月内配齐环卫作业人员和环卫作业车辆，并签订环卫作业合同。</w:t>
      </w:r>
      <w:r>
        <w:rPr>
          <w:rFonts w:hint="eastAsia" w:ascii="宋体" w:hAnsi="宋体" w:eastAsia="宋体"/>
          <w:b/>
          <w:kern w:val="0"/>
          <w:sz w:val="24"/>
          <w:szCs w:val="24"/>
        </w:rPr>
        <w:t>（提供承诺书）</w:t>
      </w:r>
    </w:p>
    <w:p>
      <w:pPr>
        <w:spacing w:line="360" w:lineRule="auto"/>
        <w:ind w:firstLine="480"/>
        <w:rPr>
          <w:rFonts w:ascii="宋体" w:hAnsi="宋体" w:eastAsia="宋体"/>
          <w:kern w:val="0"/>
          <w:sz w:val="24"/>
          <w:szCs w:val="24"/>
        </w:rPr>
      </w:pPr>
      <w:r>
        <w:rPr>
          <w:rFonts w:hint="eastAsia" w:ascii="宋体" w:hAnsi="宋体" w:eastAsia="宋体"/>
          <w:kern w:val="0"/>
          <w:sz w:val="24"/>
          <w:szCs w:val="24"/>
        </w:rPr>
        <w:t>（四）中标人必须自行为环卫车辆安装 GPS、天翼对讲机、数字化环卫监督系统、环卫车辆在线监管系统进入我区智能化管理系统。</w:t>
      </w:r>
      <w:r>
        <w:rPr>
          <w:rFonts w:hint="eastAsia" w:ascii="宋体" w:hAnsi="宋体" w:eastAsia="宋体"/>
          <w:b/>
          <w:kern w:val="0"/>
          <w:sz w:val="24"/>
          <w:szCs w:val="24"/>
        </w:rPr>
        <w:t>（提供承诺书）</w:t>
      </w:r>
    </w:p>
    <w:p>
      <w:pPr>
        <w:spacing w:line="360" w:lineRule="auto"/>
        <w:ind w:firstLine="480"/>
        <w:rPr>
          <w:rFonts w:ascii="宋体" w:hAnsi="宋体" w:eastAsia="宋体"/>
          <w:kern w:val="0"/>
          <w:sz w:val="24"/>
          <w:szCs w:val="24"/>
        </w:rPr>
      </w:pPr>
      <w:r>
        <w:rPr>
          <w:rFonts w:hint="eastAsia" w:ascii="宋体" w:hAnsi="宋体" w:eastAsia="宋体"/>
          <w:kern w:val="0"/>
          <w:sz w:val="24"/>
          <w:szCs w:val="24"/>
        </w:rPr>
        <w:t>（五）每年对所有人员至少进行一次身体健康检查，对不符合所从事工种的员工应及时清退或者妥善安置。否则，产生的法律后果由中标人承担（包括但不限于：损害赔偿、诉讼费、律师费等）。</w:t>
      </w:r>
      <w:r>
        <w:rPr>
          <w:rFonts w:hint="eastAsia" w:ascii="宋体" w:hAnsi="宋体" w:eastAsia="宋体"/>
          <w:b/>
          <w:kern w:val="0"/>
          <w:sz w:val="24"/>
          <w:szCs w:val="24"/>
        </w:rPr>
        <w:t>（提供承诺书）</w:t>
      </w:r>
    </w:p>
    <w:p>
      <w:pPr>
        <w:spacing w:line="360" w:lineRule="auto"/>
        <w:ind w:firstLine="480"/>
        <w:rPr>
          <w:rFonts w:ascii="宋体" w:hAnsi="宋体" w:eastAsia="宋体"/>
          <w:kern w:val="0"/>
          <w:sz w:val="24"/>
          <w:szCs w:val="24"/>
        </w:rPr>
      </w:pPr>
      <w:r>
        <w:rPr>
          <w:rFonts w:hint="eastAsia" w:ascii="宋体" w:hAnsi="宋体" w:eastAsia="宋体"/>
          <w:kern w:val="0"/>
          <w:sz w:val="24"/>
          <w:szCs w:val="24"/>
        </w:rPr>
        <w:t>（六）机动车符合国家机动车管理规定。</w:t>
      </w:r>
      <w:r>
        <w:rPr>
          <w:rFonts w:hint="eastAsia" w:ascii="宋体" w:hAnsi="宋体" w:eastAsia="宋体"/>
          <w:b/>
          <w:kern w:val="0"/>
          <w:sz w:val="24"/>
          <w:szCs w:val="24"/>
        </w:rPr>
        <w:t>（提供承诺书）</w:t>
      </w:r>
    </w:p>
    <w:p>
      <w:pPr>
        <w:spacing w:line="360" w:lineRule="auto"/>
        <w:ind w:firstLine="480"/>
        <w:rPr>
          <w:rFonts w:ascii="宋体" w:hAnsi="宋体" w:eastAsia="宋体"/>
          <w:kern w:val="0"/>
          <w:sz w:val="24"/>
          <w:szCs w:val="24"/>
        </w:rPr>
      </w:pPr>
      <w:r>
        <w:rPr>
          <w:rFonts w:hint="eastAsia" w:ascii="宋体" w:hAnsi="宋体" w:eastAsia="宋体"/>
          <w:kern w:val="0"/>
          <w:sz w:val="24"/>
          <w:szCs w:val="24"/>
        </w:rPr>
        <w:t>（七）环卫作业车为新能源汽车（须进入工信部《新能源汽车推广应用推荐车型目录》）按照《成都市武侯区2021年二季度大气污染防治攻坚行动方案》配置，本辖区环卫机械化作业覆盖率不低于80%。</w:t>
      </w:r>
      <w:r>
        <w:rPr>
          <w:rFonts w:hint="eastAsia" w:ascii="宋体" w:hAnsi="宋体" w:eastAsia="宋体"/>
          <w:b/>
          <w:kern w:val="0"/>
          <w:sz w:val="24"/>
          <w:szCs w:val="24"/>
        </w:rPr>
        <w:t>(提供承诺书)</w:t>
      </w:r>
    </w:p>
    <w:p>
      <w:pPr>
        <w:spacing w:line="360" w:lineRule="auto"/>
        <w:ind w:firstLine="480"/>
        <w:rPr>
          <w:rFonts w:ascii="宋体" w:hAnsi="宋体" w:eastAsia="宋体"/>
          <w:kern w:val="0"/>
          <w:sz w:val="24"/>
          <w:szCs w:val="24"/>
        </w:rPr>
      </w:pPr>
      <w:r>
        <w:rPr>
          <w:rFonts w:hint="eastAsia" w:ascii="宋体" w:hAnsi="宋体" w:eastAsia="宋体"/>
          <w:kern w:val="0"/>
          <w:sz w:val="24"/>
          <w:szCs w:val="24"/>
        </w:rPr>
        <w:t>（八）中标单位要配合甲方完成新能源汽车市级目标考核。</w:t>
      </w:r>
      <w:r>
        <w:rPr>
          <w:rFonts w:hint="eastAsia" w:ascii="宋体" w:hAnsi="宋体" w:eastAsia="宋体"/>
          <w:b/>
          <w:kern w:val="0"/>
          <w:sz w:val="24"/>
          <w:szCs w:val="24"/>
        </w:rPr>
        <w:t>(提供承诺书)</w:t>
      </w:r>
    </w:p>
    <w:p>
      <w:pPr>
        <w:spacing w:line="360" w:lineRule="auto"/>
        <w:ind w:firstLine="480"/>
        <w:rPr>
          <w:rFonts w:ascii="宋体" w:hAnsi="宋体" w:eastAsia="宋体"/>
          <w:kern w:val="0"/>
          <w:sz w:val="24"/>
          <w:szCs w:val="24"/>
        </w:rPr>
      </w:pPr>
      <w:r>
        <w:rPr>
          <w:rFonts w:hint="eastAsia" w:ascii="宋体" w:hAnsi="宋体" w:eastAsia="宋体"/>
          <w:kern w:val="0"/>
          <w:sz w:val="24"/>
          <w:szCs w:val="24"/>
        </w:rPr>
        <w:t>（九）除招标文件必须要求提供的10台新能源车外，对投标人提供的其他非新能源车的环卫作业车（扫地车、洒水车、隔离护栏清洗车），中标单位须在中标后6个月内替换为新能源车，调配的新能源车差价部分根据政府相关文件要求中标人与采购人协商解决。</w:t>
      </w:r>
      <w:r>
        <w:rPr>
          <w:rFonts w:hint="eastAsia" w:ascii="宋体" w:hAnsi="宋体" w:eastAsia="宋体"/>
          <w:b/>
          <w:kern w:val="0"/>
          <w:sz w:val="24"/>
          <w:szCs w:val="24"/>
        </w:rPr>
        <w:t>(提供承诺书)</w:t>
      </w:r>
    </w:p>
    <w:p>
      <w:pPr>
        <w:spacing w:line="360" w:lineRule="auto"/>
        <w:ind w:firstLine="480"/>
      </w:pPr>
      <w:r>
        <w:rPr>
          <w:rFonts w:hint="eastAsia" w:ascii="宋体" w:hAnsi="宋体" w:eastAsia="宋体"/>
          <w:kern w:val="0"/>
          <w:sz w:val="24"/>
          <w:szCs w:val="24"/>
        </w:rPr>
        <w:t>（十）投标单位中标后，应及时与相关部门联系，确保环卫车辆符合成都市交管部门货运车辆入城备案登记、成都市大气污染防治等相关政策要求。</w:t>
      </w:r>
    </w:p>
    <w:p>
      <w:pPr>
        <w:pStyle w:val="5"/>
      </w:pPr>
      <w:bookmarkStart w:id="42" w:name="_Toc2398"/>
      <w:r>
        <w:rPr>
          <w:rFonts w:hint="eastAsia"/>
        </w:rPr>
        <w:t>六、商务要求（实质性要求）</w:t>
      </w:r>
      <w:bookmarkEnd w:id="42"/>
    </w:p>
    <w:p>
      <w:pPr>
        <w:spacing w:line="360" w:lineRule="auto"/>
        <w:ind w:firstLine="480"/>
        <w:rPr>
          <w:rFonts w:ascii="宋体" w:hAnsi="宋体" w:eastAsia="宋体"/>
          <w:kern w:val="0"/>
          <w:sz w:val="24"/>
          <w:szCs w:val="24"/>
        </w:rPr>
      </w:pPr>
      <w:r>
        <w:rPr>
          <w:rFonts w:hint="eastAsia" w:ascii="宋体" w:hAnsi="宋体" w:eastAsia="宋体"/>
          <w:kern w:val="0"/>
          <w:sz w:val="24"/>
          <w:szCs w:val="24"/>
        </w:rPr>
        <w:t>（一）服务期限：签订合同之日起三年，合同一年一签。</w:t>
      </w:r>
    </w:p>
    <w:p>
      <w:pPr>
        <w:spacing w:line="360" w:lineRule="auto"/>
        <w:ind w:firstLine="480"/>
        <w:rPr>
          <w:rFonts w:ascii="宋体" w:hAnsi="宋体" w:eastAsia="宋体"/>
          <w:kern w:val="0"/>
          <w:sz w:val="24"/>
          <w:szCs w:val="24"/>
        </w:rPr>
      </w:pPr>
      <w:r>
        <w:rPr>
          <w:rFonts w:hint="eastAsia" w:ascii="宋体" w:hAnsi="宋体" w:eastAsia="宋体"/>
          <w:kern w:val="0"/>
          <w:sz w:val="24"/>
          <w:szCs w:val="24"/>
        </w:rPr>
        <w:t>（二）付款方式：每月银行转账支付，于次月５日拨付作业服务费，若考核不合格则可在月度质量考核金中做相应扣除。</w:t>
      </w:r>
    </w:p>
    <w:p>
      <w:pPr>
        <w:spacing w:line="360" w:lineRule="auto"/>
        <w:ind w:firstLine="480"/>
        <w:rPr>
          <w:rFonts w:ascii="宋体" w:hAnsi="宋体" w:eastAsia="宋体"/>
          <w:kern w:val="0"/>
          <w:sz w:val="24"/>
          <w:szCs w:val="24"/>
        </w:rPr>
      </w:pPr>
      <w:r>
        <w:rPr>
          <w:rFonts w:hint="eastAsia" w:ascii="宋体" w:hAnsi="宋体" w:eastAsia="宋体"/>
          <w:kern w:val="0"/>
          <w:sz w:val="24"/>
          <w:szCs w:val="24"/>
        </w:rPr>
        <w:t>（三）服务地点：成都市武侯区华兴街道办事处辖区范围。</w:t>
      </w:r>
    </w:p>
    <w:p>
      <w:pPr>
        <w:pStyle w:val="8"/>
        <w:spacing w:line="360" w:lineRule="auto"/>
        <w:ind w:firstLine="480" w:firstLineChars="200"/>
        <w:rPr>
          <w:rFonts w:ascii="宋体" w:hAnsi="宋体" w:eastAsia="宋体"/>
          <w:kern w:val="0"/>
          <w:sz w:val="24"/>
          <w:szCs w:val="24"/>
        </w:rPr>
      </w:pPr>
      <w:r>
        <w:rPr>
          <w:rFonts w:hint="eastAsia" w:ascii="宋体" w:hAnsi="宋体" w:eastAsia="宋体"/>
          <w:kern w:val="0"/>
          <w:sz w:val="24"/>
          <w:szCs w:val="24"/>
        </w:rPr>
        <w:t>（四）验收标准：按华兴街道考核标准及考核制度按月进行验收。</w:t>
      </w:r>
    </w:p>
    <w:p>
      <w:pPr>
        <w:spacing w:line="360" w:lineRule="auto"/>
        <w:ind w:firstLine="480"/>
        <w:rPr>
          <w:rFonts w:ascii="宋体" w:hAnsi="宋体" w:eastAsia="宋体"/>
          <w:kern w:val="0"/>
          <w:sz w:val="24"/>
          <w:szCs w:val="24"/>
        </w:rPr>
      </w:pPr>
      <w:r>
        <w:rPr>
          <w:rFonts w:hint="eastAsia" w:ascii="宋体" w:hAnsi="宋体" w:eastAsia="宋体"/>
          <w:kern w:val="0"/>
          <w:sz w:val="24"/>
          <w:szCs w:val="24"/>
        </w:rPr>
        <w:t>（五）中标价格要求：签订合同时严格按照中标价格执行，服务期限（三年）内除遇有政策性（最低基本工资上涨等因素）乙方不得以情形变更、人工成本增加、物价上涨等因素要求甲方调整合同价格。</w:t>
      </w:r>
    </w:p>
    <w:p>
      <w:pPr>
        <w:spacing w:line="360" w:lineRule="auto"/>
        <w:ind w:firstLine="480"/>
        <w:rPr>
          <w:rFonts w:ascii="宋体" w:hAnsi="宋体" w:eastAsia="宋体"/>
          <w:kern w:val="0"/>
          <w:sz w:val="24"/>
          <w:szCs w:val="24"/>
        </w:rPr>
      </w:pPr>
      <w:r>
        <w:rPr>
          <w:rFonts w:hint="eastAsia" w:ascii="宋体" w:hAnsi="宋体" w:eastAsia="宋体"/>
          <w:kern w:val="0"/>
          <w:sz w:val="24"/>
          <w:szCs w:val="24"/>
        </w:rPr>
        <w:t>（六）环卫公司必须完成街道交办的环卫作业方面的其他临时性、突击性工作。</w:t>
      </w:r>
    </w:p>
    <w:p>
      <w:pPr>
        <w:spacing w:line="360" w:lineRule="auto"/>
        <w:ind w:firstLine="480"/>
        <w:rPr>
          <w:rFonts w:ascii="宋体" w:hAnsi="宋体" w:eastAsia="宋体"/>
          <w:kern w:val="0"/>
          <w:sz w:val="24"/>
          <w:szCs w:val="24"/>
        </w:rPr>
      </w:pPr>
      <w:r>
        <w:rPr>
          <w:rFonts w:hint="eastAsia" w:ascii="宋体" w:hAnsi="宋体" w:eastAsia="宋体"/>
          <w:kern w:val="0"/>
          <w:sz w:val="24"/>
          <w:szCs w:val="24"/>
        </w:rPr>
        <w:t>（七）其他未尽事宜在合同签订时约定。</w:t>
      </w:r>
    </w:p>
    <w:p>
      <w:pPr>
        <w:pStyle w:val="5"/>
      </w:pPr>
      <w:bookmarkStart w:id="43" w:name="_Toc4513"/>
      <w:r>
        <w:rPr>
          <w:rFonts w:hint="eastAsia"/>
        </w:rPr>
        <w:t>七、服务标准</w:t>
      </w:r>
      <w:bookmarkEnd w:id="43"/>
    </w:p>
    <w:p>
      <w:pPr>
        <w:jc w:val="center"/>
        <w:rPr>
          <w:b/>
          <w:bCs/>
          <w:sz w:val="24"/>
          <w:szCs w:val="28"/>
        </w:rPr>
      </w:pPr>
      <w:r>
        <w:rPr>
          <w:rFonts w:hint="eastAsia"/>
          <w:b/>
          <w:bCs/>
          <w:sz w:val="28"/>
          <w:szCs w:val="32"/>
        </w:rPr>
        <w:t>《成都市武侯区华兴街道辖区环卫清扫保洁精细化作业标准》</w:t>
      </w:r>
    </w:p>
    <w:p>
      <w:pPr>
        <w:spacing w:line="360" w:lineRule="auto"/>
        <w:jc w:val="center"/>
        <w:rPr>
          <w:rFonts w:ascii="宋体" w:hAnsi="宋体" w:eastAsia="宋体" w:cs="宋体"/>
          <w:sz w:val="24"/>
          <w:szCs w:val="24"/>
        </w:rPr>
      </w:pPr>
      <w:r>
        <w:rPr>
          <w:rFonts w:hint="eastAsia" w:ascii="宋体" w:hAnsi="宋体" w:eastAsia="宋体" w:cs="宋体"/>
          <w:sz w:val="24"/>
          <w:szCs w:val="24"/>
        </w:rPr>
        <w:t>第一章</w:t>
      </w:r>
      <w:r>
        <w:rPr>
          <w:rFonts w:hint="eastAsia" w:ascii="宋体" w:hAnsi="宋体" w:eastAsia="宋体" w:cs="宋体"/>
          <w:sz w:val="24"/>
          <w:szCs w:val="24"/>
        </w:rPr>
        <w:tab/>
      </w:r>
      <w:r>
        <w:rPr>
          <w:rFonts w:hint="eastAsia" w:ascii="宋体" w:hAnsi="宋体" w:eastAsia="宋体" w:cs="宋体"/>
          <w:sz w:val="24"/>
          <w:szCs w:val="24"/>
        </w:rPr>
        <w:t>总则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大力推行绿色环保、节能减排作业方式，持续推进环卫作业机具设备提档升级，鼓励使用新能源环卫作业车辆(电动，LNG，电燃、燃气混动)，燃油车尾气排放必须达到国家规定的排放标准。根据我市再生水管网配套建设情况，逐步增加再生水使用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大力推行环卫作业机械化，通过多种方式促进环卫企业加快改进更新环卫作业设施设备，增加机械化清扫、冲洗作业车辆，特别是适用于背街小巷、辅道和人行道作业的小型作业机具（小型扫地车、热水高压清洗机、吸尘机），不断扩大机械化作业范围，道路机械化清扫率达到国家、省、市相关标准以上。同时，做好不同机械与人工替换率的测算，最大程度减少人工使用和降低环卫工人劳动强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本市环卫清扫保洁作业规范和质量检验标准应紧扣美丽宜居公园城市建设和城市道路一体化设计，按道路（区域）等级划分为特级、一级、二级、三级、四级。</w:t>
      </w:r>
    </w:p>
    <w:p>
      <w:pPr>
        <w:spacing w:line="360" w:lineRule="auto"/>
        <w:ind w:firstLine="480" w:firstLineChars="200"/>
        <w:jc w:val="center"/>
        <w:rPr>
          <w:rFonts w:ascii="宋体" w:hAnsi="宋体" w:eastAsia="宋体" w:cs="宋体"/>
          <w:sz w:val="24"/>
          <w:szCs w:val="24"/>
        </w:rPr>
      </w:pPr>
      <w:r>
        <w:rPr>
          <w:rFonts w:hint="eastAsia" w:ascii="宋体" w:hAnsi="宋体" w:eastAsia="宋体" w:cs="宋体"/>
          <w:sz w:val="24"/>
          <w:szCs w:val="24"/>
        </w:rPr>
        <w:t>第二章</w:t>
      </w:r>
      <w:r>
        <w:rPr>
          <w:rFonts w:hint="eastAsia" w:ascii="宋体" w:hAnsi="宋体" w:eastAsia="宋体" w:cs="宋体"/>
          <w:sz w:val="24"/>
          <w:szCs w:val="24"/>
        </w:rPr>
        <w:tab/>
      </w:r>
      <w:r>
        <w:rPr>
          <w:rFonts w:hint="eastAsia" w:ascii="宋体" w:hAnsi="宋体" w:eastAsia="宋体" w:cs="宋体"/>
          <w:sz w:val="24"/>
          <w:szCs w:val="24"/>
        </w:rPr>
        <w:t>清扫保洁</w:t>
      </w:r>
    </w:p>
    <w:p>
      <w:pPr>
        <w:spacing w:line="360" w:lineRule="auto"/>
        <w:ind w:firstLine="480" w:firstLineChars="200"/>
        <w:jc w:val="center"/>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（一）作业时间</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特级道路、一级道路（区域）应于每日07:00前完成普扫作业，二、三级道路（区域）应于每日07:30前完成普扫作业，四级道路（区域）冬季 09:00和夏季 08:30 前完成普扫作业。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特级道路、一、二级道路（区域）实行每日 24小时保洁制，三级道路每日 05:00至22:00保洁，其中，机动车道保洁以机械化错峰作业为主。四级道路适时巡回保洁。</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（二）作业方式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机动车道、立交桥、高架桥、跨线桥、非机动车道、人行道、人行天桥、广场及栏杆、隔离墩（桩、墙）等环卫清扫保洁，适合机械清扫的，应当以大、中、小型吸扫车或吸洗扫一体车作业为主；不适合机械清扫作业的，应匹配相应作业人员，实行人工清扫作业。人工清扫作业主要采用防尘软扫帚，避免产生扬尘。雨后应及时进行路面积水清除作业，宜开展机械洗扫作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机械清扫作业时可根据路面污染情况选用一挡或二档。清扫作业时选用一挡，行驶速度不超过 8 公里/小时，副机转速不超过 2000 转/分；保洁作业时选用二挡，行驶速度不超过 15 公里/小时，副机转速不超过 1800 转/分。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机械清扫作业时应严格按照放刷、喷水、调整箱体压力和刷盘转速、清扫的顺序进行操作；非特殊气候情况下，避免“干扫”；作业时禁止扫刷、吸嘴不落地。作业完毕后应及时到指定场所排放污水和卸清垃圾。</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绿化带、花台、树池杂物清理，果屑箱清掏、外部保洁实行人工与小型机械相结合方式作业。辖区内街面和街道立面及其它建筑物上 2 米以下的牛皮癣清理工作。</w:t>
      </w:r>
    </w:p>
    <w:p>
      <w:pPr>
        <w:spacing w:line="360" w:lineRule="auto"/>
        <w:rPr>
          <w:rFonts w:ascii="宋体" w:hAnsi="宋体" w:eastAsia="宋体" w:cs="宋体"/>
          <w:sz w:val="24"/>
          <w:szCs w:val="24"/>
        </w:rPr>
      </w:pPr>
      <w:r>
        <w:rPr>
          <w:rFonts w:hint="eastAsia" w:ascii="宋体" w:hAnsi="宋体" w:eastAsia="宋体" w:cs="宋体"/>
          <w:sz w:val="24"/>
          <w:szCs w:val="24"/>
        </w:rPr>
        <w:t>（三）作业频次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特级道路，一级道路（区域）主、辅道机械吸（洗）扫作业每日不少于 4 次。每日05:00-07:00、19:00-21:00每条车道全覆盖作业09:30-11:30、12:00-15:30 双向左右两侧车行道、单向车行道两侧道路各增加作业1次；1月-3月，10月-12月适时增加作业次数，清理落叶和灰带。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二级道路（区域）机械吸（洗）扫作业每日不少于3次。每日05:00-07:00、19:00-21:00每条车道全覆盖作业；12:30-15:30 双向左右两侧车行道、单向车行道两侧道路各增加作业1次；1月-3月，10月-12月适时增加作业次数，清理落叶和灰带。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三级道路（区域）机械吸（洗）扫作业每日不少于2次。每日05:00-07:00、19:00-21:00各作业1次；1月-3月，10月-12月适时增加作业次数，清理落叶和灰带。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四级道路采取人工清扫和冲洗作业相结合方式，冬季 9:00 和夏季 8:30 前作业 1 次，并适时巡回捡拾。特级道路非机动车道、人行道、十字路口、人行天桥、绿化带花台、树池、桌椅、果屑箱（垃圾桶）、雨水篦、井盖表面等局部污渍清洗，其巡回保洁和快捡在 15 分钟内处理。二、三级道路（区域）非机动车道、人行道、十字路口、人行天桥、绿化带花台、树池、桌椅、果屑箱（垃圾桶）、雨水篦、井盖表面等局部污渍清洗，餐饮饭店、集贸市场、车站、医院等人流密集场所和建设工地周边，其巡回保洁和快捡在 20 分钟内处理。四级道路适时巡回保洁。巡回保洁中发现的污渍污迹，在 20 分钟内实施处置。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（四）作业标准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机动车道、非机动车道、人行道路面，人行天桥、雨水篦无堆积物、无砖瓦土石、无果皮纸屑、无塑料袋、无烟蒂、无痰迹、无积泥积尘、无污水、无灰带等。绿化带、行道树池内无堆积物、无塑料袋、无纸屑等废弃物。果屑箱（垃圾桶）内垃圾及时清除、无满溢，箱体周围地面无抛撒存留垃圾、无污渍，箱体外观完好整洁。</w:t>
      </w:r>
    </w:p>
    <w:p>
      <w:pPr>
        <w:spacing w:line="360" w:lineRule="auto"/>
        <w:ind w:firstLine="480" w:firstLineChars="200"/>
        <w:rPr>
          <w:rFonts w:ascii="宋体" w:hAnsi="宋体" w:eastAsia="宋体" w:cs="宋体"/>
          <w:sz w:val="24"/>
          <w:szCs w:val="24"/>
        </w:rPr>
      </w:pPr>
    </w:p>
    <w:p>
      <w:pPr>
        <w:spacing w:line="360" w:lineRule="auto"/>
        <w:ind w:firstLine="480" w:firstLineChars="200"/>
        <w:jc w:val="center"/>
        <w:rPr>
          <w:rFonts w:ascii="宋体" w:hAnsi="宋体" w:eastAsia="宋体" w:cs="宋体"/>
          <w:sz w:val="24"/>
          <w:szCs w:val="24"/>
        </w:rPr>
      </w:pPr>
      <w:r>
        <w:rPr>
          <w:rFonts w:hint="eastAsia" w:ascii="宋体" w:hAnsi="宋体" w:eastAsia="宋体" w:cs="宋体"/>
          <w:sz w:val="24"/>
          <w:szCs w:val="24"/>
        </w:rPr>
        <w:t>第三章</w:t>
      </w:r>
      <w:r>
        <w:rPr>
          <w:rFonts w:hint="eastAsia" w:ascii="宋体" w:hAnsi="宋体" w:eastAsia="宋体" w:cs="宋体"/>
          <w:sz w:val="24"/>
          <w:szCs w:val="24"/>
        </w:rPr>
        <w:tab/>
      </w:r>
      <w:r>
        <w:rPr>
          <w:rFonts w:hint="eastAsia" w:ascii="宋体" w:hAnsi="宋体" w:eastAsia="宋体" w:cs="宋体"/>
          <w:sz w:val="24"/>
          <w:szCs w:val="24"/>
        </w:rPr>
        <w:t>道路冲洗除尘</w:t>
      </w: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（一）作业时间</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三级以上道路（区域）冲洗除尘作业应在每日22:00－次日 06:00 进行，除道路污染应急处置、重大保障和重污染天气等特殊情况外，原则上不得白天作业。特殊情况确需白天作业时要错开早晚交通高峰段（ 7:30-9:00， 17:30-19:00），作业时注意避让车辆和行人，以洒水作业为主。四级道路（区域）根据污染情况适时冲洗除尘。</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（二）作业方式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道路冲洗除尘根据不同道路（区域）等级， 制定清洗除尘方案。所有道路（区域）应以冲洗除尘为主，冲洗作业时车辆行驶速度为 5-8 公里/小时，出水口与地面之间角度调至最佳冲洗位置，压力不小于300kPa，开启警示灯应急灯（大车）、鸣放提示音乐。在22:00-07:00、12:00-15:00（启动应急预案需白天作业时），应停用提示音乐，避免噪音扰民。</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道路冲洗除尘作业应当实行机械冲洗与机械化吸扫和人工辅助清扫相结合的方式，确保冲洗效果。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道路冲洗除尘实行定人、定车、定时、定标、定责“五定”制度。作业单位应当将道路冲洗除尘班组责任人 、项目经理、作业车辆、驾驶员、辅助人员等信息列入工作方案， 明确作业时间、进度、范围、规范和责任。</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每条道路（区域）应有冲洗前的清晰图片（图片须显示作业日期、小时、分钟以及周边明显参照物），冲洗作业过程及冲洗后的效果资料。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作业单位应当备存作业机具、人员的作业场景图片、有关人员签字记录、作业车辆车牌号和司机、辅助人员签字记录、作业车辆行驶轨迹记录等有关图、表、文字、影像记载。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（三）作业频次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特级道路、一级道路（区域）机动车道每日冲洗除尘 1 次，非机动车道、路沿石每两日冲洗除尘 1 次，人行道、护栏基座、人行天桥、广场地面每两周洗刷 1 次，随时清除污垢、污渍。</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二级道路（区域）机动车道每日冲洗除尘 1次，非机动车道和路沿石每三日冲洗除尘 1 次，人行道、护栏基座、人行天桥、广场地面每两周洗刷 1 次，随时清除污垢、污渍。</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三级道路（区域）机动车道每两日冲洗除尘1 次，非机动车道和路沿石每周冲洗除尘 1 次，人行道、护栏基座、人行天桥、广场地面每两周洗刷 1 次，随时清除污垢、污渍。</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冬季气温低于 2℃时，暂停冲洗作业，以免路面结冰影响交通安全。夏季气温超过 35℃时，应当采取换班轮休等方式，缩短劳动者连续作业时间，加强机械化作业，日最高气温达到 40℃以上时，应当停止人工作业。其他特殊天气作业时间和频次另行规定。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（四）作业标准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机动车道、非机动车道、路沿石应无积泥、积尘、积水，无残留垃圾，雨水箅表面洁净，交通标志线无污渍， 现本色。</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人行道、护栏基座、人行天桥、广场无积泥、积尘、积水、残留垃圾、油渍污垢、口香糖等，现本色。行道树树池无弃物、污渍。</w:t>
      </w:r>
    </w:p>
    <w:p>
      <w:pPr>
        <w:spacing w:line="360" w:lineRule="auto"/>
        <w:ind w:firstLine="480" w:firstLineChars="200"/>
        <w:rPr>
          <w:rFonts w:ascii="宋体" w:hAnsi="宋体" w:eastAsia="宋体" w:cs="宋体"/>
          <w:sz w:val="24"/>
          <w:szCs w:val="24"/>
        </w:rPr>
      </w:pPr>
    </w:p>
    <w:p>
      <w:pPr>
        <w:spacing w:line="360" w:lineRule="auto"/>
        <w:ind w:firstLine="480" w:firstLineChars="200"/>
        <w:jc w:val="center"/>
        <w:rPr>
          <w:rFonts w:ascii="宋体" w:hAnsi="宋体" w:eastAsia="宋体" w:cs="宋体"/>
          <w:sz w:val="24"/>
          <w:szCs w:val="24"/>
        </w:rPr>
      </w:pPr>
      <w:r>
        <w:rPr>
          <w:rFonts w:hint="eastAsia" w:ascii="宋体" w:hAnsi="宋体" w:eastAsia="宋体" w:cs="宋体"/>
          <w:sz w:val="24"/>
          <w:szCs w:val="24"/>
        </w:rPr>
        <w:t>第四章</w:t>
      </w:r>
      <w:r>
        <w:rPr>
          <w:rFonts w:hint="eastAsia" w:ascii="宋体" w:hAnsi="宋体" w:eastAsia="宋体" w:cs="宋体"/>
          <w:sz w:val="24"/>
          <w:szCs w:val="24"/>
        </w:rPr>
        <w:tab/>
      </w:r>
      <w:r>
        <w:rPr>
          <w:rFonts w:hint="eastAsia" w:ascii="宋体" w:hAnsi="宋体" w:eastAsia="宋体" w:cs="宋体"/>
          <w:sz w:val="24"/>
          <w:szCs w:val="24"/>
        </w:rPr>
        <w:t>生活垃圾收运</w:t>
      </w:r>
    </w:p>
    <w:p>
      <w:pPr>
        <w:spacing w:line="360" w:lineRule="auto"/>
        <w:ind w:firstLine="480" w:firstLineChars="200"/>
        <w:jc w:val="center"/>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（一）作业时间</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生活垃圾转运作业原则上在 05:30-23:00 进行，并避开交通高峰时段（07:30-9:00，17:30-19:00）。确需其它时段作业的应避免扰民。</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（二）作业频次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城镇居民住宅小区、单位、营业场所、公共场所等区域的生活垃圾实行定人定时收运，原则上早、中、晚各 1 次，根据不同区域、不同季节生活垃圾日产生量，适时调整增加或减少收运频次；临街店铺生活垃圾实行定人定时循环收运，原则上每日不少于 2 次；农村区域原则上每日不少于 1 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（三）作业方式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生活垃圾收运应采用一级转运（收集点-垃圾转运站-垃圾末端处置）和直收直运（收集点-垃圾末端处置） 为主，二级转运为辅（收集点-小型垃圾转运站-大型垃圾转运站-垃圾末端处置）的方式；部分离末端处置场（厂）较近的区（市）县，应采用直运为主、一级转运为辅的方式。垃圾转运站无法落地区域，探索推行定时定点收运方式。</w:t>
      </w:r>
    </w:p>
    <w:p>
      <w:pPr>
        <w:pStyle w:val="2"/>
        <w:spacing w:line="360" w:lineRule="auto"/>
        <w:ind w:firstLine="480"/>
        <w:rPr>
          <w:rFonts w:ascii="宋体" w:hAnsi="宋体" w:eastAsia="宋体" w:cs="宋体"/>
          <w:sz w:val="24"/>
          <w:szCs w:val="24"/>
        </w:rPr>
      </w:pPr>
      <w:r>
        <w:rPr>
          <w:rFonts w:hint="eastAsia" w:ascii="宋体" w:hAnsi="宋体" w:eastAsia="宋体" w:cs="宋体"/>
          <w:sz w:val="24"/>
          <w:szCs w:val="24"/>
        </w:rPr>
        <w:t>严格按照《成都市生活垃圾管理条例》和上级业务部门实行生活垃圾分类要求，生活垃圾按照“可回收物、厨余垃圾、有害垃圾和其它垃圾”四类进行分类投放、分类收集、分类运输和分类处置。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生活垃圾分为“可回收物、厨余垃圾、有害垃圾和其他垃圾”四类，农村散居区域可分为“可回收物、有害垃圾、其他垃圾”三类，采用专用容器套袋收集，分类投放， 定人定时分类收集，分类密闭运输。</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（四）作业标准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生活垃圾收运应做到密闭转运，日产日清。收运作业时规范操作，不得破袋翻拣、野蛮装卸，收集压缩装置严格按照使用规范操作，避免人为损坏；转运装填完成后， 应当及时清理转运现场，确保清洁无味。垃圾运输车辆整洁干净、厢体外无吊挂垃圾、无滴漏，接水槽干净、无积存垃圾， 集水箱中渗沥液应在转运站点和处置场（厂）规范排放。</w:t>
      </w:r>
    </w:p>
    <w:p>
      <w:pPr>
        <w:spacing w:line="360" w:lineRule="auto"/>
        <w:ind w:firstLine="480" w:firstLineChars="200"/>
        <w:jc w:val="center"/>
        <w:rPr>
          <w:rFonts w:ascii="宋体" w:hAnsi="宋体" w:eastAsia="宋体" w:cs="宋体"/>
          <w:sz w:val="24"/>
          <w:szCs w:val="24"/>
        </w:rPr>
      </w:pPr>
    </w:p>
    <w:p>
      <w:pPr>
        <w:spacing w:line="360" w:lineRule="auto"/>
        <w:ind w:firstLine="480" w:firstLineChars="200"/>
        <w:jc w:val="center"/>
        <w:rPr>
          <w:rFonts w:ascii="宋体" w:hAnsi="宋体" w:eastAsia="宋体" w:cs="宋体"/>
          <w:sz w:val="24"/>
          <w:szCs w:val="24"/>
        </w:rPr>
      </w:pPr>
      <w:bookmarkStart w:id="44" w:name="bookmark21"/>
      <w:r>
        <w:rPr>
          <w:rFonts w:hint="eastAsia" w:ascii="宋体" w:hAnsi="宋体" w:eastAsia="宋体" w:cs="宋体"/>
          <w:sz w:val="24"/>
          <w:szCs w:val="24"/>
        </w:rPr>
        <w:t>第五</w:t>
      </w:r>
      <w:bookmarkEnd w:id="44"/>
      <w:r>
        <w:rPr>
          <w:rFonts w:hint="eastAsia" w:ascii="宋体" w:hAnsi="宋体" w:eastAsia="宋体" w:cs="宋体"/>
          <w:sz w:val="24"/>
          <w:szCs w:val="24"/>
        </w:rPr>
        <w:t>章厨余垃圾收运</w:t>
      </w:r>
    </w:p>
    <w:p>
      <w:pPr>
        <w:spacing w:line="360" w:lineRule="auto"/>
        <w:ind w:firstLine="480" w:firstLineChars="200"/>
        <w:jc w:val="center"/>
        <w:rPr>
          <w:rFonts w:ascii="宋体" w:hAnsi="宋体" w:eastAsia="宋体" w:cs="宋体"/>
          <w:sz w:val="24"/>
          <w:szCs w:val="24"/>
        </w:rPr>
      </w:pP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按照《成都市生活垃圾管理条例》《成都市餐厨垃圾管理办法》《成都市餐厨垃圾收运处理管理工作方案》（成城函[2019] 864号）执行。</w:t>
      </w:r>
    </w:p>
    <w:p>
      <w:pPr>
        <w:spacing w:line="360" w:lineRule="auto"/>
        <w:ind w:firstLine="480" w:firstLineChars="200"/>
        <w:jc w:val="left"/>
        <w:rPr>
          <w:rFonts w:ascii="宋体" w:hAnsi="宋体" w:eastAsia="宋体" w:cs="宋体"/>
          <w:sz w:val="24"/>
          <w:szCs w:val="24"/>
        </w:rPr>
      </w:pPr>
      <w:bookmarkStart w:id="45" w:name="bookmark22"/>
      <w:r>
        <w:rPr>
          <w:rFonts w:hint="eastAsia" w:ascii="宋体" w:hAnsi="宋体" w:eastAsia="宋体" w:cs="宋体"/>
          <w:sz w:val="24"/>
          <w:szCs w:val="24"/>
        </w:rPr>
        <w:t>（</w:t>
      </w:r>
      <w:bookmarkEnd w:id="45"/>
      <w:r>
        <w:rPr>
          <w:rFonts w:hint="eastAsia" w:ascii="宋体" w:hAnsi="宋体" w:eastAsia="宋体" w:cs="宋体"/>
          <w:sz w:val="24"/>
          <w:szCs w:val="24"/>
        </w:rPr>
        <w:t>一）产生环节管理</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建立基础数据台账：本区域内厨余垃圾基础数据实施电子台账管理，包括厨余垃圾产生单位名称、地址、负责人、经营 类型、厨余垃圾产生量、厨余垃圾收运合同签订、厨余垃圾去 向等，并定期核实和更新台账内容。</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规范容器设置：厨余垃圾产生单位应使用符合标准、有醒目标识的厨余垃圾专用收集容器；有条件的单位应设置餐厨垃 圾贮存间等收集设施设备；定期对垃圾收集设施设备进行清洗、 消毒；引导产生废弃食用油脂的厨余垃圾产生单位按照环保部门的规定设置油水分离器或隔油池等污染防治设施，避免废弃 食用油脂和油水混合物直接排放。</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容器规格：按照厨余垃圾日常产生量设置规范的容器，原则上容器规格按照240升、120升、60升规格进行配置。</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密闭要求：厨余垃圾收集容器必须配盖，实行密闭化收集; 厨余垃圾产生单位负责定时对收集容器及存放地点进行清洗及消毒杀菌，并建立消毒杀菌台账，做到容器外表干净无污渍，存放点整洁卫生。</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规范标识：厨余垃圾容器必须规范标明标识，容器颜色及标识需符合成都市生活垃圾分类工作相关要求。</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加强日常管理：厨余垃圾产生单位应按规定分类收集、密闭存放厨余垃圾，指导厨余垃圾产生单位做好收集容器的日常 维护和修理，保持厨余垃圾收集、存放设施设备功能完好、正常使用、干净整洁；指导厨余垃圾产生单位加强源头分类减量, 减少厨余垃圾的产生；建立日常监管档案，组织日常监督检查。禁止厨余垃圾产生单位将厨余垃圾随意倾倒、堆放或直接排放 到公共排水设施、河道、公厕、生活垃圾收集设施，禁止将厨余垃圾交由未经许可的单位或个人收运、处理等。</w:t>
      </w:r>
    </w:p>
    <w:p>
      <w:pPr>
        <w:spacing w:line="360" w:lineRule="auto"/>
        <w:ind w:firstLine="480" w:firstLineChars="200"/>
        <w:jc w:val="left"/>
        <w:rPr>
          <w:rFonts w:ascii="宋体" w:hAnsi="宋体" w:eastAsia="宋体" w:cs="宋体"/>
          <w:sz w:val="24"/>
          <w:szCs w:val="24"/>
        </w:rPr>
      </w:pPr>
      <w:bookmarkStart w:id="46" w:name="bookmark23"/>
      <w:r>
        <w:rPr>
          <w:rFonts w:hint="eastAsia" w:ascii="宋体" w:hAnsi="宋体" w:eastAsia="宋体" w:cs="宋体"/>
          <w:sz w:val="24"/>
          <w:szCs w:val="24"/>
        </w:rPr>
        <w:t>（</w:t>
      </w:r>
      <w:bookmarkEnd w:id="46"/>
      <w:r>
        <w:rPr>
          <w:rFonts w:hint="eastAsia" w:ascii="宋体" w:hAnsi="宋体" w:eastAsia="宋体" w:cs="宋体"/>
          <w:sz w:val="24"/>
          <w:szCs w:val="24"/>
        </w:rPr>
        <w:t>二）收运环节管理</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收运许可管理：区（市）县城市管理部门或行政审批部门 负责厨余垃圾经营性收运服务许可的授予及日常管理工作。应 当编制已取得许可的厨余垃圾收运单位名单目录，并定期向社会公布；未取得厨余垃圾经营性收运服务许可的单位，不得从事厨余垃圾经营性收运活动；积极推行厨余垃圾收运和处理一体化方式。</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严格收运台帐记录：厨余垃圾收运单位应建立收运台帐， 真实、完整记录收运的厨余垃圾来源、数量、去向等情况,并每月向区（市）县城市管理部门报告登记，台账资料应当保存两年以上，以备核查。</w:t>
      </w:r>
    </w:p>
    <w:p>
      <w:pPr>
        <w:spacing w:line="360" w:lineRule="auto"/>
        <w:ind w:firstLine="480" w:firstLineChars="200"/>
        <w:jc w:val="center"/>
        <w:rPr>
          <w:rFonts w:ascii="宋体" w:hAnsi="宋体" w:eastAsia="宋体" w:cs="宋体"/>
          <w:sz w:val="24"/>
          <w:szCs w:val="24"/>
        </w:rPr>
      </w:pPr>
      <w:r>
        <w:rPr>
          <w:rFonts w:hint="eastAsia" w:ascii="宋体" w:hAnsi="宋体" w:eastAsia="宋体" w:cs="宋体"/>
          <w:sz w:val="24"/>
          <w:szCs w:val="24"/>
        </w:rPr>
        <w:t>实行收运联单管理：厨余垃圾收运实行联单制度，厨余垃圾产生单位交运时应当如实填写联单有关内容，经收运单位验收签章后，留存联单第一联，余下的联单由收运单位规定随同厨余垃圾运至处理单位进行填写。鼓励使用电子联单代替纸质联单，充分利用互联网技术，实现厨余垃圾收运实时、在线监管。</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强化收运车辆管理：从事厨余垃圾收运的车辆需符合国家相关标准和技术规范，配备有专用密闭化运输车辆，具有厨余垃圾专用运输车标识，依法取得道路运输相关许可证件；加强车辆的维护保养，保持车况良好、车容整洁。因地制宜选用</w:t>
      </w:r>
      <w:r>
        <w:rPr>
          <w:rFonts w:hint="eastAsia" w:ascii="宋体" w:hAnsi="宋体" w:eastAsia="宋体" w:cs="宋体"/>
          <w:sz w:val="24"/>
          <w:szCs w:val="24"/>
          <w:lang w:val="zh-CN"/>
        </w:rPr>
        <w:t>“桶</w:t>
      </w:r>
      <w:r>
        <w:rPr>
          <w:rFonts w:hint="eastAsia" w:ascii="宋体" w:hAnsi="宋体" w:eastAsia="宋体" w:cs="宋体"/>
          <w:sz w:val="24"/>
          <w:szCs w:val="24"/>
        </w:rPr>
        <w:t>装”或</w:t>
      </w:r>
      <w:r>
        <w:rPr>
          <w:rFonts w:hint="eastAsia" w:ascii="宋体" w:hAnsi="宋体" w:eastAsia="宋体" w:cs="宋体"/>
          <w:sz w:val="24"/>
          <w:szCs w:val="24"/>
          <w:lang w:val="zh-CN"/>
        </w:rPr>
        <w:t>“罐</w:t>
      </w:r>
      <w:r>
        <w:rPr>
          <w:rFonts w:hint="eastAsia" w:ascii="宋体" w:hAnsi="宋体" w:eastAsia="宋体" w:cs="宋体"/>
          <w:sz w:val="24"/>
          <w:szCs w:val="24"/>
        </w:rPr>
        <w:t>装”方式的专业厨余垃圾收运设备。</w:t>
      </w:r>
    </w:p>
    <w:p>
      <w:pPr>
        <w:spacing w:line="360" w:lineRule="auto"/>
        <w:ind w:firstLine="480" w:firstLineChars="200"/>
        <w:jc w:val="left"/>
        <w:rPr>
          <w:rFonts w:ascii="宋体" w:hAnsi="宋体" w:eastAsia="宋体" w:cs="宋体"/>
          <w:sz w:val="24"/>
          <w:szCs w:val="24"/>
        </w:rPr>
      </w:pPr>
      <w:bookmarkStart w:id="47" w:name="bookmark24"/>
      <w:r>
        <w:rPr>
          <w:rFonts w:hint="eastAsia" w:ascii="宋体" w:hAnsi="宋体" w:eastAsia="宋体" w:cs="宋体"/>
          <w:sz w:val="24"/>
          <w:szCs w:val="24"/>
        </w:rPr>
        <w:t>（</w:t>
      </w:r>
      <w:bookmarkEnd w:id="47"/>
      <w:r>
        <w:rPr>
          <w:rFonts w:hint="eastAsia" w:ascii="宋体" w:hAnsi="宋体" w:eastAsia="宋体" w:cs="宋体"/>
          <w:sz w:val="24"/>
          <w:szCs w:val="24"/>
        </w:rPr>
        <w:t>三）严格规范收运作业</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厨余垃圾收运单位应规范收运，严格落实以下作业规范。</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督促厨余垃圾产生单位使用符合标准的厨余垃圾全密闭专 用收集容器。</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按照环境卫生作业标准和规范，在规定的时间内及时收运厨余垃圾；政府统一收运部分厨余垃圾每日至少到产生单位收运一次。</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收运单位必须在厨余垃圾收集后二十四小时内，运送至取得经营许可的厨余垃圾处理单位处理。</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厨余垃圾应密闭化运输，并保持车况良好、车容整洁，在运输过程中不得滴漏、洒落，不得产生异味。</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收运厨余垃圾过程中，应当维护厨余垃圾收集容器和收运作业区环境整洁，减少对产生单位正常工作的影响。</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建立应急处理机制，及时处理厨余垃圾突发泄漏等突发情况。</w:t>
      </w:r>
    </w:p>
    <w:p>
      <w:pPr>
        <w:spacing w:line="360" w:lineRule="auto"/>
        <w:ind w:firstLine="480" w:firstLineChars="200"/>
        <w:jc w:val="center"/>
        <w:rPr>
          <w:rFonts w:ascii="宋体" w:hAnsi="宋体" w:eastAsia="宋体" w:cs="宋体"/>
          <w:sz w:val="24"/>
          <w:szCs w:val="24"/>
        </w:rPr>
      </w:pPr>
    </w:p>
    <w:p>
      <w:pPr>
        <w:numPr>
          <w:ilvl w:val="0"/>
          <w:numId w:val="3"/>
        </w:numPr>
        <w:spacing w:line="360" w:lineRule="auto"/>
        <w:ind w:firstLine="480" w:firstLineChars="200"/>
        <w:jc w:val="center"/>
        <w:rPr>
          <w:rFonts w:ascii="宋体" w:hAnsi="宋体" w:eastAsia="宋体" w:cs="宋体"/>
          <w:sz w:val="24"/>
          <w:szCs w:val="24"/>
        </w:rPr>
      </w:pPr>
      <w:r>
        <w:rPr>
          <w:rFonts w:hint="eastAsia" w:ascii="宋体" w:hAnsi="宋体" w:eastAsia="宋体" w:cs="宋体"/>
          <w:sz w:val="24"/>
          <w:szCs w:val="24"/>
        </w:rPr>
        <w:t>垃圾容器</w:t>
      </w:r>
    </w:p>
    <w:p>
      <w:pPr>
        <w:spacing w:line="360" w:lineRule="auto"/>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（一）作业时间及频次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特级道路、一、二级道路（区域）果屑箱应当每日内部清掏、外部保洁，清掏和保洁每日不少于 4 次，即07:00-09:00、12:00-14:00、17:00-19:00、21:00-23:00。公交站台、小饮食店、繁华商业区等人口密集区域，应增加清掏、保洁频次。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三级道路（区域）果屑箱每日清掏和保洁不少于 3 次，即 07:00-09:00、12:00-14:00、18:00-20:00；并根据箱体内垃圾存量随时清掏、保洁。四级道路（区域）果屑箱每日清掏、保洁不少于 1 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城镇区域垃圾桶内的垃圾收运每日不少于 3次：即 05:00-07:00、12:00-14:00、20:00-22:00，并根据桶内垃圾存量随时收运；农村区域垃圾桶内的垃圾收运时间根据实际情况自行确定。收运后应对桶体及地面进行保洁。</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（二）作业方式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果屑箱的内桶应套装专用垃圾袋，清掏时扎口连袋收运，禁止将零散垃圾直接倒入收集车内。</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连袋清掏垃圾后内桶重新套装专用垃圾袋，须将重新套好垃圾袋的内桶复位并关闭箱门，再对箱体及地面进行保洁。</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垃圾桶根据其形状、规格和尺寸，能够套袋的应套装垃圾袋，无法套袋的应将桶内及周边地面垃圾清理干净。</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（三）作业标准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果屑箱、垃圾桶内的垃圾日产日清，无满溢现象，投放口周边整洁，无垃圾悬挂；箱（桶）体周围地面无撒落存留垃圾、无陈旧油污，箱（桶）体无破损、无锈迹、无污垢、无污渍，外观干净整洁。</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(四）设置标准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按照《成都市市政管理设施标准图集与技术指引》( DB510100/T 201—2016)</w:t>
      </w:r>
    </w:p>
    <w:p>
      <w:pPr>
        <w:spacing w:line="360" w:lineRule="auto"/>
        <w:rPr>
          <w:rFonts w:ascii="宋体" w:hAnsi="宋体" w:eastAsia="宋体" w:cs="宋体"/>
          <w:sz w:val="24"/>
          <w:szCs w:val="24"/>
        </w:rPr>
      </w:pPr>
      <w:r>
        <w:rPr>
          <w:rFonts w:hint="eastAsia" w:ascii="宋体" w:hAnsi="宋体" w:eastAsia="宋体" w:cs="宋体"/>
          <w:sz w:val="24"/>
          <w:szCs w:val="24"/>
        </w:rPr>
        <w:t>主干道型果屑箱安装间距要求:单边安装间隔60米。次干道型果屑箱安装间距要求:单边安装间隔80米。15中小街道型果屑箱安装间距要求:单边安装间隔80米。</w:t>
      </w:r>
    </w:p>
    <w:p>
      <w:pPr>
        <w:spacing w:line="360" w:lineRule="auto"/>
        <w:ind w:firstLine="480" w:firstLineChars="200"/>
        <w:rPr>
          <w:rFonts w:ascii="宋体" w:hAnsi="宋体" w:eastAsia="宋体" w:cs="宋体"/>
          <w:sz w:val="24"/>
          <w:szCs w:val="24"/>
        </w:rPr>
      </w:pPr>
    </w:p>
    <w:p>
      <w:pPr>
        <w:spacing w:line="360" w:lineRule="auto"/>
        <w:ind w:firstLine="480" w:firstLineChars="200"/>
        <w:jc w:val="center"/>
        <w:rPr>
          <w:rFonts w:ascii="宋体" w:hAnsi="宋体" w:eastAsia="宋体" w:cs="宋体"/>
          <w:sz w:val="24"/>
          <w:szCs w:val="24"/>
        </w:rPr>
      </w:pPr>
      <w:r>
        <w:rPr>
          <w:rFonts w:hint="eastAsia" w:ascii="宋体" w:hAnsi="宋体" w:eastAsia="宋体" w:cs="宋体"/>
          <w:sz w:val="24"/>
          <w:szCs w:val="24"/>
        </w:rPr>
        <w:t>第七章</w:t>
      </w:r>
      <w:r>
        <w:rPr>
          <w:rFonts w:hint="eastAsia" w:ascii="宋体" w:hAnsi="宋体" w:eastAsia="宋体" w:cs="宋体"/>
          <w:sz w:val="24"/>
          <w:szCs w:val="24"/>
        </w:rPr>
        <w:tab/>
      </w:r>
      <w:r>
        <w:rPr>
          <w:rFonts w:hint="eastAsia" w:ascii="宋体" w:hAnsi="宋体" w:eastAsia="宋体" w:cs="宋体"/>
          <w:sz w:val="24"/>
          <w:szCs w:val="24"/>
        </w:rPr>
        <w:t>垃圾收集、转运站管理</w:t>
      </w: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（一）作业时间</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站（点）的开放时间应根据服务半径内的垃圾收集、清运作业的时间确定。原则上为每日 5:30-23:00，其他时间确需作业的要避免扰民。</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（二）作业方式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站（点）垃圾随到随压（运），并密闭储存，站（点）内无散露积存垃圾。每次压缩流程和转运作业完成后， 应对操作场地、压缩箱体、墙面及地面进行清洗、消杀、除臭。农村（涉农）垃圾收集点无污水排放设施的，每日使用湿拖布、毛巾清洁地面和立面不少于 1 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（三）作业标准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站（点）内地面全部硬化并做防渗处理，地面平整，通风良好，立面内、外贴瓷砖到顶，给排水设施运行正常并保持外部整洁。站应设置操作规范、作业流程和工作职责等上墙制度；收集点应设置告示栏，明确管理责任人，清运时间、频次，服务单位及电话等基本信息。</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 站（点）内及周边地整洁清爽，无撒落垃圾和堆积杂物，无积留污水，墙面无明显污迹、积尘，无明显异味。</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站内有防噪、降尘、除臭、排污设施设备且运行良好，噪音、灰尘、臭气、污水和渗滤液等处置应当符合环境保护技术规范，污水排放标识清晰醒目。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站内严格按照生活垃圾分类相关规定进行分捡作业，严禁站外破袋翻捡垃圾。</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站应建立规范车辆管理制度，进入站内的运输车辆应当进行登记，对车容不整、车箱未密闭、垃圾外漏的运输车辆建立问题抄告制度，定期向所属主管部门报送信息。由主管部门对问题车辆业主单位进行通报批评，并视情节轻重，实施罚款、降级警示、降级直至市场禁入等处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有条件的站内应设置垃圾运输车辆冲洗设施，所有垃圾转运车辆出场必须冲洗，保持车容整洁。</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(四）收集站设置标准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按照《城市环境卫生设施规划标准（新版）》，生活垃圾收集设施包括:生活垃圾收集点、收集站和垃圾容器（果屑箱、垃圾桶）。</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生活垃圾收集点。是指方便居（村）民投放垃圾小型垃圾设施，服务半径一般不超过70米，一般采取放置垃圾收集容器(垃圾桶点）和建造垃圾容器间（垃圾收集房）的方式，垃圾桶点地面防渗处理，桶要加盖，垃圾收集房建筑面积不小于10平方米。</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生活垃圾收集站。是指将分散收集的垃圾集中后由收集车辆清运至垃圾转运站或末端处置场所的小型垃圾收集设施。采用人力收集的区域，服务半径一般为0.4公里以内，最大不超过1公里。采用小型机动车收集的区域，服务半径不超过⒉公里。收集站的用地面积大于120平方米小于500平方米，且建筑面积大于等于80平方米。</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垃圾容器。是指城市道路两侧、公共设施周边等人流密集场所设置的果屑箱和垃圾桶。</w:t>
      </w:r>
    </w:p>
    <w:p>
      <w:pPr>
        <w:spacing w:line="360" w:lineRule="auto"/>
        <w:ind w:firstLine="480" w:firstLineChars="200"/>
        <w:rPr>
          <w:rFonts w:ascii="宋体" w:hAnsi="宋体" w:eastAsia="宋体" w:cs="宋体"/>
          <w:sz w:val="24"/>
          <w:szCs w:val="24"/>
        </w:rPr>
      </w:pPr>
      <w:bookmarkStart w:id="48" w:name="bookmark34"/>
      <w:bookmarkEnd w:id="48"/>
      <w:r>
        <w:rPr>
          <w:rFonts w:hint="eastAsia" w:ascii="宋体" w:hAnsi="宋体" w:eastAsia="宋体" w:cs="宋体"/>
          <w:sz w:val="24"/>
          <w:szCs w:val="24"/>
        </w:rPr>
        <w:t>（五）转运设施设置标准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生活垃圾转运设施主要是指生活垃圾转运站。当垃圾运输 距离超过经济运距且运输量较大时，宜设置垃圾转运站。服务 范围内垃圾运输平均距离超过10km,宜设置垃圾转运站；平均 距离超过20飾时，宜设置大、中型转运站。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生活垃圾转运站根据日转运能力，分为大、中、小型三大 类和I、II、III、IV、V五小类。用地指标根据日转运量确定。</w:t>
      </w:r>
    </w:p>
    <w:tbl>
      <w:tblPr>
        <w:tblStyle w:val="17"/>
        <w:tblW w:w="898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 w:type="dxa"/>
          <w:bottom w:w="0" w:type="dxa"/>
          <w:right w:w="10" w:type="dxa"/>
        </w:tblCellMar>
      </w:tblPr>
      <w:tblGrid>
        <w:gridCol w:w="2412"/>
        <w:gridCol w:w="2131"/>
        <w:gridCol w:w="2282"/>
        <w:gridCol w:w="216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trHeight w:val="979" w:hRule="exact"/>
          <w:jc w:val="center"/>
        </w:trPr>
        <w:tc>
          <w:tcPr>
            <w:tcW w:w="2412" w:type="dxa"/>
            <w:shd w:val="clear" w:color="auto" w:fill="FFFFFF"/>
            <w:vAlign w:val="center"/>
          </w:tcPr>
          <w:p>
            <w:pPr>
              <w:pStyle w:val="38"/>
              <w:spacing w:line="360" w:lineRule="auto"/>
              <w:ind w:firstLine="0"/>
              <w:jc w:val="center"/>
              <w:rPr>
                <w:sz w:val="24"/>
                <w:szCs w:val="24"/>
              </w:rPr>
            </w:pPr>
            <w:r>
              <w:rPr>
                <w:rFonts w:hint="eastAsia"/>
                <w:color w:val="000000"/>
                <w:sz w:val="24"/>
                <w:szCs w:val="24"/>
              </w:rPr>
              <w:t>类型</w:t>
            </w:r>
          </w:p>
        </w:tc>
        <w:tc>
          <w:tcPr>
            <w:tcW w:w="2131" w:type="dxa"/>
            <w:shd w:val="clear" w:color="auto" w:fill="FFFFFF"/>
            <w:vAlign w:val="center"/>
          </w:tcPr>
          <w:p>
            <w:pPr>
              <w:pStyle w:val="38"/>
              <w:spacing w:line="360" w:lineRule="auto"/>
              <w:ind w:firstLine="0"/>
              <w:jc w:val="center"/>
              <w:rPr>
                <w:sz w:val="24"/>
                <w:szCs w:val="24"/>
              </w:rPr>
            </w:pPr>
            <w:r>
              <w:rPr>
                <w:rFonts w:hint="eastAsia"/>
                <w:color w:val="000000"/>
                <w:sz w:val="24"/>
                <w:szCs w:val="24"/>
              </w:rPr>
              <w:t xml:space="preserve">设计转运量 </w:t>
            </w:r>
            <w:r>
              <w:rPr>
                <w:rFonts w:hint="eastAsia"/>
                <w:b/>
                <w:bCs/>
                <w:color w:val="000000"/>
                <w:w w:val="80"/>
                <w:sz w:val="24"/>
                <w:szCs w:val="24"/>
              </w:rPr>
              <w:t>(</w:t>
            </w:r>
            <w:r>
              <w:rPr>
                <w:rFonts w:hint="eastAsia"/>
                <w:b/>
                <w:bCs/>
                <w:color w:val="000000"/>
                <w:w w:val="80"/>
                <w:sz w:val="24"/>
                <w:szCs w:val="24"/>
                <w:lang w:val="en-US" w:eastAsia="en-US" w:bidi="en-US"/>
              </w:rPr>
              <w:t>t/h)</w:t>
            </w:r>
          </w:p>
        </w:tc>
        <w:tc>
          <w:tcPr>
            <w:tcW w:w="2282" w:type="dxa"/>
            <w:shd w:val="clear" w:color="auto" w:fill="FFFFFF"/>
            <w:vAlign w:val="center"/>
          </w:tcPr>
          <w:p>
            <w:pPr>
              <w:pStyle w:val="38"/>
              <w:spacing w:line="360" w:lineRule="auto"/>
              <w:ind w:firstLine="0"/>
              <w:jc w:val="center"/>
              <w:rPr>
                <w:sz w:val="24"/>
                <w:szCs w:val="24"/>
              </w:rPr>
            </w:pPr>
            <w:r>
              <w:rPr>
                <w:rFonts w:hint="eastAsia"/>
                <w:color w:val="000000"/>
                <w:sz w:val="24"/>
                <w:szCs w:val="24"/>
              </w:rPr>
              <w:t>用地面积</w:t>
            </w:r>
            <w:r>
              <w:rPr>
                <w:rFonts w:hint="eastAsia"/>
                <w:b/>
                <w:bCs/>
                <w:color w:val="000000"/>
                <w:w w:val="80"/>
                <w:sz w:val="24"/>
                <w:szCs w:val="24"/>
                <w:lang w:val="en-US" w:eastAsia="en-US" w:bidi="en-US"/>
              </w:rPr>
              <w:t>(H)</w:t>
            </w:r>
          </w:p>
        </w:tc>
        <w:tc>
          <w:tcPr>
            <w:tcW w:w="2160" w:type="dxa"/>
            <w:shd w:val="clear" w:color="auto" w:fill="FFFFFF"/>
            <w:vAlign w:val="center"/>
          </w:tcPr>
          <w:p>
            <w:pPr>
              <w:pStyle w:val="38"/>
              <w:spacing w:after="140" w:line="360" w:lineRule="auto"/>
              <w:ind w:firstLine="0"/>
              <w:jc w:val="center"/>
              <w:rPr>
                <w:sz w:val="24"/>
                <w:szCs w:val="24"/>
              </w:rPr>
            </w:pPr>
            <w:r>
              <w:rPr>
                <w:rFonts w:hint="eastAsia"/>
                <w:color w:val="000000"/>
                <w:sz w:val="24"/>
                <w:szCs w:val="24"/>
              </w:rPr>
              <w:t>与站外相邻建筑间距</w:t>
            </w:r>
            <w:r>
              <w:rPr>
                <w:rFonts w:hint="eastAsia"/>
                <w:b/>
                <w:bCs/>
                <w:color w:val="000000"/>
                <w:w w:val="80"/>
                <w:sz w:val="24"/>
                <w:szCs w:val="24"/>
                <w:lang w:val="en-US" w:eastAsia="zh-CN" w:bidi="en-US"/>
              </w:rPr>
              <w:t>(m)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trHeight w:val="497" w:hRule="exact"/>
          <w:jc w:val="center"/>
        </w:trPr>
        <w:tc>
          <w:tcPr>
            <w:tcW w:w="2412" w:type="dxa"/>
            <w:vMerge w:val="restart"/>
            <w:shd w:val="clear" w:color="auto" w:fill="FFFFFF"/>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大型</w:t>
            </w:r>
          </w:p>
        </w:tc>
        <w:tc>
          <w:tcPr>
            <w:tcW w:w="2131" w:type="dxa"/>
            <w:shd w:val="clear" w:color="auto" w:fill="FFFFFF"/>
            <w:vAlign w:val="center"/>
          </w:tcPr>
          <w:p>
            <w:pPr>
              <w:pStyle w:val="38"/>
              <w:spacing w:line="360" w:lineRule="auto"/>
              <w:ind w:firstLine="0"/>
              <w:jc w:val="center"/>
              <w:rPr>
                <w:sz w:val="24"/>
                <w:szCs w:val="24"/>
              </w:rPr>
            </w:pPr>
            <w:r>
              <w:rPr>
                <w:rFonts w:hint="eastAsia"/>
                <w:b/>
                <w:bCs/>
                <w:color w:val="000000"/>
                <w:w w:val="80"/>
                <w:sz w:val="24"/>
                <w:szCs w:val="24"/>
                <w:lang w:val="en-US" w:eastAsia="en-US" w:bidi="en-US"/>
              </w:rPr>
              <w:t>1000-3000</w:t>
            </w:r>
          </w:p>
        </w:tc>
        <w:tc>
          <w:tcPr>
            <w:tcW w:w="2282" w:type="dxa"/>
            <w:shd w:val="clear" w:color="auto" w:fill="FFFFFF"/>
            <w:vAlign w:val="center"/>
          </w:tcPr>
          <w:p>
            <w:pPr>
              <w:pStyle w:val="38"/>
              <w:spacing w:line="360" w:lineRule="auto"/>
              <w:ind w:firstLine="0"/>
              <w:jc w:val="center"/>
              <w:rPr>
                <w:sz w:val="24"/>
                <w:szCs w:val="24"/>
              </w:rPr>
            </w:pPr>
            <w:r>
              <w:rPr>
                <w:rFonts w:hint="eastAsia"/>
                <w:b/>
                <w:bCs/>
                <w:color w:val="000000"/>
                <w:w w:val="80"/>
                <w:sz w:val="24"/>
                <w:szCs w:val="24"/>
                <w:lang w:val="en-US" w:eastAsia="zh-CN" w:bidi="en-US"/>
              </w:rPr>
              <w:t>≤</w:t>
            </w:r>
            <w:r>
              <w:rPr>
                <w:rFonts w:hint="eastAsia"/>
                <w:b/>
                <w:bCs/>
                <w:color w:val="000000"/>
                <w:w w:val="80"/>
                <w:sz w:val="24"/>
                <w:szCs w:val="24"/>
                <w:lang w:val="en-US" w:eastAsia="en-US" w:bidi="en-US"/>
              </w:rPr>
              <w:t>20000</w:t>
            </w:r>
          </w:p>
        </w:tc>
        <w:tc>
          <w:tcPr>
            <w:tcW w:w="2160" w:type="dxa"/>
            <w:shd w:val="clear" w:color="auto" w:fill="FFFFFF"/>
            <w:vAlign w:val="center"/>
          </w:tcPr>
          <w:p>
            <w:pPr>
              <w:pStyle w:val="38"/>
              <w:spacing w:line="360" w:lineRule="auto"/>
              <w:ind w:firstLine="0"/>
              <w:jc w:val="center"/>
              <w:rPr>
                <w:sz w:val="24"/>
                <w:szCs w:val="24"/>
              </w:rPr>
            </w:pPr>
            <w:r>
              <w:rPr>
                <w:rFonts w:hint="eastAsia"/>
                <w:b/>
                <w:bCs/>
                <w:color w:val="000000"/>
                <w:w w:val="80"/>
                <w:sz w:val="24"/>
                <w:szCs w:val="24"/>
                <w:lang w:val="en-US" w:eastAsia="zh-CN" w:bidi="en-US"/>
              </w:rPr>
              <w:t>≥</w:t>
            </w:r>
            <w:r>
              <w:rPr>
                <w:rFonts w:hint="eastAsia"/>
                <w:b/>
                <w:bCs/>
                <w:color w:val="000000"/>
                <w:w w:val="80"/>
                <w:sz w:val="24"/>
                <w:szCs w:val="24"/>
                <w:lang w:val="en-US" w:eastAsia="en-US" w:bidi="en-US"/>
              </w:rPr>
              <w:t>30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trHeight w:val="490" w:hRule="exact"/>
          <w:jc w:val="center"/>
        </w:trPr>
        <w:tc>
          <w:tcPr>
            <w:tcW w:w="2412" w:type="dxa"/>
            <w:vMerge w:val="continue"/>
            <w:shd w:val="clear" w:color="auto" w:fill="FFFFFF"/>
            <w:vAlign w:val="center"/>
          </w:tcPr>
          <w:p>
            <w:pPr>
              <w:pStyle w:val="38"/>
              <w:tabs>
                <w:tab w:val="left" w:pos="1777"/>
              </w:tabs>
              <w:spacing w:line="360" w:lineRule="auto"/>
              <w:ind w:firstLine="380"/>
              <w:jc w:val="center"/>
              <w:rPr>
                <w:sz w:val="24"/>
                <w:szCs w:val="24"/>
              </w:rPr>
            </w:pPr>
          </w:p>
        </w:tc>
        <w:tc>
          <w:tcPr>
            <w:tcW w:w="2131" w:type="dxa"/>
            <w:shd w:val="clear" w:color="auto" w:fill="FFFFFF"/>
            <w:vAlign w:val="center"/>
          </w:tcPr>
          <w:p>
            <w:pPr>
              <w:pStyle w:val="38"/>
              <w:spacing w:line="360" w:lineRule="auto"/>
              <w:ind w:firstLine="0"/>
              <w:jc w:val="center"/>
              <w:rPr>
                <w:sz w:val="24"/>
                <w:szCs w:val="24"/>
              </w:rPr>
            </w:pPr>
            <w:r>
              <w:rPr>
                <w:rFonts w:hint="eastAsia"/>
                <w:b/>
                <w:bCs/>
                <w:color w:val="000000"/>
                <w:w w:val="80"/>
                <w:sz w:val="24"/>
                <w:szCs w:val="24"/>
                <w:lang w:val="en-US" w:eastAsia="en-US" w:bidi="en-US"/>
              </w:rPr>
              <w:t>450-1000</w:t>
            </w:r>
          </w:p>
        </w:tc>
        <w:tc>
          <w:tcPr>
            <w:tcW w:w="2282" w:type="dxa"/>
            <w:shd w:val="clear" w:color="auto" w:fill="FFFFFF"/>
            <w:vAlign w:val="center"/>
          </w:tcPr>
          <w:p>
            <w:pPr>
              <w:pStyle w:val="38"/>
              <w:spacing w:line="360" w:lineRule="auto"/>
              <w:ind w:firstLine="0"/>
              <w:jc w:val="center"/>
              <w:rPr>
                <w:sz w:val="24"/>
                <w:szCs w:val="24"/>
              </w:rPr>
            </w:pPr>
            <w:r>
              <w:rPr>
                <w:rFonts w:hint="eastAsia"/>
                <w:b/>
                <w:bCs/>
                <w:color w:val="000000"/>
                <w:w w:val="80"/>
                <w:sz w:val="24"/>
                <w:szCs w:val="24"/>
                <w:lang w:val="en-US" w:eastAsia="en-US" w:bidi="en-US"/>
              </w:rPr>
              <w:t>10000-15000</w:t>
            </w:r>
          </w:p>
        </w:tc>
        <w:tc>
          <w:tcPr>
            <w:tcW w:w="2160" w:type="dxa"/>
            <w:shd w:val="clear" w:color="auto" w:fill="FFFFFF"/>
            <w:vAlign w:val="center"/>
          </w:tcPr>
          <w:p>
            <w:pPr>
              <w:pStyle w:val="38"/>
              <w:spacing w:line="360" w:lineRule="auto"/>
              <w:ind w:firstLine="0"/>
              <w:jc w:val="center"/>
              <w:rPr>
                <w:sz w:val="24"/>
                <w:szCs w:val="24"/>
              </w:rPr>
            </w:pPr>
            <w:r>
              <w:rPr>
                <w:rFonts w:hint="eastAsia"/>
                <w:b/>
                <w:bCs/>
                <w:color w:val="000000"/>
                <w:w w:val="80"/>
                <w:sz w:val="24"/>
                <w:szCs w:val="24"/>
                <w:lang w:val="en-US" w:eastAsia="zh-CN" w:bidi="en-US"/>
              </w:rPr>
              <w:t>≥</w:t>
            </w:r>
            <w:r>
              <w:rPr>
                <w:rFonts w:hint="eastAsia"/>
                <w:b/>
                <w:bCs/>
                <w:color w:val="000000"/>
                <w:w w:val="80"/>
                <w:sz w:val="24"/>
                <w:szCs w:val="24"/>
                <w:lang w:val="en-US" w:eastAsia="en-US" w:bidi="en-US"/>
              </w:rPr>
              <w:t>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trHeight w:val="490" w:hRule="exact"/>
          <w:jc w:val="center"/>
        </w:trPr>
        <w:tc>
          <w:tcPr>
            <w:tcW w:w="2412" w:type="dxa"/>
            <w:shd w:val="clear" w:color="auto" w:fill="FFFFFF"/>
            <w:vAlign w:val="center"/>
          </w:tcPr>
          <w:p>
            <w:pPr>
              <w:pStyle w:val="38"/>
              <w:spacing w:line="360" w:lineRule="auto"/>
              <w:ind w:firstLine="0"/>
              <w:jc w:val="center"/>
              <w:rPr>
                <w:sz w:val="24"/>
                <w:szCs w:val="24"/>
                <w:lang w:val="en-US" w:eastAsia="zh-CN"/>
              </w:rPr>
            </w:pPr>
            <w:r>
              <w:rPr>
                <w:rFonts w:hint="eastAsia"/>
                <w:sz w:val="24"/>
                <w:szCs w:val="24"/>
                <w:lang w:val="en-US" w:eastAsia="zh-CN"/>
              </w:rPr>
              <w:t>中型</w:t>
            </w:r>
          </w:p>
        </w:tc>
        <w:tc>
          <w:tcPr>
            <w:tcW w:w="2131" w:type="dxa"/>
            <w:shd w:val="clear" w:color="auto" w:fill="FFFFFF"/>
            <w:vAlign w:val="center"/>
          </w:tcPr>
          <w:p>
            <w:pPr>
              <w:pStyle w:val="38"/>
              <w:spacing w:line="360" w:lineRule="auto"/>
              <w:ind w:firstLine="0"/>
              <w:jc w:val="center"/>
              <w:rPr>
                <w:sz w:val="24"/>
                <w:szCs w:val="24"/>
              </w:rPr>
            </w:pPr>
            <w:r>
              <w:rPr>
                <w:rFonts w:hint="eastAsia"/>
                <w:b/>
                <w:bCs/>
                <w:color w:val="000000"/>
                <w:w w:val="80"/>
                <w:sz w:val="24"/>
                <w:szCs w:val="24"/>
                <w:lang w:val="en-US" w:eastAsia="en-US" w:bidi="en-US"/>
              </w:rPr>
              <w:t>150-450</w:t>
            </w:r>
          </w:p>
        </w:tc>
        <w:tc>
          <w:tcPr>
            <w:tcW w:w="2282" w:type="dxa"/>
            <w:shd w:val="clear" w:color="auto" w:fill="FFFFFF"/>
            <w:vAlign w:val="center"/>
          </w:tcPr>
          <w:p>
            <w:pPr>
              <w:pStyle w:val="38"/>
              <w:spacing w:line="360" w:lineRule="auto"/>
              <w:ind w:firstLine="0"/>
              <w:jc w:val="center"/>
              <w:rPr>
                <w:sz w:val="24"/>
                <w:szCs w:val="24"/>
              </w:rPr>
            </w:pPr>
            <w:r>
              <w:rPr>
                <w:rFonts w:hint="eastAsia"/>
                <w:b/>
                <w:bCs/>
                <w:color w:val="000000"/>
                <w:w w:val="80"/>
                <w:sz w:val="24"/>
                <w:szCs w:val="24"/>
                <w:lang w:val="en-US" w:eastAsia="en-US" w:bidi="en-US"/>
              </w:rPr>
              <w:t>4000-10000</w:t>
            </w:r>
          </w:p>
        </w:tc>
        <w:tc>
          <w:tcPr>
            <w:tcW w:w="2160" w:type="dxa"/>
            <w:shd w:val="clear" w:color="auto" w:fill="FFFFFF"/>
            <w:vAlign w:val="center"/>
          </w:tcPr>
          <w:p>
            <w:pPr>
              <w:pStyle w:val="38"/>
              <w:spacing w:line="360" w:lineRule="auto"/>
              <w:ind w:firstLine="0"/>
              <w:jc w:val="center"/>
              <w:rPr>
                <w:sz w:val="24"/>
                <w:szCs w:val="24"/>
              </w:rPr>
            </w:pPr>
            <w:r>
              <w:rPr>
                <w:rFonts w:hint="eastAsia"/>
                <w:b/>
                <w:bCs/>
                <w:color w:val="000000"/>
                <w:w w:val="80"/>
                <w:sz w:val="24"/>
                <w:szCs w:val="24"/>
                <w:lang w:val="en-US" w:eastAsia="zh-CN" w:bidi="en-US"/>
              </w:rPr>
              <w:t>≥</w:t>
            </w:r>
            <w:r>
              <w:rPr>
                <w:rFonts w:hint="eastAsia"/>
                <w:b/>
                <w:bCs/>
                <w:color w:val="000000"/>
                <w:w w:val="80"/>
                <w:sz w:val="24"/>
                <w:szCs w:val="24"/>
                <w:lang w:val="en-US" w:eastAsia="en-US" w:bidi="en-US"/>
              </w:rPr>
              <w:t>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trHeight w:val="490" w:hRule="exact"/>
          <w:jc w:val="center"/>
        </w:trPr>
        <w:tc>
          <w:tcPr>
            <w:tcW w:w="2412" w:type="dxa"/>
            <w:vMerge w:val="restart"/>
            <w:shd w:val="clear" w:color="auto" w:fill="FFFFFF"/>
            <w:vAlign w:val="center"/>
          </w:tcPr>
          <w:p>
            <w:pPr>
              <w:pStyle w:val="38"/>
              <w:spacing w:line="360" w:lineRule="auto"/>
              <w:ind w:firstLine="0"/>
              <w:jc w:val="center"/>
              <w:rPr>
                <w:sz w:val="24"/>
                <w:szCs w:val="24"/>
                <w:lang w:val="en-US" w:eastAsia="zh-CN"/>
              </w:rPr>
            </w:pPr>
            <w:r>
              <w:rPr>
                <w:rFonts w:hint="eastAsia"/>
                <w:sz w:val="24"/>
                <w:szCs w:val="24"/>
                <w:lang w:val="en-US" w:eastAsia="zh-CN"/>
              </w:rPr>
              <w:t>小型</w:t>
            </w:r>
          </w:p>
        </w:tc>
        <w:tc>
          <w:tcPr>
            <w:tcW w:w="2131" w:type="dxa"/>
            <w:shd w:val="clear" w:color="auto" w:fill="FFFFFF"/>
            <w:vAlign w:val="center"/>
          </w:tcPr>
          <w:p>
            <w:pPr>
              <w:pStyle w:val="38"/>
              <w:spacing w:line="360" w:lineRule="auto"/>
              <w:ind w:firstLine="0"/>
              <w:jc w:val="center"/>
              <w:rPr>
                <w:sz w:val="24"/>
                <w:szCs w:val="24"/>
              </w:rPr>
            </w:pPr>
            <w:r>
              <w:rPr>
                <w:rFonts w:hint="eastAsia"/>
                <w:b/>
                <w:bCs/>
                <w:color w:val="000000"/>
                <w:w w:val="80"/>
                <w:sz w:val="24"/>
                <w:szCs w:val="24"/>
                <w:lang w:val="en-US" w:eastAsia="en-US" w:bidi="en-US"/>
              </w:rPr>
              <w:t>50-150</w:t>
            </w:r>
          </w:p>
        </w:tc>
        <w:tc>
          <w:tcPr>
            <w:tcW w:w="2282" w:type="dxa"/>
            <w:shd w:val="clear" w:color="auto" w:fill="FFFFFF"/>
            <w:vAlign w:val="center"/>
          </w:tcPr>
          <w:p>
            <w:pPr>
              <w:pStyle w:val="38"/>
              <w:spacing w:line="360" w:lineRule="auto"/>
              <w:ind w:firstLine="0"/>
              <w:jc w:val="center"/>
              <w:rPr>
                <w:sz w:val="24"/>
                <w:szCs w:val="24"/>
              </w:rPr>
            </w:pPr>
            <w:r>
              <w:rPr>
                <w:rFonts w:hint="eastAsia"/>
                <w:b/>
                <w:bCs/>
                <w:color w:val="000000"/>
                <w:w w:val="80"/>
                <w:sz w:val="24"/>
                <w:szCs w:val="24"/>
                <w:lang w:val="en-US" w:eastAsia="en-US" w:bidi="en-US"/>
              </w:rPr>
              <w:t>1000-4000</w:t>
            </w:r>
          </w:p>
        </w:tc>
        <w:tc>
          <w:tcPr>
            <w:tcW w:w="2160" w:type="dxa"/>
            <w:shd w:val="clear" w:color="auto" w:fill="FFFFFF"/>
            <w:vAlign w:val="center"/>
          </w:tcPr>
          <w:p>
            <w:pPr>
              <w:pStyle w:val="38"/>
              <w:spacing w:line="360" w:lineRule="auto"/>
              <w:ind w:firstLine="0"/>
              <w:jc w:val="center"/>
              <w:rPr>
                <w:sz w:val="24"/>
                <w:szCs w:val="24"/>
              </w:rPr>
            </w:pPr>
            <w:r>
              <w:rPr>
                <w:rFonts w:hint="eastAsia"/>
                <w:b/>
                <w:bCs/>
                <w:color w:val="000000"/>
                <w:w w:val="80"/>
                <w:sz w:val="24"/>
                <w:szCs w:val="24"/>
                <w:lang w:val="en-US" w:eastAsia="zh-CN" w:bidi="en-US"/>
              </w:rPr>
              <w:t>≥</w:t>
            </w:r>
            <w:r>
              <w:rPr>
                <w:rFonts w:hint="eastAsia"/>
                <w:b/>
                <w:bCs/>
                <w:color w:val="000000"/>
                <w:w w:val="80"/>
                <w:sz w:val="24"/>
                <w:szCs w:val="24"/>
                <w:lang w:val="en-US" w:eastAsia="en-US" w:bidi="en-US"/>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trHeight w:val="504" w:hRule="exact"/>
          <w:jc w:val="center"/>
        </w:trPr>
        <w:tc>
          <w:tcPr>
            <w:tcW w:w="2412" w:type="dxa"/>
            <w:vMerge w:val="continue"/>
            <w:shd w:val="clear" w:color="auto" w:fill="FFFFFF"/>
            <w:vAlign w:val="center"/>
          </w:tcPr>
          <w:p>
            <w:pPr>
              <w:pStyle w:val="38"/>
              <w:spacing w:line="360" w:lineRule="auto"/>
              <w:ind w:left="1780" w:firstLine="0"/>
              <w:jc w:val="center"/>
              <w:rPr>
                <w:sz w:val="24"/>
                <w:szCs w:val="24"/>
              </w:rPr>
            </w:pPr>
          </w:p>
        </w:tc>
        <w:tc>
          <w:tcPr>
            <w:tcW w:w="2131" w:type="dxa"/>
            <w:shd w:val="clear" w:color="auto" w:fill="FFFFFF"/>
            <w:vAlign w:val="center"/>
          </w:tcPr>
          <w:p>
            <w:pPr>
              <w:pStyle w:val="38"/>
              <w:spacing w:line="360" w:lineRule="auto"/>
              <w:ind w:firstLine="0"/>
              <w:jc w:val="center"/>
              <w:rPr>
                <w:sz w:val="24"/>
                <w:szCs w:val="24"/>
              </w:rPr>
            </w:pPr>
            <w:r>
              <w:rPr>
                <w:rFonts w:hint="eastAsia"/>
                <w:b/>
                <w:bCs/>
                <w:color w:val="000000"/>
                <w:w w:val="80"/>
                <w:sz w:val="24"/>
                <w:szCs w:val="24"/>
                <w:lang w:val="en-US" w:eastAsia="zh-CN" w:bidi="en-US"/>
              </w:rPr>
              <w:t>≤5</w:t>
            </w:r>
            <w:r>
              <w:rPr>
                <w:rFonts w:hint="eastAsia"/>
                <w:b/>
                <w:bCs/>
                <w:color w:val="000000"/>
                <w:w w:val="80"/>
                <w:sz w:val="24"/>
                <w:szCs w:val="24"/>
                <w:lang w:val="en-US" w:eastAsia="en-US" w:bidi="en-US"/>
              </w:rPr>
              <w:t>0</w:t>
            </w:r>
          </w:p>
        </w:tc>
        <w:tc>
          <w:tcPr>
            <w:tcW w:w="2282" w:type="dxa"/>
            <w:shd w:val="clear" w:color="auto" w:fill="FFFFFF"/>
            <w:vAlign w:val="center"/>
          </w:tcPr>
          <w:p>
            <w:pPr>
              <w:pStyle w:val="38"/>
              <w:spacing w:line="360" w:lineRule="auto"/>
              <w:ind w:firstLine="0"/>
              <w:jc w:val="center"/>
              <w:rPr>
                <w:sz w:val="24"/>
                <w:szCs w:val="24"/>
              </w:rPr>
            </w:pPr>
            <w:r>
              <w:rPr>
                <w:rFonts w:hint="eastAsia"/>
                <w:b/>
                <w:bCs/>
                <w:color w:val="000000"/>
                <w:w w:val="80"/>
                <w:sz w:val="24"/>
                <w:szCs w:val="24"/>
                <w:lang w:val="en-US" w:eastAsia="en-US" w:bidi="en-US"/>
              </w:rPr>
              <w:t>500-1000</w:t>
            </w:r>
          </w:p>
        </w:tc>
        <w:tc>
          <w:tcPr>
            <w:tcW w:w="2160" w:type="dxa"/>
            <w:shd w:val="clear" w:color="auto" w:fill="FFFFFF"/>
            <w:vAlign w:val="center"/>
          </w:tcPr>
          <w:p>
            <w:pPr>
              <w:spacing w:line="360" w:lineRule="auto"/>
              <w:jc w:val="center"/>
              <w:rPr>
                <w:rFonts w:ascii="宋体" w:hAnsi="宋体" w:eastAsia="宋体" w:cs="宋体"/>
                <w:sz w:val="24"/>
                <w:szCs w:val="24"/>
              </w:rPr>
            </w:pPr>
            <w:r>
              <w:rPr>
                <w:rFonts w:hint="eastAsia" w:ascii="宋体" w:hAnsi="宋体" w:eastAsia="宋体" w:cs="宋体"/>
                <w:b/>
                <w:bCs/>
                <w:color w:val="000000"/>
                <w:w w:val="80"/>
                <w:sz w:val="24"/>
                <w:szCs w:val="24"/>
                <w:lang w:bidi="en-US"/>
              </w:rPr>
              <w:t>≥8</w:t>
            </w:r>
          </w:p>
        </w:tc>
      </w:tr>
    </w:tbl>
    <w:p>
      <w:pPr>
        <w:spacing w:line="360" w:lineRule="auto"/>
        <w:ind w:firstLine="480" w:firstLineChars="200"/>
        <w:rPr>
          <w:rFonts w:ascii="宋体" w:hAnsi="宋体" w:eastAsia="宋体" w:cs="宋体"/>
          <w:sz w:val="24"/>
          <w:szCs w:val="24"/>
        </w:rPr>
      </w:pPr>
    </w:p>
    <w:p>
      <w:pPr>
        <w:spacing w:line="360" w:lineRule="auto"/>
        <w:jc w:val="center"/>
        <w:rPr>
          <w:rFonts w:ascii="宋体" w:hAnsi="宋体" w:eastAsia="宋体" w:cs="宋体"/>
          <w:sz w:val="24"/>
          <w:szCs w:val="24"/>
        </w:rPr>
      </w:pPr>
      <w:r>
        <w:rPr>
          <w:rFonts w:hint="eastAsia" w:ascii="宋体" w:hAnsi="宋体" w:eastAsia="宋体" w:cs="宋体"/>
          <w:sz w:val="24"/>
          <w:szCs w:val="24"/>
        </w:rPr>
        <w:t>第八章</w:t>
      </w:r>
      <w:r>
        <w:rPr>
          <w:rFonts w:hint="eastAsia" w:ascii="宋体" w:hAnsi="宋体" w:eastAsia="宋体" w:cs="宋体"/>
          <w:sz w:val="24"/>
          <w:szCs w:val="24"/>
        </w:rPr>
        <w:tab/>
      </w:r>
      <w:r>
        <w:rPr>
          <w:rFonts w:hint="eastAsia" w:ascii="宋体" w:hAnsi="宋体" w:eastAsia="宋体" w:cs="宋体"/>
          <w:sz w:val="24"/>
          <w:szCs w:val="24"/>
        </w:rPr>
        <w:t>道路隔离护栏、桥梁保洁工作要求及标准</w:t>
      </w:r>
    </w:p>
    <w:p>
      <w:pPr>
        <w:spacing w:line="360" w:lineRule="auto"/>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（1）清扫保洁内容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1、桥梁及下穿隧道道路：路面、交通标线等；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2、桥梁设施：立交桥、跨线桥、高架桥中央分隔带、 防撞墙内侧（含附属桥梁栏杆）、人行道栏杆、人行天桥栏杆（含指示牌）、声屏障内侧、桥体（声屏障外侧、防撞墙外侧、 梁体、墩台、挡墙、桥铭牌与维护管理公示牌等），以下简称桥体。以及照明设施，信号灯、路名牌等交通安全设施；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3、下穿隧道（含下沉式道路）设施：墙体（含附属栏 杆、消防栓、配电箱等各类附着墙面安装柜体，隧道顶部蛛网 清理）、墩台、挡墙、照明设施，信号灯、路名牌等交通安全设施；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4、道路隔离护栏：道路中央隔离护栏、道路机非隔离护栏、人行道固定护栏、隔离桩、隔离墩及其他护栏等。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（2）清扫保洁类型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1、日常清扫保洁：路面、交通标线按照《成都市环卫清扫保洁精细化作业规则》（如有调整应按新标准），其他设施 按本规则执行；</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2、应急清扫保洁：为保障重大节假日和重要活动的顺利进行，除日常清扫保洁工作以外，釆取临时性的清扫保洁应 急保障工作。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（3）保洁要求</w:t>
      </w:r>
    </w:p>
    <w:p>
      <w:pPr>
        <w:spacing w:line="360" w:lineRule="auto"/>
        <w:ind w:firstLine="480" w:firstLineChars="200"/>
        <w:rPr>
          <w:rFonts w:ascii="宋体" w:hAnsi="宋体" w:eastAsia="宋体" w:cs="宋体"/>
          <w:sz w:val="24"/>
          <w:szCs w:val="24"/>
        </w:rPr>
      </w:pPr>
      <w:bookmarkStart w:id="49" w:name="_bookmark6"/>
      <w:bookmarkEnd w:id="49"/>
      <w:r>
        <w:rPr>
          <w:rFonts w:hint="eastAsia" w:ascii="宋体" w:hAnsi="宋体" w:eastAsia="宋体" w:cs="宋体"/>
          <w:sz w:val="24"/>
          <w:szCs w:val="24"/>
        </w:rPr>
        <w:t>1、桥梁清扫保洁</w:t>
      </w:r>
    </w:p>
    <w:tbl>
      <w:tblPr>
        <w:tblStyle w:val="17"/>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26"/>
        <w:gridCol w:w="659"/>
        <w:gridCol w:w="2266"/>
        <w:gridCol w:w="1963"/>
        <w:gridCol w:w="3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1" w:hRule="atLeast"/>
          <w:jc w:val="center"/>
        </w:trPr>
        <w:tc>
          <w:tcPr>
            <w:tcW w:w="826" w:type="dxa"/>
            <w:shd w:val="clear" w:color="auto" w:fill="FFFFFF"/>
            <w:vAlign w:val="center"/>
          </w:tcPr>
          <w:p>
            <w:pPr>
              <w:pStyle w:val="38"/>
              <w:spacing w:line="240" w:lineRule="auto"/>
              <w:ind w:firstLine="14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项目</w:t>
            </w:r>
          </w:p>
        </w:tc>
        <w:tc>
          <w:tcPr>
            <w:tcW w:w="2925" w:type="dxa"/>
            <w:gridSpan w:val="2"/>
            <w:shd w:val="clear" w:color="auto" w:fill="FFFFFF"/>
            <w:vAlign w:val="center"/>
          </w:tcPr>
          <w:p>
            <w:pPr>
              <w:pStyle w:val="38"/>
              <w:spacing w:line="24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清扫保洁内容</w:t>
            </w:r>
          </w:p>
        </w:tc>
        <w:tc>
          <w:tcPr>
            <w:tcW w:w="1963" w:type="dxa"/>
            <w:shd w:val="clear" w:color="auto" w:fill="FFFFFF"/>
            <w:vAlign w:val="center"/>
          </w:tcPr>
          <w:p>
            <w:pPr>
              <w:pStyle w:val="38"/>
              <w:spacing w:line="307" w:lineRule="exact"/>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清扫保洁方式</w:t>
            </w:r>
          </w:p>
        </w:tc>
        <w:tc>
          <w:tcPr>
            <w:tcW w:w="3183" w:type="dxa"/>
            <w:shd w:val="clear" w:color="auto" w:fill="FFFFFF"/>
            <w:vAlign w:val="center"/>
          </w:tcPr>
          <w:p>
            <w:pPr>
              <w:pStyle w:val="38"/>
              <w:spacing w:line="24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清扫保洁频次要求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93" w:hRule="atLeast"/>
          <w:jc w:val="center"/>
        </w:trPr>
        <w:tc>
          <w:tcPr>
            <w:tcW w:w="826" w:type="dxa"/>
            <w:vMerge w:val="restart"/>
            <w:shd w:val="clear" w:color="auto" w:fill="FFFFFF"/>
            <w:vAlign w:val="center"/>
          </w:tcPr>
          <w:p>
            <w:pPr>
              <w:pStyle w:val="38"/>
              <w:spacing w:line="307" w:lineRule="exact"/>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日常 清扫 保洁</w:t>
            </w:r>
          </w:p>
        </w:tc>
        <w:tc>
          <w:tcPr>
            <w:tcW w:w="2925" w:type="dxa"/>
            <w:gridSpan w:val="2"/>
            <w:shd w:val="clear" w:color="auto" w:fill="FFFFFF"/>
            <w:vAlign w:val="center"/>
          </w:tcPr>
          <w:p>
            <w:pPr>
              <w:pStyle w:val="38"/>
              <w:spacing w:line="240" w:lineRule="auto"/>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桥面、交通标线</w:t>
            </w:r>
          </w:p>
        </w:tc>
        <w:tc>
          <w:tcPr>
            <w:tcW w:w="1963" w:type="dxa"/>
            <w:shd w:val="clear" w:color="auto" w:fill="FFFFFF"/>
            <w:vAlign w:val="center"/>
          </w:tcPr>
          <w:p>
            <w:pPr>
              <w:pStyle w:val="38"/>
              <w:spacing w:line="288" w:lineRule="exact"/>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机械和人工保清扫保洁相结合</w:t>
            </w:r>
          </w:p>
        </w:tc>
        <w:tc>
          <w:tcPr>
            <w:tcW w:w="3183" w:type="dxa"/>
            <w:shd w:val="clear" w:color="auto" w:fill="FFFFFF"/>
            <w:vAlign w:val="center"/>
          </w:tcPr>
          <w:p>
            <w:pPr>
              <w:pStyle w:val="38"/>
              <w:spacing w:after="40" w:line="312" w:lineRule="exact"/>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按照《成都市环卫清扫保洁 精细化作业规则》（成城发（2019） 47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19" w:hRule="atLeast"/>
          <w:jc w:val="center"/>
        </w:trPr>
        <w:tc>
          <w:tcPr>
            <w:tcW w:w="826" w:type="dxa"/>
            <w:vMerge w:val="continue"/>
            <w:shd w:val="clear" w:color="auto" w:fill="FFFFFF"/>
            <w:vAlign w:val="center"/>
          </w:tcPr>
          <w:p>
            <w:pPr>
              <w:jc w:val="center"/>
              <w:rPr>
                <w:rFonts w:asciiTheme="minorEastAsia" w:hAnsiTheme="minorEastAsia" w:cstheme="minorEastAsia"/>
                <w:sz w:val="24"/>
                <w:szCs w:val="24"/>
              </w:rPr>
            </w:pPr>
          </w:p>
        </w:tc>
        <w:tc>
          <w:tcPr>
            <w:tcW w:w="2925" w:type="dxa"/>
            <w:gridSpan w:val="2"/>
            <w:shd w:val="clear" w:color="auto" w:fill="FFFFFF"/>
            <w:vAlign w:val="center"/>
          </w:tcPr>
          <w:p>
            <w:pPr>
              <w:pStyle w:val="38"/>
              <w:spacing w:line="298" w:lineRule="exact"/>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立交桥、跨线桥、髙架桥中央分隔带、挡墙、防撞 墙内侧（含附属桥梁护栏杆）等。</w:t>
            </w:r>
          </w:p>
        </w:tc>
        <w:tc>
          <w:tcPr>
            <w:tcW w:w="1963" w:type="dxa"/>
            <w:shd w:val="clear" w:color="auto" w:fill="FFFFFF"/>
            <w:vAlign w:val="center"/>
          </w:tcPr>
          <w:p>
            <w:pPr>
              <w:pStyle w:val="38"/>
              <w:spacing w:line="302" w:lineRule="exact"/>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机械和人工清扫保洁相结合</w:t>
            </w:r>
          </w:p>
        </w:tc>
        <w:tc>
          <w:tcPr>
            <w:tcW w:w="3183" w:type="dxa"/>
            <w:shd w:val="clear" w:color="auto" w:fill="FFFFFF"/>
            <w:vAlign w:val="center"/>
          </w:tcPr>
          <w:p>
            <w:pPr>
              <w:pStyle w:val="38"/>
              <w:spacing w:line="240" w:lineRule="auto"/>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毎10天至少清洁</w:t>
            </w: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8" w:hRule="atLeast"/>
          <w:jc w:val="center"/>
        </w:trPr>
        <w:tc>
          <w:tcPr>
            <w:tcW w:w="826" w:type="dxa"/>
            <w:vMerge w:val="continue"/>
            <w:shd w:val="clear" w:color="auto" w:fill="FFFFFF"/>
            <w:vAlign w:val="center"/>
          </w:tcPr>
          <w:p>
            <w:pPr>
              <w:jc w:val="center"/>
              <w:rPr>
                <w:rFonts w:asciiTheme="minorEastAsia" w:hAnsiTheme="minorEastAsia" w:cstheme="minorEastAsia"/>
                <w:sz w:val="24"/>
                <w:szCs w:val="24"/>
              </w:rPr>
            </w:pPr>
          </w:p>
        </w:tc>
        <w:tc>
          <w:tcPr>
            <w:tcW w:w="2925" w:type="dxa"/>
            <w:gridSpan w:val="2"/>
            <w:shd w:val="clear" w:color="auto" w:fill="FFFFFF"/>
            <w:vAlign w:val="center"/>
          </w:tcPr>
          <w:p>
            <w:pPr>
              <w:pStyle w:val="38"/>
              <w:spacing w:line="298" w:lineRule="exact"/>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人行道栏杆、人行天桥栏 杆（含指示牌）</w:t>
            </w:r>
          </w:p>
        </w:tc>
        <w:tc>
          <w:tcPr>
            <w:tcW w:w="1963" w:type="dxa"/>
            <w:shd w:val="clear" w:color="auto" w:fill="FFFFFF"/>
            <w:vAlign w:val="center"/>
          </w:tcPr>
          <w:p>
            <w:pPr>
              <w:pStyle w:val="38"/>
              <w:spacing w:after="60" w:line="240" w:lineRule="auto"/>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人工清扫保沽</w:t>
            </w:r>
          </w:p>
        </w:tc>
        <w:tc>
          <w:tcPr>
            <w:tcW w:w="3183" w:type="dxa"/>
            <w:shd w:val="clear" w:color="auto" w:fill="FFFFFF"/>
            <w:vAlign w:val="center"/>
          </w:tcPr>
          <w:p>
            <w:pPr>
              <w:pStyle w:val="38"/>
              <w:spacing w:line="240" w:lineRule="auto"/>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每天至少清洁1次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6" w:hRule="atLeast"/>
          <w:jc w:val="center"/>
        </w:trPr>
        <w:tc>
          <w:tcPr>
            <w:tcW w:w="826" w:type="dxa"/>
            <w:vMerge w:val="continue"/>
            <w:shd w:val="clear" w:color="auto" w:fill="FFFFFF"/>
            <w:vAlign w:val="center"/>
          </w:tcPr>
          <w:p>
            <w:pPr>
              <w:jc w:val="center"/>
              <w:rPr>
                <w:rFonts w:asciiTheme="minorEastAsia" w:hAnsiTheme="minorEastAsia" w:cstheme="minorEastAsia"/>
                <w:sz w:val="24"/>
                <w:szCs w:val="24"/>
              </w:rPr>
            </w:pPr>
          </w:p>
        </w:tc>
        <w:tc>
          <w:tcPr>
            <w:tcW w:w="2925" w:type="dxa"/>
            <w:gridSpan w:val="2"/>
            <w:shd w:val="clear" w:color="auto" w:fill="FFFFFF"/>
            <w:vAlign w:val="center"/>
          </w:tcPr>
          <w:p>
            <w:pPr>
              <w:pStyle w:val="38"/>
              <w:spacing w:line="240" w:lineRule="auto"/>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声屏障内侧</w:t>
            </w:r>
          </w:p>
        </w:tc>
        <w:tc>
          <w:tcPr>
            <w:tcW w:w="1963" w:type="dxa"/>
            <w:shd w:val="clear" w:color="auto" w:fill="FFFFFF"/>
            <w:vAlign w:val="center"/>
          </w:tcPr>
          <w:p>
            <w:pPr>
              <w:pStyle w:val="38"/>
              <w:spacing w:line="326" w:lineRule="exact"/>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机械和人工清扫保洁相结合</w:t>
            </w:r>
          </w:p>
        </w:tc>
        <w:tc>
          <w:tcPr>
            <w:tcW w:w="3183" w:type="dxa"/>
            <w:shd w:val="clear" w:color="auto" w:fill="FFFFFF"/>
            <w:vAlign w:val="center"/>
          </w:tcPr>
          <w:p>
            <w:pPr>
              <w:pStyle w:val="38"/>
              <w:spacing w:line="240" w:lineRule="auto"/>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三天至少清洁1次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10" w:hRule="atLeast"/>
          <w:jc w:val="center"/>
        </w:trPr>
        <w:tc>
          <w:tcPr>
            <w:tcW w:w="826" w:type="dxa"/>
            <w:vMerge w:val="continue"/>
            <w:shd w:val="clear" w:color="auto" w:fill="FFFFFF"/>
            <w:vAlign w:val="center"/>
          </w:tcPr>
          <w:p>
            <w:pPr>
              <w:jc w:val="center"/>
              <w:rPr>
                <w:rFonts w:asciiTheme="minorEastAsia" w:hAnsiTheme="minorEastAsia" w:cstheme="minorEastAsia"/>
                <w:sz w:val="24"/>
                <w:szCs w:val="24"/>
              </w:rPr>
            </w:pPr>
          </w:p>
        </w:tc>
        <w:tc>
          <w:tcPr>
            <w:tcW w:w="659" w:type="dxa"/>
            <w:shd w:val="clear" w:color="auto" w:fill="FFFFFF"/>
            <w:vAlign w:val="center"/>
          </w:tcPr>
          <w:p>
            <w:pPr>
              <w:pStyle w:val="38"/>
              <w:spacing w:line="240" w:lineRule="auto"/>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桥体</w:t>
            </w:r>
          </w:p>
        </w:tc>
        <w:tc>
          <w:tcPr>
            <w:tcW w:w="2266" w:type="dxa"/>
            <w:shd w:val="clear" w:color="auto" w:fill="FFFFFF"/>
            <w:vAlign w:val="center"/>
          </w:tcPr>
          <w:p>
            <w:pPr>
              <w:pStyle w:val="38"/>
              <w:spacing w:line="307" w:lineRule="exact"/>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跨线桥、立交 桥、髙架桥、人 行大桥</w:t>
            </w:r>
          </w:p>
        </w:tc>
        <w:tc>
          <w:tcPr>
            <w:tcW w:w="1963" w:type="dxa"/>
            <w:shd w:val="clear" w:color="auto" w:fill="FFFFFF"/>
            <w:vAlign w:val="center"/>
          </w:tcPr>
          <w:p>
            <w:pPr>
              <w:pStyle w:val="38"/>
              <w:spacing w:line="302" w:lineRule="exact"/>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机械和人工清扫保洁相结合</w:t>
            </w:r>
          </w:p>
        </w:tc>
        <w:tc>
          <w:tcPr>
            <w:tcW w:w="3183" w:type="dxa"/>
            <w:shd w:val="clear" w:color="auto" w:fill="FFFFFF"/>
            <w:vAlign w:val="center"/>
          </w:tcPr>
          <w:p>
            <w:pPr>
              <w:pStyle w:val="38"/>
              <w:spacing w:line="240" w:lineRule="auto"/>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每三个月至少清洁1次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57" w:hRule="exact"/>
          <w:jc w:val="center"/>
        </w:trPr>
        <w:tc>
          <w:tcPr>
            <w:tcW w:w="826" w:type="dxa"/>
            <w:shd w:val="clear" w:color="auto" w:fill="FFFFFF"/>
            <w:vAlign w:val="center"/>
          </w:tcPr>
          <w:p>
            <w:pPr>
              <w:jc w:val="center"/>
              <w:rPr>
                <w:sz w:val="10"/>
                <w:szCs w:val="10"/>
              </w:rPr>
            </w:pPr>
          </w:p>
        </w:tc>
        <w:tc>
          <w:tcPr>
            <w:tcW w:w="2925" w:type="dxa"/>
            <w:gridSpan w:val="2"/>
            <w:shd w:val="clear" w:color="auto" w:fill="FFFFFF"/>
            <w:vAlign w:val="center"/>
          </w:tcPr>
          <w:p>
            <w:pPr>
              <w:pStyle w:val="38"/>
              <w:spacing w:line="283" w:lineRule="exact"/>
              <w:ind w:firstLine="0"/>
              <w:rPr>
                <w:sz w:val="22"/>
                <w:szCs w:val="22"/>
              </w:rPr>
            </w:pPr>
            <w:r>
              <w:rPr>
                <w:color w:val="000000"/>
                <w:sz w:val="22"/>
                <w:szCs w:val="22"/>
              </w:rPr>
              <w:t>照明设施，交安设施（信号灯、路名牌等）</w:t>
            </w:r>
          </w:p>
        </w:tc>
        <w:tc>
          <w:tcPr>
            <w:tcW w:w="1963" w:type="dxa"/>
            <w:shd w:val="clear" w:color="auto" w:fill="FFFFFF"/>
            <w:vAlign w:val="center"/>
          </w:tcPr>
          <w:p>
            <w:pPr>
              <w:pStyle w:val="38"/>
              <w:spacing w:line="307" w:lineRule="exact"/>
              <w:ind w:firstLine="0"/>
              <w:rPr>
                <w:sz w:val="22"/>
                <w:szCs w:val="22"/>
              </w:rPr>
            </w:pPr>
            <w:r>
              <w:rPr>
                <w:color w:val="000000"/>
                <w:sz w:val="22"/>
                <w:szCs w:val="22"/>
              </w:rPr>
              <w:t>机械和人工清扫保洁相结合</w:t>
            </w:r>
          </w:p>
        </w:tc>
        <w:tc>
          <w:tcPr>
            <w:tcW w:w="3183" w:type="dxa"/>
            <w:shd w:val="clear" w:color="auto" w:fill="FFFFFF"/>
            <w:vAlign w:val="center"/>
          </w:tcPr>
          <w:p>
            <w:pPr>
              <w:pStyle w:val="38"/>
              <w:spacing w:line="300" w:lineRule="exact"/>
              <w:ind w:firstLine="0"/>
              <w:rPr>
                <w:sz w:val="22"/>
                <w:szCs w:val="22"/>
              </w:rPr>
            </w:pPr>
            <w:r>
              <w:rPr>
                <w:color w:val="000000"/>
                <w:sz w:val="22"/>
                <w:szCs w:val="22"/>
              </w:rPr>
              <w:t>照明设施每半年至少清洁</w:t>
            </w:r>
            <w:r>
              <w:rPr>
                <w:rFonts w:ascii="Times New Roman" w:hAnsi="Times New Roman" w:eastAsia="Times New Roman" w:cs="Times New Roman"/>
                <w:color w:val="000000"/>
                <w:sz w:val="24"/>
                <w:szCs w:val="24"/>
              </w:rPr>
              <w:t xml:space="preserve">1 </w:t>
            </w:r>
            <w:r>
              <w:rPr>
                <w:color w:val="000000"/>
                <w:sz w:val="22"/>
                <w:szCs w:val="22"/>
              </w:rPr>
              <w:t>次</w:t>
            </w:r>
          </w:p>
          <w:p>
            <w:pPr>
              <w:pStyle w:val="38"/>
              <w:spacing w:line="300" w:lineRule="exact"/>
              <w:ind w:firstLine="0"/>
              <w:rPr>
                <w:sz w:val="22"/>
                <w:szCs w:val="22"/>
              </w:rPr>
            </w:pPr>
            <w:r>
              <w:rPr>
                <w:color w:val="000000"/>
                <w:sz w:val="22"/>
                <w:szCs w:val="22"/>
              </w:rPr>
              <w:t>交安设施每半年至少清洁</w:t>
            </w:r>
            <w:r>
              <w:rPr>
                <w:rFonts w:ascii="Times New Roman" w:hAnsi="Times New Roman" w:eastAsia="Times New Roman" w:cs="Times New Roman"/>
                <w:color w:val="000000"/>
                <w:sz w:val="24"/>
                <w:szCs w:val="24"/>
              </w:rPr>
              <w:t xml:space="preserve">1 </w:t>
            </w:r>
            <w:r>
              <w:rPr>
                <w:color w:val="000000"/>
                <w:sz w:val="22"/>
                <w:szCs w:val="22"/>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22" w:hRule="exact"/>
          <w:jc w:val="center"/>
        </w:trPr>
        <w:tc>
          <w:tcPr>
            <w:tcW w:w="826" w:type="dxa"/>
            <w:shd w:val="clear" w:color="auto" w:fill="FFFFFF"/>
            <w:textDirection w:val="tbRlV"/>
            <w:vAlign w:val="center"/>
          </w:tcPr>
          <w:p>
            <w:pPr>
              <w:pStyle w:val="104"/>
            </w:pPr>
            <w:r>
              <w:rPr>
                <w:color w:val="000000"/>
              </w:rPr>
              <w:t>急扫洁 应清保</w:t>
            </w:r>
          </w:p>
        </w:tc>
        <w:tc>
          <w:tcPr>
            <w:tcW w:w="2925" w:type="dxa"/>
            <w:gridSpan w:val="2"/>
            <w:shd w:val="clear" w:color="auto" w:fill="FFFFFF"/>
            <w:vAlign w:val="center"/>
          </w:tcPr>
          <w:p>
            <w:pPr>
              <w:pStyle w:val="38"/>
              <w:spacing w:line="240" w:lineRule="auto"/>
              <w:ind w:firstLine="0"/>
              <w:rPr>
                <w:sz w:val="22"/>
                <w:szCs w:val="22"/>
              </w:rPr>
            </w:pPr>
            <w:r>
              <w:rPr>
                <w:color w:val="000000"/>
                <w:sz w:val="22"/>
                <w:szCs w:val="22"/>
              </w:rPr>
              <w:t>同日常清扫保洁内容</w:t>
            </w:r>
          </w:p>
        </w:tc>
        <w:tc>
          <w:tcPr>
            <w:tcW w:w="1963" w:type="dxa"/>
            <w:shd w:val="clear" w:color="auto" w:fill="FFFFFF"/>
            <w:vAlign w:val="center"/>
          </w:tcPr>
          <w:p>
            <w:pPr>
              <w:pStyle w:val="38"/>
              <w:spacing w:line="302" w:lineRule="exact"/>
              <w:ind w:firstLine="0"/>
              <w:rPr>
                <w:sz w:val="22"/>
                <w:szCs w:val="22"/>
              </w:rPr>
            </w:pPr>
            <w:r>
              <w:rPr>
                <w:color w:val="000000"/>
                <w:sz w:val="22"/>
                <w:szCs w:val="22"/>
              </w:rPr>
              <w:t>按日常清扫保洁方式执行</w:t>
            </w:r>
          </w:p>
        </w:tc>
        <w:tc>
          <w:tcPr>
            <w:tcW w:w="3183" w:type="dxa"/>
            <w:shd w:val="clear" w:color="auto" w:fill="FFFFFF"/>
            <w:vAlign w:val="center"/>
          </w:tcPr>
          <w:p>
            <w:pPr>
              <w:pStyle w:val="38"/>
              <w:spacing w:line="293" w:lineRule="exact"/>
              <w:ind w:firstLine="0"/>
              <w:rPr>
                <w:sz w:val="22"/>
                <w:szCs w:val="22"/>
              </w:rPr>
            </w:pPr>
            <w:r>
              <w:rPr>
                <w:color w:val="000000"/>
                <w:sz w:val="22"/>
                <w:szCs w:val="22"/>
              </w:rPr>
              <w:t>在保障任务期间，按甲方要 求增加保障线路和点位上设 施的清扫保洁频次。</w:t>
            </w:r>
          </w:p>
        </w:tc>
      </w:tr>
    </w:tbl>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2、隧道清扫保洁</w:t>
      </w:r>
    </w:p>
    <w:tbl>
      <w:tblPr>
        <w:tblStyle w:val="17"/>
        <w:tblW w:w="8937" w:type="dxa"/>
        <w:jc w:val="center"/>
        <w:tblLayout w:type="fixed"/>
        <w:tblCellMar>
          <w:top w:w="0" w:type="dxa"/>
          <w:left w:w="10" w:type="dxa"/>
          <w:bottom w:w="0" w:type="dxa"/>
          <w:right w:w="10" w:type="dxa"/>
        </w:tblCellMar>
      </w:tblPr>
      <w:tblGrid>
        <w:gridCol w:w="810"/>
        <w:gridCol w:w="2963"/>
        <w:gridCol w:w="1944"/>
        <w:gridCol w:w="3220"/>
      </w:tblGrid>
      <w:tr>
        <w:tblPrEx>
          <w:tblCellMar>
            <w:top w:w="0" w:type="dxa"/>
            <w:left w:w="10" w:type="dxa"/>
            <w:bottom w:w="0" w:type="dxa"/>
            <w:right w:w="10" w:type="dxa"/>
          </w:tblCellMar>
        </w:tblPrEx>
        <w:trPr>
          <w:trHeight w:val="646" w:hRule="exact"/>
          <w:jc w:val="center"/>
        </w:trPr>
        <w:tc>
          <w:tcPr>
            <w:tcW w:w="810" w:type="dxa"/>
            <w:tcBorders>
              <w:top w:val="single" w:color="auto" w:sz="4" w:space="0"/>
              <w:left w:val="single" w:color="auto" w:sz="4" w:space="0"/>
            </w:tcBorders>
            <w:shd w:val="clear" w:color="auto" w:fill="FFFFFF"/>
            <w:vAlign w:val="center"/>
          </w:tcPr>
          <w:p>
            <w:pPr>
              <w:pStyle w:val="38"/>
              <w:spacing w:line="240" w:lineRule="auto"/>
              <w:ind w:firstLine="0"/>
              <w:jc w:val="center"/>
              <w:rPr>
                <w:sz w:val="24"/>
                <w:szCs w:val="24"/>
              </w:rPr>
            </w:pPr>
            <w:r>
              <w:rPr>
                <w:rFonts w:hint="eastAsia"/>
                <w:color w:val="000000"/>
                <w:sz w:val="24"/>
                <w:szCs w:val="24"/>
              </w:rPr>
              <w:t>项目</w:t>
            </w:r>
          </w:p>
        </w:tc>
        <w:tc>
          <w:tcPr>
            <w:tcW w:w="2963" w:type="dxa"/>
            <w:tcBorders>
              <w:top w:val="single" w:color="auto" w:sz="4" w:space="0"/>
              <w:left w:val="single" w:color="auto" w:sz="4" w:space="0"/>
            </w:tcBorders>
            <w:shd w:val="clear" w:color="auto" w:fill="FFFFFF"/>
            <w:vAlign w:val="center"/>
          </w:tcPr>
          <w:p>
            <w:pPr>
              <w:pStyle w:val="38"/>
              <w:spacing w:line="240" w:lineRule="auto"/>
              <w:ind w:firstLine="0"/>
              <w:jc w:val="center"/>
              <w:rPr>
                <w:sz w:val="24"/>
                <w:szCs w:val="24"/>
              </w:rPr>
            </w:pPr>
            <w:r>
              <w:rPr>
                <w:rFonts w:hint="eastAsia"/>
                <w:color w:val="000000"/>
                <w:sz w:val="24"/>
                <w:szCs w:val="24"/>
              </w:rPr>
              <w:t>清扫保洁内容</w:t>
            </w:r>
          </w:p>
        </w:tc>
        <w:tc>
          <w:tcPr>
            <w:tcW w:w="1944" w:type="dxa"/>
            <w:tcBorders>
              <w:top w:val="single" w:color="auto" w:sz="4" w:space="0"/>
              <w:left w:val="single" w:color="auto" w:sz="4" w:space="0"/>
            </w:tcBorders>
            <w:shd w:val="clear" w:color="auto" w:fill="FFFFFF"/>
            <w:vAlign w:val="center"/>
          </w:tcPr>
          <w:p>
            <w:pPr>
              <w:pStyle w:val="38"/>
              <w:spacing w:line="293" w:lineRule="exact"/>
              <w:ind w:firstLine="0"/>
              <w:jc w:val="center"/>
              <w:rPr>
                <w:sz w:val="24"/>
                <w:szCs w:val="24"/>
              </w:rPr>
            </w:pPr>
            <w:r>
              <w:rPr>
                <w:rFonts w:hint="eastAsia"/>
                <w:color w:val="000000"/>
                <w:sz w:val="24"/>
                <w:szCs w:val="24"/>
              </w:rPr>
              <w:t>清扫保洁方式</w:t>
            </w:r>
          </w:p>
        </w:tc>
        <w:tc>
          <w:tcPr>
            <w:tcW w:w="3220" w:type="dxa"/>
            <w:tcBorders>
              <w:top w:val="single" w:color="auto" w:sz="4" w:space="0"/>
              <w:left w:val="single" w:color="auto" w:sz="4" w:space="0"/>
              <w:right w:val="single" w:color="auto" w:sz="4" w:space="0"/>
            </w:tcBorders>
            <w:shd w:val="clear" w:color="auto" w:fill="FFFFFF"/>
            <w:vAlign w:val="center"/>
          </w:tcPr>
          <w:p>
            <w:pPr>
              <w:pStyle w:val="38"/>
              <w:spacing w:line="240" w:lineRule="auto"/>
              <w:ind w:firstLine="0"/>
              <w:jc w:val="center"/>
              <w:rPr>
                <w:sz w:val="24"/>
                <w:szCs w:val="24"/>
              </w:rPr>
            </w:pPr>
            <w:r>
              <w:rPr>
                <w:rFonts w:hint="eastAsia"/>
                <w:color w:val="000000"/>
                <w:sz w:val="24"/>
                <w:szCs w:val="24"/>
              </w:rPr>
              <w:t>清扫保洁频次要求</w:t>
            </w:r>
          </w:p>
        </w:tc>
      </w:tr>
      <w:tr>
        <w:tblPrEx>
          <w:tblCellMar>
            <w:top w:w="0" w:type="dxa"/>
            <w:left w:w="10" w:type="dxa"/>
            <w:bottom w:w="0" w:type="dxa"/>
            <w:right w:w="10" w:type="dxa"/>
          </w:tblCellMar>
        </w:tblPrEx>
        <w:trPr>
          <w:trHeight w:val="1486" w:hRule="exact"/>
          <w:jc w:val="center"/>
        </w:trPr>
        <w:tc>
          <w:tcPr>
            <w:tcW w:w="810" w:type="dxa"/>
            <w:vMerge w:val="restart"/>
            <w:tcBorders>
              <w:top w:val="single" w:color="auto" w:sz="4" w:space="0"/>
              <w:left w:val="single" w:color="auto" w:sz="4" w:space="0"/>
            </w:tcBorders>
            <w:shd w:val="clear" w:color="auto" w:fill="FFFFFF"/>
            <w:textDirection w:val="tbRlV"/>
            <w:vAlign w:val="center"/>
          </w:tcPr>
          <w:p>
            <w:pPr>
              <w:pStyle w:val="104"/>
              <w:spacing w:line="202" w:lineRule="exact"/>
              <w:rPr>
                <w:sz w:val="24"/>
                <w:szCs w:val="24"/>
              </w:rPr>
            </w:pPr>
            <w:r>
              <w:rPr>
                <w:rFonts w:hint="eastAsia"/>
                <w:color w:val="000000"/>
                <w:sz w:val="24"/>
                <w:szCs w:val="24"/>
              </w:rPr>
              <w:t>常扫洁 日清保</w:t>
            </w:r>
          </w:p>
        </w:tc>
        <w:tc>
          <w:tcPr>
            <w:tcW w:w="2963" w:type="dxa"/>
            <w:tcBorders>
              <w:top w:val="single" w:color="auto" w:sz="4" w:space="0"/>
              <w:left w:val="single" w:color="auto" w:sz="4" w:space="0"/>
            </w:tcBorders>
            <w:shd w:val="clear" w:color="auto" w:fill="FFFFFF"/>
            <w:vAlign w:val="center"/>
          </w:tcPr>
          <w:p>
            <w:pPr>
              <w:pStyle w:val="38"/>
              <w:spacing w:line="240" w:lineRule="auto"/>
              <w:ind w:firstLine="0"/>
              <w:rPr>
                <w:sz w:val="24"/>
                <w:szCs w:val="24"/>
              </w:rPr>
            </w:pPr>
            <w:r>
              <w:rPr>
                <w:rFonts w:hint="eastAsia"/>
                <w:color w:val="000000"/>
                <w:sz w:val="24"/>
                <w:szCs w:val="24"/>
              </w:rPr>
              <w:t>路面、交通标线</w:t>
            </w:r>
          </w:p>
        </w:tc>
        <w:tc>
          <w:tcPr>
            <w:tcW w:w="1944" w:type="dxa"/>
            <w:tcBorders>
              <w:top w:val="single" w:color="auto" w:sz="4" w:space="0"/>
              <w:left w:val="single" w:color="auto" w:sz="4" w:space="0"/>
            </w:tcBorders>
            <w:shd w:val="clear" w:color="auto" w:fill="FFFFFF"/>
            <w:vAlign w:val="center"/>
          </w:tcPr>
          <w:p>
            <w:pPr>
              <w:pStyle w:val="38"/>
              <w:spacing w:line="298" w:lineRule="exact"/>
              <w:ind w:firstLine="0"/>
              <w:rPr>
                <w:sz w:val="24"/>
                <w:szCs w:val="24"/>
              </w:rPr>
            </w:pPr>
            <w:r>
              <w:rPr>
                <w:rFonts w:hint="eastAsia"/>
                <w:color w:val="000000"/>
                <w:sz w:val="24"/>
                <w:szCs w:val="24"/>
              </w:rPr>
              <w:t>机械和人工相结合</w:t>
            </w:r>
          </w:p>
        </w:tc>
        <w:tc>
          <w:tcPr>
            <w:tcW w:w="3220" w:type="dxa"/>
            <w:tcBorders>
              <w:top w:val="single" w:color="auto" w:sz="4" w:space="0"/>
              <w:left w:val="single" w:color="auto" w:sz="4" w:space="0"/>
              <w:right w:val="single" w:color="auto" w:sz="4" w:space="0"/>
            </w:tcBorders>
            <w:shd w:val="clear" w:color="auto" w:fill="FFFFFF"/>
            <w:vAlign w:val="center"/>
          </w:tcPr>
          <w:p>
            <w:pPr>
              <w:pStyle w:val="38"/>
              <w:spacing w:line="300" w:lineRule="exact"/>
              <w:ind w:firstLine="0"/>
              <w:rPr>
                <w:sz w:val="24"/>
                <w:szCs w:val="24"/>
              </w:rPr>
            </w:pPr>
            <w:r>
              <w:rPr>
                <w:rFonts w:hint="eastAsia"/>
                <w:color w:val="000000"/>
                <w:sz w:val="24"/>
                <w:szCs w:val="24"/>
              </w:rPr>
              <w:t>按照《成都市环卫清扫保洁精细化作业规则》（成城发（2019）47号）</w:t>
            </w:r>
          </w:p>
        </w:tc>
      </w:tr>
      <w:tr>
        <w:tblPrEx>
          <w:tblCellMar>
            <w:top w:w="0" w:type="dxa"/>
            <w:left w:w="10" w:type="dxa"/>
            <w:bottom w:w="0" w:type="dxa"/>
            <w:right w:w="10" w:type="dxa"/>
          </w:tblCellMar>
        </w:tblPrEx>
        <w:trPr>
          <w:trHeight w:val="1638" w:hRule="exact"/>
          <w:jc w:val="center"/>
        </w:trPr>
        <w:tc>
          <w:tcPr>
            <w:tcW w:w="810" w:type="dxa"/>
            <w:vMerge w:val="continue"/>
            <w:tcBorders>
              <w:left w:val="single" w:color="auto" w:sz="4" w:space="0"/>
            </w:tcBorders>
            <w:shd w:val="clear" w:color="auto" w:fill="FFFFFF"/>
            <w:textDirection w:val="tbRlV"/>
            <w:vAlign w:val="center"/>
          </w:tcPr>
          <w:p>
            <w:pPr>
              <w:jc w:val="center"/>
              <w:rPr>
                <w:rFonts w:ascii="宋体" w:hAnsi="宋体" w:eastAsia="宋体" w:cs="宋体"/>
                <w:sz w:val="24"/>
                <w:szCs w:val="24"/>
              </w:rPr>
            </w:pPr>
          </w:p>
        </w:tc>
        <w:tc>
          <w:tcPr>
            <w:tcW w:w="2963" w:type="dxa"/>
            <w:tcBorders>
              <w:top w:val="single" w:color="auto" w:sz="4" w:space="0"/>
              <w:left w:val="single" w:color="auto" w:sz="4" w:space="0"/>
            </w:tcBorders>
            <w:shd w:val="clear" w:color="auto" w:fill="FFFFFF"/>
            <w:vAlign w:val="center"/>
          </w:tcPr>
          <w:p>
            <w:pPr>
              <w:pStyle w:val="38"/>
              <w:spacing w:line="299" w:lineRule="exact"/>
              <w:ind w:firstLine="0"/>
              <w:rPr>
                <w:sz w:val="24"/>
                <w:szCs w:val="24"/>
              </w:rPr>
            </w:pPr>
            <w:r>
              <w:rPr>
                <w:rFonts w:hint="eastAsia"/>
                <w:color w:val="000000"/>
                <w:sz w:val="24"/>
                <w:szCs w:val="24"/>
              </w:rPr>
              <w:t>墙体（含附属栏杆、消防栓、配电箱等各类附着墙面安装柜体，隧道顶部蛛网清理）、墩台、挡墙，照明设施、交安设施。</w:t>
            </w:r>
          </w:p>
        </w:tc>
        <w:tc>
          <w:tcPr>
            <w:tcW w:w="1944" w:type="dxa"/>
            <w:tcBorders>
              <w:top w:val="single" w:color="auto" w:sz="4" w:space="0"/>
              <w:left w:val="single" w:color="auto" w:sz="4" w:space="0"/>
            </w:tcBorders>
            <w:shd w:val="clear" w:color="auto" w:fill="FFFFFF"/>
            <w:vAlign w:val="center"/>
          </w:tcPr>
          <w:p>
            <w:pPr>
              <w:pStyle w:val="38"/>
              <w:spacing w:line="302" w:lineRule="exact"/>
              <w:ind w:firstLine="0"/>
              <w:rPr>
                <w:sz w:val="24"/>
                <w:szCs w:val="24"/>
              </w:rPr>
            </w:pPr>
            <w:r>
              <w:rPr>
                <w:rFonts w:hint="eastAsia"/>
                <w:color w:val="000000"/>
                <w:sz w:val="24"/>
                <w:szCs w:val="24"/>
              </w:rPr>
              <w:t>机械和人工清扫保洁相结合</w:t>
            </w:r>
          </w:p>
        </w:tc>
        <w:tc>
          <w:tcPr>
            <w:tcW w:w="3220" w:type="dxa"/>
            <w:tcBorders>
              <w:top w:val="single" w:color="auto" w:sz="4" w:space="0"/>
              <w:left w:val="single" w:color="auto" w:sz="4" w:space="0"/>
              <w:right w:val="single" w:color="auto" w:sz="4" w:space="0"/>
            </w:tcBorders>
            <w:shd w:val="clear" w:color="auto" w:fill="FFFFFF"/>
            <w:vAlign w:val="center"/>
          </w:tcPr>
          <w:p>
            <w:pPr>
              <w:pStyle w:val="38"/>
              <w:spacing w:line="299" w:lineRule="exact"/>
              <w:ind w:firstLine="0"/>
              <w:rPr>
                <w:sz w:val="24"/>
                <w:szCs w:val="24"/>
              </w:rPr>
            </w:pPr>
            <w:r>
              <w:rPr>
                <w:rFonts w:hint="eastAsia"/>
                <w:color w:val="000000"/>
                <w:sz w:val="24"/>
                <w:szCs w:val="24"/>
              </w:rPr>
              <w:t>每10天至少清洁1次。附属栏杆、消防栓、配电箱等各类附着墙面安装柜体每天至少清洁1次。</w:t>
            </w:r>
          </w:p>
        </w:tc>
      </w:tr>
      <w:tr>
        <w:tblPrEx>
          <w:tblCellMar>
            <w:top w:w="0" w:type="dxa"/>
            <w:left w:w="10" w:type="dxa"/>
            <w:bottom w:w="0" w:type="dxa"/>
            <w:right w:w="10" w:type="dxa"/>
          </w:tblCellMar>
        </w:tblPrEx>
        <w:trPr>
          <w:trHeight w:val="1078" w:hRule="exact"/>
          <w:jc w:val="center"/>
        </w:trPr>
        <w:tc>
          <w:tcPr>
            <w:tcW w:w="810" w:type="dxa"/>
            <w:tcBorders>
              <w:top w:val="single" w:color="auto" w:sz="4" w:space="0"/>
              <w:left w:val="single" w:color="auto" w:sz="4" w:space="0"/>
              <w:bottom w:val="single" w:color="auto" w:sz="4" w:space="0"/>
            </w:tcBorders>
            <w:shd w:val="clear" w:color="auto" w:fill="FFFFFF"/>
            <w:textDirection w:val="tbRlV"/>
            <w:vAlign w:val="center"/>
          </w:tcPr>
          <w:p>
            <w:pPr>
              <w:pStyle w:val="104"/>
              <w:rPr>
                <w:sz w:val="24"/>
                <w:szCs w:val="24"/>
              </w:rPr>
            </w:pPr>
            <w:r>
              <w:rPr>
                <w:rFonts w:hint="eastAsia"/>
                <w:color w:val="000000"/>
                <w:sz w:val="24"/>
                <w:szCs w:val="24"/>
              </w:rPr>
              <w:t>急扫洁 应清保</w:t>
            </w:r>
          </w:p>
        </w:tc>
        <w:tc>
          <w:tcPr>
            <w:tcW w:w="2963" w:type="dxa"/>
            <w:tcBorders>
              <w:top w:val="single" w:color="auto" w:sz="4" w:space="0"/>
              <w:left w:val="single" w:color="auto" w:sz="4" w:space="0"/>
              <w:bottom w:val="single" w:color="auto" w:sz="4" w:space="0"/>
            </w:tcBorders>
            <w:shd w:val="clear" w:color="auto" w:fill="FFFFFF"/>
            <w:vAlign w:val="center"/>
          </w:tcPr>
          <w:p>
            <w:pPr>
              <w:pStyle w:val="38"/>
              <w:spacing w:line="240" w:lineRule="auto"/>
              <w:ind w:firstLine="0"/>
              <w:rPr>
                <w:sz w:val="24"/>
                <w:szCs w:val="24"/>
              </w:rPr>
            </w:pPr>
            <w:r>
              <w:rPr>
                <w:rFonts w:hint="eastAsia"/>
                <w:color w:val="000000"/>
                <w:sz w:val="24"/>
                <w:szCs w:val="24"/>
              </w:rPr>
              <w:t>同日常清扫保洁内容</w:t>
            </w:r>
          </w:p>
        </w:tc>
        <w:tc>
          <w:tcPr>
            <w:tcW w:w="1944" w:type="dxa"/>
            <w:tcBorders>
              <w:top w:val="single" w:color="auto" w:sz="4" w:space="0"/>
              <w:left w:val="single" w:color="auto" w:sz="4" w:space="0"/>
              <w:bottom w:val="single" w:color="auto" w:sz="4" w:space="0"/>
            </w:tcBorders>
            <w:shd w:val="clear" w:color="auto" w:fill="FFFFFF"/>
            <w:vAlign w:val="center"/>
          </w:tcPr>
          <w:p>
            <w:pPr>
              <w:pStyle w:val="38"/>
              <w:spacing w:line="305" w:lineRule="exact"/>
              <w:ind w:firstLine="0"/>
              <w:rPr>
                <w:sz w:val="24"/>
                <w:szCs w:val="24"/>
              </w:rPr>
            </w:pPr>
            <w:r>
              <w:rPr>
                <w:rFonts w:hint="eastAsia"/>
                <w:color w:val="000000"/>
                <w:sz w:val="24"/>
                <w:szCs w:val="24"/>
              </w:rPr>
              <w:t>按日常清扫保洁方式执行</w:t>
            </w:r>
          </w:p>
        </w:tc>
        <w:tc>
          <w:tcPr>
            <w:tcW w:w="322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spacing w:line="307" w:lineRule="exact"/>
              <w:ind w:firstLine="0"/>
              <w:rPr>
                <w:sz w:val="24"/>
                <w:szCs w:val="24"/>
              </w:rPr>
            </w:pPr>
            <w:r>
              <w:rPr>
                <w:rFonts w:hint="eastAsia"/>
                <w:color w:val="000000"/>
                <w:sz w:val="24"/>
                <w:szCs w:val="24"/>
              </w:rPr>
              <w:t>在保障任务期冋，按甲方要求增加保障线路和点位上设施的清扫保洁频次。</w:t>
            </w:r>
          </w:p>
        </w:tc>
      </w:tr>
    </w:tbl>
    <w:p>
      <w:pPr>
        <w:spacing w:after="159" w:line="1" w:lineRule="exact"/>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3、道路隔离护栏清扫保洁</w:t>
      </w:r>
    </w:p>
    <w:tbl>
      <w:tblPr>
        <w:tblStyle w:val="17"/>
        <w:tblW w:w="8958" w:type="dxa"/>
        <w:jc w:val="center"/>
        <w:tblLayout w:type="fixed"/>
        <w:tblCellMar>
          <w:top w:w="0" w:type="dxa"/>
          <w:left w:w="10" w:type="dxa"/>
          <w:bottom w:w="0" w:type="dxa"/>
          <w:right w:w="10" w:type="dxa"/>
        </w:tblCellMar>
      </w:tblPr>
      <w:tblGrid>
        <w:gridCol w:w="755"/>
        <w:gridCol w:w="2977"/>
        <w:gridCol w:w="1956"/>
        <w:gridCol w:w="3270"/>
      </w:tblGrid>
      <w:tr>
        <w:tblPrEx>
          <w:tblCellMar>
            <w:top w:w="0" w:type="dxa"/>
            <w:left w:w="10" w:type="dxa"/>
            <w:bottom w:w="0" w:type="dxa"/>
            <w:right w:w="10" w:type="dxa"/>
          </w:tblCellMar>
        </w:tblPrEx>
        <w:trPr>
          <w:trHeight w:val="534" w:hRule="exact"/>
          <w:jc w:val="center"/>
        </w:trPr>
        <w:tc>
          <w:tcPr>
            <w:tcW w:w="755" w:type="dxa"/>
            <w:tcBorders>
              <w:top w:val="single" w:color="auto" w:sz="4" w:space="0"/>
              <w:left w:val="single" w:color="auto" w:sz="4" w:space="0"/>
            </w:tcBorders>
            <w:shd w:val="clear" w:color="auto" w:fill="FFFFFF"/>
            <w:vAlign w:val="center"/>
          </w:tcPr>
          <w:p>
            <w:pPr>
              <w:pStyle w:val="38"/>
              <w:spacing w:line="240" w:lineRule="auto"/>
              <w:ind w:firstLine="140"/>
              <w:jc w:val="center"/>
              <w:rPr>
                <w:sz w:val="24"/>
                <w:szCs w:val="24"/>
              </w:rPr>
            </w:pPr>
            <w:r>
              <w:rPr>
                <w:color w:val="000000"/>
                <w:sz w:val="24"/>
                <w:szCs w:val="24"/>
              </w:rPr>
              <w:t>项目</w:t>
            </w:r>
          </w:p>
        </w:tc>
        <w:tc>
          <w:tcPr>
            <w:tcW w:w="2977" w:type="dxa"/>
            <w:tcBorders>
              <w:top w:val="single" w:color="auto" w:sz="4" w:space="0"/>
              <w:left w:val="single" w:color="auto" w:sz="4" w:space="0"/>
            </w:tcBorders>
            <w:shd w:val="clear" w:color="auto" w:fill="FFFFFF"/>
            <w:vAlign w:val="center"/>
          </w:tcPr>
          <w:p>
            <w:pPr>
              <w:pStyle w:val="38"/>
              <w:spacing w:line="240" w:lineRule="auto"/>
              <w:ind w:firstLine="0"/>
              <w:jc w:val="center"/>
              <w:rPr>
                <w:sz w:val="24"/>
                <w:szCs w:val="24"/>
              </w:rPr>
            </w:pPr>
            <w:r>
              <w:rPr>
                <w:color w:val="000000"/>
                <w:sz w:val="24"/>
                <w:szCs w:val="24"/>
              </w:rPr>
              <w:t>清扫保洁内容</w:t>
            </w:r>
          </w:p>
        </w:tc>
        <w:tc>
          <w:tcPr>
            <w:tcW w:w="1956" w:type="dxa"/>
            <w:tcBorders>
              <w:top w:val="single" w:color="auto" w:sz="4" w:space="0"/>
              <w:left w:val="single" w:color="auto" w:sz="4" w:space="0"/>
            </w:tcBorders>
            <w:shd w:val="clear" w:color="auto" w:fill="FFFFFF"/>
            <w:vAlign w:val="center"/>
          </w:tcPr>
          <w:p>
            <w:pPr>
              <w:pStyle w:val="38"/>
              <w:spacing w:line="283" w:lineRule="exact"/>
              <w:ind w:firstLine="0"/>
              <w:jc w:val="center"/>
              <w:rPr>
                <w:sz w:val="24"/>
                <w:szCs w:val="24"/>
              </w:rPr>
            </w:pPr>
            <w:r>
              <w:rPr>
                <w:color w:val="000000"/>
                <w:sz w:val="24"/>
                <w:szCs w:val="24"/>
              </w:rPr>
              <w:t>清扫保洁方式</w:t>
            </w:r>
          </w:p>
        </w:tc>
        <w:tc>
          <w:tcPr>
            <w:tcW w:w="3270" w:type="dxa"/>
            <w:tcBorders>
              <w:top w:val="single" w:color="auto" w:sz="4" w:space="0"/>
              <w:left w:val="single" w:color="auto" w:sz="4" w:space="0"/>
              <w:right w:val="single" w:color="auto" w:sz="4" w:space="0"/>
            </w:tcBorders>
            <w:shd w:val="clear" w:color="auto" w:fill="FFFFFF"/>
            <w:vAlign w:val="center"/>
          </w:tcPr>
          <w:p>
            <w:pPr>
              <w:pStyle w:val="38"/>
              <w:spacing w:line="240" w:lineRule="auto"/>
              <w:ind w:firstLine="440"/>
              <w:rPr>
                <w:sz w:val="24"/>
                <w:szCs w:val="24"/>
              </w:rPr>
            </w:pPr>
            <w:r>
              <w:rPr>
                <w:color w:val="000000"/>
                <w:sz w:val="24"/>
                <w:szCs w:val="24"/>
              </w:rPr>
              <w:t>清扫保洁频次</w:t>
            </w:r>
            <w:r>
              <w:rPr>
                <w:rFonts w:hint="eastAsia"/>
                <w:color w:val="000000"/>
                <w:sz w:val="24"/>
                <w:szCs w:val="24"/>
                <w:lang w:val="en-US" w:eastAsia="zh-CN"/>
              </w:rPr>
              <w:t>要</w:t>
            </w:r>
            <w:r>
              <w:rPr>
                <w:color w:val="000000"/>
                <w:sz w:val="24"/>
                <w:szCs w:val="24"/>
              </w:rPr>
              <w:t>求</w:t>
            </w:r>
          </w:p>
        </w:tc>
      </w:tr>
      <w:tr>
        <w:tblPrEx>
          <w:tblCellMar>
            <w:top w:w="0" w:type="dxa"/>
            <w:left w:w="10" w:type="dxa"/>
            <w:bottom w:w="0" w:type="dxa"/>
            <w:right w:w="10" w:type="dxa"/>
          </w:tblCellMar>
        </w:tblPrEx>
        <w:trPr>
          <w:trHeight w:val="947" w:hRule="exact"/>
          <w:jc w:val="center"/>
        </w:trPr>
        <w:tc>
          <w:tcPr>
            <w:tcW w:w="755" w:type="dxa"/>
            <w:vMerge w:val="restart"/>
            <w:tcBorders>
              <w:top w:val="single" w:color="auto" w:sz="4" w:space="0"/>
              <w:left w:val="single" w:color="auto" w:sz="4" w:space="0"/>
            </w:tcBorders>
            <w:shd w:val="clear" w:color="auto" w:fill="FFFFFF"/>
            <w:vAlign w:val="center"/>
          </w:tcPr>
          <w:p>
            <w:pPr>
              <w:pStyle w:val="38"/>
              <w:spacing w:line="298" w:lineRule="exact"/>
              <w:ind w:firstLine="0"/>
              <w:jc w:val="center"/>
              <w:rPr>
                <w:sz w:val="24"/>
                <w:szCs w:val="24"/>
              </w:rPr>
            </w:pPr>
            <w:r>
              <w:rPr>
                <w:color w:val="000000"/>
                <w:sz w:val="24"/>
                <w:szCs w:val="24"/>
              </w:rPr>
              <w:t>清扫 保洁</w:t>
            </w:r>
          </w:p>
        </w:tc>
        <w:tc>
          <w:tcPr>
            <w:tcW w:w="2977" w:type="dxa"/>
            <w:tcBorders>
              <w:top w:val="single" w:color="auto" w:sz="4" w:space="0"/>
              <w:left w:val="single" w:color="auto" w:sz="4" w:space="0"/>
            </w:tcBorders>
            <w:shd w:val="clear" w:color="auto" w:fill="FFFFFF"/>
            <w:vAlign w:val="center"/>
          </w:tcPr>
          <w:p>
            <w:pPr>
              <w:pStyle w:val="38"/>
              <w:spacing w:line="298" w:lineRule="exact"/>
              <w:ind w:firstLine="0"/>
              <w:rPr>
                <w:sz w:val="24"/>
                <w:szCs w:val="24"/>
              </w:rPr>
            </w:pPr>
            <w:r>
              <w:rPr>
                <w:rFonts w:hint="eastAsia"/>
                <w:color w:val="000000"/>
                <w:sz w:val="24"/>
                <w:szCs w:val="24"/>
              </w:rPr>
              <w:t>中央隔离护栏、机非隔离护栏、其他护栏、隔离桩</w:t>
            </w:r>
            <w:r>
              <w:rPr>
                <w:rFonts w:hint="eastAsia"/>
                <w:color w:val="000000"/>
                <w:sz w:val="24"/>
                <w:szCs w:val="24"/>
                <w:lang w:eastAsia="zh-CN"/>
              </w:rPr>
              <w:t>、</w:t>
            </w:r>
            <w:r>
              <w:rPr>
                <w:rFonts w:hint="eastAsia"/>
                <w:color w:val="000000"/>
                <w:sz w:val="24"/>
                <w:szCs w:val="24"/>
              </w:rPr>
              <w:t>隔离墩</w:t>
            </w:r>
          </w:p>
        </w:tc>
        <w:tc>
          <w:tcPr>
            <w:tcW w:w="1956" w:type="dxa"/>
            <w:tcBorders>
              <w:top w:val="single" w:color="auto" w:sz="4" w:space="0"/>
              <w:left w:val="single" w:color="auto" w:sz="4" w:space="0"/>
            </w:tcBorders>
            <w:shd w:val="clear" w:color="auto" w:fill="FFFFFF"/>
            <w:vAlign w:val="center"/>
          </w:tcPr>
          <w:p>
            <w:pPr>
              <w:pStyle w:val="38"/>
              <w:spacing w:line="300" w:lineRule="exact"/>
              <w:ind w:firstLine="0"/>
              <w:rPr>
                <w:sz w:val="24"/>
                <w:szCs w:val="24"/>
              </w:rPr>
            </w:pPr>
            <w:r>
              <w:rPr>
                <w:rFonts w:hint="eastAsia"/>
                <w:color w:val="000000"/>
                <w:sz w:val="24"/>
                <w:szCs w:val="24"/>
              </w:rPr>
              <w:t>机械和人工清扫保洁相结合</w:t>
            </w:r>
          </w:p>
        </w:tc>
        <w:tc>
          <w:tcPr>
            <w:tcW w:w="3270" w:type="dxa"/>
            <w:tcBorders>
              <w:top w:val="single" w:color="auto" w:sz="4" w:space="0"/>
              <w:left w:val="single" w:color="auto" w:sz="4" w:space="0"/>
              <w:right w:val="single" w:color="auto" w:sz="4" w:space="0"/>
            </w:tcBorders>
            <w:shd w:val="clear" w:color="auto" w:fill="FFFFFF"/>
            <w:vAlign w:val="center"/>
          </w:tcPr>
          <w:p>
            <w:pPr>
              <w:pStyle w:val="38"/>
              <w:spacing w:line="240" w:lineRule="auto"/>
              <w:ind w:firstLine="0"/>
              <w:rPr>
                <w:sz w:val="24"/>
                <w:szCs w:val="24"/>
              </w:rPr>
            </w:pPr>
            <w:r>
              <w:rPr>
                <w:rFonts w:hint="eastAsia"/>
                <w:color w:val="000000"/>
                <w:sz w:val="24"/>
                <w:szCs w:val="24"/>
              </w:rPr>
              <w:t>每天至少清洁1次。</w:t>
            </w:r>
          </w:p>
        </w:tc>
      </w:tr>
      <w:tr>
        <w:tblPrEx>
          <w:tblCellMar>
            <w:top w:w="0" w:type="dxa"/>
            <w:left w:w="10" w:type="dxa"/>
            <w:bottom w:w="0" w:type="dxa"/>
            <w:right w:w="10" w:type="dxa"/>
          </w:tblCellMar>
        </w:tblPrEx>
        <w:trPr>
          <w:trHeight w:val="530" w:hRule="exact"/>
          <w:jc w:val="center"/>
        </w:trPr>
        <w:tc>
          <w:tcPr>
            <w:tcW w:w="755" w:type="dxa"/>
            <w:vMerge w:val="continue"/>
            <w:tcBorders>
              <w:left w:val="single" w:color="auto" w:sz="4" w:space="0"/>
            </w:tcBorders>
            <w:shd w:val="clear" w:color="auto" w:fill="FFFFFF"/>
            <w:vAlign w:val="center"/>
          </w:tcPr>
          <w:p>
            <w:pPr>
              <w:jc w:val="center"/>
              <w:rPr>
                <w:sz w:val="24"/>
                <w:szCs w:val="24"/>
              </w:rPr>
            </w:pPr>
          </w:p>
        </w:tc>
        <w:tc>
          <w:tcPr>
            <w:tcW w:w="2977" w:type="dxa"/>
            <w:tcBorders>
              <w:top w:val="single" w:color="auto" w:sz="4" w:space="0"/>
              <w:left w:val="single" w:color="auto" w:sz="4" w:space="0"/>
            </w:tcBorders>
            <w:shd w:val="clear" w:color="auto" w:fill="FFFFFF"/>
            <w:vAlign w:val="center"/>
          </w:tcPr>
          <w:p>
            <w:pPr>
              <w:pStyle w:val="38"/>
              <w:spacing w:line="240" w:lineRule="auto"/>
              <w:ind w:firstLine="0"/>
              <w:rPr>
                <w:sz w:val="24"/>
                <w:szCs w:val="24"/>
              </w:rPr>
            </w:pPr>
            <w:r>
              <w:rPr>
                <w:rFonts w:hint="eastAsia"/>
                <w:color w:val="000000"/>
                <w:sz w:val="24"/>
                <w:szCs w:val="24"/>
              </w:rPr>
              <w:t>人行道固定护栏</w:t>
            </w:r>
          </w:p>
        </w:tc>
        <w:tc>
          <w:tcPr>
            <w:tcW w:w="1956" w:type="dxa"/>
            <w:tcBorders>
              <w:top w:val="single" w:color="auto" w:sz="4" w:space="0"/>
              <w:left w:val="single" w:color="auto" w:sz="4" w:space="0"/>
            </w:tcBorders>
            <w:shd w:val="clear" w:color="auto" w:fill="FFFFFF"/>
            <w:vAlign w:val="center"/>
          </w:tcPr>
          <w:p>
            <w:pPr>
              <w:pStyle w:val="38"/>
              <w:spacing w:line="302" w:lineRule="exact"/>
              <w:ind w:firstLine="0"/>
              <w:rPr>
                <w:sz w:val="24"/>
                <w:szCs w:val="24"/>
              </w:rPr>
            </w:pPr>
            <w:r>
              <w:rPr>
                <w:rFonts w:hint="eastAsia"/>
                <w:color w:val="000000"/>
                <w:sz w:val="24"/>
                <w:szCs w:val="24"/>
              </w:rPr>
              <w:t>人工清扫保洁</w:t>
            </w:r>
          </w:p>
        </w:tc>
        <w:tc>
          <w:tcPr>
            <w:tcW w:w="3270" w:type="dxa"/>
            <w:tcBorders>
              <w:top w:val="single" w:color="auto" w:sz="4" w:space="0"/>
              <w:left w:val="single" w:color="auto" w:sz="4" w:space="0"/>
              <w:right w:val="single" w:color="auto" w:sz="4" w:space="0"/>
            </w:tcBorders>
            <w:shd w:val="clear" w:color="auto" w:fill="FFFFFF"/>
            <w:vAlign w:val="center"/>
          </w:tcPr>
          <w:p>
            <w:pPr>
              <w:pStyle w:val="38"/>
              <w:spacing w:line="240" w:lineRule="auto"/>
              <w:ind w:firstLine="0"/>
              <w:rPr>
                <w:sz w:val="24"/>
                <w:szCs w:val="24"/>
              </w:rPr>
            </w:pPr>
            <w:r>
              <w:rPr>
                <w:rFonts w:hint="eastAsia"/>
                <w:color w:val="000000"/>
                <w:sz w:val="24"/>
                <w:szCs w:val="24"/>
              </w:rPr>
              <w:t>每天至少清洁1次。</w:t>
            </w:r>
          </w:p>
        </w:tc>
      </w:tr>
      <w:tr>
        <w:tblPrEx>
          <w:tblCellMar>
            <w:top w:w="0" w:type="dxa"/>
            <w:left w:w="10" w:type="dxa"/>
            <w:bottom w:w="0" w:type="dxa"/>
            <w:right w:w="10" w:type="dxa"/>
          </w:tblCellMar>
        </w:tblPrEx>
        <w:trPr>
          <w:trHeight w:val="933" w:hRule="exact"/>
          <w:jc w:val="center"/>
        </w:trPr>
        <w:tc>
          <w:tcPr>
            <w:tcW w:w="755" w:type="dxa"/>
            <w:tcBorders>
              <w:top w:val="single" w:color="auto" w:sz="4" w:space="0"/>
              <w:left w:val="single" w:color="auto" w:sz="4" w:space="0"/>
              <w:bottom w:val="single" w:color="auto" w:sz="4" w:space="0"/>
            </w:tcBorders>
            <w:shd w:val="clear" w:color="auto" w:fill="FFFFFF"/>
            <w:textDirection w:val="tbRlV"/>
            <w:vAlign w:val="center"/>
          </w:tcPr>
          <w:p>
            <w:pPr>
              <w:pStyle w:val="104"/>
              <w:spacing w:before="120" w:line="245" w:lineRule="exact"/>
              <w:rPr>
                <w:sz w:val="24"/>
                <w:szCs w:val="24"/>
              </w:rPr>
            </w:pPr>
            <w:r>
              <w:rPr>
                <w:color w:val="000000"/>
                <w:sz w:val="24"/>
                <w:szCs w:val="24"/>
              </w:rPr>
              <w:t>急扫洁 应清保</w:t>
            </w:r>
          </w:p>
        </w:tc>
        <w:tc>
          <w:tcPr>
            <w:tcW w:w="2977" w:type="dxa"/>
            <w:tcBorders>
              <w:top w:val="single" w:color="auto" w:sz="4" w:space="0"/>
              <w:left w:val="single" w:color="auto" w:sz="4" w:space="0"/>
              <w:bottom w:val="single" w:color="auto" w:sz="4" w:space="0"/>
            </w:tcBorders>
            <w:shd w:val="clear" w:color="auto" w:fill="FFFFFF"/>
            <w:vAlign w:val="center"/>
          </w:tcPr>
          <w:p>
            <w:pPr>
              <w:pStyle w:val="38"/>
              <w:spacing w:line="240" w:lineRule="auto"/>
              <w:ind w:firstLine="0"/>
              <w:rPr>
                <w:sz w:val="24"/>
                <w:szCs w:val="24"/>
              </w:rPr>
            </w:pPr>
            <w:r>
              <w:rPr>
                <w:rFonts w:hint="eastAsia"/>
                <w:color w:val="000000"/>
                <w:sz w:val="24"/>
                <w:szCs w:val="24"/>
              </w:rPr>
              <w:t>同日常清扫保洁内容</w:t>
            </w:r>
          </w:p>
        </w:tc>
        <w:tc>
          <w:tcPr>
            <w:tcW w:w="1956" w:type="dxa"/>
            <w:tcBorders>
              <w:top w:val="single" w:color="auto" w:sz="4" w:space="0"/>
              <w:left w:val="single" w:color="auto" w:sz="4" w:space="0"/>
              <w:bottom w:val="single" w:color="auto" w:sz="4" w:space="0"/>
            </w:tcBorders>
            <w:shd w:val="clear" w:color="auto" w:fill="FFFFFF"/>
            <w:vAlign w:val="center"/>
          </w:tcPr>
          <w:p>
            <w:pPr>
              <w:pStyle w:val="38"/>
              <w:spacing w:line="302" w:lineRule="exact"/>
              <w:ind w:firstLine="0"/>
              <w:rPr>
                <w:sz w:val="24"/>
                <w:szCs w:val="24"/>
              </w:rPr>
            </w:pPr>
            <w:r>
              <w:rPr>
                <w:rFonts w:hint="eastAsia"/>
                <w:color w:val="000000"/>
                <w:sz w:val="24"/>
                <w:szCs w:val="24"/>
              </w:rPr>
              <w:t>按日常清归保洁方式执行</w:t>
            </w:r>
          </w:p>
        </w:tc>
        <w:tc>
          <w:tcPr>
            <w:tcW w:w="327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spacing w:line="304" w:lineRule="exact"/>
              <w:ind w:firstLine="0"/>
              <w:rPr>
                <w:sz w:val="24"/>
                <w:szCs w:val="24"/>
              </w:rPr>
            </w:pPr>
            <w:r>
              <w:rPr>
                <w:rFonts w:hint="eastAsia"/>
                <w:color w:val="000000"/>
                <w:sz w:val="24"/>
                <w:szCs w:val="24"/>
              </w:rPr>
              <w:t>在保障任务期间，按甲方 要求增加保障线路和点位上设施的清扫保洁频次。</w:t>
            </w:r>
          </w:p>
        </w:tc>
      </w:tr>
    </w:tbl>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（4）保洁质量标准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1、桥梁及下穿隧道道路</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路面、交通标线清扫保洁质量标准参照《成都市环卫清扫保洁精细化作业规则》（成城发（2019） 47号）。</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2、桥梁清扫保洁</w:t>
      </w:r>
    </w:p>
    <w:p>
      <w:pPr>
        <w:spacing w:line="360" w:lineRule="auto"/>
        <w:ind w:firstLine="480" w:firstLineChars="200"/>
        <w:rPr>
          <w:rFonts w:ascii="宋体" w:hAnsi="宋体" w:eastAsia="宋体" w:cs="宋体"/>
          <w:sz w:val="24"/>
          <w:szCs w:val="24"/>
        </w:rPr>
      </w:pPr>
      <w:bookmarkStart w:id="50" w:name="bookmark35"/>
      <w:bookmarkEnd w:id="50"/>
      <w:r>
        <w:rPr>
          <w:rFonts w:hint="eastAsia" w:ascii="宋体" w:hAnsi="宋体" w:eastAsia="宋体" w:cs="宋体"/>
          <w:sz w:val="24"/>
          <w:szCs w:val="24"/>
        </w:rPr>
        <w:t>立交桥、跨线桥、高架桥中央分隔带、挡墙、防撞墙内侧（含附属桥梁栏杆）。包括砕防撞墙及各类材质栏杆，有涂装的防撞墙在清扫保洁时不得对原桥涂装造成损坏。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每10天至少清扫保洁1次，确保整洁干净，无明显灰尘、污渍，色泽良好，无小广告</w:t>
      </w:r>
      <w:r>
        <w:rPr>
          <w:rFonts w:hint="eastAsia" w:ascii="宋体" w:hAnsi="宋体" w:eastAsia="宋体" w:cs="宋体"/>
          <w:sz w:val="24"/>
          <w:szCs w:val="24"/>
          <w:lang w:val="zh-CN"/>
        </w:rPr>
        <w:t>“牛皮</w:t>
      </w:r>
      <w:r>
        <w:rPr>
          <w:rFonts w:hint="eastAsia" w:ascii="宋体" w:hAnsi="宋体" w:eastAsia="宋体" w:cs="宋体"/>
          <w:sz w:val="24"/>
          <w:szCs w:val="24"/>
        </w:rPr>
        <w:t>癣”，无杂草杂物附着。</w:t>
      </w:r>
    </w:p>
    <w:p>
      <w:pPr>
        <w:spacing w:line="360" w:lineRule="auto"/>
        <w:ind w:firstLine="480" w:firstLineChars="200"/>
        <w:rPr>
          <w:rFonts w:ascii="宋体" w:hAnsi="宋体" w:eastAsia="宋体" w:cs="宋体"/>
          <w:sz w:val="24"/>
          <w:szCs w:val="24"/>
        </w:rPr>
      </w:pPr>
      <w:bookmarkStart w:id="51" w:name="bookmark36"/>
      <w:bookmarkEnd w:id="51"/>
      <w:r>
        <w:rPr>
          <w:rFonts w:hint="eastAsia" w:ascii="宋体" w:hAnsi="宋体" w:eastAsia="宋体" w:cs="宋体"/>
          <w:sz w:val="24"/>
          <w:szCs w:val="24"/>
        </w:rPr>
        <w:t>人行道栏杆、人行天桥栏杆。包含各材质栏杆及指示牌。</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每天至少清扫保洁1次，确保栏杆全天应整洁干净，无明 显灰尘、污渍，色泽良好，无小广告</w:t>
      </w:r>
      <w:r>
        <w:rPr>
          <w:rFonts w:hint="eastAsia" w:ascii="宋体" w:hAnsi="宋体" w:eastAsia="宋体" w:cs="宋体"/>
          <w:sz w:val="24"/>
          <w:szCs w:val="24"/>
          <w:lang w:val="zh-CN"/>
        </w:rPr>
        <w:t>“牛皮</w:t>
      </w:r>
      <w:r>
        <w:rPr>
          <w:rFonts w:hint="eastAsia" w:ascii="宋体" w:hAnsi="宋体" w:eastAsia="宋体" w:cs="宋体"/>
          <w:sz w:val="24"/>
          <w:szCs w:val="24"/>
        </w:rPr>
        <w:t>癣”，无杂草杂物附着，玻璃或亚克力板栏杆通透性好，指示牌整洁干净，字迹清晰，反光效果明显。</w:t>
      </w:r>
    </w:p>
    <w:p>
      <w:pPr>
        <w:spacing w:line="360" w:lineRule="auto"/>
        <w:ind w:firstLine="480" w:firstLineChars="200"/>
        <w:rPr>
          <w:rFonts w:ascii="宋体" w:hAnsi="宋体" w:eastAsia="宋体" w:cs="宋体"/>
          <w:sz w:val="24"/>
          <w:szCs w:val="24"/>
        </w:rPr>
      </w:pPr>
      <w:bookmarkStart w:id="52" w:name="bookmark37"/>
      <w:bookmarkEnd w:id="52"/>
      <w:r>
        <w:rPr>
          <w:rFonts w:hint="eastAsia" w:ascii="宋体" w:hAnsi="宋体" w:eastAsia="宋体" w:cs="宋体"/>
          <w:sz w:val="24"/>
          <w:szCs w:val="24"/>
        </w:rPr>
        <w:t>声屏障内侧。包括百叶板、透光板等。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每3天至少清扫保洁1次，应基本整洁干净，无明显灰尘、污渍，色泽良好、通透光亮，无小广告“牛皮癣”，无杂物杂 草附着。</w:t>
      </w:r>
    </w:p>
    <w:p>
      <w:pPr>
        <w:spacing w:line="360" w:lineRule="auto"/>
        <w:ind w:firstLine="480" w:firstLineChars="200"/>
        <w:rPr>
          <w:rFonts w:ascii="宋体" w:hAnsi="宋体" w:eastAsia="宋体" w:cs="宋体"/>
          <w:sz w:val="24"/>
          <w:szCs w:val="24"/>
        </w:rPr>
      </w:pPr>
      <w:bookmarkStart w:id="53" w:name="bookmark38"/>
      <w:bookmarkEnd w:id="53"/>
      <w:r>
        <w:rPr>
          <w:rFonts w:hint="eastAsia" w:ascii="宋体" w:hAnsi="宋体" w:eastAsia="宋体" w:cs="宋体"/>
          <w:sz w:val="24"/>
          <w:szCs w:val="24"/>
        </w:rPr>
        <w:t>桥体。包括跨</w:t>
      </w:r>
      <w:r>
        <w:rPr>
          <w:rFonts w:hint="eastAsia" w:ascii="宋体" w:hAnsi="宋体" w:eastAsia="宋体" w:cs="宋体"/>
          <w:sz w:val="24"/>
          <w:szCs w:val="24"/>
          <w:lang w:val="zh-CN"/>
        </w:rPr>
        <w:t>线桥、</w:t>
      </w:r>
      <w:r>
        <w:rPr>
          <w:rFonts w:hint="eastAsia" w:ascii="宋体" w:hAnsi="宋体" w:eastAsia="宋体" w:cs="宋体"/>
          <w:sz w:val="24"/>
          <w:szCs w:val="24"/>
        </w:rPr>
        <w:t>立交桥、高架桥、人行天桥的声屏障外侧、防撞墙外侧、梁体、墩台、挡墙等主体构件和桥铭牌、维护管理公示牌等（不含跨河桥梁体和墩台）。</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每3个月至少清扫保洁1次，应基本整洁干净，无青苔、杂草杂物附着，无明显灰尘、污渍。</w:t>
      </w:r>
    </w:p>
    <w:p>
      <w:pPr>
        <w:spacing w:line="360" w:lineRule="auto"/>
        <w:ind w:firstLine="480" w:firstLineChars="200"/>
        <w:rPr>
          <w:rFonts w:ascii="宋体" w:hAnsi="宋体" w:eastAsia="宋体" w:cs="宋体"/>
          <w:sz w:val="24"/>
          <w:szCs w:val="24"/>
        </w:rPr>
      </w:pPr>
      <w:bookmarkStart w:id="54" w:name="bookmark39"/>
      <w:bookmarkEnd w:id="54"/>
      <w:r>
        <w:rPr>
          <w:rFonts w:hint="eastAsia" w:ascii="宋体" w:hAnsi="宋体" w:eastAsia="宋体" w:cs="宋体"/>
          <w:sz w:val="24"/>
          <w:szCs w:val="24"/>
        </w:rPr>
        <w:t>照明设施、交安设施。包括路灯、信号灯、路名牌等。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照明设施每半年至少清扫保洁1次，交安设施每半年至少清扫保洁1次，应基本整洁干净，无青苔、杂草杂物附着，无明显灰尘、污渍。</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3、下穿隧道（含下沉式道路）</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墙体（含附属栏杆、消防栓、配电箱等各类附着墙面安装柜体，隧道顶部蛛网清理）、墩台、挡墙，照明设施和交安设施。各类材质栏杆，有涂装的墙体在清扫保洁时不得对原桥涂 装造成</w:t>
      </w:r>
      <w:r>
        <w:rPr>
          <w:rFonts w:hint="eastAsia" w:ascii="宋体" w:hAnsi="宋体" w:eastAsia="宋体" w:cs="宋体"/>
          <w:sz w:val="24"/>
          <w:szCs w:val="24"/>
          <w:lang w:val="zh-CN"/>
        </w:rPr>
        <w:t>损坏。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每10天至少清扫保洁1次（附属栏杆、消防栓、配电箱 等各类附着墙面安装柜体每天至少清洁1次），确保整洁干净, 无明显灰尘、污渍，色泽良好，无小广告“牛皮癣"，无杂草 杂物附着。</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4、道路隔离护栏。包括各类金属栏杆、隔离桩、花岗 石隔离墩等。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每天至少清扫保洁1次，确保设施全天应整洁干净，无积泥、积尘，色泽良好，无痰迹污渍及小广告</w:t>
      </w:r>
      <w:r>
        <w:rPr>
          <w:rFonts w:hint="eastAsia" w:ascii="宋体" w:hAnsi="宋体" w:eastAsia="宋体" w:cs="宋体"/>
          <w:sz w:val="24"/>
          <w:szCs w:val="24"/>
          <w:lang w:val="zh-CN"/>
        </w:rPr>
        <w:t>“牛皮</w:t>
      </w:r>
      <w:r>
        <w:rPr>
          <w:rFonts w:hint="eastAsia" w:ascii="宋体" w:hAnsi="宋体" w:eastAsia="宋体" w:cs="宋体"/>
          <w:sz w:val="24"/>
          <w:szCs w:val="24"/>
        </w:rPr>
        <w:t>癣”。</w:t>
      </w:r>
    </w:p>
    <w:p>
      <w:pPr>
        <w:spacing w:line="360" w:lineRule="auto"/>
        <w:ind w:firstLine="480" w:firstLineChars="200"/>
        <w:jc w:val="center"/>
        <w:rPr>
          <w:rFonts w:ascii="宋体" w:hAnsi="宋体" w:eastAsia="宋体" w:cs="宋体"/>
          <w:sz w:val="24"/>
          <w:szCs w:val="24"/>
        </w:rPr>
      </w:pPr>
    </w:p>
    <w:p>
      <w:pPr>
        <w:spacing w:line="360" w:lineRule="auto"/>
        <w:ind w:firstLine="480" w:firstLineChars="200"/>
        <w:jc w:val="center"/>
        <w:rPr>
          <w:rFonts w:ascii="宋体" w:hAnsi="宋体" w:eastAsia="宋体" w:cs="宋体"/>
          <w:sz w:val="24"/>
          <w:szCs w:val="24"/>
        </w:rPr>
      </w:pPr>
      <w:r>
        <w:rPr>
          <w:rFonts w:hint="eastAsia" w:ascii="宋体" w:hAnsi="宋体" w:eastAsia="宋体" w:cs="宋体"/>
          <w:sz w:val="24"/>
          <w:szCs w:val="24"/>
        </w:rPr>
        <w:t>第九章</w:t>
      </w:r>
      <w:r>
        <w:rPr>
          <w:rFonts w:hint="eastAsia" w:ascii="宋体" w:hAnsi="宋体" w:eastAsia="宋体" w:cs="宋体"/>
          <w:sz w:val="24"/>
          <w:szCs w:val="24"/>
        </w:rPr>
        <w:tab/>
      </w:r>
      <w:r>
        <w:rPr>
          <w:rFonts w:ascii="宋体" w:hAnsi="宋体" w:eastAsia="宋体" w:cs="宋体"/>
          <w:sz w:val="24"/>
          <w:szCs w:val="24"/>
        </w:rPr>
        <w:t>牛皮癣治理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（一）作业范围</w:t>
      </w:r>
      <w:r>
        <w:rPr>
          <w:rFonts w:hint="eastAsia" w:ascii="宋体" w:hAnsi="宋体" w:eastAsia="宋体" w:cs="宋体"/>
          <w:sz w:val="24"/>
          <w:szCs w:val="24"/>
        </w:rPr>
        <w:br w:type="textWrapping"/>
      </w:r>
      <w:r>
        <w:rPr>
          <w:rFonts w:hint="eastAsia" w:ascii="宋体" w:hAnsi="宋体" w:eastAsia="宋体" w:cs="宋体"/>
          <w:sz w:val="24"/>
          <w:szCs w:val="24"/>
        </w:rPr>
        <w:t xml:space="preserve">    凡辖区内所有街道、临街墙体、窗体、电线杆、车站、站牌、商家店辅、路牌、宣传栏、行道树、道路栏杆等。</w:t>
      </w:r>
      <w:r>
        <w:rPr>
          <w:rFonts w:hint="eastAsia" w:ascii="宋体" w:hAnsi="宋体" w:eastAsia="宋体" w:cs="宋体"/>
          <w:sz w:val="24"/>
          <w:szCs w:val="24"/>
        </w:rPr>
        <w:br w:type="textWrapping"/>
      </w:r>
      <w:r>
        <w:rPr>
          <w:rFonts w:hint="eastAsia" w:ascii="宋体" w:hAnsi="宋体" w:eastAsia="宋体" w:cs="宋体"/>
          <w:sz w:val="24"/>
          <w:szCs w:val="24"/>
        </w:rPr>
        <w:t xml:space="preserve">    （二）作业对象</w:t>
      </w:r>
      <w:r>
        <w:rPr>
          <w:rFonts w:hint="eastAsia" w:ascii="宋体" w:hAnsi="宋体" w:eastAsia="宋体" w:cs="宋体"/>
          <w:sz w:val="24"/>
          <w:szCs w:val="24"/>
        </w:rPr>
        <w:br w:type="textWrapping"/>
      </w:r>
      <w:r>
        <w:rPr>
          <w:rFonts w:hint="eastAsia" w:ascii="宋体" w:hAnsi="宋体" w:eastAsia="宋体" w:cs="宋体"/>
          <w:sz w:val="24"/>
          <w:szCs w:val="24"/>
        </w:rPr>
        <w:t xml:space="preserve">    张贴的各类小广告、宣传单、招聘启示等；喷涂类广告、违规宣传标语、口号等。</w:t>
      </w:r>
      <w:r>
        <w:rPr>
          <w:rFonts w:hint="eastAsia" w:ascii="宋体" w:hAnsi="宋体" w:eastAsia="宋体" w:cs="宋体"/>
          <w:sz w:val="24"/>
          <w:szCs w:val="24"/>
        </w:rPr>
        <w:br w:type="textWrapping"/>
      </w:r>
      <w:r>
        <w:rPr>
          <w:rFonts w:hint="eastAsia" w:ascii="宋体" w:hAnsi="宋体" w:eastAsia="宋体" w:cs="宋体"/>
          <w:sz w:val="24"/>
          <w:szCs w:val="24"/>
        </w:rPr>
        <w:t xml:space="preserve">    （三）作业方式</w:t>
      </w:r>
      <w:r>
        <w:rPr>
          <w:rFonts w:hint="eastAsia" w:ascii="宋体" w:hAnsi="宋体" w:eastAsia="宋体" w:cs="宋体"/>
          <w:sz w:val="24"/>
          <w:szCs w:val="24"/>
        </w:rPr>
        <w:br w:type="textWrapping"/>
      </w:r>
      <w:r>
        <w:rPr>
          <w:rFonts w:hint="eastAsia" w:ascii="宋体" w:hAnsi="宋体" w:eastAsia="宋体" w:cs="宋体"/>
          <w:sz w:val="24"/>
          <w:szCs w:val="24"/>
        </w:rPr>
        <w:t xml:space="preserve">    1、张贴类：清洗作业。临街墙体（灰墙）在清洗过程中损坏墙体灰层后应立即用颜色一样或相近的灰浆填补因清洗面损坏的墙体表面。其它可安全进行冲洗作业的范围在清洗工作结束后将清理中产生的所有垃圾自行清除。</w:t>
      </w:r>
      <w:r>
        <w:rPr>
          <w:rFonts w:hint="eastAsia" w:ascii="宋体" w:hAnsi="宋体" w:eastAsia="宋体" w:cs="宋体"/>
          <w:sz w:val="24"/>
          <w:szCs w:val="24"/>
        </w:rPr>
        <w:br w:type="textWrapping"/>
      </w:r>
      <w:r>
        <w:rPr>
          <w:rFonts w:hint="eastAsia" w:ascii="宋体" w:hAnsi="宋体" w:eastAsia="宋体" w:cs="宋体"/>
          <w:sz w:val="24"/>
          <w:szCs w:val="24"/>
        </w:rPr>
        <w:t xml:space="preserve">    2、喷漆类：清洗+遮盖作业；对于临街墙体（灰墙）的喷涂类“牛皮癣”做遮盖处理，遮盖用灰浆的颜色必须与原墙颜色一样或相近，不能做遮盖处理的临街墙体或其他范围用药水清洗。注意不得损坏该作业范围的原有颜色。</w:t>
      </w:r>
      <w:r>
        <w:rPr>
          <w:rFonts w:hint="eastAsia" w:ascii="宋体" w:hAnsi="宋体" w:eastAsia="宋体" w:cs="宋体"/>
          <w:sz w:val="24"/>
          <w:szCs w:val="24"/>
        </w:rPr>
        <w:br w:type="textWrapping"/>
      </w:r>
      <w:r>
        <w:rPr>
          <w:rFonts w:hint="eastAsia" w:ascii="宋体" w:hAnsi="宋体" w:eastAsia="宋体" w:cs="宋体"/>
          <w:sz w:val="24"/>
          <w:szCs w:val="24"/>
        </w:rPr>
        <w:t xml:space="preserve">    （四）作业时间</w:t>
      </w:r>
      <w:r>
        <w:rPr>
          <w:rFonts w:hint="eastAsia" w:ascii="宋体" w:hAnsi="宋体" w:eastAsia="宋体" w:cs="宋体"/>
          <w:sz w:val="24"/>
          <w:szCs w:val="24"/>
        </w:rPr>
        <w:br w:type="textWrapping"/>
      </w:r>
      <w:r>
        <w:rPr>
          <w:rFonts w:hint="eastAsia" w:ascii="宋体" w:hAnsi="宋体" w:eastAsia="宋体" w:cs="宋体"/>
          <w:sz w:val="24"/>
          <w:szCs w:val="24"/>
        </w:rPr>
        <w:t xml:space="preserve">    上午8：30以前清理干净。全天持续性巡查清理。</w:t>
      </w:r>
      <w:r>
        <w:rPr>
          <w:rFonts w:hint="eastAsia" w:ascii="宋体" w:hAnsi="宋体" w:eastAsia="宋体" w:cs="宋体"/>
          <w:sz w:val="24"/>
          <w:szCs w:val="24"/>
        </w:rPr>
        <w:br w:type="textWrapping"/>
      </w:r>
      <w:r>
        <w:rPr>
          <w:rFonts w:hint="eastAsia" w:ascii="宋体" w:hAnsi="宋体" w:eastAsia="宋体" w:cs="宋体"/>
          <w:sz w:val="24"/>
          <w:szCs w:val="24"/>
        </w:rPr>
        <w:t xml:space="preserve">    （五）质量标准</w:t>
      </w:r>
      <w:r>
        <w:rPr>
          <w:rFonts w:hint="eastAsia" w:ascii="宋体" w:hAnsi="宋体" w:eastAsia="宋体" w:cs="宋体"/>
          <w:sz w:val="24"/>
          <w:szCs w:val="24"/>
        </w:rPr>
        <w:br w:type="textWrapping"/>
      </w:r>
      <w:r>
        <w:rPr>
          <w:rFonts w:hint="eastAsia" w:ascii="宋体" w:hAnsi="宋体" w:eastAsia="宋体" w:cs="宋体"/>
          <w:sz w:val="24"/>
          <w:szCs w:val="24"/>
        </w:rPr>
        <w:t xml:space="preserve">    辖区内街道和主要道路达到100%无“牛皮癣”、无清除“牛皮癣”留下的痕迹，持续性清理达到100%。</w:t>
      </w:r>
    </w:p>
    <w:p>
      <w:pPr>
        <w:spacing w:line="360" w:lineRule="auto"/>
        <w:ind w:firstLine="480" w:firstLineChars="200"/>
        <w:jc w:val="center"/>
        <w:rPr>
          <w:rFonts w:ascii="宋体" w:hAnsi="宋体" w:eastAsia="宋体" w:cs="宋体"/>
          <w:sz w:val="24"/>
          <w:szCs w:val="24"/>
        </w:rPr>
      </w:pPr>
      <w:r>
        <w:rPr>
          <w:rFonts w:hint="eastAsia" w:ascii="宋体" w:hAnsi="宋体" w:eastAsia="宋体" w:cs="宋体"/>
          <w:sz w:val="24"/>
          <w:szCs w:val="24"/>
        </w:rPr>
        <w:t>第十章</w:t>
      </w:r>
      <w:r>
        <w:rPr>
          <w:rFonts w:hint="eastAsia" w:ascii="宋体" w:hAnsi="宋体" w:eastAsia="宋体" w:cs="宋体"/>
          <w:sz w:val="24"/>
          <w:szCs w:val="24"/>
        </w:rPr>
        <w:tab/>
      </w:r>
      <w:r>
        <w:rPr>
          <w:rFonts w:hint="eastAsia" w:ascii="宋体" w:hAnsi="宋体" w:eastAsia="宋体" w:cs="宋体"/>
          <w:sz w:val="24"/>
          <w:szCs w:val="24"/>
        </w:rPr>
        <w:t>环卫设备管理</w:t>
      </w: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(一）机具</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环卫作业公司应当严格执行合同约定，保证设施设备和作业机具的种类、功能、数量配置到位。</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吸尘车、扫地车、吸（洗）扫一体车、洒水车、垃圾收运车、快速捡拾车和高压清洗车等作业车辆，应统一印制所在单位（公司)、街办名称和自编号。作业车辆应当安装卫星定位系统，接入管理方监控平台。</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作业车辆尾部须悬挂“环卫作业，请勿靠近”放大反光标志牌。作业过程中必须严格遵守交通法规，临时停靠必须紧靠路边,距公交车站50米内禁止停车,停车时不得影响其他车辆、行人通行，并在车后设警示标志。</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环卫清扫保洁作业机具应当自觉遵守“净身洁容”规定，保证车身洁净、无泥尘、无垃圾、无锈迹，整洁美观。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环卫作业车辆应随着城市发展和管理要求持续推进提档升级，积极引进和使用先进、环保、新能源和智能化车辆，燃油车尾气排放应达到国家规定的排放标准。垃圾运输车辆密闭装置存在设计缺陷的，应实施技术改造或逐步淘汰;小型垃圾收集车辆要更换为密闭良好的小型厢式货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(二)作业人员</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环卫作业公司应当严格执行服务项目合同约定，足额配置作业人员。</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环卫作业人员应当着带有夜间反光标志，统一印有所在单位（公司)中文名称、标识的服装，并佩戴工作牌（卡）上岗。</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作业人员须参加所在公司组织的培训、岗位竞赛和应急演练活动，强化安全意识，提高清扫技能，提升街面保洁质量。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环卫作业机动车驾驶员必须取得相应车辆驾驶证，作业时随身携带，并严格遵守交通法规。</w:t>
      </w:r>
    </w:p>
    <w:p>
      <w:pPr>
        <w:pStyle w:val="5"/>
      </w:pPr>
      <w:bookmarkStart w:id="55" w:name="_Toc26639"/>
      <w:r>
        <w:rPr>
          <w:rFonts w:hint="eastAsia"/>
        </w:rPr>
        <w:t>八、</w:t>
      </w:r>
      <w:r>
        <w:t>考核标准及考核制度</w:t>
      </w:r>
      <w:r>
        <w:rPr>
          <w:rFonts w:hint="eastAsia"/>
        </w:rPr>
        <w:t>（实质性要求）</w:t>
      </w:r>
      <w:bookmarkEnd w:id="55"/>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严格按照市、区城市管理主管部门制定的相关考评办法，结合华兴街道辖区实际情况，特制订本考核办法：</w:t>
      </w:r>
    </w:p>
    <w:p>
      <w:pPr>
        <w:numPr>
          <w:ilvl w:val="0"/>
          <w:numId w:val="4"/>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环卫作业管理考核组织和考核方式：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（一）街道成立环卫作业管理考评领导小组，办公室设在综合执法协调办，成员由综合执法协调办（城管办）、综合执法中队、各社区和街道聘请的第三方监督考核机构组成。</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（二）管理考核分为街道内部考核和上级考核两种方式，街道内部考核以百分制计，每5000.00元/分，上级考核以市城管委、区城管局排名为准。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（三）综合执法协调办（城管办）和综合执法中队按照环卫手册要求，安排人员白天不少于3次，夜间不少于2次对辖区进行全覆盖巡查。采用徒步方式实地查看和拍照留存方式。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（四）环卫作业管理考评领导小组每月对街面环卫作业情况进行考评，方式为对各社区随机抽查三条街道，其中大、中、小街道各1条。采用徒步方式实地查看和拍照留存方式。</w:t>
      </w:r>
    </w:p>
    <w:p>
      <w:pPr>
        <w:numPr>
          <w:ilvl w:val="0"/>
          <w:numId w:val="4"/>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考核评分标准：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（一）环卫作业公司机制制度管理：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1、按招标文件要求配备管理人员和环卫作业人员，设置路段管理公示牌，每缺人员一名扣0.1分，不达标一处扣0.1分；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2、清扫保洁工具、设备齐全，每不符合要求一处扣0.1分；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3、管理人员巡查检查到位，巡查日志完整，每不符合要求一处扣0.1分；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4、作业人员必须穿戴符合规范标准的工作服上岗，坐岗、离岗和集体聊天的扣0.1分/人次，夜间作业人员未佩戴反光背心扣0.1分/人次；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5、严格执行交接班制度，不脱岗、不断档，发现一次扣0.2分；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6、不得乱倒、焚烧垃圾，发现一次将垃圾倒入路边围墙内、死角处、绿化带及下水道的，每发现一次扣0.5分。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7、文明作业，因环卫工人原因与过往车辆、行人或沿街商铺发生纠纷的，发现一次或投诉一次扣0.2分；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8、积极配合、服从街道综合执法协调办（城管办）相关工作安排，不服从安排的每次扣1分；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9、按要求购买从业人员相关保险，环卫工人工资不低于成都市最低工资标准的130%，未达要求发现一次扣2分；按时、足额发放工人工资，发生一次劳资纠纷扣0.5分。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（二）清扫保洁作业：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道路实行2班清扫24小时保洁全区域全时段作业；3次清扫时间分别是：每日早7:00前必须完成第一次普扫，中午14:00前完成第二次普扫，晚上18:00前完成第三次普扫。未按时完成普扫工作的，每发现一条街扣0.5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2、路面（含机动车道、非机动车道、人行道、绿化带）有烟头、白色垃圾、果皮、纸屑、杂物堆积、积水、污渍、宠物粪便或其它垃圾等问题，15分钟后复查，复查未处理，发现1种计一笔，每笔扣0.1分；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3、车行道及道路两侧边沟路沿石、人行道方砖有积尘积泥、油渍、污垢，发现一处扣0.1分；未按要求进行灰带冲洗，导致道路有明显扬尘、灰带较重的，每条街扣0.2分；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4、环卫工人将垃圾扫进排水口、水篦子等处的，发现一次扣0.2分，排水口、水篦子处有垃圾堆放的，发现一处扣0.2分；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5、环卫作业工具随意摆放，有碍观瞻的，每处扣0.1分；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6、机械作业未按规定时间作业的，每次扣0.2分；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7、快速保洁人员责任街道每半小时巡回作业一次。未按时作业的，每发现一次扣0.2分；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8、路面牛皮癣未清除干净的，每处扣0.1分；书写、喷涂“牛皮癣”，发现一处扣0.1 分；张贴“牛皮癣”发现一例扣0.1分。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9、被市、区级通报，媒体曝光和市民举报的“牛皮癣”，经查核实后，书写、喷涂类一例扣0.1分，张贴类一处扣0.2分。</w:t>
      </w: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（三）环卫设施：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1、垃圾桶、果屑箱有倒伏、破坏损坏、油漆剥落、果屑箱门有破损，影响使用和观瞻，未及时上报处理的，发现一处扣0.1分；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2、每日清洗垃圾桶、果屑箱，垃圾桶、果屑箱外壁有明显污渍、积灰，有垃圾外挂、乱涂乱画现象的，每处扣0.1分；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3、果屑箱散发臭味，周围有散落垃圾、油污水，乱堆放枯枝杂物、砖头石块未及时清理的，每发现一处扣0.1分；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4、果屑箱须套袋并定人定时按标准、流程清洗和清掏，垃圾桶、果屑箱被翻运后应及时归位，并及时清扫，做到桶点无暴露垃圾、无积压，不符合要求每处扣0.1分；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5、定期对垃圾桶、果屑箱及周边进行全面消杀。夏季（5——10月）每日消杀两次次，其余时段每日消杀一次，未落实到位的，每条街扣0.1分；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6、环卫工人翻拣垃圾和焚烧垃圾，发现一次扣0.1分；垃圾桶点出现焚烧情况，无人处理灭火灭烟的，发现一次扣0.1分；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7、保持各类机械作业车辆（含电动四轮、电动三轮）清洁整洁。机械车辆有破损、脱漆、车身污渍严重的，每发现一辆车扣0.1分。</w:t>
      </w: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（四）垃圾分类运输考核</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1、垃圾收集：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（1）未按分类要求在垃圾点摆放垃圾分类桶，桶身不整洁干净、标识不规范的每处扣 5 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（2）区域内垃圾收集未袋装化和密闭化，有垃圾散暴、有使用箩筐或露天堆放的每处扣 2 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（3）有散装垃圾扣 20 分，垃圾袋落地扣 10 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（4）垃圾收集车（含保洁三轮车、洒水三轮车）有破损、锈迹的每车每月扣5 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（5）垃圾收集车运输过程中扬尘、撒漏的每车扣 0.5--1 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（6）收集点周围收运完毕后未及时清洗、有散落垃圾、污水的每处扣 1 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（7）单位及居民院落未收集的一次扣 2 分，一袋扣 0.5 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（8）街面的废弃杂物超出 30 分钟未清运的一次扣 0.5 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（9）垃圾站点不得大面积堆放，发现一次扣10 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（10）工人不得翻拣垃圾，发现一次扣10 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（11）严禁将建筑渣土杂物等运进生活垃圾压缩站（场），发现一次扣款 10 分，最高可扣罚20 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（12）乙方所有作业工人不得将华兴街道办事处辖区以外的各类垃圾收集至本辖区，如甲方发现一次扣除乙方10 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（13）垃圾车收集应定时、定段不丢袋、无积压，做到日产日清，丢袋和积压每袋扣 1 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（14）垃圾桶应及时归位，对垃圾桶清洗和点应清扫、清洗，桶点无散暴垃圾，无积压，未符合要求每处扣 2 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（15）临时性无主生活垃圾（街面无主大件垃圾、无主建渣等）的转运超过 30 分钟（不含 30 分钟）处理辖区内临时性无主生活垃圾（含街面无主大件垃圾、无主建渣等）的扣 0.5--1 分/处，超 40 分钟未处理的每增加 10 分钟加扣 1 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2、垃圾分类运输</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（1）垃圾运输采取密闭分类运输、专车专运、未密闭运输、混合运输的，一台/次扣 10分。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（2）垃圾运输车应车容整洁，车况良好，车牌号完整，车身广告应符合垃圾分类收运要求，未符合要求每车扣5分。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垃圾运输采取密闭式，未密闭运输的，一台/次扣 2 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（3）垃圾车不得超高和超载运输，违反者一台/次扣 2 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（4）垃圾运输过程中应无撒漏，违反者一台/次扣 3 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（5）垃圾运输车应车容整洁，车况良好，车牌号完整，未符合要求每车次扣 2 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街面生活垃圾收运实行全时段循环不落地收运转运；收运采取定时、巡回及电话、APP预约收运三种方式。在早7点30分以前辖区全面运输收运必须结束，做到无垃圾落地、无大件垃圾、无果屑箱暴桶，在早7点30分以后每发现一处扣0.2分；三轮、四轮电动收集车对小区及临街商铺垃圾进行巡回收集，每天巡回收集不少于两次（上午、下午最少各一次），未落实每次扣0.2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（7）对居民住宅小区、单位生活垃圾实行定人定时收运，作业时间为早5:00至9:00，每发现1次未收运完毕的将扣0.2分。对垃圾量大的院落按综合执法协调办（城管办）要求每天收运2次。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（8）因压缩站原因或机械设备原因造成无法正常运送时，辖区所有垃圾须运往垃圾中转房进行规范管理，不得出现街面乱堆积，每发现1次将扣1分；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（9）重点时段收运：安排专门力量负责在中午11：30至14：00，下午17：00至20：00，夜间21:00至次日01:00等时间段的垃圾收运，每发现1个时间段未按时收运扣1分；</w:t>
      </w:r>
    </w:p>
    <w:p>
      <w:pPr>
        <w:numPr>
          <w:ilvl w:val="0"/>
          <w:numId w:val="5"/>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绿化带：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每天须巡查至少2遍，发现问题及时清理，保持绿化带无白色垃圾和堆积物，每发现1处白色垃圾扣0.1分，若发现绿化带内有积存垃圾扣1分。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（六)督办及数字化城管处置：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接综合执法协调办（城管办）通知后，应在第一时间整改完毕并以电子文档及照片回复，每发生1起推诿或延误的，扣0.3分；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（七）道路冲洗：</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1、一级道路每天冲洗不少于2次，2级道路不少于1次，保持边沟整洁卫生。启动应急预案时，须增加冲洗降尘次数。每少冲洗一次，未做到的一条街扣0.2分；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2、人行道含路沿石的冲洗按手册规定进行。冲洗除尘后无积泥积尘、无污水、无油迹、无灰带。凡在检查中发现一处扣0.2分。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三、专项检查考核内容，按照公司排名考核：</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全区月度考核排名后三名，倒数第三名一次性扣除10000元环卫作业经费，倒数第二名一次性扣除20000元环卫作业经费，倒数第一名一次性扣除30000元环卫作业经费；全区月度考核排名前三名，第三名一次性予以10000元奖励，第二名一次性予以15000元奖励，第一名给予20000元奖励；排名中间名次不予奖惩。</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（二）文明指数测评、城乡环境治理专项检查中，被市、区主管部门通报批评，或排名涉农街道后三名，一次性予以20000元处罚，并由公司主要负责人向街道作出书面说明。</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甲方年度环卫作业考核排名全区后三名，倒数第三名一次性扣除10万元作业经费，倒数第二名一次性扣除120000元环卫作业经费，倒数第一名一次性扣除150000元环卫作业经费；全年年度考核排名前三名，第三名一次性予以80000元奖励，第二名一次性予以100000元奖励，第一名给予120000元奖励；排名中间名次不予奖惩。</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四、媒体和领导监督考核内容</w:t>
      </w:r>
    </w:p>
    <w:p>
      <w:pPr>
        <w:spacing w:line="360" w:lineRule="auto"/>
        <w:rPr>
          <w:rFonts w:ascii="宋体" w:hAnsi="宋体" w:eastAsia="宋体" w:cs="宋体"/>
          <w:sz w:val="24"/>
          <w:szCs w:val="24"/>
        </w:rPr>
      </w:pPr>
      <w:r>
        <w:rPr>
          <w:rFonts w:hint="eastAsia" w:ascii="宋体" w:hAnsi="宋体" w:eastAsia="宋体" w:cs="宋体"/>
          <w:sz w:val="24"/>
          <w:szCs w:val="24"/>
        </w:rPr>
        <w:t xml:space="preserve">   （一）每发生一起负面报道或问责通报视其影响程度分别予以10000元至30000元处罚；</w:t>
      </w:r>
    </w:p>
    <w:p>
      <w:pPr>
        <w:spacing w:line="360" w:lineRule="auto"/>
        <w:rPr>
          <w:rFonts w:ascii="宋体" w:hAnsi="宋体" w:eastAsia="宋体" w:cs="宋体"/>
          <w:sz w:val="24"/>
          <w:szCs w:val="24"/>
        </w:rPr>
      </w:pPr>
      <w:r>
        <w:rPr>
          <w:rFonts w:hint="eastAsia" w:ascii="宋体" w:hAnsi="宋体" w:eastAsia="宋体" w:cs="宋体"/>
          <w:sz w:val="24"/>
          <w:szCs w:val="24"/>
        </w:rPr>
        <w:t xml:space="preserve">   （二）被区委区政府领导点名批评，每次予以20000元处罚，被市级领导点名批评，每次予以40000元处罚。</w:t>
      </w:r>
    </w:p>
    <w:p>
      <w:pPr>
        <w:spacing w:after="120" w:line="360" w:lineRule="auto"/>
        <w:rPr>
          <w:rFonts w:ascii="宋体" w:hAnsi="宋体" w:eastAsia="宋体" w:cs="宋体"/>
          <w:sz w:val="24"/>
          <w:szCs w:val="24"/>
        </w:rPr>
      </w:pPr>
      <w:r>
        <w:rPr>
          <w:rFonts w:hint="eastAsia" w:ascii="宋体" w:hAnsi="宋体" w:eastAsia="宋体" w:cs="宋体"/>
          <w:sz w:val="24"/>
          <w:szCs w:val="24"/>
        </w:rPr>
        <w:t xml:space="preserve">   （三）由综合执法协调办（城管办）不定期进行清标，对人工、机械设备未满足招标需求的，一次性给予50000元处罚，连续两次清标未达标的，将对中标公司。</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五、处罚计算及依据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（一）以上各项处罚实行累计制，由综合执法协调办（城管办）核准后，每月在环卫作业经费中扣除。处罚依据为工作人员巡查记录、照相取证和上级通报。</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（二）督查考核方式︰由城管办和综合执法中队按照环卫手册要求，安排人员白天不少于3次，夜间不少于2次对辖区进行全覆盖巡查。</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六、约谈及清退办法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（一）按照投标内容对机具和人员配备情况进行现场验收，GPS锁定验收车辆，杜绝中标公司使用其他项目配置车辆来通过验收工作。如未按时按要求配备到位，视为不符合中标条件，采购人有权终止合同。</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（二）对履行合同不力的作业单位，按照成都市武侯区城市管理局《关于印发武侯区环境卫生质量重大问题约谈制度（试行）》（成武城〔2014) 119号）通知等要求，进行约谈、警告及处罚。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（三）在区级考核连续2个月排名考核序列最后一名的环卫公司，其项目经理必须更换，且不得在我区进行项目管理。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（四）在区级年度考核内，对连续3个月排名考核序列最后一名或累计4次以上（含4次）的环卫作业公司，实行末位淘汰，视为未按合同约定履行义务，由招标业主单位终止合同，不再续签。</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（五）在合同服务期内，对区级年度考核连续两年排名考核序列最后一名的实行末位淘汰，视为未按合同约定履行义务，由招标业主单位终止合同。</w:t>
      </w:r>
      <w:r>
        <w:rPr>
          <w:rFonts w:ascii="宋体" w:hAnsi="宋体" w:eastAsia="宋体" w:cs="宋体"/>
          <w:sz w:val="24"/>
          <w:szCs w:val="24"/>
        </w:rPr>
        <w:t xml:space="preserve">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七、环卫作业经费拨付办法：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当月考核，次月按考核结果拨付。</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八、本办法由成都市武侯区人民政府华兴街道办事处负责解释。</w:t>
      </w:r>
    </w:p>
    <w:p>
      <w:pPr>
        <w:spacing w:line="360" w:lineRule="auto"/>
        <w:jc w:val="left"/>
        <w:rPr>
          <w:rFonts w:ascii="宋体" w:hAnsi="宋体" w:eastAsia="宋体"/>
          <w:sz w:val="18"/>
          <w:szCs w:val="18"/>
        </w:rPr>
      </w:pPr>
    </w:p>
    <w:p>
      <w:pPr>
        <w:widowControl/>
        <w:jc w:val="left"/>
        <w:rPr>
          <w:rFonts w:ascii="宋体" w:hAnsi="宋体" w:eastAsia="宋体"/>
          <w:sz w:val="18"/>
          <w:szCs w:val="18"/>
        </w:rPr>
      </w:pPr>
      <w:r>
        <w:rPr>
          <w:rFonts w:ascii="宋体" w:hAnsi="宋体" w:eastAsia="宋体"/>
          <w:sz w:val="18"/>
          <w:szCs w:val="18"/>
        </w:rPr>
        <w:br w:type="page"/>
      </w:r>
    </w:p>
    <w:p>
      <w:pPr>
        <w:spacing w:line="360" w:lineRule="auto"/>
        <w:jc w:val="left"/>
        <w:rPr>
          <w:rFonts w:ascii="宋体" w:hAnsi="宋体" w:eastAsia="宋体"/>
          <w:sz w:val="18"/>
          <w:szCs w:val="18"/>
        </w:rPr>
      </w:pPr>
    </w:p>
    <w:p>
      <w:pPr>
        <w:pStyle w:val="4"/>
        <w:spacing w:before="0" w:after="0" w:line="578" w:lineRule="auto"/>
        <w:jc w:val="center"/>
        <w:rPr>
          <w:rFonts w:ascii="宋体" w:hAnsi="宋体" w:eastAsia="宋体"/>
          <w:color w:val="auto"/>
          <w:sz w:val="32"/>
          <w:szCs w:val="32"/>
        </w:rPr>
      </w:pPr>
      <w:bookmarkStart w:id="56" w:name="_Toc25806"/>
      <w:r>
        <w:rPr>
          <w:rFonts w:ascii="宋体" w:hAnsi="宋体" w:eastAsia="宋体"/>
          <w:color w:val="auto"/>
          <w:sz w:val="32"/>
          <w:szCs w:val="32"/>
        </w:rPr>
        <w:t>第六章评标办法</w:t>
      </w:r>
      <w:bookmarkEnd w:id="56"/>
    </w:p>
    <w:p>
      <w:pPr>
        <w:pStyle w:val="5"/>
        <w:spacing w:before="0" w:after="0" w:line="415" w:lineRule="auto"/>
        <w:jc w:val="both"/>
        <w:rPr>
          <w:rFonts w:ascii="宋体" w:hAnsi="宋体" w:eastAsia="宋体"/>
          <w:color w:val="auto"/>
          <w:sz w:val="24"/>
          <w:szCs w:val="24"/>
        </w:rPr>
      </w:pPr>
      <w:bookmarkStart w:id="57" w:name="_Toc17767"/>
      <w:r>
        <w:rPr>
          <w:rFonts w:ascii="宋体" w:hAnsi="宋体" w:eastAsia="宋体"/>
          <w:color w:val="auto"/>
          <w:sz w:val="24"/>
          <w:szCs w:val="24"/>
        </w:rPr>
        <w:t>1. 总则</w:t>
      </w:r>
      <w:bookmarkEnd w:id="57"/>
    </w:p>
    <w:p>
      <w:pPr>
        <w:spacing w:line="400" w:lineRule="exact"/>
        <w:ind w:firstLine="480" w:firstLineChars="200"/>
        <w:rPr>
          <w:rFonts w:ascii="宋体" w:hAnsi="宋体" w:eastAsia="宋体"/>
          <w:sz w:val="24"/>
          <w:szCs w:val="24"/>
        </w:rPr>
      </w:pPr>
      <w:r>
        <w:rPr>
          <w:rFonts w:ascii="宋体" w:hAnsi="宋体" w:eastAsia="宋体"/>
          <w:sz w:val="24"/>
          <w:szCs w:val="24"/>
        </w:rPr>
        <w:t>1.1 根据《中华人民共和国政府采购法》《中华人民共和国政府采购法实施条例》《政府采购货物和服务招标投标管理办法》等法律制度，结合采购项目特点制定本评标办法。</w:t>
      </w:r>
    </w:p>
    <w:p>
      <w:pPr>
        <w:spacing w:line="400" w:lineRule="exact"/>
        <w:ind w:firstLine="480" w:firstLineChars="200"/>
        <w:rPr>
          <w:rFonts w:ascii="宋体" w:hAnsi="宋体" w:eastAsia="宋体"/>
          <w:sz w:val="24"/>
          <w:szCs w:val="24"/>
        </w:rPr>
      </w:pPr>
      <w:r>
        <w:rPr>
          <w:rFonts w:ascii="宋体" w:hAnsi="宋体" w:eastAsia="宋体"/>
          <w:sz w:val="24"/>
          <w:szCs w:val="24"/>
        </w:rPr>
        <w:t>1.2 评标工作由采购代理机构负责组织，具体评标事务由采购代理机构依法组建的评标委员会负责。评标委员会由采购人代表和有关技术、经济、法律等方面的专家组成。</w:t>
      </w:r>
    </w:p>
    <w:p>
      <w:pPr>
        <w:spacing w:line="400" w:lineRule="exact"/>
        <w:ind w:firstLine="480" w:firstLineChars="200"/>
        <w:rPr>
          <w:rFonts w:ascii="宋体" w:hAnsi="宋体" w:eastAsia="宋体"/>
          <w:sz w:val="24"/>
          <w:szCs w:val="24"/>
        </w:rPr>
      </w:pPr>
      <w:r>
        <w:rPr>
          <w:rFonts w:ascii="宋体" w:hAnsi="宋体" w:eastAsia="宋体"/>
          <w:sz w:val="24"/>
          <w:szCs w:val="24"/>
        </w:rPr>
        <w:t>1.3 评标工作应遵循公平、公正、科学及择优的原则，并以相同的评标程序和标准对待所有的投标人。</w:t>
      </w:r>
    </w:p>
    <w:p>
      <w:pPr>
        <w:spacing w:line="400" w:lineRule="exact"/>
        <w:ind w:firstLine="480" w:firstLineChars="200"/>
        <w:rPr>
          <w:rFonts w:ascii="宋体" w:hAnsi="宋体" w:eastAsia="宋体"/>
          <w:sz w:val="24"/>
          <w:szCs w:val="24"/>
        </w:rPr>
      </w:pPr>
      <w:r>
        <w:rPr>
          <w:rFonts w:ascii="宋体" w:hAnsi="宋体" w:eastAsia="宋体"/>
          <w:sz w:val="24"/>
          <w:szCs w:val="24"/>
        </w:rPr>
        <w:t>1.4 评标委员会按照招标文件规定的评标方法和标准进行评标，并独立履行下列职责：</w:t>
      </w:r>
    </w:p>
    <w:p>
      <w:pPr>
        <w:spacing w:line="400" w:lineRule="exact"/>
        <w:ind w:firstLine="480" w:firstLineChars="200"/>
        <w:rPr>
          <w:rFonts w:ascii="宋体" w:hAnsi="宋体" w:eastAsia="宋体"/>
          <w:sz w:val="24"/>
          <w:szCs w:val="24"/>
        </w:rPr>
      </w:pPr>
      <w:r>
        <w:rPr>
          <w:rFonts w:ascii="宋体" w:hAnsi="宋体" w:eastAsia="宋体"/>
          <w:sz w:val="24"/>
          <w:szCs w:val="24"/>
        </w:rPr>
        <w:t>（一）熟悉和理解招标文件；</w:t>
      </w:r>
    </w:p>
    <w:p>
      <w:pPr>
        <w:spacing w:line="400" w:lineRule="exact"/>
        <w:ind w:firstLine="480" w:firstLineChars="200"/>
        <w:rPr>
          <w:rFonts w:ascii="宋体" w:hAnsi="宋体" w:eastAsia="宋体"/>
          <w:sz w:val="24"/>
          <w:szCs w:val="24"/>
        </w:rPr>
      </w:pPr>
      <w:r>
        <w:rPr>
          <w:rFonts w:ascii="宋体" w:hAnsi="宋体" w:eastAsia="宋体"/>
          <w:sz w:val="24"/>
          <w:szCs w:val="24"/>
        </w:rPr>
        <w:t>（二）审查供应商（已通过资格审查）投标文件等是否满足招标文件要求，并作出评价；</w:t>
      </w:r>
    </w:p>
    <w:p>
      <w:pPr>
        <w:spacing w:line="400" w:lineRule="exact"/>
        <w:ind w:firstLine="480" w:firstLineChars="200"/>
        <w:rPr>
          <w:rFonts w:ascii="宋体" w:hAnsi="宋体" w:eastAsia="宋体"/>
          <w:sz w:val="24"/>
          <w:szCs w:val="24"/>
        </w:rPr>
      </w:pPr>
      <w:r>
        <w:rPr>
          <w:rFonts w:ascii="宋体" w:hAnsi="宋体" w:eastAsia="宋体"/>
          <w:sz w:val="24"/>
          <w:szCs w:val="24"/>
        </w:rPr>
        <w:t>（三）根据需要要求招标采购单位对招标文件作出解释；根据需要要求供应商对投标文件有关事项作出澄清、说明或者更正；</w:t>
      </w:r>
    </w:p>
    <w:p>
      <w:pPr>
        <w:spacing w:line="400" w:lineRule="exact"/>
        <w:ind w:firstLine="480" w:firstLineChars="200"/>
        <w:rPr>
          <w:rFonts w:ascii="宋体" w:hAnsi="宋体" w:eastAsia="宋体"/>
          <w:sz w:val="24"/>
          <w:szCs w:val="24"/>
        </w:rPr>
      </w:pPr>
      <w:r>
        <w:rPr>
          <w:rFonts w:ascii="宋体" w:hAnsi="宋体" w:eastAsia="宋体"/>
          <w:sz w:val="24"/>
          <w:szCs w:val="24"/>
        </w:rPr>
        <w:t>（四）推荐中标候选供应商，或者受采购人委托确定中标供应商；</w:t>
      </w:r>
    </w:p>
    <w:p>
      <w:pPr>
        <w:spacing w:line="400" w:lineRule="exact"/>
        <w:ind w:firstLine="480" w:firstLineChars="200"/>
        <w:rPr>
          <w:rFonts w:ascii="宋体" w:hAnsi="宋体" w:eastAsia="宋体"/>
          <w:sz w:val="24"/>
          <w:szCs w:val="24"/>
        </w:rPr>
      </w:pPr>
      <w:r>
        <w:rPr>
          <w:rFonts w:ascii="宋体" w:hAnsi="宋体" w:eastAsia="宋体"/>
          <w:sz w:val="24"/>
          <w:szCs w:val="24"/>
        </w:rPr>
        <w:t>（五）起草评标报告并进行签署；</w:t>
      </w:r>
    </w:p>
    <w:p>
      <w:pPr>
        <w:spacing w:line="400" w:lineRule="exact"/>
        <w:ind w:firstLine="480" w:firstLineChars="200"/>
        <w:rPr>
          <w:rFonts w:ascii="宋体" w:hAnsi="宋体" w:eastAsia="宋体"/>
          <w:sz w:val="24"/>
          <w:szCs w:val="24"/>
        </w:rPr>
      </w:pPr>
      <w:r>
        <w:rPr>
          <w:rFonts w:ascii="宋体" w:hAnsi="宋体" w:eastAsia="宋体"/>
          <w:sz w:val="24"/>
          <w:szCs w:val="24"/>
        </w:rPr>
        <w:t>（六）向招标采购单位、财政部门或者其他监督部门报告非法干预评标工作的行为；</w:t>
      </w:r>
    </w:p>
    <w:p>
      <w:pPr>
        <w:spacing w:line="400" w:lineRule="exact"/>
        <w:ind w:firstLine="480" w:firstLineChars="200"/>
        <w:rPr>
          <w:rFonts w:ascii="宋体" w:hAnsi="宋体" w:eastAsia="宋体"/>
          <w:sz w:val="24"/>
          <w:szCs w:val="24"/>
        </w:rPr>
      </w:pPr>
      <w:r>
        <w:rPr>
          <w:rFonts w:ascii="宋体" w:hAnsi="宋体" w:eastAsia="宋体"/>
          <w:sz w:val="24"/>
          <w:szCs w:val="24"/>
        </w:rPr>
        <w:t>（七）法律、法规和规章规定的其他职责。</w:t>
      </w:r>
    </w:p>
    <w:p>
      <w:pPr>
        <w:spacing w:line="400" w:lineRule="exact"/>
        <w:ind w:firstLine="480" w:firstLineChars="200"/>
        <w:rPr>
          <w:rFonts w:ascii="宋体" w:hAnsi="宋体" w:eastAsia="宋体"/>
          <w:sz w:val="24"/>
          <w:szCs w:val="24"/>
        </w:rPr>
      </w:pPr>
      <w:r>
        <w:rPr>
          <w:rFonts w:ascii="宋体" w:hAnsi="宋体" w:eastAsia="宋体"/>
          <w:sz w:val="24"/>
          <w:szCs w:val="24"/>
        </w:rPr>
        <w:t>1.5 评标过程独立、保密。投标人非法干预评标评标过程的行为将导致其投标文件作为无效处理。</w:t>
      </w:r>
    </w:p>
    <w:p>
      <w:pPr>
        <w:spacing w:line="400" w:lineRule="exact"/>
        <w:ind w:firstLine="480" w:firstLineChars="200"/>
        <w:rPr>
          <w:rFonts w:ascii="宋体" w:hAnsi="宋体" w:eastAsia="宋体"/>
          <w:sz w:val="24"/>
          <w:szCs w:val="24"/>
        </w:rPr>
      </w:pPr>
      <w:r>
        <w:rPr>
          <w:rFonts w:ascii="宋体" w:hAnsi="宋体" w:eastAsia="宋体"/>
          <w:sz w:val="24"/>
          <w:szCs w:val="24"/>
        </w:rPr>
        <w:t>1.6评标委员会评价投标文件的响应性，对于投标人而言，除评标委员会要求其澄清、说明或者更正而提供的资料外，仅依据投标文件本身的内容，不寻求其他外部证据。</w:t>
      </w:r>
    </w:p>
    <w:p>
      <w:pPr>
        <w:pStyle w:val="5"/>
        <w:spacing w:before="0" w:after="0" w:line="415" w:lineRule="auto"/>
        <w:jc w:val="both"/>
        <w:rPr>
          <w:rFonts w:ascii="宋体" w:hAnsi="宋体" w:eastAsia="宋体"/>
          <w:color w:val="auto"/>
          <w:sz w:val="24"/>
          <w:szCs w:val="24"/>
        </w:rPr>
      </w:pPr>
      <w:bookmarkStart w:id="58" w:name="_Toc23117"/>
      <w:r>
        <w:rPr>
          <w:rFonts w:ascii="宋体" w:hAnsi="宋体" w:eastAsia="宋体"/>
          <w:color w:val="auto"/>
          <w:sz w:val="24"/>
          <w:szCs w:val="24"/>
        </w:rPr>
        <w:t>2. 评标方法</w:t>
      </w:r>
      <w:bookmarkEnd w:id="58"/>
    </w:p>
    <w:p>
      <w:pPr>
        <w:spacing w:line="400" w:lineRule="exact"/>
        <w:ind w:firstLine="480" w:firstLineChars="200"/>
        <w:rPr>
          <w:rFonts w:ascii="宋体" w:hAnsi="宋体" w:eastAsia="宋体"/>
          <w:sz w:val="24"/>
          <w:szCs w:val="24"/>
        </w:rPr>
      </w:pPr>
      <w:r>
        <w:rPr>
          <w:rFonts w:ascii="宋体" w:hAnsi="宋体" w:eastAsia="宋体"/>
          <w:sz w:val="24"/>
          <w:szCs w:val="24"/>
        </w:rPr>
        <w:t>本项目评标方法为：综合评分法。</w:t>
      </w:r>
    </w:p>
    <w:p>
      <w:pPr>
        <w:pStyle w:val="5"/>
        <w:spacing w:before="0" w:after="0" w:line="415" w:lineRule="auto"/>
        <w:jc w:val="both"/>
        <w:rPr>
          <w:rFonts w:ascii="宋体" w:hAnsi="宋体" w:eastAsia="宋体"/>
          <w:color w:val="auto"/>
          <w:sz w:val="24"/>
          <w:szCs w:val="24"/>
        </w:rPr>
      </w:pPr>
      <w:bookmarkStart w:id="59" w:name="_Toc1528"/>
      <w:r>
        <w:rPr>
          <w:rFonts w:ascii="宋体" w:hAnsi="宋体" w:eastAsia="宋体"/>
          <w:color w:val="auto"/>
          <w:sz w:val="24"/>
          <w:szCs w:val="24"/>
        </w:rPr>
        <w:t>3. 评标程序</w:t>
      </w:r>
      <w:bookmarkEnd w:id="59"/>
    </w:p>
    <w:p>
      <w:pPr>
        <w:spacing w:line="400" w:lineRule="exact"/>
        <w:ind w:firstLine="480" w:firstLineChars="200"/>
        <w:rPr>
          <w:rFonts w:ascii="宋体" w:hAnsi="宋体" w:eastAsia="宋体"/>
          <w:sz w:val="24"/>
          <w:szCs w:val="24"/>
        </w:rPr>
      </w:pPr>
      <w:r>
        <w:rPr>
          <w:rFonts w:ascii="宋体" w:hAnsi="宋体" w:eastAsia="宋体"/>
          <w:sz w:val="24"/>
          <w:szCs w:val="24"/>
        </w:rPr>
        <w:t>3.1熟悉和理解招标文件和停止评标。</w:t>
      </w:r>
    </w:p>
    <w:p>
      <w:pPr>
        <w:spacing w:line="400" w:lineRule="exact"/>
        <w:ind w:firstLine="480" w:firstLineChars="200"/>
        <w:rPr>
          <w:rFonts w:ascii="宋体" w:hAnsi="宋体" w:eastAsia="宋体"/>
          <w:sz w:val="24"/>
          <w:szCs w:val="24"/>
        </w:rPr>
      </w:pPr>
      <w:r>
        <w:rPr>
          <w:rFonts w:ascii="宋体" w:hAnsi="宋体" w:eastAsia="宋体"/>
          <w:sz w:val="24"/>
          <w:szCs w:val="24"/>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line="400" w:lineRule="exact"/>
        <w:ind w:firstLine="480" w:firstLineChars="200"/>
        <w:rPr>
          <w:rFonts w:ascii="宋体" w:hAnsi="宋体" w:eastAsia="宋体"/>
          <w:sz w:val="24"/>
          <w:szCs w:val="24"/>
        </w:rPr>
      </w:pPr>
      <w:r>
        <w:rPr>
          <w:rFonts w:ascii="宋体" w:hAnsi="宋体" w:eastAsia="宋体"/>
          <w:sz w:val="24"/>
          <w:szCs w:val="24"/>
        </w:rPr>
        <w:t>3.1.2评标委员会熟悉和理解招标文件以及评标过程中，发现本招标文件有下列情形之一的，评标委员会应当停止评标：</w:t>
      </w:r>
    </w:p>
    <w:p>
      <w:pPr>
        <w:spacing w:line="400" w:lineRule="exact"/>
        <w:ind w:firstLine="480" w:firstLineChars="200"/>
        <w:rPr>
          <w:rFonts w:ascii="宋体" w:hAnsi="宋体" w:eastAsia="宋体"/>
          <w:sz w:val="24"/>
          <w:szCs w:val="24"/>
        </w:rPr>
      </w:pPr>
      <w:r>
        <w:rPr>
          <w:rFonts w:ascii="宋体" w:hAnsi="宋体" w:eastAsia="宋体"/>
          <w:sz w:val="24"/>
          <w:szCs w:val="24"/>
        </w:rPr>
        <w:t>（</w:t>
      </w:r>
      <w:r>
        <w:rPr>
          <w:rFonts w:ascii="Times New Roman" w:hAnsi="Times New Roman" w:eastAsia="Times New Roman"/>
          <w:sz w:val="24"/>
          <w:szCs w:val="24"/>
        </w:rPr>
        <w:t>1</w:t>
      </w:r>
      <w:r>
        <w:rPr>
          <w:rFonts w:ascii="宋体" w:hAnsi="宋体" w:eastAsia="宋体"/>
          <w:sz w:val="24"/>
          <w:szCs w:val="24"/>
        </w:rPr>
        <w:t>）招标文件的规定存在歧义、重大缺陷的；</w:t>
      </w:r>
    </w:p>
    <w:p>
      <w:pPr>
        <w:spacing w:line="400" w:lineRule="exact"/>
        <w:ind w:firstLine="480" w:firstLineChars="200"/>
        <w:rPr>
          <w:rFonts w:ascii="宋体" w:hAnsi="宋体" w:eastAsia="宋体"/>
          <w:sz w:val="24"/>
          <w:szCs w:val="24"/>
        </w:rPr>
      </w:pPr>
      <w:r>
        <w:rPr>
          <w:rFonts w:ascii="宋体" w:hAnsi="宋体" w:eastAsia="宋体"/>
          <w:sz w:val="24"/>
          <w:szCs w:val="24"/>
        </w:rPr>
        <w:t>（</w:t>
      </w:r>
      <w:r>
        <w:rPr>
          <w:rFonts w:ascii="Times New Roman" w:hAnsi="Times New Roman" w:eastAsia="Times New Roman"/>
          <w:sz w:val="24"/>
          <w:szCs w:val="24"/>
        </w:rPr>
        <w:t>2</w:t>
      </w:r>
      <w:r>
        <w:rPr>
          <w:rFonts w:ascii="宋体" w:hAnsi="宋体" w:eastAsia="宋体"/>
          <w:sz w:val="24"/>
          <w:szCs w:val="24"/>
        </w:rPr>
        <w:t>）招标文件明显以不合理条件对供应商实行差别待遇或者歧视待遇的；</w:t>
      </w:r>
    </w:p>
    <w:p>
      <w:pPr>
        <w:spacing w:line="400" w:lineRule="exact"/>
        <w:ind w:firstLine="480" w:firstLineChars="200"/>
        <w:rPr>
          <w:rFonts w:ascii="宋体" w:hAnsi="宋体" w:eastAsia="宋体"/>
          <w:sz w:val="24"/>
          <w:szCs w:val="24"/>
        </w:rPr>
      </w:pPr>
      <w:r>
        <w:rPr>
          <w:rFonts w:ascii="宋体" w:hAnsi="宋体" w:eastAsia="宋体"/>
          <w:sz w:val="24"/>
          <w:szCs w:val="24"/>
        </w:rPr>
        <w:t>（</w:t>
      </w:r>
      <w:r>
        <w:rPr>
          <w:rFonts w:ascii="Times New Roman" w:hAnsi="Times New Roman" w:eastAsia="Times New Roman"/>
          <w:sz w:val="24"/>
          <w:szCs w:val="24"/>
        </w:rPr>
        <w:t>3</w:t>
      </w:r>
      <w:r>
        <w:rPr>
          <w:rFonts w:ascii="宋体" w:hAnsi="宋体" w:eastAsia="宋体"/>
          <w:sz w:val="24"/>
          <w:szCs w:val="24"/>
        </w:rPr>
        <w:t>）采购项目属于国家规定的优先、强制采购范围，但是招标文件未依法体现优先、强制采购相关规定的；</w:t>
      </w:r>
    </w:p>
    <w:p>
      <w:pPr>
        <w:spacing w:line="400" w:lineRule="exact"/>
        <w:ind w:firstLine="480" w:firstLineChars="200"/>
        <w:rPr>
          <w:rFonts w:ascii="宋体" w:hAnsi="宋体" w:eastAsia="宋体"/>
          <w:sz w:val="24"/>
          <w:szCs w:val="24"/>
        </w:rPr>
      </w:pPr>
      <w:r>
        <w:rPr>
          <w:rFonts w:ascii="宋体" w:hAnsi="宋体" w:eastAsia="宋体"/>
          <w:sz w:val="24"/>
          <w:szCs w:val="24"/>
        </w:rPr>
        <w:t>（</w:t>
      </w:r>
      <w:r>
        <w:rPr>
          <w:rFonts w:ascii="Times New Roman" w:hAnsi="Times New Roman" w:eastAsia="Times New Roman"/>
          <w:sz w:val="24"/>
          <w:szCs w:val="24"/>
        </w:rPr>
        <w:t>4</w:t>
      </w:r>
      <w:r>
        <w:rPr>
          <w:rFonts w:ascii="宋体" w:hAnsi="宋体" w:eastAsia="宋体"/>
          <w:sz w:val="24"/>
          <w:szCs w:val="24"/>
        </w:rPr>
        <w:t>）采购项目属于政府采购促进中小企业发展的范围，但是招标文件未依法体现促进中小企业发展相关规定的；</w:t>
      </w:r>
    </w:p>
    <w:p>
      <w:pPr>
        <w:spacing w:line="400" w:lineRule="exact"/>
        <w:ind w:firstLine="480" w:firstLineChars="200"/>
        <w:rPr>
          <w:rFonts w:ascii="宋体" w:hAnsi="宋体" w:eastAsia="宋体"/>
          <w:sz w:val="24"/>
          <w:szCs w:val="24"/>
        </w:rPr>
      </w:pPr>
      <w:r>
        <w:rPr>
          <w:rFonts w:ascii="宋体" w:hAnsi="宋体" w:eastAsia="宋体"/>
          <w:sz w:val="24"/>
          <w:szCs w:val="24"/>
        </w:rPr>
        <w:t>（</w:t>
      </w:r>
      <w:r>
        <w:rPr>
          <w:rFonts w:ascii="Times New Roman" w:hAnsi="Times New Roman" w:eastAsia="Times New Roman"/>
          <w:sz w:val="24"/>
          <w:szCs w:val="24"/>
        </w:rPr>
        <w:t>5</w:t>
      </w:r>
      <w:r>
        <w:rPr>
          <w:rFonts w:ascii="宋体" w:hAnsi="宋体" w:eastAsia="宋体"/>
          <w:sz w:val="24"/>
          <w:szCs w:val="24"/>
        </w:rPr>
        <w:t>）招标文件规定的评标方法是综合评分法、最低评标价法之外的评标方法，或者虽然名称为综合评分法、最低评标价法，但实际上不符合国家规定；</w:t>
      </w:r>
    </w:p>
    <w:p>
      <w:pPr>
        <w:spacing w:line="400" w:lineRule="exact"/>
        <w:ind w:firstLine="480" w:firstLineChars="200"/>
        <w:rPr>
          <w:rFonts w:ascii="宋体" w:hAnsi="宋体" w:eastAsia="宋体"/>
          <w:sz w:val="24"/>
          <w:szCs w:val="24"/>
        </w:rPr>
      </w:pPr>
      <w:r>
        <w:rPr>
          <w:rFonts w:ascii="宋体" w:hAnsi="宋体" w:eastAsia="宋体"/>
          <w:sz w:val="24"/>
          <w:szCs w:val="24"/>
        </w:rPr>
        <w:t>（</w:t>
      </w:r>
      <w:r>
        <w:rPr>
          <w:rFonts w:ascii="Times New Roman" w:hAnsi="Times New Roman" w:eastAsia="Times New Roman"/>
          <w:sz w:val="24"/>
          <w:szCs w:val="24"/>
        </w:rPr>
        <w:t>6</w:t>
      </w:r>
      <w:r>
        <w:rPr>
          <w:rFonts w:ascii="宋体" w:hAnsi="宋体" w:eastAsia="宋体"/>
          <w:sz w:val="24"/>
          <w:szCs w:val="24"/>
        </w:rPr>
        <w:t>）招标文件将投标人的资格条件列为评分因素的；</w:t>
      </w:r>
    </w:p>
    <w:p>
      <w:pPr>
        <w:spacing w:line="400" w:lineRule="exact"/>
        <w:ind w:firstLine="480" w:firstLineChars="200"/>
        <w:rPr>
          <w:rFonts w:ascii="宋体" w:hAnsi="宋体" w:eastAsia="宋体"/>
          <w:sz w:val="24"/>
          <w:szCs w:val="24"/>
        </w:rPr>
      </w:pPr>
      <w:r>
        <w:rPr>
          <w:rFonts w:ascii="宋体" w:hAnsi="宋体" w:eastAsia="宋体"/>
          <w:sz w:val="24"/>
          <w:szCs w:val="24"/>
        </w:rPr>
        <w:t>（</w:t>
      </w:r>
      <w:r>
        <w:rPr>
          <w:rFonts w:ascii="Times New Roman" w:hAnsi="Times New Roman" w:eastAsia="Times New Roman"/>
          <w:sz w:val="24"/>
          <w:szCs w:val="24"/>
        </w:rPr>
        <w:t>7</w:t>
      </w:r>
      <w:r>
        <w:rPr>
          <w:rFonts w:ascii="宋体" w:hAnsi="宋体" w:eastAsia="宋体"/>
          <w:sz w:val="24"/>
          <w:szCs w:val="24"/>
        </w:rPr>
        <w:t>）招标文件有违反国家其他有关强制性规定的情形。</w:t>
      </w:r>
    </w:p>
    <w:p>
      <w:pPr>
        <w:spacing w:line="400" w:lineRule="exact"/>
        <w:ind w:firstLine="480" w:firstLineChars="200"/>
        <w:rPr>
          <w:rFonts w:ascii="宋体" w:hAnsi="宋体" w:eastAsia="宋体"/>
          <w:sz w:val="24"/>
          <w:szCs w:val="24"/>
        </w:rPr>
      </w:pPr>
      <w:r>
        <w:rPr>
          <w:rFonts w:ascii="宋体" w:hAnsi="宋体" w:eastAsia="宋体"/>
          <w:sz w:val="24"/>
          <w:szCs w:val="24"/>
        </w:rPr>
        <w:t>3.1.4出现本条3.1.2规定应当停止评标情形的，评标委员会成员应当向招标采购单位书面说明情况。除本条规定和评标委员会无法依法组建的情形外，评标委员会成员不得以任何方式和理由停止评标。</w:t>
      </w:r>
    </w:p>
    <w:p>
      <w:pPr>
        <w:spacing w:line="400" w:lineRule="exact"/>
        <w:ind w:firstLine="480" w:firstLineChars="200"/>
        <w:rPr>
          <w:rFonts w:ascii="宋体" w:hAnsi="宋体" w:eastAsia="宋体"/>
          <w:sz w:val="24"/>
          <w:szCs w:val="24"/>
        </w:rPr>
      </w:pPr>
      <w:r>
        <w:rPr>
          <w:rFonts w:ascii="宋体" w:hAnsi="宋体" w:eastAsia="宋体"/>
          <w:sz w:val="24"/>
          <w:szCs w:val="24"/>
        </w:rPr>
        <w:t>3.2资格性检查。</w:t>
      </w:r>
    </w:p>
    <w:p>
      <w:pPr>
        <w:spacing w:line="400" w:lineRule="exact"/>
        <w:ind w:firstLine="480" w:firstLineChars="200"/>
        <w:rPr>
          <w:rFonts w:ascii="宋体" w:hAnsi="宋体" w:eastAsia="宋体"/>
          <w:sz w:val="24"/>
          <w:szCs w:val="24"/>
        </w:rPr>
      </w:pPr>
      <w:r>
        <w:rPr>
          <w:rFonts w:ascii="宋体" w:hAnsi="宋体" w:eastAsia="宋体"/>
          <w:sz w:val="24"/>
          <w:szCs w:val="24"/>
        </w:rPr>
        <w:t>采购人或采购代理机构应依据法律法规和本招标文件的规定，对投标文件是否按照规定要求提供资格性证明材料、是否按照规定交纳投标保证金、是否属于禁止参加投标的供应商等进行审查，以确定投标供应商是否具备投标资格。</w:t>
      </w:r>
    </w:p>
    <w:p>
      <w:pPr>
        <w:spacing w:line="400" w:lineRule="exact"/>
        <w:ind w:firstLine="480" w:firstLineChars="200"/>
        <w:rPr>
          <w:rFonts w:ascii="宋体" w:hAnsi="宋体" w:eastAsia="宋体"/>
          <w:sz w:val="24"/>
          <w:szCs w:val="24"/>
        </w:rPr>
      </w:pPr>
      <w:r>
        <w:rPr>
          <w:rFonts w:ascii="宋体" w:hAnsi="宋体" w:eastAsia="宋体"/>
          <w:sz w:val="24"/>
          <w:szCs w:val="24"/>
        </w:rPr>
        <w:t>3.3符合性检查。</w:t>
      </w:r>
    </w:p>
    <w:p>
      <w:pPr>
        <w:spacing w:line="400" w:lineRule="exact"/>
        <w:ind w:firstLine="480" w:firstLineChars="200"/>
        <w:rPr>
          <w:rFonts w:ascii="宋体" w:hAnsi="宋体" w:eastAsia="宋体"/>
          <w:sz w:val="24"/>
          <w:szCs w:val="24"/>
        </w:rPr>
      </w:pPr>
      <w:r>
        <w:rPr>
          <w:rFonts w:ascii="宋体" w:hAnsi="宋体" w:eastAsia="宋体"/>
          <w:sz w:val="24"/>
          <w:szCs w:val="24"/>
        </w:rPr>
        <w:t>3.3.1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400" w:lineRule="exact"/>
        <w:ind w:firstLine="480" w:firstLineChars="200"/>
        <w:rPr>
          <w:rFonts w:ascii="宋体" w:hAnsi="宋体" w:eastAsia="宋体"/>
          <w:sz w:val="24"/>
          <w:szCs w:val="24"/>
        </w:rPr>
      </w:pPr>
      <w:r>
        <w:rPr>
          <w:rFonts w:ascii="宋体" w:hAnsi="宋体" w:eastAsia="宋体"/>
          <w:sz w:val="24"/>
          <w:szCs w:val="24"/>
        </w:rPr>
        <w:t>3.3.2投标文件（包括单独递交的开标一览表）有下列情形的，本项目不作为实质性要求进行规定，即不作为符合性审查事项，不得作为无效投标处理：</w:t>
      </w:r>
    </w:p>
    <w:p>
      <w:pPr>
        <w:spacing w:line="400" w:lineRule="exact"/>
        <w:ind w:firstLine="480" w:firstLineChars="200"/>
        <w:rPr>
          <w:rFonts w:ascii="宋体" w:hAnsi="宋体" w:eastAsia="宋体"/>
          <w:sz w:val="24"/>
          <w:szCs w:val="24"/>
        </w:rPr>
      </w:pPr>
      <w:r>
        <w:rPr>
          <w:rFonts w:ascii="宋体" w:hAnsi="宋体" w:eastAsia="宋体"/>
          <w:sz w:val="24"/>
          <w:szCs w:val="24"/>
        </w:rPr>
        <w:t>（一）正副本数量齐全、密封完好，只是未按照招标文件要求进行分装或者统装的；</w:t>
      </w:r>
    </w:p>
    <w:p>
      <w:pPr>
        <w:spacing w:line="400" w:lineRule="exact"/>
        <w:ind w:firstLine="480" w:firstLineChars="200"/>
        <w:rPr>
          <w:rFonts w:ascii="宋体" w:hAnsi="宋体" w:eastAsia="宋体"/>
          <w:sz w:val="24"/>
          <w:szCs w:val="24"/>
        </w:rPr>
      </w:pPr>
      <w:r>
        <w:rPr>
          <w:rFonts w:ascii="宋体" w:hAnsi="宋体" w:eastAsia="宋体"/>
          <w:sz w:val="24"/>
          <w:szCs w:val="24"/>
        </w:rPr>
        <w:t>（二）存在个别地方（不超过</w:t>
      </w:r>
      <w:r>
        <w:rPr>
          <w:rFonts w:ascii="Times New Roman" w:hAnsi="Times New Roman" w:eastAsia="Times New Roman"/>
          <w:sz w:val="24"/>
          <w:szCs w:val="24"/>
        </w:rPr>
        <w:t>2</w:t>
      </w:r>
      <w:r>
        <w:rPr>
          <w:rFonts w:ascii="宋体" w:hAnsi="宋体" w:eastAsia="宋体"/>
          <w:sz w:val="24"/>
          <w:szCs w:val="24"/>
        </w:rPr>
        <w:t>个）没有法定代表人签字，但有法定代表人的私人印章或者有效授权代理人签字的；</w:t>
      </w:r>
    </w:p>
    <w:p>
      <w:pPr>
        <w:spacing w:line="400" w:lineRule="exact"/>
        <w:ind w:firstLine="480" w:firstLineChars="200"/>
        <w:rPr>
          <w:rFonts w:ascii="宋体" w:hAnsi="宋体" w:eastAsia="宋体"/>
          <w:sz w:val="24"/>
          <w:szCs w:val="24"/>
        </w:rPr>
      </w:pPr>
      <w:r>
        <w:rPr>
          <w:rFonts w:ascii="宋体" w:hAnsi="宋体" w:eastAsia="宋体"/>
          <w:sz w:val="24"/>
          <w:szCs w:val="24"/>
        </w:rPr>
        <w:t>（三）除招标文件明确要求加盖单位</w:t>
      </w:r>
      <w:r>
        <w:rPr>
          <w:rFonts w:ascii="Times New Roman" w:hAnsi="Times New Roman" w:eastAsia="Times New Roman"/>
          <w:sz w:val="24"/>
          <w:szCs w:val="24"/>
        </w:rPr>
        <w:t>(</w:t>
      </w:r>
      <w:r>
        <w:rPr>
          <w:rFonts w:ascii="宋体" w:hAnsi="宋体" w:eastAsia="宋体"/>
          <w:sz w:val="24"/>
          <w:szCs w:val="24"/>
        </w:rPr>
        <w:t>法人</w:t>
      </w:r>
      <w:r>
        <w:rPr>
          <w:rFonts w:ascii="Times New Roman" w:hAnsi="Times New Roman" w:eastAsia="Times New Roman"/>
          <w:sz w:val="24"/>
          <w:szCs w:val="24"/>
        </w:rPr>
        <w:t>)</w:t>
      </w:r>
      <w:r>
        <w:rPr>
          <w:rFonts w:ascii="宋体" w:hAnsi="宋体" w:eastAsia="宋体"/>
          <w:sz w:val="24"/>
          <w:szCs w:val="24"/>
        </w:rPr>
        <w:t>公章的以外，其他地方以相关专用章加盖的；</w:t>
      </w:r>
    </w:p>
    <w:p>
      <w:pPr>
        <w:spacing w:line="400" w:lineRule="exact"/>
        <w:ind w:firstLine="480" w:firstLineChars="200"/>
        <w:rPr>
          <w:rFonts w:ascii="宋体" w:hAnsi="宋体" w:eastAsia="宋体"/>
          <w:sz w:val="24"/>
          <w:szCs w:val="24"/>
        </w:rPr>
      </w:pPr>
      <w:r>
        <w:rPr>
          <w:rFonts w:ascii="宋体" w:hAnsi="宋体" w:eastAsia="宋体"/>
          <w:sz w:val="24"/>
          <w:szCs w:val="24"/>
        </w:rPr>
        <w:t>（四）以骑缝章的形式代替投标文件内容逐页盖章的（但是骑缝章模糊不清，印章名称无法辨认的除外）；</w:t>
      </w:r>
    </w:p>
    <w:p>
      <w:pPr>
        <w:spacing w:line="400" w:lineRule="exact"/>
        <w:ind w:firstLine="480" w:firstLineChars="200"/>
        <w:rPr>
          <w:rFonts w:ascii="宋体" w:hAnsi="宋体" w:eastAsia="宋体"/>
          <w:sz w:val="24"/>
          <w:szCs w:val="24"/>
        </w:rPr>
      </w:pPr>
      <w:r>
        <w:rPr>
          <w:rFonts w:ascii="宋体" w:hAnsi="宋体" w:eastAsia="宋体"/>
          <w:sz w:val="24"/>
          <w:szCs w:val="24"/>
        </w:rPr>
        <w:t>（五）其他不影响采购项目实质性要求的情形。</w:t>
      </w:r>
    </w:p>
    <w:p>
      <w:pPr>
        <w:spacing w:line="400" w:lineRule="exact"/>
        <w:ind w:firstLine="480" w:firstLineChars="200"/>
        <w:rPr>
          <w:rFonts w:ascii="宋体" w:hAnsi="宋体" w:eastAsia="宋体"/>
          <w:sz w:val="24"/>
          <w:szCs w:val="24"/>
        </w:rPr>
      </w:pPr>
      <w:r>
        <w:rPr>
          <w:rFonts w:ascii="宋体" w:hAnsi="宋体" w:eastAsia="宋体"/>
          <w:sz w:val="24"/>
          <w:szCs w:val="24"/>
        </w:rPr>
        <w:t>3.3.3除政府采购法律制度规定的情形外，本项目投标人或者其投标文件有下列情形之一的，作为无效投标处理：</w:t>
      </w:r>
    </w:p>
    <w:p>
      <w:pPr>
        <w:spacing w:line="400" w:lineRule="exact"/>
        <w:ind w:firstLine="480" w:firstLineChars="200"/>
        <w:rPr>
          <w:rFonts w:ascii="宋体" w:hAnsi="宋体" w:eastAsia="宋体"/>
          <w:sz w:val="24"/>
          <w:szCs w:val="24"/>
        </w:rPr>
      </w:pPr>
      <w:r>
        <w:rPr>
          <w:rFonts w:ascii="宋体" w:hAnsi="宋体" w:eastAsia="宋体"/>
          <w:sz w:val="24"/>
          <w:szCs w:val="24"/>
        </w:rPr>
        <w:t>（一）投标文件正副本数量不足的；</w:t>
      </w:r>
    </w:p>
    <w:p>
      <w:pPr>
        <w:spacing w:line="400" w:lineRule="exact"/>
        <w:ind w:firstLine="480" w:firstLineChars="200"/>
        <w:rPr>
          <w:rFonts w:ascii="宋体" w:hAnsi="宋体" w:eastAsia="宋体"/>
          <w:sz w:val="24"/>
          <w:szCs w:val="24"/>
        </w:rPr>
      </w:pPr>
      <w:r>
        <w:rPr>
          <w:rFonts w:ascii="宋体" w:hAnsi="宋体" w:eastAsia="宋体"/>
          <w:sz w:val="24"/>
          <w:szCs w:val="24"/>
        </w:rPr>
        <w:t>（二）投标文件的格式、语言、计量单位、报价货币、投标有效期等不符合招标文件的规定，影响评标委员会评判的（以招标文件中注明为“实质性要求”的内容为准）；</w:t>
      </w:r>
    </w:p>
    <w:p>
      <w:pPr>
        <w:spacing w:line="400" w:lineRule="exact"/>
        <w:ind w:firstLine="480" w:firstLineChars="200"/>
        <w:rPr>
          <w:rFonts w:ascii="宋体" w:hAnsi="宋体" w:eastAsia="宋体"/>
          <w:sz w:val="24"/>
          <w:szCs w:val="24"/>
        </w:rPr>
      </w:pPr>
      <w:r>
        <w:rPr>
          <w:rFonts w:ascii="宋体" w:hAnsi="宋体" w:eastAsia="宋体"/>
          <w:sz w:val="24"/>
          <w:szCs w:val="24"/>
        </w:rPr>
        <w:t>（三）投标报价不符合招标文件规定的价格标底和其他报价规定的；</w:t>
      </w:r>
    </w:p>
    <w:p>
      <w:pPr>
        <w:spacing w:line="400" w:lineRule="exact"/>
        <w:ind w:firstLine="480" w:firstLineChars="200"/>
        <w:rPr>
          <w:rFonts w:ascii="宋体" w:hAnsi="宋体" w:eastAsia="宋体"/>
          <w:sz w:val="24"/>
          <w:szCs w:val="24"/>
        </w:rPr>
      </w:pPr>
      <w:r>
        <w:rPr>
          <w:rFonts w:ascii="宋体" w:hAnsi="宋体" w:eastAsia="宋体"/>
          <w:sz w:val="24"/>
          <w:szCs w:val="24"/>
        </w:rPr>
        <w:t>（四）技术应答内容完全或者绝大部分复制招标文件规定要求，且无相关证明材料的（政府采购服务类项目、政府采购工程、政府采购协议供货、定点供应商采购、政府采购的货物属于规格标准统一或者订制产品的除外，故本项目不以此项要求作为无效投标处理）；</w:t>
      </w:r>
    </w:p>
    <w:p>
      <w:pPr>
        <w:spacing w:line="400" w:lineRule="exact"/>
        <w:ind w:firstLine="480" w:firstLineChars="200"/>
        <w:rPr>
          <w:rFonts w:ascii="宋体" w:hAnsi="宋体" w:eastAsia="宋体"/>
          <w:sz w:val="24"/>
          <w:szCs w:val="24"/>
        </w:rPr>
      </w:pPr>
      <w:r>
        <w:rPr>
          <w:rFonts w:ascii="宋体" w:hAnsi="宋体" w:eastAsia="宋体"/>
          <w:sz w:val="24"/>
          <w:szCs w:val="24"/>
        </w:rPr>
        <w:t>（五）招标文件有明确要求，但投标文件未载明或者载明的采购项目履约时间、方式、数量与招标文件要求不一致的。</w:t>
      </w:r>
    </w:p>
    <w:p>
      <w:pPr>
        <w:spacing w:line="400" w:lineRule="exact"/>
        <w:ind w:firstLine="480" w:firstLineChars="200"/>
        <w:rPr>
          <w:rFonts w:ascii="宋体" w:hAnsi="宋体" w:eastAsia="宋体"/>
          <w:sz w:val="24"/>
          <w:szCs w:val="24"/>
        </w:rPr>
      </w:pPr>
      <w:r>
        <w:rPr>
          <w:rFonts w:ascii="宋体" w:hAnsi="宋体" w:eastAsia="宋体"/>
          <w:sz w:val="24"/>
          <w:szCs w:val="24"/>
        </w:rPr>
        <w:t>3.4比较与评价。按招标文件中规定的评标方法和标准，对未作无效投标处理的投标文件进行技术、服务、商务等方面评估，综合比较与评价。</w:t>
      </w:r>
    </w:p>
    <w:p>
      <w:pPr>
        <w:spacing w:line="400" w:lineRule="exact"/>
        <w:ind w:firstLine="480" w:firstLineChars="200"/>
        <w:rPr>
          <w:rFonts w:ascii="宋体" w:hAnsi="宋体" w:eastAsia="宋体"/>
          <w:sz w:val="24"/>
          <w:szCs w:val="24"/>
        </w:rPr>
      </w:pPr>
      <w:r>
        <w:rPr>
          <w:rFonts w:ascii="宋体" w:hAnsi="宋体" w:eastAsia="宋体"/>
          <w:sz w:val="24"/>
          <w:szCs w:val="24"/>
        </w:rPr>
        <w:t>3.5复核。评分汇总结束后，评标委员会应当进行复核，特别要对拟推荐为中标候选供应商的、报价最低的、投标文件被认定为无效的进行重点复核。</w:t>
      </w:r>
    </w:p>
    <w:p>
      <w:pPr>
        <w:spacing w:line="400" w:lineRule="exact"/>
        <w:ind w:firstLine="480" w:firstLineChars="200"/>
        <w:rPr>
          <w:rFonts w:ascii="宋体" w:hAnsi="宋体" w:eastAsia="宋体"/>
          <w:sz w:val="24"/>
          <w:szCs w:val="24"/>
        </w:rPr>
      </w:pPr>
      <w:r>
        <w:rPr>
          <w:rFonts w:ascii="宋体" w:hAnsi="宋体" w:eastAsia="宋体"/>
          <w:sz w:val="24"/>
          <w:szCs w:val="24"/>
        </w:rPr>
        <w:t>3.6推荐中标候选供应商。中标候选供应商应当排序。采用最低评标价法的，评标结果按投标报价由低到高顺序排列；投标报价相同的并列，投标文件满足招标文件全部实质性要求且投标报价最低的供应商为中标候选供应商；报价相同且满足招标文件全部实质性要求的并列，由采购人自主采取公平、择优的方式选择中标供应商。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中标供应商。</w:t>
      </w:r>
    </w:p>
    <w:p>
      <w:pPr>
        <w:spacing w:line="400" w:lineRule="exact"/>
        <w:ind w:firstLine="480" w:firstLineChars="200"/>
        <w:rPr>
          <w:rFonts w:ascii="宋体" w:hAnsi="宋体" w:eastAsia="宋体"/>
          <w:sz w:val="24"/>
          <w:szCs w:val="24"/>
        </w:rPr>
      </w:pPr>
      <w:r>
        <w:rPr>
          <w:rFonts w:ascii="宋体" w:hAnsi="宋体" w:eastAsia="宋体"/>
          <w:sz w:val="24"/>
          <w:szCs w:val="24"/>
        </w:rPr>
        <w:t>评标委员会可推荐的中标候选供应商数量不能满足招标文件规定的数量的，只有在获得采购人书面同意后，可以根据实际情况推荐中标候选供应商。未获得采购人的书面同意</w:t>
      </w:r>
      <w:r>
        <w:rPr>
          <w:rFonts w:ascii="Times New Roman" w:hAnsi="Times New Roman" w:eastAsia="Times New Roman"/>
          <w:sz w:val="24"/>
          <w:szCs w:val="24"/>
        </w:rPr>
        <w:t>,</w:t>
      </w:r>
      <w:r>
        <w:rPr>
          <w:rFonts w:ascii="宋体" w:hAnsi="宋体" w:eastAsia="宋体"/>
          <w:sz w:val="24"/>
          <w:szCs w:val="24"/>
        </w:rPr>
        <w:t>评标委员会不得在招标文件规定之外推荐中标候选供应商，否则，采购人可以不予认可。</w:t>
      </w:r>
    </w:p>
    <w:p>
      <w:pPr>
        <w:spacing w:line="400" w:lineRule="exact"/>
        <w:ind w:firstLine="480" w:firstLineChars="200"/>
        <w:rPr>
          <w:rFonts w:ascii="宋体" w:hAnsi="宋体" w:eastAsia="宋体"/>
          <w:sz w:val="24"/>
          <w:szCs w:val="24"/>
        </w:rPr>
      </w:pPr>
      <w:r>
        <w:rPr>
          <w:rFonts w:ascii="宋体" w:hAnsi="宋体" w:eastAsia="宋体"/>
          <w:sz w:val="24"/>
          <w:szCs w:val="24"/>
        </w:rPr>
        <w:t>3.7出具评标报告。评标委员会推荐中标候选供应商后，应当向招标采购单位出具评标报告。评标报告应当包括下列内容：</w:t>
      </w:r>
    </w:p>
    <w:p>
      <w:pPr>
        <w:spacing w:line="400" w:lineRule="exact"/>
        <w:ind w:firstLine="480" w:firstLineChars="200"/>
        <w:rPr>
          <w:rFonts w:ascii="宋体" w:hAnsi="宋体" w:eastAsia="宋体"/>
          <w:sz w:val="24"/>
          <w:szCs w:val="24"/>
        </w:rPr>
      </w:pPr>
      <w:r>
        <w:rPr>
          <w:rFonts w:ascii="宋体" w:hAnsi="宋体" w:eastAsia="宋体"/>
          <w:sz w:val="24"/>
          <w:szCs w:val="24"/>
        </w:rPr>
        <w:t>（一）招标公告刊登的媒体名称、开标日期和地点；</w:t>
      </w:r>
    </w:p>
    <w:p>
      <w:pPr>
        <w:spacing w:line="400" w:lineRule="exact"/>
        <w:ind w:firstLine="480" w:firstLineChars="200"/>
        <w:rPr>
          <w:rFonts w:ascii="宋体" w:hAnsi="宋体" w:eastAsia="宋体"/>
          <w:sz w:val="24"/>
          <w:szCs w:val="24"/>
        </w:rPr>
      </w:pPr>
      <w:r>
        <w:rPr>
          <w:rFonts w:ascii="宋体" w:hAnsi="宋体" w:eastAsia="宋体"/>
          <w:sz w:val="24"/>
          <w:szCs w:val="24"/>
        </w:rPr>
        <w:t>（二）投标人名单和评标委员会成员名单；</w:t>
      </w:r>
    </w:p>
    <w:p>
      <w:pPr>
        <w:spacing w:line="400" w:lineRule="exact"/>
        <w:ind w:firstLine="480" w:firstLineChars="200"/>
        <w:rPr>
          <w:rFonts w:ascii="宋体" w:hAnsi="宋体" w:eastAsia="宋体"/>
          <w:sz w:val="24"/>
          <w:szCs w:val="24"/>
        </w:rPr>
      </w:pPr>
      <w:r>
        <w:rPr>
          <w:rFonts w:ascii="宋体" w:hAnsi="宋体" w:eastAsia="宋体"/>
          <w:sz w:val="24"/>
          <w:szCs w:val="24"/>
        </w:rPr>
        <w:t>（三）评标方法和标准；</w:t>
      </w:r>
    </w:p>
    <w:p>
      <w:pPr>
        <w:spacing w:line="400" w:lineRule="exact"/>
        <w:ind w:firstLine="480" w:firstLineChars="200"/>
        <w:rPr>
          <w:rFonts w:ascii="宋体" w:hAnsi="宋体" w:eastAsia="宋体"/>
          <w:sz w:val="24"/>
          <w:szCs w:val="24"/>
        </w:rPr>
      </w:pPr>
      <w:r>
        <w:rPr>
          <w:rFonts w:ascii="宋体" w:hAnsi="宋体" w:eastAsia="宋体"/>
          <w:sz w:val="24"/>
          <w:szCs w:val="24"/>
        </w:rPr>
        <w:t>（四）开标记录和评标情况及说明，包括无效投标人名单及原因；</w:t>
      </w:r>
    </w:p>
    <w:p>
      <w:pPr>
        <w:spacing w:line="400" w:lineRule="exact"/>
        <w:ind w:firstLine="480" w:firstLineChars="200"/>
        <w:rPr>
          <w:rFonts w:ascii="宋体" w:hAnsi="宋体" w:eastAsia="宋体"/>
          <w:sz w:val="24"/>
          <w:szCs w:val="24"/>
        </w:rPr>
      </w:pPr>
      <w:r>
        <w:rPr>
          <w:rFonts w:ascii="宋体" w:hAnsi="宋体" w:eastAsia="宋体"/>
          <w:sz w:val="24"/>
          <w:szCs w:val="24"/>
        </w:rPr>
        <w:t>（五）评标结果，确定的中标候选人名单或者经采购人委托直接确定的中标人；</w:t>
      </w:r>
    </w:p>
    <w:p>
      <w:pPr>
        <w:spacing w:line="400" w:lineRule="exact"/>
        <w:ind w:firstLine="480" w:firstLineChars="200"/>
        <w:rPr>
          <w:rFonts w:ascii="宋体" w:hAnsi="宋体" w:eastAsia="宋体"/>
          <w:sz w:val="24"/>
          <w:szCs w:val="24"/>
        </w:rPr>
      </w:pPr>
      <w:r>
        <w:rPr>
          <w:rFonts w:ascii="宋体" w:hAnsi="宋体" w:eastAsia="宋体"/>
          <w:sz w:val="24"/>
          <w:szCs w:val="24"/>
        </w:rPr>
        <w:t>（六）其他需要说明的情况，包括评标过程中投标人根据评标委员会要求进行的澄清、说明或者补正，评标委员会成员的更换等。</w:t>
      </w:r>
    </w:p>
    <w:p>
      <w:pPr>
        <w:spacing w:line="400" w:lineRule="exact"/>
        <w:ind w:firstLine="480" w:firstLineChars="200"/>
        <w:rPr>
          <w:rFonts w:ascii="宋体" w:hAnsi="宋体" w:eastAsia="宋体"/>
          <w:sz w:val="24"/>
          <w:szCs w:val="24"/>
        </w:rPr>
      </w:pPr>
      <w:r>
        <w:rPr>
          <w:rFonts w:ascii="宋体" w:hAnsi="宋体" w:eastAsia="宋体"/>
          <w:sz w:val="24"/>
          <w:szCs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400" w:lineRule="exact"/>
        <w:ind w:firstLine="480" w:firstLineChars="200"/>
        <w:rPr>
          <w:rFonts w:ascii="宋体" w:hAnsi="宋体" w:eastAsia="宋体"/>
          <w:sz w:val="24"/>
          <w:szCs w:val="24"/>
        </w:rPr>
      </w:pPr>
      <w:r>
        <w:rPr>
          <w:rFonts w:ascii="宋体" w:hAnsi="宋体" w:eastAsia="宋体"/>
          <w:sz w:val="24"/>
          <w:szCs w:val="24"/>
        </w:rPr>
        <w:t>3.8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400" w:lineRule="exact"/>
        <w:ind w:firstLine="480" w:firstLineChars="200"/>
        <w:rPr>
          <w:rFonts w:ascii="宋体" w:hAnsi="宋体" w:eastAsia="宋体"/>
          <w:sz w:val="24"/>
          <w:szCs w:val="24"/>
        </w:rPr>
      </w:pPr>
      <w:r>
        <w:rPr>
          <w:rFonts w:ascii="宋体" w:hAnsi="宋体" w:eastAsia="宋体"/>
          <w:sz w:val="24"/>
          <w:szCs w:val="24"/>
        </w:rPr>
        <w:t>3.9供应商应当书面澄清、说明或者更正。</w:t>
      </w:r>
    </w:p>
    <w:p>
      <w:pPr>
        <w:spacing w:line="400" w:lineRule="exact"/>
        <w:ind w:firstLine="480" w:firstLineChars="200"/>
        <w:rPr>
          <w:rFonts w:ascii="宋体" w:hAnsi="宋体" w:eastAsia="宋体"/>
          <w:sz w:val="24"/>
          <w:szCs w:val="24"/>
        </w:rPr>
      </w:pPr>
      <w:r>
        <w:rPr>
          <w:rFonts w:ascii="宋体" w:hAnsi="宋体" w:eastAsia="宋体"/>
          <w:sz w:val="24"/>
          <w:szCs w:val="24"/>
        </w:rPr>
        <w:t>3.9.1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400" w:lineRule="exact"/>
        <w:ind w:firstLine="480" w:firstLineChars="200"/>
        <w:rPr>
          <w:rFonts w:ascii="宋体" w:hAnsi="宋体" w:eastAsia="宋体"/>
          <w:sz w:val="24"/>
          <w:szCs w:val="24"/>
        </w:rPr>
      </w:pPr>
      <w:r>
        <w:rPr>
          <w:rFonts w:ascii="宋体" w:hAnsi="宋体" w:eastAsia="宋体"/>
          <w:sz w:val="24"/>
          <w:szCs w:val="24"/>
        </w:rPr>
        <w:t>3.9.2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pPr>
        <w:spacing w:line="400" w:lineRule="exact"/>
        <w:ind w:firstLine="480" w:firstLineChars="200"/>
        <w:rPr>
          <w:rFonts w:ascii="宋体" w:hAnsi="宋体" w:eastAsia="宋体"/>
          <w:sz w:val="24"/>
          <w:szCs w:val="24"/>
        </w:rPr>
      </w:pPr>
      <w:r>
        <w:rPr>
          <w:rFonts w:ascii="宋体" w:hAnsi="宋体" w:eastAsia="宋体"/>
          <w:sz w:val="24"/>
          <w:szCs w:val="24"/>
        </w:rPr>
        <w:t>3.9.3评标委员会要求供应商澄清、说明或者更正，不得超出招标文件的范围，不得以此让供应商实质改变投标文件的内容，不得影响供应商公平竞争。本项目下列内容不得澄清：</w:t>
      </w:r>
    </w:p>
    <w:p>
      <w:pPr>
        <w:spacing w:line="400" w:lineRule="exact"/>
        <w:ind w:firstLine="480" w:firstLineChars="200"/>
        <w:rPr>
          <w:rFonts w:ascii="宋体" w:hAnsi="宋体" w:eastAsia="宋体"/>
          <w:sz w:val="24"/>
          <w:szCs w:val="24"/>
        </w:rPr>
      </w:pPr>
      <w:r>
        <w:rPr>
          <w:rFonts w:ascii="宋体" w:hAnsi="宋体" w:eastAsia="宋体"/>
          <w:sz w:val="24"/>
          <w:szCs w:val="24"/>
        </w:rPr>
        <w:t>（一）按财政部规定应当在评标时不予承认的投标文件内容事项；</w:t>
      </w:r>
    </w:p>
    <w:p>
      <w:pPr>
        <w:spacing w:line="400" w:lineRule="exact"/>
        <w:ind w:firstLine="480" w:firstLineChars="200"/>
        <w:rPr>
          <w:rFonts w:ascii="宋体" w:hAnsi="宋体" w:eastAsia="宋体"/>
          <w:sz w:val="24"/>
          <w:szCs w:val="24"/>
        </w:rPr>
      </w:pPr>
      <w:r>
        <w:rPr>
          <w:rFonts w:ascii="宋体" w:hAnsi="宋体" w:eastAsia="宋体"/>
          <w:sz w:val="24"/>
          <w:szCs w:val="24"/>
        </w:rPr>
        <w:t>（二）投标文件中已经明确的内容事项；</w:t>
      </w:r>
    </w:p>
    <w:p>
      <w:pPr>
        <w:spacing w:line="400" w:lineRule="exact"/>
        <w:ind w:firstLine="480" w:firstLineChars="200"/>
        <w:rPr>
          <w:rFonts w:ascii="宋体" w:hAnsi="宋体" w:eastAsia="宋体"/>
          <w:sz w:val="24"/>
          <w:szCs w:val="24"/>
        </w:rPr>
      </w:pPr>
      <w:r>
        <w:rPr>
          <w:rFonts w:ascii="宋体" w:hAnsi="宋体" w:eastAsia="宋体"/>
          <w:sz w:val="24"/>
          <w:szCs w:val="24"/>
        </w:rPr>
        <w:t>（三）投标文件未提供的材料。</w:t>
      </w:r>
    </w:p>
    <w:p>
      <w:pPr>
        <w:spacing w:line="400" w:lineRule="exact"/>
        <w:ind w:firstLine="480" w:firstLineChars="200"/>
        <w:rPr>
          <w:rFonts w:ascii="宋体" w:hAnsi="宋体" w:eastAsia="宋体"/>
          <w:sz w:val="24"/>
          <w:szCs w:val="24"/>
        </w:rPr>
      </w:pPr>
      <w:r>
        <w:rPr>
          <w:rFonts w:ascii="宋体" w:hAnsi="宋体" w:eastAsia="宋体"/>
          <w:sz w:val="24"/>
          <w:szCs w:val="24"/>
        </w:rPr>
        <w:t>3.9.4 本项目采购过程中，投标文件出现下列情况的，不需要供应商澄清、说明或者更正，按照以下原则处理：</w:t>
      </w:r>
    </w:p>
    <w:p>
      <w:pPr>
        <w:spacing w:line="400" w:lineRule="exact"/>
        <w:ind w:firstLine="480" w:firstLineChars="200"/>
        <w:rPr>
          <w:rFonts w:ascii="宋体" w:hAnsi="宋体" w:eastAsia="宋体"/>
          <w:sz w:val="24"/>
          <w:szCs w:val="24"/>
        </w:rPr>
      </w:pPr>
      <w:r>
        <w:rPr>
          <w:rFonts w:ascii="宋体" w:hAnsi="宋体" w:eastAsia="宋体"/>
          <w:sz w:val="24"/>
          <w:szCs w:val="24"/>
        </w:rPr>
        <w:t>（一）投标文件中开标一览表内容与投标文件中相应内容不一致的，以开标一览表为准；</w:t>
      </w:r>
    </w:p>
    <w:p>
      <w:pPr>
        <w:spacing w:line="400" w:lineRule="exact"/>
        <w:ind w:firstLine="480" w:firstLineChars="200"/>
        <w:rPr>
          <w:rFonts w:ascii="宋体" w:hAnsi="宋体" w:eastAsia="宋体"/>
          <w:sz w:val="24"/>
          <w:szCs w:val="24"/>
        </w:rPr>
      </w:pPr>
      <w:r>
        <w:rPr>
          <w:rFonts w:ascii="宋体" w:hAnsi="宋体" w:eastAsia="宋体"/>
          <w:sz w:val="24"/>
          <w:szCs w:val="24"/>
        </w:rPr>
        <w:t>（二）大写金额和小写金额不一致的，以大写金额为准；</w:t>
      </w:r>
    </w:p>
    <w:p>
      <w:pPr>
        <w:spacing w:line="400" w:lineRule="exact"/>
        <w:ind w:firstLine="480" w:firstLineChars="200"/>
        <w:rPr>
          <w:rFonts w:ascii="宋体" w:hAnsi="宋体" w:eastAsia="宋体"/>
          <w:sz w:val="24"/>
          <w:szCs w:val="24"/>
        </w:rPr>
      </w:pPr>
      <w:r>
        <w:rPr>
          <w:rFonts w:ascii="宋体" w:hAnsi="宋体" w:eastAsia="宋体"/>
          <w:sz w:val="24"/>
          <w:szCs w:val="24"/>
        </w:rPr>
        <w:t>（三）单价金额小数点或者百分比有明显错位的，以开标一览表的总价为准，并修改单价；</w:t>
      </w:r>
    </w:p>
    <w:p>
      <w:pPr>
        <w:spacing w:line="400" w:lineRule="exact"/>
        <w:ind w:firstLine="480" w:firstLineChars="200"/>
        <w:rPr>
          <w:rFonts w:ascii="宋体" w:hAnsi="宋体" w:eastAsia="宋体"/>
          <w:sz w:val="24"/>
          <w:szCs w:val="24"/>
        </w:rPr>
      </w:pPr>
      <w:r>
        <w:rPr>
          <w:rFonts w:ascii="宋体" w:hAnsi="宋体" w:eastAsia="宋体"/>
          <w:sz w:val="24"/>
          <w:szCs w:val="24"/>
        </w:rPr>
        <w:t>（四）总价金额与按单价汇总金额不一致的，以单价金额计算结果为准。</w:t>
      </w:r>
    </w:p>
    <w:p>
      <w:pPr>
        <w:spacing w:line="400" w:lineRule="exact"/>
        <w:ind w:firstLine="480" w:firstLineChars="200"/>
        <w:rPr>
          <w:rFonts w:ascii="宋体" w:hAnsi="宋体" w:eastAsia="宋体"/>
          <w:sz w:val="24"/>
          <w:szCs w:val="24"/>
        </w:rPr>
      </w:pPr>
      <w:r>
        <w:rPr>
          <w:rFonts w:ascii="宋体" w:hAnsi="宋体" w:eastAsia="宋体"/>
          <w:sz w:val="24"/>
          <w:szCs w:val="24"/>
        </w:rPr>
        <w:t>同时出现两种以上不一致的，按照前款规定的顺序修正。修正后的报价按照财政部87号令第五十一条第二款的规定经投标人确认后产生约束力，投标人不确认的，其投标无效。</w:t>
      </w:r>
    </w:p>
    <w:p>
      <w:pPr>
        <w:spacing w:line="400" w:lineRule="exact"/>
        <w:ind w:firstLine="482" w:firstLineChars="200"/>
        <w:rPr>
          <w:rFonts w:ascii="宋体" w:hAnsi="宋体" w:eastAsia="宋体"/>
          <w:b/>
          <w:bCs/>
          <w:sz w:val="24"/>
          <w:szCs w:val="24"/>
        </w:rPr>
      </w:pPr>
      <w:r>
        <w:rPr>
          <w:rFonts w:ascii="宋体" w:hAnsi="宋体" w:eastAsia="宋体"/>
          <w:b/>
          <w:bCs/>
          <w:sz w:val="24"/>
          <w:szCs w:val="24"/>
        </w:rPr>
        <w:t>注：评标委员会当积极履行澄清、说明或者更正的职责，不得滥用权力。供应商的投标文件可以要求澄清、说明或者更正的，不得未经澄清、说明或者更正而直接作无效投标处理。</w:t>
      </w:r>
    </w:p>
    <w:p>
      <w:pPr>
        <w:spacing w:line="400" w:lineRule="exact"/>
        <w:ind w:firstLine="480" w:firstLineChars="200"/>
        <w:rPr>
          <w:rFonts w:ascii="宋体" w:hAnsi="宋体" w:eastAsia="宋体"/>
          <w:sz w:val="24"/>
          <w:szCs w:val="24"/>
        </w:rPr>
      </w:pPr>
      <w:r>
        <w:rPr>
          <w:rFonts w:ascii="宋体" w:hAnsi="宋体" w:eastAsia="宋体"/>
          <w:sz w:val="24"/>
          <w:szCs w:val="24"/>
        </w:rPr>
        <w:t>3.10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400" w:lineRule="exact"/>
        <w:ind w:firstLine="480" w:firstLineChars="200"/>
        <w:rPr>
          <w:rFonts w:ascii="宋体" w:hAnsi="宋体" w:eastAsia="宋体"/>
          <w:sz w:val="24"/>
          <w:szCs w:val="24"/>
        </w:rPr>
      </w:pPr>
      <w:r>
        <w:rPr>
          <w:rFonts w:ascii="宋体" w:hAnsi="宋体" w:eastAsia="宋体"/>
          <w:sz w:val="24"/>
          <w:szCs w:val="24"/>
        </w:rPr>
        <w:t>供应商书面说明应当签字确认或者加盖公章，否则无效。书面说明的签字确认，供应商为法人的，应当由其法定代表人或者代理人签字确认；供应商为其他组织的，应当由其主要负责人或者代理人签字确认；投标人为自然人的，应当由其本人或者代理人签字确认。</w:t>
      </w:r>
    </w:p>
    <w:p>
      <w:pPr>
        <w:spacing w:line="400" w:lineRule="exact"/>
        <w:ind w:firstLine="480" w:firstLineChars="200"/>
        <w:rPr>
          <w:rFonts w:ascii="宋体" w:hAnsi="宋体" w:eastAsia="宋体"/>
          <w:sz w:val="24"/>
          <w:szCs w:val="24"/>
        </w:rPr>
      </w:pPr>
      <w:r>
        <w:rPr>
          <w:rFonts w:ascii="宋体" w:hAnsi="宋体" w:eastAsia="宋体"/>
          <w:sz w:val="24"/>
          <w:szCs w:val="24"/>
        </w:rPr>
        <w:t>供应商提供书面说明后，评标委员会应当结合采购项目采购需求、专业实际情况、供应商财务状况报告、与其他供应商比较情况等就供应商书面说明进行审查评价。</w:t>
      </w:r>
    </w:p>
    <w:p>
      <w:pPr>
        <w:spacing w:line="400" w:lineRule="exact"/>
        <w:ind w:firstLine="480" w:firstLineChars="200"/>
        <w:rPr>
          <w:rFonts w:ascii="宋体" w:hAnsi="宋体" w:eastAsia="宋体"/>
          <w:sz w:val="24"/>
          <w:szCs w:val="24"/>
        </w:rPr>
      </w:pPr>
      <w:r>
        <w:rPr>
          <w:rFonts w:ascii="宋体" w:hAnsi="宋体" w:eastAsia="宋体"/>
          <w:sz w:val="24"/>
          <w:szCs w:val="24"/>
        </w:rPr>
        <w:t>供应商拒绝或者变相拒绝提供有效书面说明或者书面说明不能证明其报价合理性的，评价委员会应当将其投标文件、响应文件作为无效处理。</w:t>
      </w:r>
    </w:p>
    <w:p>
      <w:pPr>
        <w:spacing w:line="400" w:lineRule="exact"/>
        <w:ind w:firstLine="480" w:firstLineChars="200"/>
        <w:rPr>
          <w:rFonts w:ascii="宋体" w:hAnsi="宋体" w:eastAsia="宋体"/>
          <w:sz w:val="24"/>
          <w:szCs w:val="24"/>
        </w:rPr>
      </w:pPr>
      <w:r>
        <w:rPr>
          <w:rFonts w:ascii="宋体" w:hAnsi="宋体" w:eastAsia="宋体"/>
          <w:sz w:val="24"/>
          <w:szCs w:val="24"/>
        </w:rPr>
        <w:t>3.11招标采购单位现场复核评标结果。</w:t>
      </w:r>
    </w:p>
    <w:p>
      <w:pPr>
        <w:spacing w:line="400" w:lineRule="exact"/>
        <w:ind w:firstLine="480" w:firstLineChars="200"/>
        <w:rPr>
          <w:rFonts w:ascii="宋体" w:hAnsi="宋体" w:eastAsia="宋体"/>
          <w:sz w:val="24"/>
          <w:szCs w:val="24"/>
        </w:rPr>
      </w:pPr>
      <w:r>
        <w:rPr>
          <w:rFonts w:ascii="宋体" w:hAnsi="宋体" w:eastAsia="宋体"/>
          <w:sz w:val="24"/>
          <w:szCs w:val="24"/>
        </w:rPr>
        <w:t>3.11.1评标结果汇总完成后，评标委员会拟出具评标报告前，招标采购单位应当组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pPr>
        <w:spacing w:line="400" w:lineRule="exact"/>
        <w:ind w:firstLine="480" w:firstLineChars="200"/>
        <w:rPr>
          <w:rFonts w:ascii="宋体" w:hAnsi="宋体" w:eastAsia="宋体"/>
          <w:sz w:val="24"/>
          <w:szCs w:val="24"/>
        </w:rPr>
      </w:pPr>
      <w:r>
        <w:rPr>
          <w:rFonts w:ascii="宋体" w:hAnsi="宋体" w:eastAsia="宋体"/>
          <w:sz w:val="24"/>
          <w:szCs w:val="24"/>
        </w:rPr>
        <w:t>（一）分值汇总计算错误的；</w:t>
      </w:r>
    </w:p>
    <w:p>
      <w:pPr>
        <w:spacing w:line="400" w:lineRule="exact"/>
        <w:ind w:firstLine="480" w:firstLineChars="200"/>
        <w:rPr>
          <w:rFonts w:ascii="宋体" w:hAnsi="宋体" w:eastAsia="宋体"/>
          <w:sz w:val="24"/>
          <w:szCs w:val="24"/>
        </w:rPr>
      </w:pPr>
      <w:r>
        <w:rPr>
          <w:rFonts w:ascii="宋体" w:hAnsi="宋体" w:eastAsia="宋体"/>
          <w:sz w:val="24"/>
          <w:szCs w:val="24"/>
        </w:rPr>
        <w:t>（二）分项评分超出评分标准范围的；</w:t>
      </w:r>
    </w:p>
    <w:p>
      <w:pPr>
        <w:spacing w:line="400" w:lineRule="exact"/>
        <w:ind w:firstLine="240" w:firstLineChars="100"/>
        <w:rPr>
          <w:rFonts w:ascii="宋体" w:hAnsi="宋体" w:eastAsia="宋体"/>
          <w:sz w:val="24"/>
          <w:szCs w:val="24"/>
        </w:rPr>
      </w:pPr>
      <w:r>
        <w:rPr>
          <w:rFonts w:ascii="宋体" w:hAnsi="宋体" w:eastAsia="宋体"/>
          <w:sz w:val="24"/>
          <w:szCs w:val="24"/>
        </w:rPr>
        <w:t>　（三）评标委员会成员对客观评审因素评分不一致的；</w:t>
      </w:r>
    </w:p>
    <w:p>
      <w:pPr>
        <w:spacing w:line="400" w:lineRule="exact"/>
        <w:ind w:firstLine="480" w:firstLineChars="200"/>
        <w:rPr>
          <w:rFonts w:ascii="宋体" w:hAnsi="宋体" w:eastAsia="宋体"/>
          <w:sz w:val="24"/>
          <w:szCs w:val="24"/>
        </w:rPr>
      </w:pPr>
      <w:r>
        <w:rPr>
          <w:rFonts w:ascii="宋体" w:hAnsi="宋体" w:eastAsia="宋体"/>
          <w:sz w:val="24"/>
          <w:szCs w:val="24"/>
        </w:rPr>
        <w:t>（四）经评标委员会认定评分畸高、畸低的。</w:t>
      </w:r>
    </w:p>
    <w:p>
      <w:pPr>
        <w:spacing w:line="400" w:lineRule="exact"/>
        <w:ind w:firstLine="480" w:firstLineChars="200"/>
        <w:rPr>
          <w:rFonts w:ascii="宋体" w:hAnsi="宋体" w:eastAsia="宋体"/>
          <w:sz w:val="24"/>
          <w:szCs w:val="24"/>
        </w:rPr>
      </w:pPr>
      <w:r>
        <w:rPr>
          <w:rFonts w:ascii="宋体" w:hAnsi="宋体" w:eastAsia="宋体"/>
          <w:sz w:val="24"/>
          <w:szCs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pacing w:line="400" w:lineRule="exact"/>
        <w:ind w:firstLine="480" w:firstLineChars="200"/>
        <w:rPr>
          <w:rFonts w:ascii="宋体" w:hAnsi="宋体" w:eastAsia="宋体"/>
          <w:sz w:val="24"/>
          <w:szCs w:val="24"/>
        </w:rPr>
      </w:pPr>
      <w:r>
        <w:rPr>
          <w:rFonts w:ascii="宋体" w:hAnsi="宋体" w:eastAsia="宋体"/>
          <w:sz w:val="24"/>
          <w:szCs w:val="24"/>
        </w:rPr>
        <w:t>3.11.2有下列情形之一的，不得修改评标结果或者重新评标：</w:t>
      </w:r>
    </w:p>
    <w:p>
      <w:pPr>
        <w:spacing w:line="400" w:lineRule="exact"/>
        <w:ind w:firstLine="480" w:firstLineChars="200"/>
        <w:rPr>
          <w:rFonts w:ascii="宋体" w:hAnsi="宋体" w:eastAsia="宋体"/>
          <w:sz w:val="24"/>
          <w:szCs w:val="24"/>
        </w:rPr>
      </w:pPr>
      <w:r>
        <w:rPr>
          <w:rFonts w:ascii="宋体" w:hAnsi="宋体" w:eastAsia="宋体"/>
          <w:sz w:val="24"/>
          <w:szCs w:val="24"/>
        </w:rPr>
        <w:t>（一）评标委员会已经出具评标报告并且离开评标现场的；</w:t>
      </w:r>
    </w:p>
    <w:p>
      <w:pPr>
        <w:spacing w:line="400" w:lineRule="exact"/>
        <w:ind w:firstLine="480" w:firstLineChars="200"/>
        <w:rPr>
          <w:rFonts w:ascii="宋体" w:hAnsi="宋体" w:eastAsia="宋体"/>
          <w:sz w:val="24"/>
          <w:szCs w:val="24"/>
        </w:rPr>
      </w:pPr>
      <w:r>
        <w:rPr>
          <w:rFonts w:ascii="宋体" w:hAnsi="宋体" w:eastAsia="宋体"/>
          <w:sz w:val="24"/>
          <w:szCs w:val="24"/>
        </w:rPr>
        <w:t>（二）招标采购单位现场复核时，复核工作人员数量不足的；</w:t>
      </w:r>
    </w:p>
    <w:p>
      <w:pPr>
        <w:spacing w:line="400" w:lineRule="exact"/>
        <w:ind w:firstLine="480" w:firstLineChars="200"/>
        <w:rPr>
          <w:rFonts w:ascii="宋体" w:hAnsi="宋体" w:eastAsia="宋体"/>
          <w:sz w:val="24"/>
          <w:szCs w:val="24"/>
        </w:rPr>
      </w:pPr>
      <w:r>
        <w:rPr>
          <w:rFonts w:ascii="宋体" w:hAnsi="宋体" w:eastAsia="宋体"/>
          <w:sz w:val="24"/>
          <w:szCs w:val="24"/>
        </w:rPr>
        <w:t>（三）招标采购单位现场复核时，没有采购监督人员现场监督的；</w:t>
      </w:r>
    </w:p>
    <w:p>
      <w:pPr>
        <w:spacing w:line="400" w:lineRule="exact"/>
        <w:ind w:firstLine="480" w:firstLineChars="200"/>
        <w:rPr>
          <w:rFonts w:ascii="宋体" w:hAnsi="宋体" w:eastAsia="宋体"/>
          <w:sz w:val="24"/>
          <w:szCs w:val="24"/>
        </w:rPr>
      </w:pPr>
      <w:r>
        <w:rPr>
          <w:rFonts w:ascii="宋体" w:hAnsi="宋体" w:eastAsia="宋体"/>
          <w:sz w:val="24"/>
          <w:szCs w:val="24"/>
        </w:rPr>
        <w:t>（四）招标采购单位现场复核内容超出规定范围的；</w:t>
      </w:r>
    </w:p>
    <w:p>
      <w:pPr>
        <w:spacing w:line="400" w:lineRule="exact"/>
        <w:ind w:firstLine="480" w:firstLineChars="200"/>
        <w:rPr>
          <w:rFonts w:ascii="宋体" w:hAnsi="宋体" w:eastAsia="宋体"/>
          <w:sz w:val="24"/>
          <w:szCs w:val="24"/>
        </w:rPr>
      </w:pPr>
      <w:r>
        <w:rPr>
          <w:rFonts w:ascii="宋体" w:hAnsi="宋体" w:eastAsia="宋体"/>
          <w:sz w:val="24"/>
          <w:szCs w:val="24"/>
        </w:rPr>
        <w:t>（五）招标采购单位未提供书面建议的。</w:t>
      </w:r>
    </w:p>
    <w:p>
      <w:pPr>
        <w:pStyle w:val="5"/>
        <w:spacing w:before="0" w:after="0" w:line="415" w:lineRule="auto"/>
        <w:jc w:val="both"/>
        <w:rPr>
          <w:rFonts w:ascii="宋体" w:hAnsi="宋体" w:eastAsia="宋体"/>
          <w:color w:val="auto"/>
          <w:sz w:val="24"/>
          <w:szCs w:val="24"/>
        </w:rPr>
      </w:pPr>
      <w:bookmarkStart w:id="60" w:name="_Toc22672"/>
      <w:r>
        <w:rPr>
          <w:rFonts w:ascii="宋体" w:hAnsi="宋体" w:eastAsia="宋体"/>
          <w:color w:val="auto"/>
          <w:sz w:val="24"/>
          <w:szCs w:val="24"/>
        </w:rPr>
        <w:t>4. 评标细则及标准</w:t>
      </w:r>
      <w:bookmarkEnd w:id="60"/>
    </w:p>
    <w:p>
      <w:pPr>
        <w:spacing w:line="400" w:lineRule="exact"/>
        <w:ind w:firstLine="480" w:firstLineChars="200"/>
        <w:rPr>
          <w:rFonts w:ascii="宋体" w:hAnsi="宋体" w:eastAsia="宋体"/>
          <w:sz w:val="24"/>
          <w:szCs w:val="24"/>
        </w:rPr>
      </w:pPr>
      <w:r>
        <w:rPr>
          <w:rFonts w:ascii="宋体" w:hAnsi="宋体" w:eastAsia="宋体"/>
          <w:sz w:val="24"/>
          <w:szCs w:val="24"/>
        </w:rPr>
        <w:t>4.1本次综合评分的因素是：详见综合评分明细表。</w:t>
      </w:r>
    </w:p>
    <w:p>
      <w:pPr>
        <w:spacing w:line="400" w:lineRule="exact"/>
        <w:ind w:firstLine="480" w:firstLineChars="200"/>
        <w:rPr>
          <w:rFonts w:ascii="宋体" w:hAnsi="宋体" w:eastAsia="宋体"/>
          <w:sz w:val="24"/>
          <w:szCs w:val="24"/>
        </w:rPr>
      </w:pPr>
      <w:r>
        <w:rPr>
          <w:rFonts w:ascii="宋体" w:hAnsi="宋体" w:eastAsia="宋体"/>
          <w:sz w:val="24"/>
          <w:szCs w:val="24"/>
        </w:rPr>
        <w:t>4.2 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如有）独立评分。采购人代表原则上对技术类评分因素独立评分。价格和其他不能明确区分的评分因素由评标委员会成员共同评分。</w:t>
      </w:r>
    </w:p>
    <w:p>
      <w:pPr>
        <w:spacing w:line="400" w:lineRule="exact"/>
        <w:ind w:firstLine="480" w:firstLineChars="200"/>
        <w:rPr>
          <w:rFonts w:ascii="宋体" w:hAnsi="宋体" w:eastAsia="宋体"/>
          <w:sz w:val="24"/>
          <w:szCs w:val="24"/>
        </w:rPr>
      </w:pPr>
      <w:r>
        <w:rPr>
          <w:rFonts w:ascii="宋体" w:hAnsi="宋体" w:eastAsia="宋体"/>
          <w:sz w:val="24"/>
          <w:szCs w:val="24"/>
        </w:rPr>
        <w:t>4.3综合评分明细表</w:t>
      </w:r>
    </w:p>
    <w:p>
      <w:pPr>
        <w:spacing w:line="400" w:lineRule="exact"/>
        <w:ind w:firstLine="480" w:firstLineChars="200"/>
        <w:rPr>
          <w:rFonts w:ascii="宋体" w:hAnsi="宋体" w:eastAsia="宋体"/>
          <w:sz w:val="24"/>
          <w:szCs w:val="24"/>
        </w:rPr>
      </w:pPr>
      <w:r>
        <w:rPr>
          <w:rFonts w:ascii="宋体" w:hAnsi="宋体" w:eastAsia="宋体"/>
          <w:sz w:val="24"/>
          <w:szCs w:val="24"/>
        </w:rPr>
        <w:t>4.3.1综合评分明细表的制定以科学合理、降低评委会自由裁量权为原则。</w:t>
      </w:r>
    </w:p>
    <w:p>
      <w:pPr>
        <w:spacing w:line="400" w:lineRule="exact"/>
        <w:ind w:firstLine="480" w:firstLineChars="200"/>
        <w:rPr>
          <w:rFonts w:ascii="宋体" w:hAnsi="宋体" w:eastAsia="宋体"/>
          <w:sz w:val="24"/>
          <w:szCs w:val="24"/>
        </w:rPr>
      </w:pPr>
      <w:r>
        <w:rPr>
          <w:rFonts w:ascii="宋体" w:hAnsi="宋体" w:eastAsia="宋体"/>
          <w:sz w:val="24"/>
          <w:szCs w:val="24"/>
        </w:rPr>
        <w:t>4.3.2综合评分明细表</w:t>
      </w:r>
    </w:p>
    <w:p>
      <w:pPr>
        <w:spacing w:line="276" w:lineRule="auto"/>
        <w:ind w:firstLine="482" w:firstLineChars="200"/>
        <w:rPr>
          <w:rFonts w:ascii="宋体" w:hAnsi="宋体" w:eastAsia="宋体"/>
          <w:b/>
          <w:bCs/>
          <w:sz w:val="24"/>
          <w:szCs w:val="24"/>
        </w:rPr>
      </w:pPr>
      <w:r>
        <w:rPr>
          <w:rFonts w:ascii="宋体" w:hAnsi="宋体" w:eastAsia="宋体"/>
          <w:b/>
          <w:bCs/>
          <w:sz w:val="24"/>
          <w:szCs w:val="24"/>
        </w:rPr>
        <w:t>注：小微企业（监狱企业、残疾人福利性单位视同小微企业）价格扣除按照投标人须知附表执行。</w:t>
      </w:r>
    </w:p>
    <w:p>
      <w:pPr>
        <w:pStyle w:val="2"/>
      </w:pPr>
    </w:p>
    <w:p>
      <w:pPr>
        <w:spacing w:line="276" w:lineRule="auto"/>
        <w:ind w:firstLine="482" w:firstLineChars="200"/>
        <w:rPr>
          <w:rFonts w:ascii="宋体" w:hAnsi="宋体" w:eastAsia="宋体"/>
          <w:b/>
          <w:bCs/>
          <w:sz w:val="24"/>
          <w:szCs w:val="24"/>
        </w:rPr>
      </w:pPr>
    </w:p>
    <w:tbl>
      <w:tblPr>
        <w:tblStyle w:val="17"/>
        <w:tblW w:w="99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4"/>
        <w:gridCol w:w="1974"/>
        <w:gridCol w:w="705"/>
        <w:gridCol w:w="3951"/>
        <w:gridCol w:w="2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4"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1974" w:type="dxa"/>
            <w:vAlign w:val="center"/>
          </w:tcPr>
          <w:p>
            <w:pPr>
              <w:jc w:val="center"/>
              <w:rPr>
                <w:rFonts w:ascii="宋体" w:hAnsi="宋体" w:eastAsia="宋体" w:cs="宋体"/>
                <w:szCs w:val="21"/>
              </w:rPr>
            </w:pPr>
            <w:r>
              <w:rPr>
                <w:rFonts w:hint="eastAsia" w:ascii="宋体" w:hAnsi="宋体" w:eastAsia="宋体" w:cs="宋体"/>
                <w:szCs w:val="21"/>
              </w:rPr>
              <w:t>评审项目</w:t>
            </w:r>
          </w:p>
        </w:tc>
        <w:tc>
          <w:tcPr>
            <w:tcW w:w="705" w:type="dxa"/>
            <w:vAlign w:val="center"/>
          </w:tcPr>
          <w:p>
            <w:pPr>
              <w:jc w:val="center"/>
              <w:rPr>
                <w:rFonts w:ascii="宋体" w:hAnsi="宋体" w:eastAsia="宋体" w:cs="宋体"/>
                <w:szCs w:val="21"/>
              </w:rPr>
            </w:pPr>
            <w:r>
              <w:rPr>
                <w:rFonts w:hint="eastAsia" w:ascii="宋体" w:hAnsi="宋体" w:eastAsia="宋体" w:cs="宋体"/>
                <w:szCs w:val="21"/>
              </w:rPr>
              <w:t>分值</w:t>
            </w:r>
          </w:p>
        </w:tc>
        <w:tc>
          <w:tcPr>
            <w:tcW w:w="3951" w:type="dxa"/>
            <w:vAlign w:val="center"/>
          </w:tcPr>
          <w:p>
            <w:pPr>
              <w:jc w:val="center"/>
              <w:rPr>
                <w:rFonts w:ascii="宋体" w:hAnsi="宋体" w:eastAsia="宋体" w:cs="宋体"/>
                <w:szCs w:val="21"/>
              </w:rPr>
            </w:pPr>
            <w:r>
              <w:rPr>
                <w:rFonts w:hint="eastAsia" w:ascii="宋体" w:hAnsi="宋体" w:eastAsia="宋体" w:cs="宋体"/>
                <w:szCs w:val="21"/>
              </w:rPr>
              <w:t>评分标准</w:t>
            </w:r>
          </w:p>
        </w:tc>
        <w:tc>
          <w:tcPr>
            <w:tcW w:w="2824" w:type="dxa"/>
            <w:vAlign w:val="center"/>
          </w:tcPr>
          <w:p>
            <w:pPr>
              <w:jc w:val="center"/>
              <w:rPr>
                <w:rFonts w:ascii="宋体" w:hAnsi="宋体" w:eastAsia="宋体" w:cs="宋体"/>
                <w:szCs w:val="21"/>
              </w:rPr>
            </w:pPr>
            <w:r>
              <w:rPr>
                <w:rFonts w:hint="eastAsia" w:ascii="宋体" w:hAnsi="宋体" w:eastAsia="宋体" w:cs="宋体"/>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4"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974" w:type="dxa"/>
            <w:vAlign w:val="center"/>
          </w:tcPr>
          <w:p>
            <w:pPr>
              <w:jc w:val="center"/>
              <w:rPr>
                <w:rFonts w:ascii="宋体" w:hAnsi="宋体" w:eastAsia="宋体" w:cs="宋体"/>
                <w:szCs w:val="21"/>
              </w:rPr>
            </w:pPr>
            <w:r>
              <w:rPr>
                <w:rFonts w:hint="eastAsia" w:ascii="宋体" w:hAnsi="宋体" w:eastAsia="宋体" w:cs="宋体"/>
                <w:szCs w:val="21"/>
              </w:rPr>
              <w:t>投标报价15%</w:t>
            </w:r>
          </w:p>
          <w:p>
            <w:pPr>
              <w:jc w:val="center"/>
              <w:rPr>
                <w:rFonts w:ascii="宋体" w:hAnsi="宋体" w:eastAsia="宋体" w:cs="宋体"/>
                <w:szCs w:val="21"/>
              </w:rPr>
            </w:pPr>
            <w:r>
              <w:rPr>
                <w:rFonts w:hint="eastAsia" w:ascii="宋体" w:hAnsi="宋体" w:eastAsia="宋体" w:cs="宋体"/>
                <w:szCs w:val="21"/>
              </w:rPr>
              <w:t>（评审委员会）</w:t>
            </w:r>
          </w:p>
        </w:tc>
        <w:tc>
          <w:tcPr>
            <w:tcW w:w="705" w:type="dxa"/>
            <w:vAlign w:val="center"/>
          </w:tcPr>
          <w:p>
            <w:pPr>
              <w:jc w:val="center"/>
              <w:rPr>
                <w:rFonts w:ascii="宋体" w:hAnsi="宋体" w:eastAsia="宋体" w:cs="宋体"/>
                <w:szCs w:val="21"/>
              </w:rPr>
            </w:pPr>
            <w:r>
              <w:rPr>
                <w:rFonts w:hint="eastAsia" w:ascii="宋体" w:hAnsi="宋体" w:eastAsia="宋体" w:cs="宋体"/>
                <w:szCs w:val="21"/>
              </w:rPr>
              <w:t>15</w:t>
            </w:r>
          </w:p>
        </w:tc>
        <w:tc>
          <w:tcPr>
            <w:tcW w:w="3951" w:type="dxa"/>
            <w:vAlign w:val="center"/>
          </w:tcPr>
          <w:p>
            <w:pPr>
              <w:widowControl/>
              <w:ind w:firstLine="420" w:firstLineChars="200"/>
              <w:jc w:val="left"/>
              <w:rPr>
                <w:rFonts w:ascii="宋体" w:hAnsi="宋体" w:eastAsia="宋体" w:cs="宋体"/>
                <w:szCs w:val="21"/>
              </w:rPr>
            </w:pPr>
            <w:r>
              <w:rPr>
                <w:rFonts w:hint="eastAsia" w:ascii="宋体" w:hAnsi="宋体" w:eastAsia="宋体" w:cs="宋体"/>
                <w:kern w:val="0"/>
                <w:szCs w:val="21"/>
              </w:rPr>
              <w:t>经评审有效的最低投标报价为评标基准价，其价格分为满分。其他投标人的价格分统一按照下列公式计算：投标报价得分=（评标基准价/投标报价）×15%×100分。</w:t>
            </w:r>
          </w:p>
        </w:tc>
        <w:tc>
          <w:tcPr>
            <w:tcW w:w="2824" w:type="dxa"/>
            <w:vAlign w:val="center"/>
          </w:tcPr>
          <w:p>
            <w:pPr>
              <w:jc w:val="center"/>
              <w:rPr>
                <w:rFonts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4" w:type="dxa"/>
            <w:vAlign w:val="center"/>
          </w:tcPr>
          <w:p>
            <w:pPr>
              <w:jc w:val="center"/>
              <w:rPr>
                <w:rFonts w:ascii="宋体" w:hAnsi="宋体" w:eastAsia="宋体" w:cs="宋体"/>
                <w:szCs w:val="21"/>
              </w:rPr>
            </w:pPr>
            <w:r>
              <w:rPr>
                <w:rFonts w:hint="eastAsia" w:ascii="宋体" w:hAnsi="宋体" w:eastAsia="宋体" w:cs="宋体"/>
                <w:szCs w:val="21"/>
              </w:rPr>
              <w:t>2</w:t>
            </w:r>
          </w:p>
        </w:tc>
        <w:tc>
          <w:tcPr>
            <w:tcW w:w="1974" w:type="dxa"/>
            <w:vAlign w:val="center"/>
          </w:tcPr>
          <w:p>
            <w:pPr>
              <w:jc w:val="center"/>
              <w:rPr>
                <w:rFonts w:ascii="宋体" w:hAnsi="宋体" w:eastAsia="宋体" w:cs="宋体"/>
                <w:szCs w:val="21"/>
              </w:rPr>
            </w:pPr>
            <w:r>
              <w:rPr>
                <w:rFonts w:hint="eastAsia" w:ascii="宋体" w:hAnsi="宋体" w:eastAsia="宋体" w:cs="宋体"/>
                <w:szCs w:val="21"/>
              </w:rPr>
              <w:t>企业实力及荣誉3%</w:t>
            </w:r>
          </w:p>
          <w:p>
            <w:pPr>
              <w:spacing w:after="120"/>
              <w:jc w:val="center"/>
              <w:rPr>
                <w:rFonts w:ascii="宋体" w:hAnsi="宋体" w:eastAsia="宋体" w:cs="宋体"/>
                <w:szCs w:val="21"/>
              </w:rPr>
            </w:pPr>
            <w:r>
              <w:rPr>
                <w:rFonts w:hint="eastAsia" w:ascii="宋体" w:hAnsi="宋体" w:eastAsia="宋体" w:cs="宋体"/>
                <w:szCs w:val="21"/>
              </w:rPr>
              <w:t>（评审委员会）</w:t>
            </w:r>
          </w:p>
        </w:tc>
        <w:tc>
          <w:tcPr>
            <w:tcW w:w="705" w:type="dxa"/>
            <w:vAlign w:val="center"/>
          </w:tcPr>
          <w:p>
            <w:pPr>
              <w:jc w:val="center"/>
              <w:rPr>
                <w:rFonts w:ascii="宋体" w:hAnsi="宋体" w:eastAsia="宋体" w:cs="宋体"/>
                <w:szCs w:val="21"/>
              </w:rPr>
            </w:pPr>
            <w:r>
              <w:rPr>
                <w:rFonts w:hint="eastAsia" w:ascii="宋体" w:hAnsi="宋体" w:eastAsia="宋体" w:cs="宋体"/>
                <w:szCs w:val="21"/>
              </w:rPr>
              <w:t>3</w:t>
            </w:r>
          </w:p>
        </w:tc>
        <w:tc>
          <w:tcPr>
            <w:tcW w:w="3951" w:type="dxa"/>
            <w:vAlign w:val="center"/>
          </w:tcPr>
          <w:p>
            <w:pPr>
              <w:widowControl/>
              <w:ind w:firstLine="420" w:firstLineChars="200"/>
              <w:rPr>
                <w:rFonts w:hint="eastAsia"/>
              </w:rPr>
            </w:pPr>
            <w:r>
              <w:rPr>
                <w:rFonts w:hint="eastAsia"/>
              </w:rPr>
              <w:t>投标人提供有效期内的质量管理体系认证证书，环境管理体系认证证书，职业健康安全管理体系认证证书，每提供一个得1分，最多得3分。</w:t>
            </w:r>
          </w:p>
          <w:p>
            <w:pPr>
              <w:widowControl/>
              <w:rPr>
                <w:rFonts w:hint="eastAsia"/>
              </w:rPr>
            </w:pPr>
            <w:r>
              <w:rPr>
                <w:rFonts w:hint="eastAsia"/>
              </w:rPr>
              <w:t>（以上证书：①需通过全国认证认可信息公共服务平台查询，提供网址及网页截图；②提供证书复印件并加盖投标单位公章。）</w:t>
            </w:r>
          </w:p>
        </w:tc>
        <w:tc>
          <w:tcPr>
            <w:tcW w:w="2824" w:type="dxa"/>
            <w:vAlign w:val="center"/>
          </w:tcPr>
          <w:p>
            <w:pPr>
              <w:widowControl/>
              <w:ind w:firstLine="420" w:firstLineChars="200"/>
              <w:rPr>
                <w:rFonts w:hint="eastAsia"/>
              </w:rPr>
            </w:pPr>
            <w:r>
              <w:rPr>
                <w:rFonts w:hint="eastAsia"/>
              </w:rPr>
              <w:t>提供证书复印件加盖投标人公章。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4" w:type="dxa"/>
            <w:vAlign w:val="center"/>
          </w:tcPr>
          <w:p>
            <w:pPr>
              <w:jc w:val="center"/>
              <w:rPr>
                <w:rFonts w:ascii="宋体" w:hAnsi="宋体" w:eastAsia="宋体" w:cs="宋体"/>
                <w:szCs w:val="21"/>
              </w:rPr>
            </w:pPr>
            <w:r>
              <w:rPr>
                <w:rFonts w:hint="eastAsia" w:ascii="宋体" w:hAnsi="宋体" w:eastAsia="宋体" w:cs="宋体"/>
                <w:szCs w:val="21"/>
              </w:rPr>
              <w:t>3</w:t>
            </w:r>
          </w:p>
        </w:tc>
        <w:tc>
          <w:tcPr>
            <w:tcW w:w="1974" w:type="dxa"/>
            <w:vAlign w:val="center"/>
          </w:tcPr>
          <w:p>
            <w:pPr>
              <w:jc w:val="center"/>
              <w:rPr>
                <w:rFonts w:ascii="宋体" w:hAnsi="宋体" w:eastAsia="宋体" w:cs="宋体"/>
                <w:szCs w:val="21"/>
              </w:rPr>
            </w:pPr>
            <w:r>
              <w:rPr>
                <w:rFonts w:hint="eastAsia" w:ascii="宋体" w:hAnsi="宋体" w:eastAsia="宋体" w:cs="宋体"/>
                <w:szCs w:val="21"/>
              </w:rPr>
              <w:t>履约经历15%</w:t>
            </w:r>
          </w:p>
          <w:p>
            <w:pPr>
              <w:jc w:val="center"/>
              <w:rPr>
                <w:rFonts w:ascii="宋体" w:hAnsi="宋体" w:eastAsia="宋体" w:cs="宋体"/>
                <w:szCs w:val="21"/>
              </w:rPr>
            </w:pPr>
            <w:r>
              <w:rPr>
                <w:rFonts w:hint="eastAsia" w:ascii="宋体" w:hAnsi="宋体" w:eastAsia="宋体" w:cs="宋体"/>
                <w:szCs w:val="21"/>
              </w:rPr>
              <w:t>（评审委员会）</w:t>
            </w:r>
          </w:p>
        </w:tc>
        <w:tc>
          <w:tcPr>
            <w:tcW w:w="705" w:type="dxa"/>
            <w:vAlign w:val="center"/>
          </w:tcPr>
          <w:p>
            <w:pPr>
              <w:jc w:val="center"/>
              <w:rPr>
                <w:rFonts w:ascii="宋体" w:hAnsi="宋体" w:eastAsia="宋体" w:cs="宋体"/>
                <w:szCs w:val="21"/>
              </w:rPr>
            </w:pPr>
            <w:r>
              <w:rPr>
                <w:rFonts w:hint="eastAsia" w:ascii="宋体" w:hAnsi="宋体" w:eastAsia="宋体" w:cs="宋体"/>
                <w:szCs w:val="21"/>
              </w:rPr>
              <w:t>15</w:t>
            </w:r>
          </w:p>
        </w:tc>
        <w:tc>
          <w:tcPr>
            <w:tcW w:w="3951" w:type="dxa"/>
            <w:vAlign w:val="center"/>
          </w:tcPr>
          <w:p>
            <w:pPr>
              <w:ind w:firstLine="420" w:firstLineChars="200"/>
              <w:rPr>
                <w:rFonts w:ascii="宋体" w:hAnsi="宋体" w:eastAsia="宋体" w:cs="宋体"/>
                <w:szCs w:val="21"/>
              </w:rPr>
            </w:pPr>
            <w:r>
              <w:rPr>
                <w:rFonts w:hint="eastAsia" w:ascii="宋体" w:hAnsi="宋体" w:eastAsia="宋体" w:cs="宋体"/>
                <w:szCs w:val="21"/>
              </w:rPr>
              <w:t>投标人自2018年1月1日以来，每有一个（道路清扫或垃圾清运或保洁作业等类似）的环卫作业业绩的得2.5分；本项最多得15分。</w:t>
            </w:r>
          </w:p>
        </w:tc>
        <w:tc>
          <w:tcPr>
            <w:tcW w:w="2824" w:type="dxa"/>
            <w:vAlign w:val="center"/>
          </w:tcPr>
          <w:p>
            <w:pPr>
              <w:jc w:val="left"/>
              <w:rPr>
                <w:rFonts w:ascii="宋体" w:hAnsi="宋体" w:eastAsia="宋体" w:cs="宋体"/>
                <w:szCs w:val="21"/>
              </w:rPr>
            </w:pPr>
            <w:r>
              <w:rPr>
                <w:rFonts w:hint="eastAsia" w:ascii="宋体" w:hAnsi="宋体" w:eastAsia="宋体" w:cs="宋体"/>
                <w:szCs w:val="21"/>
              </w:rPr>
              <w:t>提供合同复印件中标通知书加盖投标人公章。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4" w:type="dxa"/>
            <w:vAlign w:val="center"/>
          </w:tcPr>
          <w:p>
            <w:pPr>
              <w:jc w:val="center"/>
              <w:rPr>
                <w:rFonts w:ascii="宋体" w:hAnsi="宋体" w:eastAsia="宋体" w:cs="宋体"/>
                <w:szCs w:val="21"/>
              </w:rPr>
            </w:pPr>
            <w:r>
              <w:rPr>
                <w:rFonts w:hint="eastAsia" w:ascii="宋体" w:hAnsi="宋体" w:eastAsia="宋体" w:cs="宋体"/>
                <w:szCs w:val="21"/>
              </w:rPr>
              <w:t>4</w:t>
            </w:r>
          </w:p>
        </w:tc>
        <w:tc>
          <w:tcPr>
            <w:tcW w:w="1974" w:type="dxa"/>
            <w:vAlign w:val="center"/>
          </w:tcPr>
          <w:p>
            <w:pPr>
              <w:jc w:val="center"/>
              <w:rPr>
                <w:rFonts w:ascii="宋体" w:hAnsi="宋体" w:eastAsia="宋体" w:cs="宋体"/>
                <w:szCs w:val="21"/>
              </w:rPr>
            </w:pPr>
            <w:r>
              <w:rPr>
                <w:rFonts w:hint="eastAsia" w:ascii="宋体" w:hAnsi="宋体" w:eastAsia="宋体" w:cs="宋体"/>
                <w:szCs w:val="21"/>
              </w:rPr>
              <w:t>项目经理经验5%</w:t>
            </w:r>
          </w:p>
          <w:p>
            <w:pPr>
              <w:spacing w:after="120"/>
              <w:jc w:val="center"/>
              <w:rPr>
                <w:rFonts w:ascii="宋体" w:hAnsi="宋体" w:eastAsia="宋体" w:cs="宋体"/>
                <w:szCs w:val="21"/>
              </w:rPr>
            </w:pPr>
            <w:r>
              <w:rPr>
                <w:rFonts w:hint="eastAsia" w:ascii="宋体" w:hAnsi="宋体" w:eastAsia="宋体" w:cs="宋体"/>
                <w:szCs w:val="21"/>
              </w:rPr>
              <w:t>（评审委员会）</w:t>
            </w:r>
          </w:p>
        </w:tc>
        <w:tc>
          <w:tcPr>
            <w:tcW w:w="705" w:type="dxa"/>
            <w:vAlign w:val="center"/>
          </w:tcPr>
          <w:p>
            <w:pPr>
              <w:jc w:val="center"/>
              <w:rPr>
                <w:rFonts w:ascii="宋体" w:hAnsi="宋体" w:eastAsia="宋体" w:cs="宋体"/>
                <w:szCs w:val="21"/>
              </w:rPr>
            </w:pPr>
            <w:r>
              <w:rPr>
                <w:rFonts w:hint="eastAsia" w:ascii="宋体" w:hAnsi="宋体" w:eastAsia="宋体" w:cs="宋体"/>
                <w:szCs w:val="21"/>
              </w:rPr>
              <w:t>5</w:t>
            </w:r>
          </w:p>
        </w:tc>
        <w:tc>
          <w:tcPr>
            <w:tcW w:w="3951" w:type="dxa"/>
            <w:vAlign w:val="center"/>
          </w:tcPr>
          <w:p>
            <w:pPr>
              <w:widowControl/>
              <w:ind w:firstLine="420" w:firstLineChars="200"/>
              <w:jc w:val="left"/>
              <w:rPr>
                <w:rFonts w:ascii="宋体" w:hAnsi="宋体" w:eastAsia="宋体" w:cs="宋体"/>
                <w:szCs w:val="21"/>
              </w:rPr>
            </w:pPr>
            <w:r>
              <w:rPr>
                <w:rFonts w:hint="eastAsia" w:ascii="宋体" w:hAnsi="宋体" w:eastAsia="宋体" w:cs="宋体"/>
                <w:szCs w:val="21"/>
              </w:rPr>
              <w:t>1、投标人拟派项目经理具有行业主管部门或行业协会颁发的《环卫服务企业项目经理资格证书》（高级）的得3分，《环卫服务企业项目经理资格证书》（中级）的得2分。</w:t>
            </w:r>
          </w:p>
          <w:p>
            <w:pPr>
              <w:ind w:firstLine="420" w:firstLineChars="200"/>
              <w:rPr>
                <w:rFonts w:ascii="宋体" w:hAnsi="宋体" w:eastAsia="宋体" w:cs="宋体"/>
                <w:szCs w:val="21"/>
              </w:rPr>
            </w:pPr>
            <w:r>
              <w:rPr>
                <w:rFonts w:hint="eastAsia" w:ascii="宋体" w:hAnsi="宋体" w:eastAsia="宋体" w:cs="宋体"/>
                <w:szCs w:val="21"/>
              </w:rPr>
              <w:t>2、拟派项目经理自2018年1月1日以来有担任过城市环卫清扫保洁作业项目，每个案例得1分，最多得2分。</w:t>
            </w:r>
          </w:p>
          <w:p>
            <w:pPr>
              <w:rPr>
                <w:rFonts w:ascii="宋体" w:hAnsi="宋体" w:eastAsia="宋体" w:cs="宋体"/>
                <w:szCs w:val="21"/>
              </w:rPr>
            </w:pPr>
          </w:p>
        </w:tc>
        <w:tc>
          <w:tcPr>
            <w:tcW w:w="2824" w:type="dxa"/>
            <w:vAlign w:val="center"/>
          </w:tcPr>
          <w:p>
            <w:pPr>
              <w:jc w:val="left"/>
              <w:rPr>
                <w:rFonts w:ascii="宋体" w:hAnsi="宋体" w:eastAsia="宋体" w:cs="宋体"/>
                <w:szCs w:val="21"/>
              </w:rPr>
            </w:pPr>
            <w:r>
              <w:rPr>
                <w:rFonts w:hint="eastAsia" w:ascii="宋体" w:hAnsi="宋体" w:eastAsia="宋体" w:cs="宋体"/>
                <w:szCs w:val="21"/>
              </w:rPr>
              <w:t>1、提供相应有效证书复印件加盖投标人公章。</w:t>
            </w:r>
          </w:p>
          <w:p>
            <w:pPr>
              <w:jc w:val="left"/>
              <w:rPr>
                <w:rFonts w:ascii="宋体" w:hAnsi="宋体" w:eastAsia="宋体" w:cs="宋体"/>
                <w:szCs w:val="21"/>
              </w:rPr>
            </w:pPr>
            <w:r>
              <w:rPr>
                <w:rFonts w:hint="eastAsia" w:ascii="宋体" w:hAnsi="宋体" w:eastAsia="宋体" w:cs="宋体"/>
                <w:szCs w:val="21"/>
              </w:rPr>
              <w:t>2、投标人拟配置本项目人员应当是本单位人员，提供本单位在职证明材料。</w:t>
            </w:r>
          </w:p>
          <w:p>
            <w:pPr>
              <w:jc w:val="left"/>
              <w:rPr>
                <w:rFonts w:ascii="宋体" w:hAnsi="宋体" w:eastAsia="宋体" w:cs="宋体"/>
                <w:szCs w:val="21"/>
              </w:rPr>
            </w:pPr>
            <w:r>
              <w:rPr>
                <w:rFonts w:hint="eastAsia" w:ascii="宋体" w:hAnsi="宋体" w:eastAsia="宋体" w:cs="宋体"/>
                <w:szCs w:val="21"/>
              </w:rPr>
              <w:t>3、项目经理案例须提供对应的作业合同及业主方履约评价证明文件。作业合同复印件需加盖投标人公章。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4" w:type="dxa"/>
            <w:vAlign w:val="center"/>
          </w:tcPr>
          <w:p>
            <w:pPr>
              <w:jc w:val="center"/>
              <w:rPr>
                <w:rFonts w:ascii="宋体" w:hAnsi="宋体" w:eastAsia="宋体" w:cs="宋体"/>
                <w:szCs w:val="21"/>
              </w:rPr>
            </w:pPr>
            <w:r>
              <w:rPr>
                <w:rFonts w:hint="eastAsia" w:ascii="宋体" w:hAnsi="宋体" w:eastAsia="宋体" w:cs="宋体"/>
                <w:szCs w:val="21"/>
              </w:rPr>
              <w:t>5</w:t>
            </w:r>
          </w:p>
        </w:tc>
        <w:tc>
          <w:tcPr>
            <w:tcW w:w="1974" w:type="dxa"/>
            <w:vAlign w:val="center"/>
          </w:tcPr>
          <w:p>
            <w:pPr>
              <w:widowControl/>
              <w:jc w:val="center"/>
              <w:textAlignment w:val="baseline"/>
              <w:rPr>
                <w:rFonts w:ascii="宋体" w:hAnsi="宋体" w:eastAsia="宋体" w:cs="宋体"/>
                <w:szCs w:val="21"/>
              </w:rPr>
            </w:pPr>
            <w:r>
              <w:rPr>
                <w:rFonts w:hint="eastAsia" w:ascii="宋体" w:hAnsi="宋体" w:eastAsia="宋体" w:cs="宋体"/>
                <w:szCs w:val="21"/>
              </w:rPr>
              <w:t>项目现场情况了解及分析方案8%</w:t>
            </w:r>
          </w:p>
          <w:p>
            <w:pPr>
              <w:spacing w:after="120"/>
              <w:jc w:val="center"/>
              <w:rPr>
                <w:rFonts w:ascii="宋体" w:hAnsi="宋体" w:eastAsia="宋体" w:cs="宋体"/>
                <w:szCs w:val="21"/>
              </w:rPr>
            </w:pPr>
            <w:r>
              <w:rPr>
                <w:rFonts w:hint="eastAsia" w:ascii="宋体" w:hAnsi="宋体" w:eastAsia="宋体" w:cs="宋体"/>
                <w:szCs w:val="21"/>
              </w:rPr>
              <w:t>（技术类评委）</w:t>
            </w:r>
          </w:p>
        </w:tc>
        <w:tc>
          <w:tcPr>
            <w:tcW w:w="705" w:type="dxa"/>
            <w:vAlign w:val="center"/>
          </w:tcPr>
          <w:p>
            <w:pPr>
              <w:jc w:val="center"/>
              <w:rPr>
                <w:rFonts w:ascii="宋体" w:hAnsi="宋体" w:eastAsia="宋体" w:cs="宋体"/>
                <w:szCs w:val="21"/>
              </w:rPr>
            </w:pPr>
            <w:r>
              <w:rPr>
                <w:rFonts w:hint="eastAsia" w:ascii="宋体" w:hAnsi="宋体" w:eastAsia="宋体" w:cs="宋体"/>
                <w:szCs w:val="21"/>
              </w:rPr>
              <w:t>8</w:t>
            </w:r>
          </w:p>
        </w:tc>
        <w:tc>
          <w:tcPr>
            <w:tcW w:w="3951" w:type="dxa"/>
            <w:vAlign w:val="center"/>
          </w:tcPr>
          <w:p>
            <w:pPr>
              <w:ind w:firstLine="420" w:firstLineChars="200"/>
              <w:rPr>
                <w:rFonts w:ascii="宋体" w:hAnsi="宋体" w:eastAsia="宋体" w:cs="宋体"/>
                <w:szCs w:val="21"/>
              </w:rPr>
            </w:pPr>
            <w:r>
              <w:rPr>
                <w:rFonts w:hint="eastAsia" w:ascii="宋体" w:hAnsi="宋体" w:eastAsia="宋体" w:cs="宋体"/>
                <w:szCs w:val="21"/>
              </w:rPr>
              <w:t>根据投标人针对本项目提供的项目现场情况及分析方案：包含（1）作业服务范围、作业内容；（2）对项目的重难点分析及相对应的措施和项目注意事项分析；（3）投标人具备的优势分析（4）对项目管理的服务策划和设想。每项内容合理的得2分，本项最多得8分，不提供或不合理的不得分。</w:t>
            </w:r>
          </w:p>
          <w:p>
            <w:pPr>
              <w:ind w:firstLine="420" w:firstLineChars="200"/>
              <w:rPr>
                <w:rFonts w:ascii="宋体" w:hAnsi="宋体" w:eastAsia="宋体" w:cs="宋体"/>
                <w:szCs w:val="21"/>
              </w:rPr>
            </w:pPr>
            <w:r>
              <w:rPr>
                <w:rFonts w:hint="eastAsia" w:ascii="宋体" w:hAnsi="宋体" w:eastAsia="宋体" w:cs="宋体"/>
                <w:szCs w:val="21"/>
              </w:rPr>
              <w:t>注：内容不合理是指存在不适用项目实际情况的情形、具体分析内容不完善、凭空编造、套用其它方案、逻辑漏洞、科学原理错误以及不可能实现的夸大情形等。</w:t>
            </w:r>
          </w:p>
        </w:tc>
        <w:tc>
          <w:tcPr>
            <w:tcW w:w="2824" w:type="dxa"/>
            <w:vAlign w:val="center"/>
          </w:tcPr>
          <w:p>
            <w:pPr>
              <w:jc w:val="center"/>
              <w:rPr>
                <w:rFonts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4" w:type="dxa"/>
            <w:vAlign w:val="center"/>
          </w:tcPr>
          <w:p>
            <w:pPr>
              <w:jc w:val="center"/>
              <w:rPr>
                <w:rFonts w:ascii="宋体" w:hAnsi="宋体" w:eastAsia="宋体" w:cs="宋体"/>
                <w:szCs w:val="21"/>
              </w:rPr>
            </w:pPr>
            <w:r>
              <w:rPr>
                <w:rFonts w:hint="eastAsia" w:ascii="宋体" w:hAnsi="宋体" w:eastAsia="宋体" w:cs="宋体"/>
                <w:szCs w:val="21"/>
              </w:rPr>
              <w:t>6</w:t>
            </w:r>
          </w:p>
        </w:tc>
        <w:tc>
          <w:tcPr>
            <w:tcW w:w="1974" w:type="dxa"/>
            <w:vAlign w:val="center"/>
          </w:tcPr>
          <w:p>
            <w:pPr>
              <w:jc w:val="center"/>
              <w:rPr>
                <w:rFonts w:ascii="宋体" w:hAnsi="宋体" w:eastAsia="宋体" w:cs="宋体"/>
                <w:szCs w:val="21"/>
              </w:rPr>
            </w:pPr>
            <w:r>
              <w:rPr>
                <w:rFonts w:hint="eastAsia" w:ascii="宋体" w:hAnsi="宋体" w:eastAsia="宋体" w:cs="宋体"/>
                <w:szCs w:val="21"/>
              </w:rPr>
              <w:t>实施方案28%</w:t>
            </w:r>
          </w:p>
          <w:p>
            <w:pPr>
              <w:spacing w:after="120"/>
              <w:jc w:val="center"/>
              <w:rPr>
                <w:rFonts w:ascii="宋体" w:hAnsi="宋体" w:eastAsia="宋体" w:cs="宋体"/>
                <w:szCs w:val="21"/>
              </w:rPr>
            </w:pPr>
            <w:r>
              <w:rPr>
                <w:rFonts w:hint="eastAsia" w:ascii="宋体" w:hAnsi="宋体" w:eastAsia="宋体" w:cs="宋体"/>
                <w:szCs w:val="21"/>
              </w:rPr>
              <w:t>（技术类评委）</w:t>
            </w:r>
          </w:p>
        </w:tc>
        <w:tc>
          <w:tcPr>
            <w:tcW w:w="705" w:type="dxa"/>
            <w:vAlign w:val="center"/>
          </w:tcPr>
          <w:p>
            <w:pPr>
              <w:jc w:val="center"/>
              <w:rPr>
                <w:rFonts w:ascii="宋体" w:hAnsi="宋体" w:eastAsia="宋体" w:cs="宋体"/>
                <w:szCs w:val="21"/>
              </w:rPr>
            </w:pPr>
            <w:r>
              <w:rPr>
                <w:rFonts w:hint="eastAsia" w:ascii="宋体" w:hAnsi="宋体" w:eastAsia="宋体" w:cs="宋体"/>
                <w:szCs w:val="21"/>
              </w:rPr>
              <w:t>28</w:t>
            </w:r>
          </w:p>
        </w:tc>
        <w:tc>
          <w:tcPr>
            <w:tcW w:w="3951" w:type="dxa"/>
            <w:vAlign w:val="center"/>
          </w:tcPr>
          <w:p>
            <w:pPr>
              <w:ind w:firstLine="420" w:firstLineChars="200"/>
              <w:rPr>
                <w:rFonts w:ascii="宋体" w:hAnsi="宋体" w:eastAsia="宋体" w:cs="宋体"/>
                <w:szCs w:val="21"/>
              </w:rPr>
            </w:pPr>
            <w:r>
              <w:rPr>
                <w:rFonts w:hint="eastAsia" w:ascii="宋体" w:hAnsi="宋体" w:eastAsia="宋体" w:cs="宋体"/>
                <w:szCs w:val="21"/>
              </w:rPr>
              <w:t>1、具有道路精细化清扫保洁（含道路人工清扫保洁、机械化清扫保洁（含小机械化作业）、快速巡回保洁、牛皮癣清除、河道堤岸以外区域保洁）作业方案，包含①作业时间、频次等内容，且满足服务要求；②作业流程，③对关键部位、重要部位的分析理解，④路段作业人员、作业机械分配。本项共8分，每有一项内容缺失或不合理的扣2分。</w:t>
            </w:r>
          </w:p>
          <w:p>
            <w:pPr>
              <w:ind w:firstLine="420" w:firstLineChars="200"/>
              <w:rPr>
                <w:rFonts w:ascii="宋体" w:hAnsi="宋体" w:eastAsia="宋体" w:cs="宋体"/>
                <w:szCs w:val="21"/>
              </w:rPr>
            </w:pPr>
            <w:r>
              <w:rPr>
                <w:rFonts w:hint="eastAsia" w:ascii="宋体" w:hAnsi="宋体" w:eastAsia="宋体" w:cs="宋体"/>
                <w:szCs w:val="21"/>
              </w:rPr>
              <w:t>2、具有道路冲洗（机械洒水降尘、道路冲洗、人行道清洗、机械防尘降霾）作业方案，包含①作业时间、频次等内容；②作业流程；③对关键部位、重要部位的分析理解；④作业机械分配。本项共8分，每有一项内容缺失或不合理的扣2分。</w:t>
            </w:r>
          </w:p>
          <w:p>
            <w:pPr>
              <w:ind w:firstLine="420" w:firstLineChars="200"/>
              <w:rPr>
                <w:rFonts w:ascii="宋体" w:hAnsi="宋体" w:eastAsia="宋体" w:cs="宋体"/>
                <w:szCs w:val="21"/>
              </w:rPr>
            </w:pPr>
            <w:r>
              <w:rPr>
                <w:rFonts w:hint="eastAsia" w:ascii="宋体" w:hAnsi="宋体" w:eastAsia="宋体" w:cs="宋体"/>
                <w:szCs w:val="21"/>
              </w:rPr>
              <w:t>3、具有桥梁及道路隔离护栏保洁作业方案， 包含①作业时间、频次等内容，且满足服务要求；②作业流程规范；③对关键部位、重要部位的分析理解④作业人员及作业机具分配。本项共6分，每有一项内容缺失或不合理的扣1.5分。</w:t>
            </w:r>
          </w:p>
          <w:p>
            <w:pPr>
              <w:ind w:firstLine="420" w:firstLineChars="200"/>
              <w:rPr>
                <w:rFonts w:ascii="宋体" w:hAnsi="宋体" w:eastAsia="宋体" w:cs="宋体"/>
                <w:szCs w:val="21"/>
              </w:rPr>
            </w:pPr>
            <w:r>
              <w:rPr>
                <w:rFonts w:hint="eastAsia" w:ascii="宋体" w:hAnsi="宋体" w:eastAsia="宋体" w:cs="宋体"/>
                <w:szCs w:val="21"/>
              </w:rPr>
              <w:t>4、具有垃圾收集及清运（含生活垃圾分类收集及清运、果屑箱管理维护、大件垃圾收集）作业方案，包含①作业时间、频次等内容，且满足服务要求；②作业流程规范、作业流程；③对关键部位、重要部位的分析理解；④作业人员、作业机械分配。本项共6分，每有一项内容缺失或不合理的扣1.5分。</w:t>
            </w:r>
          </w:p>
          <w:p>
            <w:pPr>
              <w:ind w:firstLine="420" w:firstLineChars="200"/>
              <w:rPr>
                <w:rFonts w:ascii="宋体" w:hAnsi="宋体" w:eastAsia="宋体" w:cs="宋体"/>
                <w:szCs w:val="21"/>
              </w:rPr>
            </w:pPr>
            <w:r>
              <w:rPr>
                <w:rFonts w:hint="eastAsia" w:ascii="宋体" w:hAnsi="宋体" w:eastAsia="宋体" w:cs="宋体"/>
                <w:szCs w:val="21"/>
              </w:rPr>
              <w:t>注：内容不合理是指存在不适用项目实际情况的情形、具体实施措施不完善、凭空编造、套用其它方案、逻辑漏洞、科学原理错误以及不可能实现的夸大情形等。</w:t>
            </w:r>
          </w:p>
        </w:tc>
        <w:tc>
          <w:tcPr>
            <w:tcW w:w="2824" w:type="dxa"/>
            <w:vAlign w:val="center"/>
          </w:tcPr>
          <w:p>
            <w:pPr>
              <w:spacing w:after="120"/>
              <w:rPr>
                <w:rFonts w:ascii="宋体" w:hAnsi="宋体" w:eastAsia="宋体" w:cs="宋体"/>
                <w:szCs w:val="21"/>
              </w:rPr>
            </w:pPr>
            <w:r>
              <w:rPr>
                <w:rFonts w:hint="eastAsia" w:ascii="宋体" w:hAnsi="宋体" w:eastAsia="宋体" w:cs="宋体"/>
                <w:szCs w:val="21"/>
              </w:rPr>
              <w:t>提供实施方案。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4" w:type="dxa"/>
            <w:vAlign w:val="center"/>
          </w:tcPr>
          <w:p>
            <w:pPr>
              <w:jc w:val="center"/>
              <w:rPr>
                <w:rFonts w:ascii="宋体" w:hAnsi="宋体" w:eastAsia="宋体" w:cs="宋体"/>
                <w:szCs w:val="21"/>
              </w:rPr>
            </w:pPr>
            <w:r>
              <w:rPr>
                <w:rFonts w:hint="eastAsia" w:ascii="宋体" w:hAnsi="宋体" w:eastAsia="宋体" w:cs="宋体"/>
                <w:szCs w:val="21"/>
              </w:rPr>
              <w:t>7</w:t>
            </w:r>
          </w:p>
        </w:tc>
        <w:tc>
          <w:tcPr>
            <w:tcW w:w="1974" w:type="dxa"/>
            <w:vAlign w:val="center"/>
          </w:tcPr>
          <w:p>
            <w:pPr>
              <w:jc w:val="center"/>
              <w:rPr>
                <w:rFonts w:ascii="宋体" w:hAnsi="宋体" w:eastAsia="宋体" w:cs="宋体"/>
                <w:szCs w:val="21"/>
              </w:rPr>
            </w:pPr>
            <w:r>
              <w:rPr>
                <w:rFonts w:hint="eastAsia" w:ascii="宋体" w:hAnsi="宋体" w:eastAsia="宋体" w:cs="宋体"/>
                <w:szCs w:val="21"/>
              </w:rPr>
              <w:t>应急方案5%</w:t>
            </w:r>
          </w:p>
          <w:p>
            <w:pPr>
              <w:spacing w:after="120"/>
              <w:jc w:val="center"/>
              <w:rPr>
                <w:rFonts w:ascii="宋体" w:hAnsi="宋体" w:eastAsia="宋体" w:cs="宋体"/>
                <w:szCs w:val="21"/>
              </w:rPr>
            </w:pPr>
            <w:r>
              <w:rPr>
                <w:rFonts w:hint="eastAsia" w:ascii="宋体" w:hAnsi="宋体" w:eastAsia="宋体" w:cs="宋体"/>
                <w:szCs w:val="21"/>
              </w:rPr>
              <w:t>（评审委员会）</w:t>
            </w:r>
          </w:p>
        </w:tc>
        <w:tc>
          <w:tcPr>
            <w:tcW w:w="705" w:type="dxa"/>
            <w:vAlign w:val="center"/>
          </w:tcPr>
          <w:p>
            <w:pPr>
              <w:jc w:val="center"/>
              <w:rPr>
                <w:rFonts w:ascii="宋体" w:hAnsi="宋体" w:eastAsia="宋体" w:cs="宋体"/>
                <w:szCs w:val="21"/>
              </w:rPr>
            </w:pPr>
            <w:r>
              <w:rPr>
                <w:rFonts w:hint="eastAsia" w:ascii="宋体" w:hAnsi="宋体" w:eastAsia="宋体" w:cs="宋体"/>
                <w:szCs w:val="21"/>
              </w:rPr>
              <w:t>5</w:t>
            </w:r>
          </w:p>
        </w:tc>
        <w:tc>
          <w:tcPr>
            <w:tcW w:w="3951" w:type="dxa"/>
            <w:vAlign w:val="center"/>
          </w:tcPr>
          <w:p>
            <w:pPr>
              <w:ind w:firstLine="420" w:firstLineChars="200"/>
              <w:rPr>
                <w:rFonts w:ascii="宋体" w:hAnsi="宋体" w:eastAsia="宋体" w:cs="宋体"/>
                <w:szCs w:val="21"/>
              </w:rPr>
            </w:pPr>
            <w:r>
              <w:rPr>
                <w:rFonts w:hint="eastAsia" w:ascii="宋体" w:hAnsi="宋体" w:eastAsia="宋体" w:cs="宋体"/>
                <w:szCs w:val="21"/>
              </w:rPr>
              <w:t>投标人提供项目应急预案中能全面分析本项目可能发生的各类突发事件，包含①应急管理机构、②应急传达机制、③应急机具配置、④应急演练、⑤应急处理流程[至少包含防汛抢险、抗震救灾、疫情防控、</w:t>
            </w:r>
            <w:r>
              <w:rPr>
                <w:rFonts w:hint="eastAsia"/>
                <w:szCs w:val="21"/>
              </w:rPr>
              <w:t>环卫日常应急预案（</w:t>
            </w:r>
            <w:r>
              <w:rPr>
                <w:rFonts w:hint="eastAsia" w:ascii="仿宋_GB2312" w:hAnsi="仿宋" w:cs="仿宋"/>
                <w:bCs/>
                <w:szCs w:val="21"/>
              </w:rPr>
              <w:t>大风、暴雨、冰雪、重污染天气、重大保障活动等应急预案</w:t>
            </w:r>
            <w:r>
              <w:rPr>
                <w:rFonts w:hint="eastAsia"/>
                <w:szCs w:val="21"/>
              </w:rPr>
              <w:t>）</w:t>
            </w:r>
            <w:r>
              <w:rPr>
                <w:rFonts w:hint="eastAsia" w:ascii="宋体" w:hAnsi="宋体" w:eastAsia="宋体" w:cs="宋体"/>
                <w:szCs w:val="21"/>
              </w:rPr>
              <w:t>]。本项共5分，每有一项内容缺失或不合理的扣1分。</w:t>
            </w:r>
          </w:p>
          <w:p>
            <w:pPr>
              <w:ind w:firstLine="420" w:firstLineChars="200"/>
              <w:rPr>
                <w:rFonts w:ascii="宋体" w:hAnsi="宋体" w:eastAsia="宋体" w:cs="宋体"/>
                <w:szCs w:val="21"/>
              </w:rPr>
            </w:pPr>
            <w:r>
              <w:rPr>
                <w:rFonts w:hint="eastAsia" w:ascii="宋体" w:hAnsi="宋体" w:eastAsia="宋体" w:cs="宋体"/>
                <w:szCs w:val="21"/>
              </w:rPr>
              <w:t>注：内容不合理是指存在不适用项目实际情况的情形、具体实施措施不完善、凭空编造、套用其它方案、逻辑漏洞、科学原理错误以及不可能实现的夸大情形等。</w:t>
            </w:r>
          </w:p>
        </w:tc>
        <w:tc>
          <w:tcPr>
            <w:tcW w:w="2824" w:type="dxa"/>
            <w:vAlign w:val="center"/>
          </w:tcPr>
          <w:p>
            <w:pPr>
              <w:spacing w:after="120"/>
              <w:rPr>
                <w:rFonts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524"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8</w:t>
            </w:r>
          </w:p>
        </w:tc>
        <w:tc>
          <w:tcPr>
            <w:tcW w:w="1974" w:type="dxa"/>
            <w:vAlign w:val="center"/>
          </w:tcPr>
          <w:p>
            <w:pPr>
              <w:spacing w:after="120"/>
              <w:jc w:val="center"/>
              <w:rPr>
                <w:rFonts w:ascii="宋体" w:hAnsi="宋体" w:eastAsia="宋体" w:cs="宋体"/>
                <w:szCs w:val="21"/>
              </w:rPr>
            </w:pPr>
            <w:r>
              <w:rPr>
                <w:rFonts w:hint="eastAsia" w:ascii="宋体" w:hAnsi="宋体" w:cs="宋体"/>
                <w:color w:val="000000"/>
                <w:szCs w:val="21"/>
              </w:rPr>
              <w:t>安全文明措施</w:t>
            </w:r>
            <w:r>
              <w:rPr>
                <w:rFonts w:hint="eastAsia" w:ascii="宋体" w:hAnsi="宋体" w:eastAsia="宋体" w:cs="宋体"/>
                <w:szCs w:val="21"/>
              </w:rPr>
              <w:t>5%（评审委员会）</w:t>
            </w:r>
          </w:p>
        </w:tc>
        <w:tc>
          <w:tcPr>
            <w:tcW w:w="705" w:type="dxa"/>
            <w:vAlign w:val="center"/>
          </w:tcPr>
          <w:p>
            <w:pPr>
              <w:jc w:val="center"/>
              <w:rPr>
                <w:rFonts w:ascii="宋体" w:hAnsi="宋体" w:eastAsia="宋体" w:cs="宋体"/>
                <w:szCs w:val="21"/>
              </w:rPr>
            </w:pPr>
            <w:r>
              <w:rPr>
                <w:rFonts w:hint="eastAsia" w:ascii="宋体" w:hAnsi="宋体" w:eastAsia="宋体" w:cs="宋体"/>
                <w:szCs w:val="21"/>
              </w:rPr>
              <w:t>5</w:t>
            </w:r>
          </w:p>
        </w:tc>
        <w:tc>
          <w:tcPr>
            <w:tcW w:w="3951" w:type="dxa"/>
            <w:vAlign w:val="center"/>
          </w:tcPr>
          <w:p>
            <w:pPr>
              <w:pStyle w:val="102"/>
              <w:ind w:left="106"/>
              <w:rPr>
                <w:szCs w:val="21"/>
              </w:rPr>
            </w:pPr>
            <w:r>
              <w:rPr>
                <w:szCs w:val="21"/>
              </w:rPr>
              <w:t>①安全管理体系健全，②安全措施周全，③</w:t>
            </w:r>
            <w:r>
              <w:rPr>
                <w:spacing w:val="-7"/>
                <w:szCs w:val="21"/>
              </w:rPr>
              <w:t>文明管理制度完善可靠，④安全目标具体详细，</w:t>
            </w:r>
            <w:r>
              <w:rPr>
                <w:szCs w:val="21"/>
              </w:rPr>
              <w:t>⑤安全防范重点明确清晰，各道工序安全技术措施针对性强且合理性高。本项共 5 分，每有一项内容缺失不够完善或内容描述过于简单扣</w:t>
            </w:r>
            <w:r>
              <w:rPr>
                <w:rFonts w:hint="eastAsia"/>
                <w:szCs w:val="21"/>
                <w:lang w:val="en-US"/>
              </w:rPr>
              <w:t>1</w:t>
            </w:r>
            <w:r>
              <w:rPr>
                <w:szCs w:val="21"/>
              </w:rPr>
              <w:t>分。</w:t>
            </w:r>
          </w:p>
        </w:tc>
        <w:tc>
          <w:tcPr>
            <w:tcW w:w="2824" w:type="dxa"/>
            <w:vAlign w:val="center"/>
          </w:tcPr>
          <w:p>
            <w:pPr>
              <w:spacing w:after="120"/>
              <w:rPr>
                <w:rFonts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4"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val="en-US" w:eastAsia="zh-CN"/>
              </w:rPr>
              <w:t>9</w:t>
            </w:r>
          </w:p>
        </w:tc>
        <w:tc>
          <w:tcPr>
            <w:tcW w:w="1974" w:type="dxa"/>
            <w:vAlign w:val="center"/>
          </w:tcPr>
          <w:p>
            <w:pPr>
              <w:jc w:val="center"/>
              <w:rPr>
                <w:rFonts w:ascii="宋体" w:hAnsi="宋体" w:eastAsia="宋体" w:cs="宋体"/>
                <w:szCs w:val="21"/>
              </w:rPr>
            </w:pPr>
            <w:r>
              <w:rPr>
                <w:rFonts w:hint="eastAsia" w:ascii="宋体" w:hAnsi="宋体" w:eastAsia="宋体" w:cs="宋体"/>
                <w:szCs w:val="21"/>
              </w:rPr>
              <w:t>项目管理机构、职责分工及管理制度 5%（评审委员会）</w:t>
            </w:r>
          </w:p>
        </w:tc>
        <w:tc>
          <w:tcPr>
            <w:tcW w:w="705" w:type="dxa"/>
            <w:vAlign w:val="center"/>
          </w:tcPr>
          <w:p>
            <w:pPr>
              <w:ind w:firstLine="210" w:firstLineChars="100"/>
              <w:jc w:val="center"/>
              <w:rPr>
                <w:rFonts w:ascii="宋体" w:hAnsi="宋体" w:eastAsia="宋体" w:cs="宋体"/>
                <w:szCs w:val="21"/>
              </w:rPr>
            </w:pPr>
            <w:r>
              <w:rPr>
                <w:rFonts w:hint="eastAsia" w:ascii="宋体" w:hAnsi="宋体" w:eastAsia="宋体" w:cs="宋体"/>
                <w:szCs w:val="21"/>
              </w:rPr>
              <w:t>5</w:t>
            </w:r>
          </w:p>
        </w:tc>
        <w:tc>
          <w:tcPr>
            <w:tcW w:w="3951" w:type="dxa"/>
          </w:tcPr>
          <w:p>
            <w:pPr>
              <w:ind w:firstLine="420" w:firstLineChars="200"/>
              <w:rPr>
                <w:rFonts w:ascii="宋体" w:hAnsi="宋体" w:eastAsia="宋体" w:cs="宋体"/>
                <w:szCs w:val="21"/>
              </w:rPr>
            </w:pPr>
            <w:r>
              <w:rPr>
                <w:rFonts w:hint="eastAsia" w:ascii="宋体" w:hAnsi="宋体" w:eastAsia="宋体" w:cs="宋体"/>
                <w:szCs w:val="21"/>
              </w:rPr>
              <w:t>①投标人设置项目管理机构②编制工作职能组织运行图，③项目机构的管理制度④员工考核办法、工作奖惩制度，⑤内部管理的职能及责任分工。本项共 5 分，每有一项内容缺失或不合理的扣1分。注：内容不合理是指存在不适用项目实际情况的情形、具体实施措施不完善、凭空编造、套用其它方案、逻辑漏洞、科学原理错误以及不可能实现的夸大情形等。</w:t>
            </w:r>
          </w:p>
        </w:tc>
        <w:tc>
          <w:tcPr>
            <w:tcW w:w="2824" w:type="dxa"/>
          </w:tcPr>
          <w:p>
            <w:pPr>
              <w:ind w:firstLine="420" w:firstLineChars="200"/>
              <w:rPr>
                <w:rFonts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4"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10</w:t>
            </w:r>
          </w:p>
        </w:tc>
        <w:tc>
          <w:tcPr>
            <w:tcW w:w="1974" w:type="dxa"/>
            <w:vAlign w:val="center"/>
          </w:tcPr>
          <w:p>
            <w:pPr>
              <w:jc w:val="center"/>
              <w:rPr>
                <w:rFonts w:ascii="宋体" w:hAnsi="宋体" w:eastAsia="宋体" w:cs="宋体"/>
                <w:szCs w:val="21"/>
              </w:rPr>
            </w:pPr>
            <w:r>
              <w:rPr>
                <w:rFonts w:hint="eastAsia" w:ascii="宋体" w:hAnsi="宋体" w:eastAsia="宋体" w:cs="宋体"/>
                <w:szCs w:val="21"/>
                <w:lang w:val="en-US" w:eastAsia="zh-CN"/>
              </w:rPr>
              <w:t>机具设备配置</w:t>
            </w:r>
            <w:r>
              <w:rPr>
                <w:rFonts w:hint="eastAsia" w:ascii="宋体" w:hAnsi="宋体" w:eastAsia="宋体" w:cs="宋体"/>
                <w:szCs w:val="21"/>
              </w:rPr>
              <w:t>9%</w:t>
            </w:r>
          </w:p>
          <w:p>
            <w:pPr>
              <w:jc w:val="center"/>
              <w:rPr>
                <w:rFonts w:ascii="宋体" w:hAnsi="宋体" w:eastAsia="宋体" w:cs="宋体"/>
                <w:szCs w:val="21"/>
              </w:rPr>
            </w:pPr>
            <w:r>
              <w:rPr>
                <w:rFonts w:hint="eastAsia" w:ascii="宋体" w:hAnsi="宋体" w:eastAsia="宋体" w:cs="宋体"/>
                <w:szCs w:val="21"/>
              </w:rPr>
              <w:t>（评审委员会）</w:t>
            </w:r>
          </w:p>
        </w:tc>
        <w:tc>
          <w:tcPr>
            <w:tcW w:w="705" w:type="dxa"/>
            <w:vAlign w:val="center"/>
          </w:tcPr>
          <w:p>
            <w:pPr>
              <w:jc w:val="center"/>
              <w:rPr>
                <w:rFonts w:ascii="宋体" w:hAnsi="宋体" w:eastAsia="宋体" w:cs="宋体"/>
                <w:szCs w:val="21"/>
              </w:rPr>
            </w:pPr>
            <w:r>
              <w:rPr>
                <w:rFonts w:hint="eastAsia" w:ascii="宋体" w:hAnsi="宋体" w:eastAsia="宋体" w:cs="宋体"/>
                <w:szCs w:val="21"/>
              </w:rPr>
              <w:t>9</w:t>
            </w:r>
          </w:p>
        </w:tc>
        <w:tc>
          <w:tcPr>
            <w:tcW w:w="3951" w:type="dxa"/>
            <w:vAlign w:val="center"/>
          </w:tcPr>
          <w:p>
            <w:pPr>
              <w:widowControl/>
              <w:spacing w:line="400" w:lineRule="exact"/>
              <w:textAlignment w:val="baseline"/>
              <w:rPr>
                <w:szCs w:val="21"/>
              </w:rPr>
            </w:pPr>
            <w:r>
              <w:rPr>
                <w:rFonts w:hint="eastAsia"/>
                <w:szCs w:val="21"/>
              </w:rPr>
              <w:t>在满足招标文件车辆及机械设备基本要求的情况下：</w:t>
            </w:r>
          </w:p>
          <w:p>
            <w:pPr>
              <w:widowControl/>
              <w:spacing w:line="400" w:lineRule="exact"/>
              <w:textAlignment w:val="baseline"/>
              <w:rPr>
                <w:szCs w:val="21"/>
              </w:rPr>
            </w:pPr>
            <w:r>
              <w:rPr>
                <w:rFonts w:hint="eastAsia"/>
                <w:szCs w:val="21"/>
              </w:rPr>
              <w:t>1、投标人每增加1台自有快速保洁车的0.5分，最多得3分；</w:t>
            </w:r>
          </w:p>
          <w:p>
            <w:pPr>
              <w:widowControl/>
              <w:spacing w:line="400" w:lineRule="exact"/>
              <w:textAlignment w:val="baseline"/>
              <w:rPr>
                <w:szCs w:val="21"/>
              </w:rPr>
            </w:pPr>
            <w:r>
              <w:rPr>
                <w:rFonts w:hint="eastAsia"/>
                <w:szCs w:val="21"/>
              </w:rPr>
              <w:t>2、投标人每增加1辆自有小型电动密闭垃圾车得1分，最多得2分。</w:t>
            </w:r>
          </w:p>
          <w:p>
            <w:pPr>
              <w:widowControl/>
              <w:spacing w:line="400" w:lineRule="exact"/>
              <w:textAlignment w:val="baseline"/>
              <w:rPr>
                <w:szCs w:val="21"/>
              </w:rPr>
            </w:pPr>
            <w:r>
              <w:rPr>
                <w:rFonts w:hint="eastAsia"/>
                <w:szCs w:val="21"/>
              </w:rPr>
              <w:t>3、投标人每增加1组自有小型作业机具（1台小型高压清洗车、1台小型扫地车为一组）得2分，最多得4分。</w:t>
            </w:r>
          </w:p>
        </w:tc>
        <w:tc>
          <w:tcPr>
            <w:tcW w:w="2824" w:type="dxa"/>
            <w:vAlign w:val="center"/>
          </w:tcPr>
          <w:p>
            <w:pPr>
              <w:numPr>
                <w:ilvl w:val="0"/>
                <w:numId w:val="6"/>
              </w:numPr>
              <w:jc w:val="left"/>
              <w:rPr>
                <w:rFonts w:ascii="宋体" w:hAnsi="宋体" w:eastAsia="宋体" w:cs="宋体"/>
                <w:szCs w:val="21"/>
              </w:rPr>
            </w:pPr>
            <w:r>
              <w:rPr>
                <w:rFonts w:hint="eastAsia" w:ascii="宋体" w:hAnsi="宋体" w:eastAsia="宋体" w:cs="宋体"/>
                <w:szCs w:val="21"/>
              </w:rPr>
              <w:t>自有的机动车辆须有购车的票据、有效期内的车辆行驶证复印件、机动车登记证书复印件等佐证资料；非机动车辆提供购置发票；</w:t>
            </w:r>
          </w:p>
          <w:p>
            <w:pPr>
              <w:pStyle w:val="8"/>
              <w:rPr>
                <w:rFonts w:ascii="宋体" w:hAnsi="宋体" w:eastAsia="宋体" w:cs="宋体"/>
                <w:szCs w:val="21"/>
              </w:rPr>
            </w:pPr>
            <w:r>
              <w:rPr>
                <w:rFonts w:hint="eastAsia" w:ascii="宋体" w:hAnsi="宋体" w:eastAsia="宋体" w:cs="宋体"/>
                <w:szCs w:val="21"/>
              </w:rPr>
              <w:t>（2）所提供新能源车须提供以下证明材料：1、自有能源车需提供有效的行驶证、登记证书、购置发票；2、租赁能源车需提供服务期限内的租赁合同、有效的行驶证、登记证书；3、承诺中标后配的，应当在中标后合同签订前向采购人提供车辆配置报告并提供</w:t>
            </w:r>
            <w:r>
              <w:rPr>
                <w:rFonts w:hint="eastAsia"/>
                <w:lang w:val="en-US" w:eastAsia="zh-CN"/>
              </w:rPr>
              <w:t>上述</w:t>
            </w:r>
            <w:r>
              <w:rPr>
                <w:rFonts w:hint="eastAsia" w:ascii="宋体" w:hAnsi="宋体" w:eastAsia="宋体" w:cs="宋体"/>
                <w:szCs w:val="21"/>
              </w:rPr>
              <w:t>证明材料复印件加盖公章。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4" w:type="dxa"/>
            <w:vAlign w:val="center"/>
          </w:tcPr>
          <w:p>
            <w:pPr>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1</w:t>
            </w:r>
          </w:p>
        </w:tc>
        <w:tc>
          <w:tcPr>
            <w:tcW w:w="1974" w:type="dxa"/>
            <w:vAlign w:val="center"/>
          </w:tcPr>
          <w:p>
            <w:pPr>
              <w:widowControl/>
              <w:ind w:left="21" w:leftChars="10" w:right="21" w:rightChars="10"/>
              <w:jc w:val="center"/>
              <w:rPr>
                <w:rFonts w:ascii="宋体" w:hAnsi="宋体" w:eastAsia="宋体" w:cs="宋体"/>
                <w:szCs w:val="21"/>
              </w:rPr>
            </w:pPr>
            <w:r>
              <w:rPr>
                <w:rFonts w:hint="eastAsia" w:ascii="宋体" w:hAnsi="宋体" w:eastAsia="宋体" w:cs="宋体"/>
                <w:szCs w:val="21"/>
              </w:rPr>
              <w:t>扶持不发达地区和少数民族地区1%</w:t>
            </w:r>
          </w:p>
          <w:p>
            <w:pPr>
              <w:widowControl/>
              <w:ind w:left="21" w:leftChars="10" w:right="21" w:rightChars="10"/>
              <w:jc w:val="center"/>
              <w:rPr>
                <w:rFonts w:ascii="宋体" w:hAnsi="宋体" w:eastAsia="宋体" w:cs="宋体"/>
                <w:szCs w:val="21"/>
              </w:rPr>
            </w:pPr>
            <w:r>
              <w:rPr>
                <w:rFonts w:hint="eastAsia" w:ascii="宋体" w:hAnsi="宋体" w:eastAsia="宋体" w:cs="宋体"/>
                <w:szCs w:val="21"/>
              </w:rPr>
              <w:t>（评审委员会）</w:t>
            </w:r>
          </w:p>
        </w:tc>
        <w:tc>
          <w:tcPr>
            <w:tcW w:w="705" w:type="dxa"/>
            <w:vAlign w:val="center"/>
          </w:tcPr>
          <w:p>
            <w:pPr>
              <w:jc w:val="center"/>
              <w:rPr>
                <w:rFonts w:ascii="宋体" w:hAnsi="宋体" w:eastAsia="宋体" w:cs="宋体"/>
                <w:szCs w:val="21"/>
              </w:rPr>
            </w:pPr>
            <w:r>
              <w:rPr>
                <w:rFonts w:hint="eastAsia" w:ascii="宋体" w:hAnsi="宋体" w:eastAsia="宋体" w:cs="宋体"/>
                <w:szCs w:val="21"/>
              </w:rPr>
              <w:t>1</w:t>
            </w:r>
          </w:p>
        </w:tc>
        <w:tc>
          <w:tcPr>
            <w:tcW w:w="3951" w:type="dxa"/>
            <w:vAlign w:val="center"/>
          </w:tcPr>
          <w:p>
            <w:pPr>
              <w:widowControl/>
              <w:ind w:right="21" w:rightChars="10" w:firstLine="420" w:firstLineChars="200"/>
              <w:rPr>
                <w:rFonts w:ascii="宋体" w:hAnsi="宋体" w:eastAsia="宋体" w:cs="宋体"/>
                <w:szCs w:val="21"/>
              </w:rPr>
            </w:pPr>
            <w:r>
              <w:rPr>
                <w:rFonts w:hint="eastAsia" w:ascii="宋体" w:hAnsi="宋体" w:eastAsia="宋体" w:cs="宋体"/>
                <w:szCs w:val="21"/>
              </w:rPr>
              <w:t>投标人为不发达地区或少数民族地区企业的得1 分。</w:t>
            </w:r>
          </w:p>
          <w:p>
            <w:pPr>
              <w:widowControl/>
              <w:ind w:right="21" w:rightChars="10" w:firstLine="420" w:firstLineChars="200"/>
              <w:rPr>
                <w:rFonts w:ascii="宋体" w:hAnsi="宋体" w:eastAsia="宋体" w:cs="宋体"/>
                <w:szCs w:val="21"/>
              </w:rPr>
            </w:pPr>
            <w:r>
              <w:rPr>
                <w:rFonts w:hint="eastAsia" w:ascii="宋体" w:hAnsi="宋体" w:eastAsia="宋体" w:cs="宋体"/>
                <w:szCs w:val="21"/>
              </w:rPr>
              <w:t>投标人提供不发达地区企业或注册地为少数民族地区的相关证明材料。</w:t>
            </w:r>
          </w:p>
        </w:tc>
        <w:tc>
          <w:tcPr>
            <w:tcW w:w="2824" w:type="dxa"/>
            <w:vAlign w:val="center"/>
          </w:tcPr>
          <w:p>
            <w:pPr>
              <w:jc w:val="center"/>
              <w:rPr>
                <w:rFonts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4" w:type="dxa"/>
            <w:vAlign w:val="center"/>
          </w:tcPr>
          <w:p>
            <w:pPr>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2</w:t>
            </w:r>
          </w:p>
        </w:tc>
        <w:tc>
          <w:tcPr>
            <w:tcW w:w="1974"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投标文件</w:t>
            </w:r>
          </w:p>
          <w:p>
            <w:pPr>
              <w:widowControl/>
              <w:ind w:left="21" w:leftChars="10" w:right="21" w:rightChars="10"/>
              <w:jc w:val="center"/>
              <w:rPr>
                <w:rFonts w:ascii="宋体" w:hAnsi="宋体" w:eastAsia="宋体" w:cs="宋体"/>
                <w:szCs w:val="21"/>
              </w:rPr>
            </w:pPr>
            <w:r>
              <w:rPr>
                <w:rFonts w:hint="eastAsia" w:ascii="宋体" w:hAnsi="宋体" w:eastAsia="宋体" w:cs="宋体"/>
                <w:szCs w:val="21"/>
              </w:rPr>
              <w:t>规范性1%</w:t>
            </w:r>
          </w:p>
          <w:p>
            <w:pPr>
              <w:widowControl/>
              <w:ind w:left="21" w:leftChars="10" w:right="21" w:rightChars="10"/>
              <w:jc w:val="center"/>
              <w:rPr>
                <w:rFonts w:ascii="宋体" w:hAnsi="宋体" w:eastAsia="宋体" w:cs="宋体"/>
                <w:szCs w:val="21"/>
              </w:rPr>
            </w:pPr>
            <w:r>
              <w:rPr>
                <w:rFonts w:hint="eastAsia" w:ascii="宋体" w:hAnsi="宋体" w:eastAsia="宋体" w:cs="宋体"/>
                <w:szCs w:val="21"/>
              </w:rPr>
              <w:t>（评审委员会）</w:t>
            </w:r>
          </w:p>
        </w:tc>
        <w:tc>
          <w:tcPr>
            <w:tcW w:w="705" w:type="dxa"/>
            <w:vAlign w:val="center"/>
          </w:tcPr>
          <w:p>
            <w:pPr>
              <w:jc w:val="center"/>
              <w:rPr>
                <w:rFonts w:ascii="宋体" w:hAnsi="宋体" w:eastAsia="宋体" w:cs="宋体"/>
                <w:szCs w:val="21"/>
              </w:rPr>
            </w:pPr>
            <w:r>
              <w:rPr>
                <w:rFonts w:hint="eastAsia" w:ascii="宋体" w:hAnsi="宋体" w:eastAsia="宋体" w:cs="宋体"/>
                <w:szCs w:val="21"/>
              </w:rPr>
              <w:t>1</w:t>
            </w:r>
          </w:p>
        </w:tc>
        <w:tc>
          <w:tcPr>
            <w:tcW w:w="3951" w:type="dxa"/>
            <w:vAlign w:val="center"/>
          </w:tcPr>
          <w:p>
            <w:pPr>
              <w:widowControl/>
              <w:ind w:right="21" w:rightChars="10" w:firstLine="420" w:firstLineChars="200"/>
              <w:rPr>
                <w:rFonts w:ascii="宋体" w:hAnsi="宋体" w:eastAsia="宋体" w:cs="宋体"/>
                <w:szCs w:val="21"/>
              </w:rPr>
            </w:pPr>
            <w:r>
              <w:rPr>
                <w:rFonts w:hint="eastAsia" w:ascii="宋体" w:hAnsi="宋体" w:eastAsia="宋体" w:cs="宋体"/>
                <w:szCs w:val="21"/>
              </w:rPr>
              <w:t>投标文件制作规范，没有细微偏差的得1分；有一项细微偏差得扣1分，直至该项分值扣完为止。</w:t>
            </w:r>
          </w:p>
        </w:tc>
        <w:tc>
          <w:tcPr>
            <w:tcW w:w="2824" w:type="dxa"/>
            <w:vAlign w:val="center"/>
          </w:tcPr>
          <w:p>
            <w:pPr>
              <w:jc w:val="center"/>
              <w:rPr>
                <w:rFonts w:ascii="宋体" w:hAnsi="宋体" w:eastAsia="宋体" w:cs="宋体"/>
                <w:szCs w:val="21"/>
              </w:rPr>
            </w:pPr>
          </w:p>
        </w:tc>
      </w:tr>
    </w:tbl>
    <w:p>
      <w:pPr>
        <w:snapToGrid w:val="0"/>
        <w:jc w:val="left"/>
        <w:rPr>
          <w:rFonts w:ascii="微软雅黑" w:hAnsi="微软雅黑" w:eastAsia="微软雅黑"/>
          <w:szCs w:val="21"/>
        </w:rPr>
      </w:pPr>
    </w:p>
    <w:p>
      <w:pPr>
        <w:pStyle w:val="5"/>
        <w:spacing w:before="0" w:after="0" w:line="415" w:lineRule="auto"/>
        <w:jc w:val="both"/>
        <w:rPr>
          <w:rFonts w:ascii="宋体" w:hAnsi="宋体" w:eastAsia="宋体"/>
          <w:color w:val="auto"/>
          <w:sz w:val="24"/>
          <w:szCs w:val="24"/>
        </w:rPr>
      </w:pPr>
      <w:bookmarkStart w:id="61" w:name="_Toc25073"/>
      <w:r>
        <w:rPr>
          <w:rFonts w:ascii="宋体" w:hAnsi="宋体" w:eastAsia="宋体"/>
          <w:color w:val="auto"/>
          <w:sz w:val="24"/>
          <w:szCs w:val="24"/>
        </w:rPr>
        <w:t>5. 废 标</w:t>
      </w:r>
      <w:bookmarkEnd w:id="61"/>
    </w:p>
    <w:p>
      <w:pPr>
        <w:spacing w:line="400" w:lineRule="exact"/>
        <w:ind w:firstLine="480" w:firstLineChars="200"/>
        <w:rPr>
          <w:rFonts w:ascii="宋体" w:hAnsi="宋体" w:eastAsia="宋体"/>
          <w:sz w:val="24"/>
          <w:szCs w:val="24"/>
        </w:rPr>
      </w:pPr>
      <w:r>
        <w:rPr>
          <w:rFonts w:ascii="宋体" w:hAnsi="宋体" w:eastAsia="宋体"/>
          <w:sz w:val="24"/>
          <w:szCs w:val="24"/>
        </w:rPr>
        <w:t>5.1本次政府采购活动中，出现下列情形之一的，予以废标：</w:t>
      </w:r>
    </w:p>
    <w:p>
      <w:pPr>
        <w:spacing w:line="400" w:lineRule="exact"/>
        <w:ind w:firstLine="480" w:firstLineChars="200"/>
        <w:rPr>
          <w:rFonts w:ascii="宋体" w:hAnsi="宋体" w:eastAsia="宋体"/>
          <w:sz w:val="24"/>
          <w:szCs w:val="24"/>
        </w:rPr>
      </w:pPr>
      <w:r>
        <w:rPr>
          <w:rFonts w:ascii="宋体" w:hAnsi="宋体" w:eastAsia="宋体"/>
          <w:sz w:val="24"/>
          <w:szCs w:val="24"/>
        </w:rPr>
        <w:t>（</w:t>
      </w:r>
      <w:r>
        <w:rPr>
          <w:rFonts w:ascii="Times New Roman" w:hAnsi="Times New Roman" w:eastAsia="Times New Roman"/>
          <w:sz w:val="24"/>
          <w:szCs w:val="24"/>
        </w:rPr>
        <w:t>1</w:t>
      </w:r>
      <w:r>
        <w:rPr>
          <w:rFonts w:ascii="宋体" w:hAnsi="宋体" w:eastAsia="宋体"/>
          <w:sz w:val="24"/>
          <w:szCs w:val="24"/>
        </w:rPr>
        <w:t>）符合专业条件的供应商或者对招标文件作实质响应的供应商不足三家的；</w:t>
      </w:r>
    </w:p>
    <w:p>
      <w:pPr>
        <w:spacing w:line="400" w:lineRule="exact"/>
        <w:ind w:firstLine="480" w:firstLineChars="200"/>
        <w:rPr>
          <w:rFonts w:ascii="宋体" w:hAnsi="宋体" w:eastAsia="宋体"/>
          <w:sz w:val="24"/>
          <w:szCs w:val="24"/>
        </w:rPr>
      </w:pPr>
      <w:r>
        <w:rPr>
          <w:rFonts w:ascii="宋体" w:hAnsi="宋体" w:eastAsia="宋体"/>
          <w:sz w:val="24"/>
          <w:szCs w:val="24"/>
        </w:rPr>
        <w:t>（</w:t>
      </w:r>
      <w:r>
        <w:rPr>
          <w:rFonts w:ascii="Times New Roman" w:hAnsi="Times New Roman" w:eastAsia="Times New Roman"/>
          <w:sz w:val="24"/>
          <w:szCs w:val="24"/>
        </w:rPr>
        <w:t>2</w:t>
      </w:r>
      <w:r>
        <w:rPr>
          <w:rFonts w:ascii="宋体" w:hAnsi="宋体" w:eastAsia="宋体"/>
          <w:sz w:val="24"/>
          <w:szCs w:val="24"/>
        </w:rPr>
        <w:t>）出现影响采购公正的违法、违规行为的；</w:t>
      </w:r>
    </w:p>
    <w:p>
      <w:pPr>
        <w:spacing w:line="400" w:lineRule="exact"/>
        <w:ind w:firstLine="480" w:firstLineChars="200"/>
        <w:rPr>
          <w:rFonts w:ascii="宋体" w:hAnsi="宋体" w:eastAsia="宋体"/>
          <w:sz w:val="24"/>
          <w:szCs w:val="24"/>
        </w:rPr>
      </w:pPr>
      <w:r>
        <w:rPr>
          <w:rFonts w:ascii="宋体" w:hAnsi="宋体" w:eastAsia="宋体"/>
          <w:sz w:val="24"/>
          <w:szCs w:val="24"/>
        </w:rPr>
        <w:t>（</w:t>
      </w:r>
      <w:r>
        <w:rPr>
          <w:rFonts w:ascii="Times New Roman" w:hAnsi="Times New Roman" w:eastAsia="Times New Roman"/>
          <w:sz w:val="24"/>
          <w:szCs w:val="24"/>
        </w:rPr>
        <w:t>3</w:t>
      </w:r>
      <w:r>
        <w:rPr>
          <w:rFonts w:ascii="宋体" w:hAnsi="宋体" w:eastAsia="宋体"/>
          <w:sz w:val="24"/>
          <w:szCs w:val="24"/>
        </w:rPr>
        <w:t>）投标人的报价均超过了采购预算，采购人不能支付的；</w:t>
      </w:r>
    </w:p>
    <w:p>
      <w:pPr>
        <w:spacing w:line="400" w:lineRule="exact"/>
        <w:ind w:firstLine="480" w:firstLineChars="200"/>
        <w:rPr>
          <w:rFonts w:ascii="宋体" w:hAnsi="宋体" w:eastAsia="宋体"/>
          <w:sz w:val="24"/>
          <w:szCs w:val="24"/>
        </w:rPr>
      </w:pPr>
      <w:r>
        <w:rPr>
          <w:rFonts w:ascii="宋体" w:hAnsi="宋体" w:eastAsia="宋体"/>
          <w:sz w:val="24"/>
          <w:szCs w:val="24"/>
        </w:rPr>
        <w:t>（</w:t>
      </w:r>
      <w:r>
        <w:rPr>
          <w:rFonts w:ascii="Times New Roman" w:hAnsi="Times New Roman" w:eastAsia="Times New Roman"/>
          <w:sz w:val="24"/>
          <w:szCs w:val="24"/>
        </w:rPr>
        <w:t>4</w:t>
      </w:r>
      <w:r>
        <w:rPr>
          <w:rFonts w:ascii="宋体" w:hAnsi="宋体" w:eastAsia="宋体"/>
          <w:sz w:val="24"/>
          <w:szCs w:val="24"/>
        </w:rPr>
        <w:t>）因重大变故，采购任务取消的。</w:t>
      </w:r>
    </w:p>
    <w:p>
      <w:pPr>
        <w:spacing w:line="400" w:lineRule="exact"/>
        <w:ind w:firstLine="480" w:firstLineChars="200"/>
        <w:rPr>
          <w:rFonts w:ascii="宋体" w:hAnsi="宋体" w:eastAsia="宋体"/>
          <w:sz w:val="24"/>
          <w:szCs w:val="24"/>
        </w:rPr>
      </w:pPr>
      <w:r>
        <w:rPr>
          <w:rFonts w:ascii="宋体" w:hAnsi="宋体" w:eastAsia="宋体"/>
          <w:sz w:val="24"/>
          <w:szCs w:val="24"/>
        </w:rPr>
        <w:t>废标后，采购代理机构应在四川政府采购网上公告，并公告废标的情形。投标人需要知晓导致废标情形的具体原因和理由的，可以通过书面形式询问招标采购单位。</w:t>
      </w:r>
    </w:p>
    <w:p>
      <w:pPr>
        <w:spacing w:line="400" w:lineRule="exact"/>
        <w:ind w:firstLine="480" w:firstLineChars="200"/>
        <w:rPr>
          <w:rFonts w:ascii="宋体" w:hAnsi="宋体" w:eastAsia="宋体"/>
          <w:sz w:val="24"/>
          <w:szCs w:val="24"/>
        </w:rPr>
      </w:pPr>
      <w:r>
        <w:rPr>
          <w:rFonts w:ascii="宋体" w:hAnsi="宋体" w:eastAsia="宋体"/>
          <w:sz w:val="24"/>
          <w:szCs w:val="24"/>
        </w:rPr>
        <w:t>5.2对于评标过程中废标的采购项目，评标委员会应当对招标文件是否存在倾向性和歧视性、是否存在不合理条款进行论证，并出具书面论证意见。</w:t>
      </w:r>
    </w:p>
    <w:p>
      <w:pPr>
        <w:pStyle w:val="5"/>
        <w:spacing w:line="400" w:lineRule="exact"/>
        <w:jc w:val="both"/>
        <w:rPr>
          <w:rFonts w:ascii="宋体" w:hAnsi="宋体" w:eastAsia="宋体"/>
          <w:color w:val="auto"/>
          <w:sz w:val="24"/>
          <w:szCs w:val="24"/>
        </w:rPr>
      </w:pPr>
      <w:bookmarkStart w:id="62" w:name="_Toc31874"/>
      <w:r>
        <w:rPr>
          <w:rFonts w:ascii="宋体" w:hAnsi="宋体" w:eastAsia="宋体"/>
          <w:color w:val="auto"/>
          <w:sz w:val="24"/>
          <w:szCs w:val="24"/>
        </w:rPr>
        <w:t>6. 定标</w:t>
      </w:r>
      <w:bookmarkEnd w:id="62"/>
    </w:p>
    <w:p>
      <w:pPr>
        <w:spacing w:line="400" w:lineRule="exact"/>
        <w:ind w:firstLine="480" w:firstLineChars="200"/>
        <w:rPr>
          <w:rFonts w:ascii="宋体" w:hAnsi="宋体" w:eastAsia="宋体"/>
          <w:sz w:val="24"/>
          <w:szCs w:val="24"/>
        </w:rPr>
      </w:pPr>
      <w:r>
        <w:rPr>
          <w:rFonts w:ascii="宋体" w:hAnsi="宋体" w:eastAsia="宋体"/>
          <w:sz w:val="24"/>
          <w:szCs w:val="24"/>
        </w:rPr>
        <w:t>6.1. 定标原则：本项目根据评标委员会推荐的中标候选供应商名单，按顺序确定中标供应商。</w:t>
      </w:r>
    </w:p>
    <w:p>
      <w:pPr>
        <w:spacing w:line="400" w:lineRule="exact"/>
        <w:ind w:firstLine="480" w:firstLineChars="200"/>
        <w:rPr>
          <w:rFonts w:ascii="宋体" w:hAnsi="宋体" w:eastAsia="宋体"/>
          <w:sz w:val="24"/>
          <w:szCs w:val="24"/>
        </w:rPr>
      </w:pPr>
      <w:r>
        <w:rPr>
          <w:rFonts w:ascii="宋体" w:hAnsi="宋体" w:eastAsia="宋体"/>
          <w:sz w:val="24"/>
          <w:szCs w:val="24"/>
        </w:rPr>
        <w:t>6.2. 定标程序</w:t>
      </w:r>
    </w:p>
    <w:p>
      <w:pPr>
        <w:spacing w:line="400" w:lineRule="exact"/>
        <w:ind w:firstLine="480" w:firstLineChars="200"/>
        <w:rPr>
          <w:rFonts w:ascii="宋体" w:hAnsi="宋体" w:eastAsia="宋体"/>
          <w:sz w:val="24"/>
          <w:szCs w:val="24"/>
        </w:rPr>
      </w:pPr>
      <w:r>
        <w:rPr>
          <w:rFonts w:ascii="宋体" w:hAnsi="宋体" w:eastAsia="宋体"/>
          <w:sz w:val="24"/>
          <w:szCs w:val="24"/>
        </w:rPr>
        <w:t>6.2.1 评标委员会将评标情况写出书面报告，推荐中标候选供应商。</w:t>
      </w:r>
    </w:p>
    <w:p>
      <w:pPr>
        <w:spacing w:line="400" w:lineRule="exact"/>
        <w:ind w:firstLine="480" w:firstLineChars="200"/>
        <w:rPr>
          <w:rFonts w:ascii="宋体" w:hAnsi="宋体" w:eastAsia="宋体"/>
          <w:sz w:val="24"/>
          <w:szCs w:val="24"/>
        </w:rPr>
      </w:pPr>
      <w:r>
        <w:rPr>
          <w:rFonts w:ascii="宋体" w:hAnsi="宋体" w:eastAsia="宋体"/>
          <w:sz w:val="24"/>
          <w:szCs w:val="24"/>
        </w:rPr>
        <w:t>6.2.2 采购代理机构在评标结束后2个工作日内将评标报告送采购人。</w:t>
      </w:r>
    </w:p>
    <w:p>
      <w:pPr>
        <w:spacing w:line="400" w:lineRule="exact"/>
        <w:ind w:firstLine="480" w:firstLineChars="200"/>
        <w:rPr>
          <w:rFonts w:ascii="宋体" w:hAnsi="宋体" w:eastAsia="宋体"/>
          <w:sz w:val="24"/>
          <w:szCs w:val="24"/>
        </w:rPr>
      </w:pPr>
      <w:r>
        <w:rPr>
          <w:rFonts w:ascii="宋体" w:hAnsi="宋体" w:eastAsia="宋体"/>
          <w:sz w:val="24"/>
          <w:szCs w:val="24"/>
        </w:rPr>
        <w:t>6.2.3 采购人在收到评标报告后5个工作日内，按照评标报告中推荐的中标候选供应商顺序确定中标供应商。采用最低评标价法的，评标结果按投标报价由低到高顺序排列；投标报价相同的并列，投标文件满足招标文件全部实质性要求且投标报价最低的供应商为中标候选供应商；报价相同且满足招标文件全部实质性要求的并列，由采购人自主采取公平、择优的方式选择中标供应商。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中标供应商。</w:t>
      </w:r>
    </w:p>
    <w:p>
      <w:pPr>
        <w:spacing w:line="400" w:lineRule="exact"/>
        <w:ind w:firstLine="482" w:firstLineChars="200"/>
        <w:rPr>
          <w:rFonts w:ascii="宋体" w:hAnsi="宋体" w:eastAsia="宋体"/>
          <w:b/>
          <w:bCs/>
          <w:sz w:val="24"/>
          <w:szCs w:val="24"/>
        </w:rPr>
      </w:pPr>
      <w:r>
        <w:rPr>
          <w:rFonts w:ascii="宋体" w:hAnsi="宋体" w:eastAsia="宋体"/>
          <w:b/>
          <w:bCs/>
          <w:sz w:val="24"/>
          <w:szCs w:val="24"/>
        </w:rPr>
        <w:t>注意，采购人按照推荐的中标候选供应商顺序确定中标供应商，不能认为采购人只能确定第一中标候选供应商为中标供应商，采购人有正当理由的，可以确定后一顺序中标候选供应商为中标供应商，依次类推。</w:t>
      </w:r>
    </w:p>
    <w:p>
      <w:pPr>
        <w:spacing w:line="400" w:lineRule="exact"/>
        <w:ind w:firstLine="480" w:firstLineChars="200"/>
        <w:rPr>
          <w:rFonts w:ascii="宋体" w:hAnsi="宋体" w:eastAsia="宋体"/>
          <w:sz w:val="24"/>
          <w:szCs w:val="24"/>
        </w:rPr>
      </w:pPr>
      <w:r>
        <w:rPr>
          <w:rFonts w:ascii="宋体" w:hAnsi="宋体" w:eastAsia="宋体"/>
          <w:sz w:val="24"/>
          <w:szCs w:val="24"/>
        </w:rPr>
        <w:t>6.2.4 根据采购人确定的中标供应商，采购代理机构在四川政府采购网上发布中标公告，并自采购人确定中标之日起2个工作日内向中标供应商发出中标通知书。</w:t>
      </w:r>
    </w:p>
    <w:p>
      <w:pPr>
        <w:spacing w:line="400" w:lineRule="exact"/>
        <w:ind w:firstLine="480" w:firstLineChars="200"/>
        <w:rPr>
          <w:rFonts w:ascii="宋体" w:hAnsi="宋体" w:eastAsia="宋体"/>
          <w:sz w:val="24"/>
          <w:szCs w:val="24"/>
        </w:rPr>
      </w:pPr>
      <w:r>
        <w:rPr>
          <w:rFonts w:ascii="宋体" w:hAnsi="宋体" w:eastAsia="宋体"/>
          <w:sz w:val="24"/>
          <w:szCs w:val="24"/>
        </w:rPr>
        <w:t>6.2.5 招标采购单位不退回投标人投标文件和其他投标资料。</w:t>
      </w:r>
    </w:p>
    <w:p>
      <w:pPr>
        <w:pStyle w:val="5"/>
        <w:spacing w:line="400" w:lineRule="exact"/>
        <w:jc w:val="both"/>
        <w:rPr>
          <w:rFonts w:ascii="宋体" w:hAnsi="宋体" w:eastAsia="宋体"/>
          <w:color w:val="auto"/>
          <w:sz w:val="24"/>
          <w:szCs w:val="24"/>
        </w:rPr>
      </w:pPr>
      <w:bookmarkStart w:id="63" w:name="_Toc6687"/>
      <w:r>
        <w:rPr>
          <w:rFonts w:ascii="宋体" w:hAnsi="宋体" w:eastAsia="宋体"/>
          <w:color w:val="auto"/>
          <w:sz w:val="24"/>
          <w:szCs w:val="24"/>
        </w:rPr>
        <w:t>7. 评标专家在政府采购活动中应承担的义务</w:t>
      </w:r>
      <w:bookmarkEnd w:id="63"/>
    </w:p>
    <w:p>
      <w:pPr>
        <w:spacing w:line="400" w:lineRule="exact"/>
        <w:ind w:firstLine="480" w:firstLineChars="200"/>
        <w:rPr>
          <w:rFonts w:ascii="Times New Roman" w:hAnsi="Times New Roman" w:eastAsia="Times New Roman"/>
          <w:sz w:val="24"/>
          <w:szCs w:val="24"/>
        </w:rPr>
      </w:pPr>
      <w:r>
        <w:rPr>
          <w:rFonts w:ascii="宋体" w:hAnsi="宋体" w:eastAsia="宋体"/>
          <w:sz w:val="24"/>
          <w:szCs w:val="24"/>
        </w:rPr>
        <w:t>（一）遵守评审工作纪律；</w:t>
      </w:r>
    </w:p>
    <w:p>
      <w:pPr>
        <w:spacing w:line="400" w:lineRule="exact"/>
        <w:ind w:firstLine="480" w:firstLineChars="200"/>
        <w:rPr>
          <w:rFonts w:ascii="宋体" w:hAnsi="宋体" w:eastAsia="宋体"/>
          <w:sz w:val="24"/>
          <w:szCs w:val="24"/>
        </w:rPr>
      </w:pPr>
      <w:r>
        <w:rPr>
          <w:rFonts w:ascii="宋体" w:hAnsi="宋体" w:eastAsia="宋体"/>
          <w:sz w:val="24"/>
          <w:szCs w:val="24"/>
        </w:rPr>
        <w:t>（二）按照客观、公正、审慎的原则，根据采购文件规定的评审程序、评审方法和评审标准进行独立评审；</w:t>
      </w:r>
    </w:p>
    <w:p>
      <w:pPr>
        <w:spacing w:line="400" w:lineRule="exact"/>
        <w:ind w:firstLine="480" w:firstLineChars="200"/>
        <w:rPr>
          <w:rFonts w:ascii="宋体" w:hAnsi="宋体" w:eastAsia="宋体"/>
          <w:sz w:val="24"/>
          <w:szCs w:val="24"/>
        </w:rPr>
      </w:pPr>
      <w:r>
        <w:rPr>
          <w:rFonts w:ascii="宋体" w:hAnsi="宋体" w:eastAsia="宋体"/>
          <w:sz w:val="24"/>
          <w:szCs w:val="24"/>
        </w:rPr>
        <w:t>（三）不得泄露评审文件、评审情况和在评审过程中获悉的商业秘密；</w:t>
      </w:r>
    </w:p>
    <w:p>
      <w:pPr>
        <w:spacing w:line="400" w:lineRule="exact"/>
        <w:ind w:firstLine="480" w:firstLineChars="200"/>
        <w:rPr>
          <w:rFonts w:ascii="宋体" w:hAnsi="宋体" w:eastAsia="宋体"/>
          <w:sz w:val="24"/>
          <w:szCs w:val="24"/>
        </w:rPr>
      </w:pPr>
      <w:r>
        <w:rPr>
          <w:rFonts w:ascii="宋体" w:hAnsi="宋体" w:eastAsia="宋体"/>
          <w:sz w:val="24"/>
          <w:szCs w:val="24"/>
        </w:rPr>
        <w:t>（四）及时向监督部门报告评审过程中采购组织单位向评审专家做倾向性、误导性的解释或者说明，供应商行贿、提供虚假材料或者串通、受到的非法干预情况等违法违规行为；</w:t>
      </w:r>
    </w:p>
    <w:p>
      <w:pPr>
        <w:spacing w:line="400" w:lineRule="exact"/>
        <w:ind w:firstLine="480" w:firstLineChars="200"/>
        <w:rPr>
          <w:rFonts w:ascii="宋体" w:hAnsi="宋体" w:eastAsia="宋体"/>
          <w:sz w:val="24"/>
          <w:szCs w:val="24"/>
        </w:rPr>
      </w:pPr>
      <w:r>
        <w:rPr>
          <w:rFonts w:ascii="宋体" w:hAnsi="宋体" w:eastAsia="宋体"/>
          <w:sz w:val="24"/>
          <w:szCs w:val="24"/>
        </w:rPr>
        <w:t>（五）发现采购文件内容违反国家有关强制性规定或者存在歧义、重大缺陷导致评审工作无法进行时，停止评审并向采购组织单位书面说明情况；</w:t>
      </w:r>
    </w:p>
    <w:p>
      <w:pPr>
        <w:spacing w:line="400" w:lineRule="exact"/>
        <w:ind w:firstLine="480" w:firstLineChars="200"/>
        <w:rPr>
          <w:rFonts w:ascii="宋体" w:hAnsi="宋体" w:eastAsia="宋体"/>
          <w:sz w:val="24"/>
          <w:szCs w:val="24"/>
        </w:rPr>
      </w:pPr>
      <w:r>
        <w:rPr>
          <w:rFonts w:ascii="宋体" w:hAnsi="宋体" w:eastAsia="宋体"/>
          <w:sz w:val="24"/>
          <w:szCs w:val="24"/>
        </w:rPr>
        <w:t>（六）配合答复处理供应商的询问、质疑和投诉等事项；</w:t>
      </w:r>
    </w:p>
    <w:p>
      <w:pPr>
        <w:spacing w:line="400" w:lineRule="exact"/>
        <w:ind w:right="53" w:firstLine="480" w:firstLineChars="200"/>
        <w:rPr>
          <w:rFonts w:ascii="宋体" w:hAnsi="宋体" w:eastAsia="宋体"/>
          <w:sz w:val="24"/>
          <w:szCs w:val="24"/>
        </w:rPr>
      </w:pPr>
      <w:r>
        <w:rPr>
          <w:rFonts w:ascii="宋体" w:hAnsi="宋体" w:eastAsia="宋体"/>
          <w:sz w:val="24"/>
          <w:szCs w:val="24"/>
        </w:rPr>
        <w:t>（七）法律、法规和规章规定的其他义务。</w:t>
      </w:r>
    </w:p>
    <w:p>
      <w:pPr>
        <w:pStyle w:val="5"/>
        <w:spacing w:line="400" w:lineRule="exact"/>
        <w:jc w:val="both"/>
        <w:rPr>
          <w:rFonts w:ascii="宋体" w:hAnsi="宋体" w:eastAsia="宋体"/>
          <w:color w:val="auto"/>
          <w:sz w:val="24"/>
          <w:szCs w:val="24"/>
        </w:rPr>
      </w:pPr>
      <w:bookmarkStart w:id="64" w:name="_Toc1291"/>
      <w:r>
        <w:rPr>
          <w:rFonts w:ascii="宋体" w:hAnsi="宋体" w:eastAsia="宋体"/>
          <w:color w:val="auto"/>
          <w:sz w:val="24"/>
          <w:szCs w:val="24"/>
        </w:rPr>
        <w:t>8. 评审专家在政府采购活动中应当遵守的工作纪律</w:t>
      </w:r>
      <w:bookmarkEnd w:id="64"/>
    </w:p>
    <w:p>
      <w:pPr>
        <w:spacing w:line="400" w:lineRule="exact"/>
        <w:ind w:firstLine="480" w:firstLineChars="200"/>
        <w:rPr>
          <w:rFonts w:ascii="宋体" w:hAnsi="宋体" w:eastAsia="宋体"/>
          <w:sz w:val="24"/>
          <w:szCs w:val="24"/>
        </w:rPr>
      </w:pPr>
      <w:r>
        <w:rPr>
          <w:rFonts w:ascii="宋体" w:hAnsi="宋体" w:eastAsia="宋体"/>
          <w:sz w:val="24"/>
          <w:szCs w:val="24"/>
        </w:rPr>
        <w:t>（一）遵行《中华人民共和国政府采购法》第十二条和《中华人民共和国政府采购法实施条例》第九条及财政部关于回避的规定。</w:t>
      </w:r>
    </w:p>
    <w:p>
      <w:pPr>
        <w:spacing w:line="400" w:lineRule="exact"/>
        <w:ind w:firstLine="480" w:firstLineChars="200"/>
        <w:rPr>
          <w:rFonts w:ascii="宋体" w:hAnsi="宋体" w:eastAsia="宋体"/>
          <w:sz w:val="24"/>
          <w:szCs w:val="24"/>
        </w:rPr>
      </w:pPr>
      <w:r>
        <w:rPr>
          <w:rFonts w:ascii="宋体" w:hAnsi="宋体" w:eastAsia="宋体"/>
          <w:sz w:val="24"/>
          <w:szCs w:val="24"/>
        </w:rPr>
        <w:t>（二）评标前，应当将通讯工具或者相关电子设备交由招标采购单位统一保管。</w:t>
      </w:r>
    </w:p>
    <w:p>
      <w:pPr>
        <w:spacing w:line="400" w:lineRule="exact"/>
        <w:ind w:firstLine="480" w:firstLineChars="200"/>
        <w:rPr>
          <w:rFonts w:ascii="宋体" w:hAnsi="宋体" w:eastAsia="宋体"/>
          <w:sz w:val="24"/>
          <w:szCs w:val="24"/>
        </w:rPr>
      </w:pPr>
      <w:r>
        <w:rPr>
          <w:rFonts w:ascii="宋体" w:hAnsi="宋体" w:eastAsia="宋体"/>
          <w:sz w:val="24"/>
          <w:szCs w:val="24"/>
        </w:rPr>
        <w:t>（三）评标过程中，不得与外界联系，因发生不可预见情况，确实需要与外界联系的，应当在监督人员监督之下办理。</w:t>
      </w:r>
    </w:p>
    <w:p>
      <w:pPr>
        <w:spacing w:line="400" w:lineRule="exact"/>
        <w:ind w:firstLine="480" w:firstLineChars="200"/>
        <w:rPr>
          <w:rFonts w:ascii="宋体" w:hAnsi="宋体" w:eastAsia="宋体"/>
          <w:sz w:val="24"/>
          <w:szCs w:val="24"/>
        </w:rPr>
      </w:pPr>
      <w:r>
        <w:rPr>
          <w:rFonts w:ascii="宋体" w:hAnsi="宋体" w:eastAsia="宋体"/>
          <w:sz w:val="24"/>
          <w:szCs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400" w:lineRule="exact"/>
        <w:ind w:firstLine="480" w:firstLineChars="200"/>
        <w:rPr>
          <w:rFonts w:ascii="宋体" w:hAnsi="宋体" w:eastAsia="宋体"/>
          <w:sz w:val="24"/>
          <w:szCs w:val="24"/>
        </w:rPr>
      </w:pPr>
      <w:r>
        <w:rPr>
          <w:rFonts w:ascii="宋体" w:hAnsi="宋体" w:eastAsia="宋体"/>
          <w:sz w:val="24"/>
          <w:szCs w:val="24"/>
        </w:rPr>
        <w:t>（五）在评标过程中和评标结束后，不得记录、复制或带走任何评标资料，除因规定的义务外，不得向外界透露评标内容。</w:t>
      </w:r>
    </w:p>
    <w:p>
      <w:pPr>
        <w:spacing w:line="400" w:lineRule="exact"/>
        <w:ind w:firstLine="480" w:firstLineChars="200"/>
        <w:rPr>
          <w:rFonts w:ascii="宋体" w:hAnsi="宋体" w:eastAsia="宋体"/>
          <w:sz w:val="24"/>
          <w:szCs w:val="24"/>
        </w:rPr>
      </w:pPr>
      <w:r>
        <w:rPr>
          <w:rFonts w:ascii="宋体" w:hAnsi="宋体" w:eastAsia="宋体"/>
          <w:sz w:val="24"/>
          <w:szCs w:val="24"/>
        </w:rPr>
        <w:t>（六）服从评标现场招标采购单位的现场秩序管理，接受评标现场监督人员的合法监督。</w:t>
      </w:r>
    </w:p>
    <w:p>
      <w:pPr>
        <w:spacing w:line="400" w:lineRule="exact"/>
        <w:ind w:right="53" w:firstLine="480" w:firstLineChars="200"/>
        <w:rPr>
          <w:rFonts w:ascii="宋体" w:hAnsi="宋体" w:eastAsia="宋体"/>
          <w:sz w:val="24"/>
          <w:szCs w:val="24"/>
        </w:rPr>
      </w:pPr>
      <w:r>
        <w:rPr>
          <w:rFonts w:ascii="宋体" w:hAnsi="宋体" w:eastAsia="宋体"/>
          <w:sz w:val="24"/>
          <w:szCs w:val="24"/>
        </w:rPr>
        <w:t>（七）遵守有关廉洁自律规定，不得私下接触供应商，不得收受供应商及有关业务单位和个人的财物或好处，不得接受采购组织单位的请托。</w:t>
      </w:r>
    </w:p>
    <w:p>
      <w:pPr>
        <w:widowControl/>
        <w:jc w:val="left"/>
        <w:rPr>
          <w:rFonts w:ascii="宋体" w:hAnsi="宋体" w:eastAsia="宋体"/>
          <w:sz w:val="24"/>
          <w:szCs w:val="24"/>
        </w:rPr>
      </w:pPr>
      <w:r>
        <w:rPr>
          <w:rFonts w:ascii="宋体" w:hAnsi="宋体" w:eastAsia="宋体"/>
          <w:sz w:val="24"/>
          <w:szCs w:val="24"/>
        </w:rPr>
        <w:br w:type="page"/>
      </w:r>
    </w:p>
    <w:p>
      <w:pPr>
        <w:spacing w:line="400" w:lineRule="exact"/>
        <w:ind w:right="53" w:firstLine="480" w:firstLineChars="200"/>
        <w:rPr>
          <w:rFonts w:ascii="宋体" w:hAnsi="宋体" w:eastAsia="宋体"/>
          <w:sz w:val="24"/>
          <w:szCs w:val="24"/>
        </w:rPr>
      </w:pPr>
    </w:p>
    <w:p>
      <w:pPr>
        <w:pStyle w:val="4"/>
        <w:spacing w:line="276" w:lineRule="auto"/>
        <w:jc w:val="center"/>
        <w:rPr>
          <w:rFonts w:ascii="宋体" w:hAnsi="宋体" w:eastAsia="宋体"/>
          <w:color w:val="auto"/>
          <w:sz w:val="32"/>
          <w:szCs w:val="32"/>
        </w:rPr>
      </w:pPr>
      <w:bookmarkStart w:id="65" w:name="_Toc5615"/>
      <w:r>
        <w:rPr>
          <w:rFonts w:ascii="宋体" w:hAnsi="宋体" w:eastAsia="宋体"/>
          <w:color w:val="auto"/>
          <w:sz w:val="32"/>
          <w:szCs w:val="32"/>
        </w:rPr>
        <w:t>第七章合同主要条款</w:t>
      </w:r>
      <w:bookmarkEnd w:id="65"/>
    </w:p>
    <w:p>
      <w:pPr>
        <w:jc w:val="center"/>
        <w:rPr>
          <w:rFonts w:ascii="宋体" w:hAnsi="宋体" w:eastAsia="宋体"/>
          <w:szCs w:val="21"/>
        </w:rPr>
      </w:pPr>
      <w:r>
        <w:rPr>
          <w:rFonts w:ascii="宋体" w:hAnsi="宋体" w:eastAsia="宋体"/>
          <w:szCs w:val="21"/>
        </w:rPr>
        <w:t>（本合同条款为参考合同条款）</w:t>
      </w:r>
    </w:p>
    <w:p>
      <w:pPr>
        <w:spacing w:line="360" w:lineRule="auto"/>
        <w:ind w:firstLine="480" w:firstLineChars="200"/>
        <w:rPr>
          <w:rFonts w:ascii="宋体" w:hAnsi="宋体" w:eastAsia="宋体"/>
          <w:sz w:val="24"/>
          <w:szCs w:val="24"/>
        </w:rPr>
      </w:pPr>
      <w:r>
        <w:rPr>
          <w:rFonts w:ascii="宋体" w:hAnsi="宋体" w:eastAsia="宋体"/>
          <w:sz w:val="24"/>
          <w:szCs w:val="24"/>
        </w:rPr>
        <w:t>合同编号：</w:t>
      </w:r>
      <w:r>
        <w:rPr>
          <w:rFonts w:ascii="Times New Roman" w:hAnsi="Times New Roman" w:eastAsia="Times New Roman"/>
          <w:sz w:val="24"/>
          <w:szCs w:val="24"/>
        </w:rPr>
        <w:t>XXXX</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签订地点：</w:t>
      </w:r>
      <w:r>
        <w:rPr>
          <w:rFonts w:ascii="Times New Roman" w:hAnsi="Times New Roman" w:eastAsia="Times New Roman"/>
          <w:sz w:val="24"/>
          <w:szCs w:val="24"/>
        </w:rPr>
        <w:t>XXXX</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签订时间：</w:t>
      </w:r>
      <w:r>
        <w:rPr>
          <w:rFonts w:ascii="Times New Roman" w:hAnsi="Times New Roman" w:eastAsia="Times New Roman"/>
          <w:sz w:val="24"/>
          <w:szCs w:val="24"/>
        </w:rPr>
        <w:t>XXXX</w:t>
      </w:r>
      <w:r>
        <w:rPr>
          <w:rFonts w:ascii="宋体" w:hAnsi="宋体" w:eastAsia="宋体"/>
          <w:sz w:val="24"/>
          <w:szCs w:val="24"/>
        </w:rPr>
        <w:t>年</w:t>
      </w:r>
      <w:r>
        <w:rPr>
          <w:rFonts w:ascii="Times New Roman" w:hAnsi="Times New Roman" w:eastAsia="Times New Roman"/>
          <w:sz w:val="24"/>
          <w:szCs w:val="24"/>
        </w:rPr>
        <w:t>XX</w:t>
      </w:r>
      <w:r>
        <w:rPr>
          <w:rFonts w:ascii="宋体" w:hAnsi="宋体" w:eastAsia="宋体"/>
          <w:sz w:val="24"/>
          <w:szCs w:val="24"/>
        </w:rPr>
        <w:t>月</w:t>
      </w:r>
      <w:r>
        <w:rPr>
          <w:rFonts w:ascii="Times New Roman" w:hAnsi="Times New Roman" w:eastAsia="Times New Roman"/>
          <w:sz w:val="24"/>
          <w:szCs w:val="24"/>
        </w:rPr>
        <w:t>XX</w:t>
      </w:r>
      <w:r>
        <w:rPr>
          <w:rFonts w:ascii="宋体" w:hAnsi="宋体" w:eastAsia="宋体"/>
          <w:sz w:val="24"/>
          <w:szCs w:val="24"/>
        </w:rPr>
        <w:t>日。</w:t>
      </w:r>
    </w:p>
    <w:p>
      <w:pPr>
        <w:spacing w:line="360" w:lineRule="auto"/>
        <w:ind w:firstLine="480" w:firstLineChars="200"/>
        <w:rPr>
          <w:rFonts w:ascii="Times New Roman" w:hAnsi="Times New Roman" w:eastAsia="Times New Roman"/>
          <w:sz w:val="24"/>
          <w:szCs w:val="24"/>
        </w:rPr>
      </w:pPr>
      <w:r>
        <w:rPr>
          <w:rFonts w:ascii="宋体" w:hAnsi="宋体" w:eastAsia="宋体"/>
          <w:sz w:val="24"/>
          <w:szCs w:val="24"/>
        </w:rPr>
        <w:t>采购人（甲方）：</w:t>
      </w:r>
    </w:p>
    <w:p>
      <w:pPr>
        <w:spacing w:line="360" w:lineRule="auto"/>
        <w:ind w:firstLine="480" w:firstLineChars="200"/>
        <w:rPr>
          <w:rFonts w:ascii="Times New Roman" w:hAnsi="Times New Roman" w:eastAsia="Times New Roman"/>
          <w:sz w:val="24"/>
          <w:szCs w:val="24"/>
        </w:rPr>
      </w:pPr>
      <w:r>
        <w:rPr>
          <w:rFonts w:ascii="宋体" w:hAnsi="宋体" w:eastAsia="宋体"/>
          <w:sz w:val="24"/>
          <w:szCs w:val="24"/>
        </w:rPr>
        <w:t>供应商（乙方）：</w:t>
      </w:r>
    </w:p>
    <w:p>
      <w:pPr>
        <w:spacing w:line="360" w:lineRule="auto"/>
        <w:ind w:firstLine="480" w:firstLineChars="200"/>
        <w:rPr>
          <w:rFonts w:ascii="宋体" w:hAnsi="宋体" w:eastAsia="宋体"/>
          <w:sz w:val="24"/>
          <w:szCs w:val="24"/>
        </w:rPr>
      </w:pPr>
    </w:p>
    <w:p>
      <w:pPr>
        <w:spacing w:line="360" w:lineRule="auto"/>
        <w:ind w:firstLine="480" w:firstLineChars="200"/>
        <w:rPr>
          <w:rFonts w:ascii="Times New Roman" w:hAnsi="Times New Roman" w:eastAsia="Times New Roman"/>
          <w:sz w:val="24"/>
          <w:szCs w:val="24"/>
        </w:rPr>
      </w:pPr>
      <w:r>
        <w:rPr>
          <w:rFonts w:ascii="宋体" w:hAnsi="宋体" w:eastAsia="宋体"/>
          <w:sz w:val="24"/>
          <w:szCs w:val="24"/>
        </w:rPr>
        <w:t>依据《中华人民共和国</w:t>
      </w:r>
      <w:r>
        <w:rPr>
          <w:rFonts w:hint="eastAsia" w:ascii="宋体" w:hAnsi="宋体" w:eastAsia="宋体"/>
          <w:sz w:val="24"/>
          <w:szCs w:val="24"/>
        </w:rPr>
        <w:t>民法典</w:t>
      </w:r>
      <w:r>
        <w:rPr>
          <w:rFonts w:ascii="宋体" w:hAnsi="宋体" w:eastAsia="宋体"/>
          <w:sz w:val="24"/>
          <w:szCs w:val="24"/>
        </w:rPr>
        <w:t>》与项目行业有关的法律法规，以及</w:t>
      </w:r>
      <w:r>
        <w:rPr>
          <w:rFonts w:ascii="Times New Roman" w:hAnsi="Times New Roman" w:eastAsia="Times New Roman"/>
          <w:sz w:val="24"/>
          <w:szCs w:val="24"/>
        </w:rPr>
        <w:t>XXXX</w:t>
      </w:r>
      <w:r>
        <w:rPr>
          <w:rFonts w:ascii="宋体" w:hAnsi="宋体" w:eastAsia="宋体"/>
          <w:sz w:val="24"/>
          <w:szCs w:val="24"/>
        </w:rPr>
        <w:t>项目（项目编号：</w:t>
      </w:r>
      <w:r>
        <w:rPr>
          <w:rFonts w:ascii="Times New Roman" w:hAnsi="Times New Roman" w:eastAsia="Times New Roman"/>
          <w:sz w:val="24"/>
          <w:szCs w:val="24"/>
        </w:rPr>
        <w:t>XXXX</w:t>
      </w:r>
      <w:r>
        <w:rPr>
          <w:rFonts w:ascii="宋体" w:hAnsi="宋体" w:eastAsia="宋体"/>
          <w:sz w:val="24"/>
          <w:szCs w:val="24"/>
        </w:rPr>
        <w:t>）的《招标文件》，乙方的《投标文件》及《中标通知书》，甲、乙双方同意签订本合同。详细技术说明及其他有关合同项目的特定信息由合同附件予以说明，合同附件及本项目的《招标文件》、《投标文件》、《中标通知书》等均为本合同的组成部分。</w:t>
      </w:r>
    </w:p>
    <w:p>
      <w:pPr>
        <w:spacing w:line="360" w:lineRule="auto"/>
        <w:ind w:firstLine="480" w:firstLineChars="200"/>
        <w:rPr>
          <w:rFonts w:ascii="宋体" w:hAnsi="宋体" w:eastAsia="宋体"/>
          <w:sz w:val="24"/>
          <w:szCs w:val="24"/>
        </w:rPr>
      </w:pPr>
      <w:r>
        <w:rPr>
          <w:rFonts w:ascii="宋体" w:hAnsi="宋体" w:eastAsia="宋体"/>
          <w:sz w:val="24"/>
          <w:szCs w:val="24"/>
        </w:rPr>
        <w:t>一、项目基本情况</w:t>
      </w:r>
    </w:p>
    <w:p>
      <w:pPr>
        <w:spacing w:line="360" w:lineRule="auto"/>
        <w:ind w:firstLine="480" w:firstLineChars="200"/>
        <w:rPr>
          <w:rFonts w:ascii="宋体" w:hAnsi="宋体" w:eastAsia="宋体"/>
          <w:sz w:val="24"/>
          <w:szCs w:val="24"/>
        </w:rPr>
      </w:pPr>
      <w:r>
        <w:rPr>
          <w:rFonts w:ascii="宋体" w:hAnsi="宋体" w:eastAsia="宋体"/>
          <w:sz w:val="24"/>
          <w:szCs w:val="24"/>
        </w:rPr>
        <w:t>二、合同期限</w:t>
      </w:r>
    </w:p>
    <w:p>
      <w:pPr>
        <w:spacing w:line="360" w:lineRule="auto"/>
        <w:ind w:firstLine="480" w:firstLineChars="200"/>
        <w:rPr>
          <w:rFonts w:ascii="宋体" w:hAnsi="宋体" w:eastAsia="宋体"/>
          <w:sz w:val="24"/>
          <w:szCs w:val="24"/>
        </w:rPr>
      </w:pPr>
      <w:r>
        <w:rPr>
          <w:rFonts w:ascii="宋体" w:hAnsi="宋体" w:eastAsia="宋体"/>
          <w:sz w:val="24"/>
          <w:szCs w:val="24"/>
        </w:rPr>
        <w:t>三、项目实施要求</w:t>
      </w:r>
    </w:p>
    <w:p>
      <w:pPr>
        <w:spacing w:line="360" w:lineRule="auto"/>
        <w:ind w:firstLine="480" w:firstLineChars="200"/>
        <w:rPr>
          <w:rFonts w:ascii="宋体" w:hAnsi="宋体" w:eastAsia="宋体"/>
          <w:sz w:val="24"/>
          <w:szCs w:val="24"/>
        </w:rPr>
      </w:pPr>
      <w:r>
        <w:rPr>
          <w:rFonts w:ascii="Times New Roman" w:hAnsi="Times New Roman" w:eastAsia="Times New Roman"/>
          <w:sz w:val="24"/>
          <w:szCs w:val="24"/>
        </w:rPr>
        <w:t>1</w:t>
      </w:r>
      <w:r>
        <w:rPr>
          <w:rFonts w:ascii="宋体" w:hAnsi="宋体" w:eastAsia="宋体"/>
          <w:sz w:val="24"/>
          <w:szCs w:val="24"/>
        </w:rPr>
        <w:t>、</w:t>
      </w:r>
      <w:r>
        <w:rPr>
          <w:rFonts w:ascii="Times New Roman" w:hAnsi="Times New Roman" w:eastAsia="Times New Roman"/>
          <w:sz w:val="24"/>
          <w:szCs w:val="24"/>
        </w:rPr>
        <w:t>XXXX</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ascii="Times New Roman" w:hAnsi="Times New Roman" w:eastAsia="Times New Roman"/>
          <w:sz w:val="24"/>
          <w:szCs w:val="24"/>
        </w:rPr>
        <w:t>2</w:t>
      </w:r>
      <w:r>
        <w:rPr>
          <w:rFonts w:ascii="宋体" w:hAnsi="宋体" w:eastAsia="宋体"/>
          <w:sz w:val="24"/>
          <w:szCs w:val="24"/>
        </w:rPr>
        <w:t>、</w:t>
      </w:r>
      <w:r>
        <w:rPr>
          <w:rFonts w:ascii="Times New Roman" w:hAnsi="Times New Roman" w:eastAsia="Times New Roman"/>
          <w:sz w:val="24"/>
          <w:szCs w:val="24"/>
        </w:rPr>
        <w:t>XXXX</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ascii="Times New Roman" w:hAnsi="Times New Roman" w:eastAsia="Times New Roman"/>
          <w:sz w:val="24"/>
          <w:szCs w:val="24"/>
        </w:rPr>
        <w:t>3</w:t>
      </w:r>
      <w:r>
        <w:rPr>
          <w:rFonts w:ascii="宋体" w:hAnsi="宋体" w:eastAsia="宋体"/>
          <w:sz w:val="24"/>
          <w:szCs w:val="24"/>
        </w:rPr>
        <w:t>、</w:t>
      </w:r>
      <w:r>
        <w:rPr>
          <w:rFonts w:ascii="Times New Roman" w:hAnsi="Times New Roman" w:eastAsia="Times New Roman"/>
          <w:sz w:val="24"/>
          <w:szCs w:val="24"/>
        </w:rPr>
        <w:t>XXXX</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四、费用及支付方式</w:t>
      </w:r>
    </w:p>
    <w:p>
      <w:pPr>
        <w:spacing w:line="360" w:lineRule="auto"/>
        <w:ind w:firstLine="480" w:firstLineChars="200"/>
        <w:rPr>
          <w:rFonts w:ascii="宋体" w:hAnsi="宋体" w:eastAsia="宋体"/>
          <w:sz w:val="24"/>
          <w:szCs w:val="24"/>
        </w:rPr>
      </w:pPr>
      <w:r>
        <w:rPr>
          <w:rFonts w:ascii="宋体" w:hAnsi="宋体" w:eastAsia="宋体"/>
          <w:sz w:val="24"/>
          <w:szCs w:val="24"/>
        </w:rPr>
        <w:t>本项目费用由以下组成：</w:t>
      </w:r>
    </w:p>
    <w:p>
      <w:pPr>
        <w:spacing w:line="360" w:lineRule="auto"/>
        <w:ind w:firstLine="480" w:firstLineChars="200"/>
        <w:rPr>
          <w:rFonts w:ascii="宋体" w:hAnsi="宋体" w:eastAsia="宋体"/>
          <w:sz w:val="24"/>
          <w:szCs w:val="24"/>
        </w:rPr>
      </w:pPr>
      <w:r>
        <w:rPr>
          <w:rFonts w:ascii="Times New Roman" w:hAnsi="Times New Roman" w:eastAsia="Times New Roman"/>
          <w:sz w:val="24"/>
          <w:szCs w:val="24"/>
        </w:rPr>
        <w:t>1</w:t>
      </w:r>
      <w:r>
        <w:rPr>
          <w:rFonts w:ascii="宋体" w:hAnsi="宋体" w:eastAsia="宋体"/>
          <w:sz w:val="24"/>
          <w:szCs w:val="24"/>
        </w:rPr>
        <w:t>、</w:t>
      </w:r>
      <w:r>
        <w:rPr>
          <w:rFonts w:ascii="Times New Roman" w:hAnsi="Times New Roman" w:eastAsia="Times New Roman"/>
          <w:sz w:val="24"/>
          <w:szCs w:val="24"/>
        </w:rPr>
        <w:t>XX</w:t>
      </w:r>
      <w:r>
        <w:rPr>
          <w:rFonts w:ascii="宋体" w:hAnsi="宋体" w:eastAsia="宋体"/>
          <w:sz w:val="24"/>
          <w:szCs w:val="24"/>
        </w:rPr>
        <w:t>万元；</w:t>
      </w:r>
    </w:p>
    <w:p>
      <w:pPr>
        <w:spacing w:line="360" w:lineRule="auto"/>
        <w:ind w:firstLine="480" w:firstLineChars="200"/>
        <w:rPr>
          <w:rFonts w:ascii="宋体" w:hAnsi="宋体" w:eastAsia="宋体"/>
          <w:sz w:val="24"/>
          <w:szCs w:val="24"/>
        </w:rPr>
      </w:pPr>
      <w:r>
        <w:rPr>
          <w:rFonts w:ascii="Times New Roman" w:hAnsi="Times New Roman" w:eastAsia="Times New Roman"/>
          <w:sz w:val="24"/>
          <w:szCs w:val="24"/>
        </w:rPr>
        <w:t>2</w:t>
      </w:r>
      <w:r>
        <w:rPr>
          <w:rFonts w:ascii="宋体" w:hAnsi="宋体" w:eastAsia="宋体"/>
          <w:sz w:val="24"/>
          <w:szCs w:val="24"/>
        </w:rPr>
        <w:t>、</w:t>
      </w:r>
      <w:r>
        <w:rPr>
          <w:rFonts w:ascii="Times New Roman" w:hAnsi="Times New Roman" w:eastAsia="Times New Roman"/>
          <w:sz w:val="24"/>
          <w:szCs w:val="24"/>
        </w:rPr>
        <w:t>XX</w:t>
      </w:r>
      <w:r>
        <w:rPr>
          <w:rFonts w:ascii="宋体" w:hAnsi="宋体" w:eastAsia="宋体"/>
          <w:sz w:val="24"/>
          <w:szCs w:val="24"/>
        </w:rPr>
        <w:t>万元；</w:t>
      </w:r>
    </w:p>
    <w:p>
      <w:pPr>
        <w:spacing w:line="360" w:lineRule="auto"/>
        <w:ind w:firstLine="480" w:firstLineChars="200"/>
        <w:rPr>
          <w:rFonts w:ascii="宋体" w:hAnsi="宋体" w:eastAsia="宋体"/>
          <w:sz w:val="24"/>
          <w:szCs w:val="24"/>
        </w:rPr>
      </w:pPr>
      <w:r>
        <w:rPr>
          <w:rFonts w:ascii="Times New Roman" w:hAnsi="Times New Roman" w:eastAsia="Times New Roman"/>
          <w:sz w:val="24"/>
          <w:szCs w:val="24"/>
        </w:rPr>
        <w:t>3</w:t>
      </w:r>
      <w:r>
        <w:rPr>
          <w:rFonts w:ascii="宋体" w:hAnsi="宋体" w:eastAsia="宋体"/>
          <w:sz w:val="24"/>
          <w:szCs w:val="24"/>
        </w:rPr>
        <w:t>、</w:t>
      </w:r>
      <w:r>
        <w:rPr>
          <w:rFonts w:ascii="Times New Roman" w:hAnsi="Times New Roman" w:eastAsia="Times New Roman"/>
          <w:sz w:val="24"/>
          <w:szCs w:val="24"/>
        </w:rPr>
        <w:t>XX</w:t>
      </w:r>
      <w:r>
        <w:rPr>
          <w:rFonts w:ascii="宋体" w:hAnsi="宋体" w:eastAsia="宋体"/>
          <w:sz w:val="24"/>
          <w:szCs w:val="24"/>
        </w:rPr>
        <w:t>万元。</w:t>
      </w:r>
    </w:p>
    <w:p>
      <w:pPr>
        <w:spacing w:line="360" w:lineRule="auto"/>
        <w:ind w:firstLine="480" w:firstLineChars="200"/>
        <w:rPr>
          <w:rFonts w:ascii="宋体" w:hAnsi="宋体" w:eastAsia="宋体"/>
          <w:sz w:val="24"/>
          <w:szCs w:val="24"/>
        </w:rPr>
      </w:pPr>
      <w:r>
        <w:rPr>
          <w:rFonts w:ascii="宋体" w:hAnsi="宋体" w:eastAsia="宋体"/>
          <w:sz w:val="24"/>
          <w:szCs w:val="24"/>
        </w:rPr>
        <w:t>……</w:t>
      </w:r>
    </w:p>
    <w:p>
      <w:pPr>
        <w:spacing w:line="360" w:lineRule="auto"/>
        <w:ind w:firstLine="480" w:firstLineChars="200"/>
        <w:rPr>
          <w:rFonts w:ascii="Times New Roman" w:hAnsi="Times New Roman" w:eastAsia="Times New Roman"/>
          <w:sz w:val="24"/>
          <w:szCs w:val="24"/>
        </w:rPr>
      </w:pPr>
      <w:r>
        <w:rPr>
          <w:rFonts w:ascii="宋体" w:hAnsi="宋体" w:eastAsia="宋体"/>
          <w:sz w:val="24"/>
          <w:szCs w:val="24"/>
        </w:rPr>
        <w:t>支付方式：</w:t>
      </w:r>
    </w:p>
    <w:p>
      <w:pPr>
        <w:spacing w:line="360" w:lineRule="auto"/>
        <w:ind w:firstLine="480" w:firstLineChars="200"/>
        <w:rPr>
          <w:rFonts w:ascii="宋体" w:hAnsi="宋体" w:eastAsia="宋体"/>
          <w:sz w:val="24"/>
          <w:szCs w:val="24"/>
        </w:rPr>
      </w:pPr>
      <w:r>
        <w:rPr>
          <w:rFonts w:ascii="宋体" w:hAnsi="宋体" w:eastAsia="宋体"/>
          <w:sz w:val="24"/>
          <w:szCs w:val="24"/>
        </w:rPr>
        <w:t>除上述费用外，甲方无需为履行本合同支付任何其他费用。</w:t>
      </w:r>
    </w:p>
    <w:p>
      <w:pPr>
        <w:spacing w:line="360" w:lineRule="auto"/>
        <w:ind w:firstLine="480" w:firstLineChars="200"/>
        <w:rPr>
          <w:rFonts w:ascii="宋体" w:hAnsi="宋体" w:eastAsia="宋体"/>
          <w:sz w:val="24"/>
          <w:szCs w:val="24"/>
        </w:rPr>
      </w:pPr>
      <w:r>
        <w:rPr>
          <w:rFonts w:ascii="宋体" w:hAnsi="宋体" w:eastAsia="宋体"/>
          <w:sz w:val="24"/>
          <w:szCs w:val="24"/>
        </w:rPr>
        <w:t>五、知识产权</w:t>
      </w:r>
    </w:p>
    <w:p>
      <w:pPr>
        <w:spacing w:line="360" w:lineRule="auto"/>
        <w:ind w:firstLine="480" w:firstLineChars="200"/>
        <w:rPr>
          <w:rFonts w:ascii="宋体" w:hAnsi="宋体" w:eastAsia="宋体"/>
          <w:sz w:val="24"/>
          <w:szCs w:val="24"/>
        </w:rPr>
      </w:pPr>
      <w:r>
        <w:rPr>
          <w:rFonts w:ascii="Times New Roman" w:hAnsi="Times New Roman" w:eastAsia="Times New Roman"/>
          <w:sz w:val="24"/>
          <w:szCs w:val="24"/>
        </w:rPr>
        <w:t>1</w:t>
      </w:r>
      <w:r>
        <w:rPr>
          <w:rFonts w:ascii="宋体" w:hAnsi="宋体" w:eastAsia="宋体"/>
          <w:sz w:val="24"/>
          <w:szCs w:val="24"/>
        </w:rPr>
        <w:t>、乙方应保证所提供的服务或其任何一部分均不会侵犯任何第三方的专利权、商标权或著作权。</w:t>
      </w:r>
    </w:p>
    <w:p>
      <w:pPr>
        <w:spacing w:line="520" w:lineRule="exact"/>
        <w:ind w:firstLine="480" w:firstLineChars="200"/>
        <w:rPr>
          <w:rFonts w:ascii="宋体" w:hAnsi="宋体" w:eastAsia="宋体"/>
          <w:kern w:val="0"/>
          <w:sz w:val="24"/>
          <w:szCs w:val="24"/>
        </w:rPr>
      </w:pPr>
      <w:r>
        <w:rPr>
          <w:rFonts w:ascii="宋体" w:hAnsi="宋体" w:eastAsia="宋体"/>
          <w:kern w:val="0"/>
          <w:sz w:val="24"/>
          <w:szCs w:val="24"/>
        </w:rPr>
        <w:t>2、乙方在履行本合同的过程中所形成的全部知识产权，归甲方所有。</w:t>
      </w:r>
    </w:p>
    <w:p>
      <w:pPr>
        <w:spacing w:line="360" w:lineRule="auto"/>
        <w:ind w:firstLine="480" w:firstLineChars="200"/>
        <w:rPr>
          <w:rFonts w:ascii="宋体" w:hAnsi="宋体" w:eastAsia="宋体"/>
          <w:sz w:val="24"/>
          <w:szCs w:val="24"/>
        </w:rPr>
      </w:pPr>
      <w:r>
        <w:rPr>
          <w:rFonts w:ascii="宋体" w:hAnsi="宋体" w:eastAsia="宋体"/>
          <w:sz w:val="24"/>
          <w:szCs w:val="24"/>
        </w:rPr>
        <w:t>六、无产权瑕疵条款</w:t>
      </w:r>
    </w:p>
    <w:p>
      <w:pPr>
        <w:spacing w:line="360" w:lineRule="auto"/>
        <w:ind w:firstLine="480" w:firstLineChars="200"/>
        <w:rPr>
          <w:rFonts w:ascii="宋体" w:hAnsi="宋体" w:eastAsia="宋体"/>
          <w:sz w:val="24"/>
          <w:szCs w:val="24"/>
        </w:rPr>
      </w:pPr>
      <w:r>
        <w:rPr>
          <w:rFonts w:ascii="宋体" w:hAnsi="宋体" w:eastAsia="宋体"/>
          <w:sz w:val="24"/>
          <w:szCs w:val="24"/>
        </w:rPr>
        <w:t>乙方保证所提供的服务的所有权完全属于乙方且无任何抵押、查封等产权瑕疵。如有产权瑕疵的，视为乙方违约。乙方应负担由此而产生的一切损失。</w:t>
      </w:r>
    </w:p>
    <w:p>
      <w:pPr>
        <w:spacing w:line="360" w:lineRule="auto"/>
        <w:ind w:firstLine="480" w:firstLineChars="200"/>
        <w:rPr>
          <w:rFonts w:ascii="宋体" w:hAnsi="宋体" w:eastAsia="宋体"/>
          <w:sz w:val="24"/>
          <w:szCs w:val="24"/>
        </w:rPr>
      </w:pPr>
      <w:r>
        <w:rPr>
          <w:rFonts w:ascii="宋体" w:hAnsi="宋体" w:eastAsia="宋体"/>
          <w:sz w:val="24"/>
          <w:szCs w:val="24"/>
        </w:rPr>
        <w:t>七、甲方的权利和义务</w:t>
      </w:r>
    </w:p>
    <w:p>
      <w:pPr>
        <w:spacing w:line="360" w:lineRule="auto"/>
        <w:ind w:firstLine="480" w:firstLineChars="200"/>
        <w:rPr>
          <w:rFonts w:ascii="宋体" w:hAnsi="宋体" w:eastAsia="宋体"/>
          <w:sz w:val="24"/>
          <w:szCs w:val="24"/>
        </w:rPr>
      </w:pPr>
      <w:r>
        <w:rPr>
          <w:rFonts w:ascii="Times New Roman" w:hAnsi="Times New Roman" w:eastAsia="Times New Roman"/>
          <w:sz w:val="24"/>
          <w:szCs w:val="24"/>
        </w:rPr>
        <w:t>1</w:t>
      </w:r>
      <w:r>
        <w:rPr>
          <w:rFonts w:ascii="宋体" w:hAnsi="宋体" w:eastAsia="宋体"/>
          <w:sz w:val="24"/>
          <w:szCs w:val="24"/>
        </w:rPr>
        <w:t>、甲方有权对合同规定范围内乙方的服务行为进行监督和检查，拥有监管权。有权定期核对乙方提供服务所配备的人员数量。对甲方认为不合理的部分有权下达整改通知书，并要求乙方限期整改。</w:t>
      </w:r>
    </w:p>
    <w:p>
      <w:pPr>
        <w:spacing w:line="360" w:lineRule="auto"/>
        <w:ind w:firstLine="480" w:firstLineChars="200"/>
        <w:rPr>
          <w:rFonts w:ascii="宋体" w:hAnsi="宋体" w:eastAsia="宋体"/>
          <w:sz w:val="24"/>
          <w:szCs w:val="24"/>
        </w:rPr>
      </w:pPr>
      <w:r>
        <w:rPr>
          <w:rFonts w:ascii="Times New Roman" w:hAnsi="Times New Roman" w:eastAsia="Times New Roman"/>
          <w:sz w:val="24"/>
          <w:szCs w:val="24"/>
        </w:rPr>
        <w:t>2</w:t>
      </w:r>
      <w:r>
        <w:rPr>
          <w:rFonts w:ascii="宋体" w:hAnsi="宋体" w:eastAsia="宋体"/>
          <w:sz w:val="24"/>
          <w:szCs w:val="24"/>
        </w:rPr>
        <w:t>、甲方有权依据甲方制定的考评办法对乙方提供的服务进行定期考评。当考评结果未达到标准时，有权依据考评办法约定的数额扣除履约保证金。</w:t>
      </w:r>
    </w:p>
    <w:p>
      <w:pPr>
        <w:spacing w:line="360" w:lineRule="auto"/>
        <w:ind w:firstLine="480" w:firstLineChars="200"/>
        <w:rPr>
          <w:rFonts w:ascii="宋体" w:hAnsi="宋体" w:eastAsia="宋体"/>
          <w:sz w:val="24"/>
          <w:szCs w:val="24"/>
        </w:rPr>
      </w:pPr>
      <w:r>
        <w:rPr>
          <w:rFonts w:ascii="Times New Roman" w:hAnsi="Times New Roman" w:eastAsia="Times New Roman"/>
          <w:sz w:val="24"/>
          <w:szCs w:val="24"/>
        </w:rPr>
        <w:t>3</w:t>
      </w:r>
      <w:r>
        <w:rPr>
          <w:rFonts w:ascii="宋体" w:hAnsi="宋体" w:eastAsia="宋体"/>
          <w:sz w:val="24"/>
          <w:szCs w:val="24"/>
        </w:rPr>
        <w:t>、负责检查监督乙方供货工作的实施及制度的执行情况。</w:t>
      </w:r>
    </w:p>
    <w:p>
      <w:pPr>
        <w:spacing w:line="360" w:lineRule="auto"/>
        <w:ind w:firstLine="480" w:firstLineChars="200"/>
        <w:rPr>
          <w:rFonts w:ascii="宋体" w:hAnsi="宋体" w:eastAsia="宋体"/>
          <w:sz w:val="24"/>
          <w:szCs w:val="24"/>
        </w:rPr>
      </w:pPr>
      <w:r>
        <w:rPr>
          <w:rFonts w:ascii="Times New Roman" w:hAnsi="Times New Roman" w:eastAsia="Times New Roman"/>
          <w:sz w:val="24"/>
          <w:szCs w:val="24"/>
        </w:rPr>
        <w:t>4</w:t>
      </w:r>
      <w:r>
        <w:rPr>
          <w:rFonts w:ascii="宋体" w:hAnsi="宋体" w:eastAsia="宋体"/>
          <w:sz w:val="24"/>
          <w:szCs w:val="24"/>
        </w:rPr>
        <w:t>、根据本合同规定，按时向乙方支付应付供货费用。</w:t>
      </w:r>
    </w:p>
    <w:p>
      <w:pPr>
        <w:spacing w:line="360" w:lineRule="auto"/>
        <w:ind w:firstLine="480" w:firstLineChars="200"/>
        <w:rPr>
          <w:rFonts w:ascii="宋体" w:hAnsi="宋体" w:eastAsia="宋体"/>
          <w:sz w:val="24"/>
          <w:szCs w:val="24"/>
        </w:rPr>
      </w:pPr>
      <w:r>
        <w:rPr>
          <w:rFonts w:ascii="Times New Roman" w:hAnsi="Times New Roman" w:eastAsia="Times New Roman"/>
          <w:sz w:val="24"/>
          <w:szCs w:val="24"/>
        </w:rPr>
        <w:t>5</w:t>
      </w:r>
      <w:r>
        <w:rPr>
          <w:rFonts w:ascii="宋体" w:hAnsi="宋体" w:eastAsia="宋体"/>
          <w:sz w:val="24"/>
          <w:szCs w:val="24"/>
        </w:rPr>
        <w:t>、国家法律、法规所规定由甲方承担的其它责任。</w:t>
      </w:r>
    </w:p>
    <w:p>
      <w:pPr>
        <w:spacing w:line="360" w:lineRule="auto"/>
        <w:ind w:firstLine="480" w:firstLineChars="200"/>
        <w:rPr>
          <w:rFonts w:ascii="Times New Roman" w:hAnsi="Times New Roman" w:eastAsia="Times New Roman"/>
          <w:sz w:val="24"/>
          <w:szCs w:val="24"/>
        </w:rPr>
      </w:pPr>
      <w:r>
        <w:rPr>
          <w:rFonts w:ascii="Times New Roman" w:hAnsi="Times New Roman" w:eastAsia="Times New Roman"/>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八、乙方的权利和义务</w:t>
      </w:r>
    </w:p>
    <w:p>
      <w:pPr>
        <w:spacing w:line="360" w:lineRule="auto"/>
        <w:ind w:firstLine="480" w:firstLineChars="200"/>
        <w:rPr>
          <w:rFonts w:ascii="宋体" w:hAnsi="宋体" w:eastAsia="宋体"/>
          <w:sz w:val="24"/>
          <w:szCs w:val="24"/>
        </w:rPr>
      </w:pPr>
      <w:r>
        <w:rPr>
          <w:rFonts w:ascii="Times New Roman" w:hAnsi="Times New Roman" w:eastAsia="Times New Roman"/>
          <w:sz w:val="24"/>
          <w:szCs w:val="24"/>
        </w:rPr>
        <w:t>1</w:t>
      </w:r>
      <w:r>
        <w:rPr>
          <w:rFonts w:ascii="宋体" w:hAnsi="宋体" w:eastAsia="宋体"/>
          <w:sz w:val="24"/>
          <w:szCs w:val="24"/>
        </w:rPr>
        <w:t>、对本合同规定的委托服务范围内的项目享有服务的权利和义务。</w:t>
      </w:r>
    </w:p>
    <w:p>
      <w:pPr>
        <w:spacing w:line="360" w:lineRule="auto"/>
        <w:ind w:firstLine="480" w:firstLineChars="200"/>
        <w:rPr>
          <w:rFonts w:ascii="宋体" w:hAnsi="宋体" w:eastAsia="宋体"/>
          <w:sz w:val="24"/>
          <w:szCs w:val="24"/>
        </w:rPr>
      </w:pPr>
      <w:r>
        <w:rPr>
          <w:rFonts w:ascii="Times New Roman" w:hAnsi="Times New Roman" w:eastAsia="Times New Roman"/>
          <w:sz w:val="24"/>
          <w:szCs w:val="24"/>
        </w:rPr>
        <w:t>2</w:t>
      </w:r>
      <w:r>
        <w:rPr>
          <w:rFonts w:ascii="宋体" w:hAnsi="宋体" w:eastAsia="宋体"/>
          <w:sz w:val="24"/>
          <w:szCs w:val="24"/>
        </w:rPr>
        <w:t>、根据本合同的规定向甲方收取费用。</w:t>
      </w:r>
    </w:p>
    <w:p>
      <w:pPr>
        <w:spacing w:line="360" w:lineRule="auto"/>
        <w:ind w:firstLine="480" w:firstLineChars="200"/>
        <w:rPr>
          <w:rFonts w:ascii="宋体" w:hAnsi="宋体" w:eastAsia="宋体"/>
          <w:sz w:val="24"/>
          <w:szCs w:val="24"/>
        </w:rPr>
      </w:pPr>
      <w:r>
        <w:rPr>
          <w:rFonts w:ascii="Times New Roman" w:hAnsi="Times New Roman" w:eastAsia="Times New Roman"/>
          <w:sz w:val="24"/>
          <w:szCs w:val="24"/>
        </w:rPr>
        <w:t>3</w:t>
      </w:r>
      <w:r>
        <w:rPr>
          <w:rFonts w:ascii="宋体" w:hAnsi="宋体" w:eastAsia="宋体"/>
          <w:sz w:val="24"/>
          <w:szCs w:val="24"/>
        </w:rPr>
        <w:t>、严格按项目要求履行本合同。</w:t>
      </w:r>
    </w:p>
    <w:p>
      <w:pPr>
        <w:spacing w:line="360" w:lineRule="auto"/>
        <w:ind w:firstLine="480" w:firstLineChars="200"/>
        <w:rPr>
          <w:rFonts w:ascii="宋体" w:hAnsi="宋体" w:eastAsia="宋体"/>
          <w:sz w:val="24"/>
          <w:szCs w:val="24"/>
        </w:rPr>
      </w:pPr>
      <w:r>
        <w:rPr>
          <w:rFonts w:ascii="Times New Roman" w:hAnsi="Times New Roman" w:eastAsia="Times New Roman"/>
          <w:sz w:val="24"/>
          <w:szCs w:val="24"/>
        </w:rPr>
        <w:t>4</w:t>
      </w:r>
      <w:r>
        <w:rPr>
          <w:rFonts w:ascii="宋体" w:hAnsi="宋体" w:eastAsia="宋体"/>
          <w:sz w:val="24"/>
          <w:szCs w:val="24"/>
        </w:rPr>
        <w:t>、及时向甲方通告本项目服务范围内有关服务的重大事项，及时配合处理投诉。</w:t>
      </w:r>
    </w:p>
    <w:p>
      <w:pPr>
        <w:spacing w:line="360" w:lineRule="auto"/>
        <w:ind w:firstLine="480" w:firstLineChars="200"/>
        <w:rPr>
          <w:rFonts w:ascii="宋体" w:hAnsi="宋体" w:eastAsia="宋体"/>
          <w:sz w:val="24"/>
          <w:szCs w:val="24"/>
        </w:rPr>
      </w:pPr>
      <w:r>
        <w:rPr>
          <w:rFonts w:ascii="Times New Roman" w:hAnsi="Times New Roman" w:eastAsia="Times New Roman"/>
          <w:sz w:val="24"/>
          <w:szCs w:val="24"/>
        </w:rPr>
        <w:t>5</w:t>
      </w:r>
      <w:r>
        <w:rPr>
          <w:rFonts w:ascii="宋体" w:hAnsi="宋体" w:eastAsia="宋体"/>
          <w:sz w:val="24"/>
          <w:szCs w:val="24"/>
        </w:rPr>
        <w:t>、接受项目行业部门及政府有关部门的指导，接受甲方的监督。</w:t>
      </w:r>
    </w:p>
    <w:p>
      <w:pPr>
        <w:spacing w:line="360" w:lineRule="auto"/>
        <w:ind w:firstLine="480" w:firstLineChars="200"/>
        <w:rPr>
          <w:rFonts w:ascii="宋体" w:hAnsi="宋体" w:eastAsia="宋体"/>
          <w:sz w:val="24"/>
          <w:szCs w:val="24"/>
        </w:rPr>
      </w:pPr>
      <w:r>
        <w:rPr>
          <w:rFonts w:ascii="Times New Roman" w:hAnsi="Times New Roman" w:eastAsia="Times New Roman"/>
          <w:sz w:val="24"/>
          <w:szCs w:val="24"/>
        </w:rPr>
        <w:t>6</w:t>
      </w:r>
      <w:r>
        <w:rPr>
          <w:rFonts w:ascii="宋体" w:hAnsi="宋体" w:eastAsia="宋体"/>
          <w:sz w:val="24"/>
          <w:szCs w:val="24"/>
        </w:rPr>
        <w:t>、国家法律、法规所规定由乙方承担的其它责任。</w:t>
      </w:r>
    </w:p>
    <w:p>
      <w:pPr>
        <w:spacing w:line="360" w:lineRule="auto"/>
        <w:ind w:firstLine="480" w:firstLineChars="200"/>
        <w:rPr>
          <w:rFonts w:ascii="Times New Roman" w:hAnsi="Times New Roman" w:eastAsia="Times New Roman"/>
          <w:sz w:val="24"/>
          <w:szCs w:val="24"/>
        </w:rPr>
      </w:pPr>
      <w:r>
        <w:rPr>
          <w:rFonts w:ascii="Times New Roman" w:hAnsi="Times New Roman" w:eastAsia="Times New Roman"/>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九、违约责任</w:t>
      </w:r>
    </w:p>
    <w:p>
      <w:pPr>
        <w:spacing w:line="360" w:lineRule="auto"/>
        <w:ind w:firstLine="480" w:firstLineChars="200"/>
        <w:rPr>
          <w:rFonts w:ascii="宋体" w:hAnsi="宋体" w:eastAsia="宋体"/>
          <w:sz w:val="24"/>
          <w:szCs w:val="24"/>
        </w:rPr>
      </w:pPr>
      <w:r>
        <w:rPr>
          <w:rFonts w:ascii="Times New Roman" w:hAnsi="Times New Roman" w:eastAsia="Times New Roman"/>
          <w:sz w:val="24"/>
          <w:szCs w:val="24"/>
        </w:rPr>
        <w:t>1</w:t>
      </w:r>
      <w:r>
        <w:rPr>
          <w:rFonts w:ascii="宋体" w:hAnsi="宋体" w:eastAsia="宋体"/>
          <w:sz w:val="24"/>
          <w:szCs w:val="24"/>
        </w:rPr>
        <w:t>、甲乙双方必须遵守本合同并执行合同中的各项规定，保证本合同的正常履行。</w:t>
      </w:r>
    </w:p>
    <w:p>
      <w:pPr>
        <w:spacing w:line="360" w:lineRule="auto"/>
        <w:ind w:firstLine="480" w:firstLineChars="200"/>
        <w:rPr>
          <w:rFonts w:ascii="宋体" w:hAnsi="宋体" w:eastAsia="宋体"/>
          <w:sz w:val="24"/>
          <w:szCs w:val="24"/>
        </w:rPr>
      </w:pPr>
      <w:r>
        <w:rPr>
          <w:rFonts w:ascii="Times New Roman" w:hAnsi="Times New Roman" w:eastAsia="Times New Roman"/>
          <w:sz w:val="24"/>
          <w:szCs w:val="24"/>
        </w:rPr>
        <w:t>2</w:t>
      </w:r>
      <w:r>
        <w:rPr>
          <w:rFonts w:ascii="宋体" w:hAnsi="宋体" w:eastAsia="宋体"/>
          <w:sz w:val="24"/>
          <w:szCs w:val="24"/>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ind w:firstLine="480" w:firstLineChars="200"/>
        <w:rPr>
          <w:rFonts w:ascii="Times New Roman" w:hAnsi="Times New Roman" w:eastAsia="Times New Roman"/>
          <w:sz w:val="24"/>
          <w:szCs w:val="24"/>
        </w:rPr>
      </w:pPr>
      <w:r>
        <w:rPr>
          <w:rFonts w:ascii="Times New Roman" w:hAnsi="Times New Roman" w:eastAsia="Times New Roman"/>
          <w:sz w:val="24"/>
          <w:szCs w:val="24"/>
        </w:rPr>
        <w:t>......</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ascii="宋体" w:hAnsi="宋体" w:eastAsia="宋体"/>
          <w:sz w:val="24"/>
          <w:szCs w:val="24"/>
        </w:rPr>
        <w:t>十、不可抗力事件处理</w:t>
      </w:r>
    </w:p>
    <w:p>
      <w:pPr>
        <w:spacing w:line="360" w:lineRule="auto"/>
        <w:ind w:firstLine="480" w:firstLineChars="200"/>
        <w:rPr>
          <w:rFonts w:ascii="宋体" w:hAnsi="宋体" w:eastAsia="宋体"/>
          <w:sz w:val="24"/>
          <w:szCs w:val="24"/>
        </w:rPr>
      </w:pPr>
      <w:r>
        <w:rPr>
          <w:rFonts w:ascii="Times New Roman" w:hAnsi="Times New Roman" w:eastAsia="Times New Roman"/>
          <w:sz w:val="24"/>
          <w:szCs w:val="24"/>
        </w:rPr>
        <w:t>1</w:t>
      </w:r>
      <w:r>
        <w:rPr>
          <w:rFonts w:ascii="宋体" w:hAnsi="宋体" w:eastAsia="宋体"/>
          <w:sz w:val="24"/>
          <w:szCs w:val="24"/>
        </w:rPr>
        <w:t>、在合同有效期内，任何一方因不可抗力事件导致不能履行合同，则合同履行期可延长，其延长期与不可抗力影响期相同。</w:t>
      </w:r>
    </w:p>
    <w:p>
      <w:pPr>
        <w:spacing w:line="360" w:lineRule="auto"/>
        <w:ind w:firstLine="480" w:firstLineChars="200"/>
        <w:rPr>
          <w:rFonts w:ascii="宋体" w:hAnsi="宋体" w:eastAsia="宋体"/>
          <w:sz w:val="24"/>
          <w:szCs w:val="24"/>
        </w:rPr>
      </w:pPr>
      <w:r>
        <w:rPr>
          <w:rFonts w:ascii="Times New Roman" w:hAnsi="Times New Roman" w:eastAsia="Times New Roman"/>
          <w:sz w:val="24"/>
          <w:szCs w:val="24"/>
        </w:rPr>
        <w:t>2</w:t>
      </w:r>
      <w:r>
        <w:rPr>
          <w:rFonts w:ascii="宋体" w:hAnsi="宋体" w:eastAsia="宋体"/>
          <w:sz w:val="24"/>
          <w:szCs w:val="24"/>
        </w:rPr>
        <w:t>、不可抗力事件发生后，应立即通知对方，并寄送有关权威机构出具的证明。</w:t>
      </w:r>
    </w:p>
    <w:p>
      <w:pPr>
        <w:spacing w:line="360" w:lineRule="auto"/>
        <w:ind w:firstLine="480" w:firstLineChars="200"/>
        <w:rPr>
          <w:rFonts w:ascii="宋体" w:hAnsi="宋体" w:eastAsia="宋体"/>
          <w:sz w:val="24"/>
          <w:szCs w:val="24"/>
        </w:rPr>
      </w:pPr>
      <w:r>
        <w:rPr>
          <w:rFonts w:ascii="Times New Roman" w:hAnsi="Times New Roman" w:eastAsia="Times New Roman"/>
          <w:sz w:val="24"/>
          <w:szCs w:val="24"/>
        </w:rPr>
        <w:t>3</w:t>
      </w:r>
      <w:r>
        <w:rPr>
          <w:rFonts w:ascii="宋体" w:hAnsi="宋体" w:eastAsia="宋体"/>
          <w:sz w:val="24"/>
          <w:szCs w:val="24"/>
        </w:rPr>
        <w:t>、不可抗力事件延续</w:t>
      </w:r>
      <w:r>
        <w:rPr>
          <w:rFonts w:ascii="Times New Roman" w:hAnsi="Times New Roman" w:eastAsia="Times New Roman"/>
          <w:sz w:val="24"/>
          <w:szCs w:val="24"/>
        </w:rPr>
        <w:t>30</w:t>
      </w:r>
      <w:r>
        <w:rPr>
          <w:rFonts w:ascii="宋体" w:hAnsi="宋体" w:eastAsia="宋体"/>
          <w:sz w:val="24"/>
          <w:szCs w:val="24"/>
        </w:rPr>
        <w:t>天以上，双方应通过友好协商，确定是否继续履行合同。</w:t>
      </w:r>
    </w:p>
    <w:p>
      <w:pPr>
        <w:spacing w:line="360" w:lineRule="auto"/>
        <w:ind w:firstLine="480" w:firstLineChars="200"/>
        <w:rPr>
          <w:rFonts w:ascii="宋体" w:hAnsi="宋体" w:eastAsia="宋体"/>
          <w:sz w:val="24"/>
          <w:szCs w:val="24"/>
        </w:rPr>
      </w:pPr>
      <w:r>
        <w:rPr>
          <w:rFonts w:ascii="宋体" w:hAnsi="宋体" w:eastAsia="宋体"/>
          <w:sz w:val="24"/>
          <w:szCs w:val="24"/>
        </w:rPr>
        <w:t>十一、解决合同纠纷的方式</w:t>
      </w:r>
    </w:p>
    <w:p>
      <w:pPr>
        <w:spacing w:line="360" w:lineRule="auto"/>
        <w:ind w:firstLine="480" w:firstLineChars="200"/>
        <w:rPr>
          <w:rFonts w:ascii="宋体" w:hAnsi="宋体" w:eastAsia="宋体"/>
          <w:sz w:val="24"/>
          <w:szCs w:val="24"/>
        </w:rPr>
      </w:pPr>
      <w:r>
        <w:rPr>
          <w:rFonts w:ascii="宋体" w:hAnsi="宋体" w:eastAsia="宋体"/>
          <w:sz w:val="24"/>
          <w:szCs w:val="24"/>
        </w:rPr>
        <w:t>在执行本合同中发生的或与本合同有关的争端，双方应通过友好协商解决，经协商在10天内不能达成协议时，</w:t>
      </w:r>
      <w:r>
        <w:rPr>
          <w:rFonts w:hint="eastAsia" w:ascii="宋体" w:hAnsi="宋体" w:eastAsia="宋体"/>
          <w:sz w:val="24"/>
          <w:szCs w:val="24"/>
        </w:rPr>
        <w:t>甲方所在地人民</w:t>
      </w:r>
      <w:r>
        <w:rPr>
          <w:rFonts w:ascii="宋体" w:hAnsi="宋体" w:eastAsia="宋体"/>
          <w:sz w:val="24"/>
          <w:szCs w:val="24"/>
        </w:rPr>
        <w:t>法院作为管辖法院。</w:t>
      </w:r>
    </w:p>
    <w:p>
      <w:pPr>
        <w:spacing w:line="360" w:lineRule="auto"/>
        <w:ind w:firstLine="480" w:firstLineChars="200"/>
        <w:rPr>
          <w:rFonts w:ascii="宋体" w:hAnsi="宋体" w:eastAsia="宋体"/>
          <w:sz w:val="24"/>
          <w:szCs w:val="24"/>
        </w:rPr>
      </w:pPr>
      <w:r>
        <w:rPr>
          <w:rFonts w:ascii="宋体" w:hAnsi="宋体" w:eastAsia="宋体"/>
          <w:sz w:val="24"/>
          <w:szCs w:val="24"/>
        </w:rPr>
        <w:t>本合同适用法律为中华人民共和国法律。</w:t>
      </w:r>
    </w:p>
    <w:p>
      <w:pPr>
        <w:spacing w:line="360" w:lineRule="auto"/>
        <w:ind w:firstLine="480" w:firstLineChars="200"/>
        <w:rPr>
          <w:rFonts w:ascii="Times New Roman" w:hAnsi="Times New Roman" w:eastAsia="Times New Roman"/>
          <w:sz w:val="24"/>
          <w:szCs w:val="24"/>
        </w:rPr>
      </w:pPr>
    </w:p>
    <w:p>
      <w:pPr>
        <w:spacing w:line="360" w:lineRule="auto"/>
        <w:ind w:firstLine="480" w:firstLineChars="200"/>
        <w:rPr>
          <w:rFonts w:ascii="宋体" w:hAnsi="宋体" w:eastAsia="宋体"/>
          <w:sz w:val="24"/>
          <w:szCs w:val="24"/>
        </w:rPr>
      </w:pPr>
      <w:r>
        <w:rPr>
          <w:rFonts w:ascii="宋体" w:hAnsi="宋体" w:eastAsia="宋体"/>
          <w:sz w:val="24"/>
          <w:szCs w:val="24"/>
        </w:rPr>
        <w:t>十二、合同生效及其他</w:t>
      </w:r>
    </w:p>
    <w:p>
      <w:pPr>
        <w:spacing w:line="360" w:lineRule="auto"/>
        <w:ind w:firstLine="480" w:firstLineChars="200"/>
        <w:rPr>
          <w:rFonts w:ascii="宋体" w:hAnsi="宋体" w:eastAsia="宋体"/>
          <w:sz w:val="24"/>
          <w:szCs w:val="24"/>
        </w:rPr>
      </w:pPr>
      <w:r>
        <w:rPr>
          <w:rFonts w:ascii="Times New Roman" w:hAnsi="Times New Roman" w:eastAsia="Times New Roman"/>
          <w:sz w:val="24"/>
          <w:szCs w:val="24"/>
        </w:rPr>
        <w:t>1</w:t>
      </w:r>
      <w:r>
        <w:rPr>
          <w:rFonts w:ascii="宋体" w:hAnsi="宋体" w:eastAsia="宋体"/>
          <w:sz w:val="24"/>
          <w:szCs w:val="24"/>
        </w:rPr>
        <w:t>、合同经双方法定代表人或授权委托代理人</w:t>
      </w:r>
      <w:r>
        <w:rPr>
          <w:rFonts w:hint="eastAsia" w:ascii="宋体" w:hAnsi="宋体" w:eastAsia="宋体"/>
          <w:sz w:val="24"/>
          <w:szCs w:val="24"/>
        </w:rPr>
        <w:t>均</w:t>
      </w:r>
      <w:r>
        <w:rPr>
          <w:rFonts w:ascii="宋体" w:hAnsi="宋体" w:eastAsia="宋体"/>
          <w:sz w:val="24"/>
          <w:szCs w:val="24"/>
        </w:rPr>
        <w:t>签字并加盖单位公章之日起生效。</w:t>
      </w:r>
    </w:p>
    <w:p>
      <w:pPr>
        <w:spacing w:line="360" w:lineRule="auto"/>
        <w:ind w:firstLine="480" w:firstLineChars="200"/>
        <w:rPr>
          <w:rFonts w:ascii="宋体" w:hAnsi="宋体" w:eastAsia="宋体"/>
          <w:sz w:val="24"/>
          <w:szCs w:val="24"/>
        </w:rPr>
      </w:pPr>
      <w:r>
        <w:rPr>
          <w:rFonts w:ascii="Times New Roman" w:hAnsi="Times New Roman" w:eastAsia="Times New Roman"/>
          <w:sz w:val="24"/>
          <w:szCs w:val="24"/>
        </w:rPr>
        <w:t>2</w:t>
      </w:r>
      <w:r>
        <w:rPr>
          <w:rFonts w:ascii="宋体" w:hAnsi="宋体" w:eastAsia="宋体"/>
          <w:sz w:val="24"/>
          <w:szCs w:val="24"/>
        </w:rPr>
        <w:t>、合同执行中涉及采购资金和采购内容修改或补充的，须经政府采购监管部门审批，并签书面补充协议报政府采购监督管理部门备案，方可作为主合同不可分割的一部分。</w:t>
      </w:r>
    </w:p>
    <w:p>
      <w:pPr>
        <w:spacing w:line="360" w:lineRule="auto"/>
        <w:ind w:firstLine="480" w:firstLineChars="200"/>
        <w:rPr>
          <w:rFonts w:ascii="宋体" w:hAnsi="宋体" w:eastAsia="宋体"/>
          <w:sz w:val="24"/>
          <w:szCs w:val="24"/>
        </w:rPr>
      </w:pPr>
      <w:r>
        <w:rPr>
          <w:rFonts w:ascii="Times New Roman" w:hAnsi="Times New Roman" w:eastAsia="Times New Roman"/>
          <w:sz w:val="24"/>
          <w:szCs w:val="24"/>
        </w:rPr>
        <w:t>3</w:t>
      </w:r>
      <w:r>
        <w:rPr>
          <w:rFonts w:ascii="宋体" w:hAnsi="宋体" w:eastAsia="宋体"/>
          <w:sz w:val="24"/>
          <w:szCs w:val="24"/>
        </w:rPr>
        <w:t>、本合同一式捌份，甲方肆份，乙方壹份，政府采购代理机构贰份，同级财政部门备案壹份，具有同等法律效力。</w:t>
      </w:r>
    </w:p>
    <w:p>
      <w:pPr>
        <w:spacing w:line="360" w:lineRule="auto"/>
        <w:ind w:firstLine="480" w:firstLineChars="200"/>
        <w:rPr>
          <w:rFonts w:ascii="宋体" w:hAnsi="宋体" w:eastAsia="宋体"/>
          <w:sz w:val="24"/>
          <w:szCs w:val="24"/>
        </w:rPr>
      </w:pPr>
      <w:r>
        <w:rPr>
          <w:rFonts w:ascii="Times New Roman" w:hAnsi="Times New Roman" w:eastAsia="Times New Roman"/>
          <w:sz w:val="24"/>
          <w:szCs w:val="24"/>
        </w:rPr>
        <w:t>4</w:t>
      </w:r>
      <w:r>
        <w:rPr>
          <w:rFonts w:ascii="宋体" w:hAnsi="宋体" w:eastAsia="宋体"/>
          <w:sz w:val="24"/>
          <w:szCs w:val="24"/>
        </w:rPr>
        <w:t>、本合同附件包括项目招标文件、项目修改澄清文件、项目投标文件、中标通知书及前述文件中提到的附件。本合同附件内容与本合同不一致的，以本合同约定为准；附件内容之间不一致的，由甲方按照最优于甲方签订本合同目的的原则选择确认适用内容。</w:t>
      </w:r>
    </w:p>
    <w:p>
      <w:pPr>
        <w:spacing w:line="360" w:lineRule="auto"/>
        <w:ind w:firstLine="480" w:firstLineChars="200"/>
        <w:rPr>
          <w:rFonts w:ascii="宋体" w:hAnsi="宋体" w:eastAsia="宋体"/>
          <w:sz w:val="24"/>
          <w:szCs w:val="24"/>
        </w:rPr>
      </w:pPr>
      <w:r>
        <w:rPr>
          <w:rFonts w:ascii="宋体" w:hAnsi="宋体" w:eastAsia="宋体"/>
          <w:sz w:val="24"/>
          <w:szCs w:val="24"/>
        </w:rPr>
        <w:t>甲方：（盖章）</w:t>
      </w:r>
      <w:r>
        <w:rPr>
          <w:rFonts w:ascii="Times New Roman" w:hAnsi="Times New Roman" w:eastAsia="Times New Roman"/>
          <w:sz w:val="24"/>
          <w:szCs w:val="24"/>
        </w:rPr>
        <w:tab/>
      </w:r>
      <w:r>
        <w:rPr>
          <w:rFonts w:ascii="Times New Roman" w:hAnsi="Times New Roman" w:eastAsia="Times New Roman"/>
          <w:sz w:val="24"/>
          <w:szCs w:val="24"/>
        </w:rPr>
        <w:tab/>
      </w:r>
      <w:r>
        <w:rPr>
          <w:rFonts w:ascii="Times New Roman" w:hAnsi="Times New Roman" w:eastAsia="Times New Roman"/>
          <w:sz w:val="24"/>
          <w:szCs w:val="24"/>
        </w:rPr>
        <w:tab/>
      </w:r>
      <w:r>
        <w:rPr>
          <w:rFonts w:ascii="宋体" w:hAnsi="宋体" w:eastAsia="宋体"/>
          <w:sz w:val="24"/>
          <w:szCs w:val="24"/>
        </w:rPr>
        <w:t>乙方：（盖章）</w:t>
      </w:r>
    </w:p>
    <w:p>
      <w:pPr>
        <w:spacing w:line="360" w:lineRule="auto"/>
        <w:ind w:firstLine="480" w:firstLineChars="200"/>
        <w:rPr>
          <w:rFonts w:ascii="宋体" w:hAnsi="宋体" w:eastAsia="宋体"/>
          <w:sz w:val="24"/>
          <w:szCs w:val="24"/>
        </w:rPr>
      </w:pPr>
      <w:r>
        <w:rPr>
          <w:rFonts w:ascii="宋体" w:hAnsi="宋体" w:eastAsia="宋体"/>
          <w:sz w:val="24"/>
          <w:szCs w:val="24"/>
        </w:rPr>
        <w:t>法定代表人（授权代表）：法定代表人（授权代表）：</w:t>
      </w:r>
    </w:p>
    <w:p>
      <w:pPr>
        <w:spacing w:line="360" w:lineRule="auto"/>
        <w:ind w:firstLine="480" w:firstLineChars="200"/>
        <w:rPr>
          <w:rFonts w:ascii="宋体" w:hAnsi="宋体" w:eastAsia="宋体"/>
          <w:sz w:val="24"/>
          <w:szCs w:val="24"/>
        </w:rPr>
      </w:pPr>
      <w:r>
        <w:rPr>
          <w:rFonts w:ascii="宋体" w:hAnsi="宋体" w:eastAsia="宋体"/>
          <w:sz w:val="24"/>
          <w:szCs w:val="24"/>
        </w:rPr>
        <w:t>地址：地址：</w:t>
      </w:r>
    </w:p>
    <w:p>
      <w:pPr>
        <w:spacing w:line="360" w:lineRule="auto"/>
        <w:ind w:firstLine="480" w:firstLineChars="200"/>
        <w:rPr>
          <w:rFonts w:ascii="宋体" w:hAnsi="宋体" w:eastAsia="宋体"/>
          <w:sz w:val="24"/>
          <w:szCs w:val="24"/>
        </w:rPr>
      </w:pPr>
      <w:r>
        <w:rPr>
          <w:rFonts w:ascii="宋体" w:hAnsi="宋体" w:eastAsia="宋体"/>
          <w:sz w:val="24"/>
          <w:szCs w:val="24"/>
        </w:rPr>
        <w:t>开户银行：开户银行：</w:t>
      </w:r>
    </w:p>
    <w:p>
      <w:pPr>
        <w:spacing w:line="360" w:lineRule="auto"/>
        <w:ind w:firstLine="480" w:firstLineChars="200"/>
        <w:rPr>
          <w:rFonts w:ascii="宋体" w:hAnsi="宋体" w:eastAsia="宋体"/>
          <w:sz w:val="24"/>
          <w:szCs w:val="24"/>
        </w:rPr>
      </w:pPr>
      <w:r>
        <w:rPr>
          <w:rFonts w:ascii="宋体" w:hAnsi="宋体" w:eastAsia="宋体"/>
          <w:sz w:val="24"/>
          <w:szCs w:val="24"/>
        </w:rPr>
        <w:t>账号：账号：</w:t>
      </w:r>
    </w:p>
    <w:p>
      <w:pPr>
        <w:spacing w:line="360" w:lineRule="auto"/>
        <w:ind w:firstLine="480" w:firstLineChars="200"/>
        <w:rPr>
          <w:rFonts w:ascii="宋体" w:hAnsi="宋体" w:eastAsia="宋体"/>
          <w:sz w:val="24"/>
          <w:szCs w:val="24"/>
        </w:rPr>
      </w:pPr>
      <w:r>
        <w:rPr>
          <w:rFonts w:ascii="宋体" w:hAnsi="宋体" w:eastAsia="宋体"/>
          <w:sz w:val="24"/>
          <w:szCs w:val="24"/>
        </w:rPr>
        <w:t>电话：电话：</w:t>
      </w:r>
    </w:p>
    <w:p>
      <w:pPr>
        <w:spacing w:line="360" w:lineRule="auto"/>
        <w:ind w:firstLine="480" w:firstLineChars="200"/>
        <w:rPr>
          <w:rFonts w:ascii="宋体" w:hAnsi="宋体" w:eastAsia="宋体"/>
          <w:sz w:val="24"/>
          <w:szCs w:val="24"/>
        </w:rPr>
      </w:pPr>
      <w:r>
        <w:rPr>
          <w:rFonts w:ascii="宋体" w:hAnsi="宋体" w:eastAsia="宋体"/>
          <w:sz w:val="24"/>
          <w:szCs w:val="24"/>
        </w:rPr>
        <w:t>传真：传真：</w:t>
      </w:r>
    </w:p>
    <w:p>
      <w:pPr>
        <w:spacing w:line="360" w:lineRule="auto"/>
        <w:ind w:firstLine="480" w:firstLineChars="200"/>
        <w:rPr>
          <w:rFonts w:ascii="宋体" w:hAnsi="宋体" w:eastAsia="宋体"/>
          <w:sz w:val="24"/>
          <w:szCs w:val="24"/>
        </w:rPr>
      </w:pPr>
      <w:r>
        <w:rPr>
          <w:rFonts w:ascii="宋体" w:hAnsi="宋体" w:eastAsia="宋体"/>
          <w:sz w:val="24"/>
          <w:szCs w:val="24"/>
        </w:rPr>
        <w:t>签约日期：</w:t>
      </w:r>
      <w:r>
        <w:rPr>
          <w:rFonts w:ascii="Times New Roman" w:hAnsi="Times New Roman" w:eastAsia="Times New Roman"/>
          <w:sz w:val="24"/>
          <w:szCs w:val="24"/>
        </w:rPr>
        <w:t>XX</w:t>
      </w:r>
      <w:r>
        <w:rPr>
          <w:rFonts w:ascii="宋体" w:hAnsi="宋体" w:eastAsia="宋体"/>
          <w:sz w:val="24"/>
          <w:szCs w:val="24"/>
        </w:rPr>
        <w:t>年</w:t>
      </w:r>
      <w:r>
        <w:rPr>
          <w:rFonts w:ascii="Times New Roman" w:hAnsi="Times New Roman" w:eastAsia="Times New Roman"/>
          <w:sz w:val="24"/>
          <w:szCs w:val="24"/>
        </w:rPr>
        <w:t>XX</w:t>
      </w:r>
      <w:r>
        <w:rPr>
          <w:rFonts w:ascii="宋体" w:hAnsi="宋体" w:eastAsia="宋体"/>
          <w:sz w:val="24"/>
          <w:szCs w:val="24"/>
        </w:rPr>
        <w:t>月</w:t>
      </w:r>
      <w:r>
        <w:rPr>
          <w:rFonts w:ascii="Times New Roman" w:hAnsi="Times New Roman" w:eastAsia="Times New Roman"/>
          <w:sz w:val="24"/>
          <w:szCs w:val="24"/>
        </w:rPr>
        <w:t>XX</w:t>
      </w:r>
      <w:r>
        <w:rPr>
          <w:rFonts w:ascii="宋体" w:hAnsi="宋体" w:eastAsia="宋体"/>
          <w:sz w:val="24"/>
          <w:szCs w:val="24"/>
        </w:rPr>
        <w:t>日</w:t>
      </w:r>
      <w:r>
        <w:rPr>
          <w:rFonts w:ascii="Times New Roman" w:hAnsi="Times New Roman" w:eastAsia="Times New Roman"/>
          <w:sz w:val="24"/>
          <w:szCs w:val="24"/>
        </w:rPr>
        <w:tab/>
      </w:r>
      <w:r>
        <w:rPr>
          <w:rFonts w:ascii="Times New Roman" w:hAnsi="Times New Roman" w:eastAsia="Times New Roman"/>
          <w:sz w:val="24"/>
          <w:szCs w:val="24"/>
        </w:rPr>
        <w:tab/>
      </w:r>
      <w:r>
        <w:rPr>
          <w:rFonts w:ascii="Times New Roman" w:hAnsi="Times New Roman" w:eastAsia="Times New Roman"/>
          <w:sz w:val="24"/>
          <w:szCs w:val="24"/>
        </w:rPr>
        <w:tab/>
      </w:r>
      <w:r>
        <w:rPr>
          <w:rFonts w:ascii="宋体" w:hAnsi="宋体" w:eastAsia="宋体"/>
          <w:sz w:val="24"/>
          <w:szCs w:val="24"/>
        </w:rPr>
        <w:t>签约日期：</w:t>
      </w:r>
      <w:r>
        <w:rPr>
          <w:rFonts w:ascii="Times New Roman" w:hAnsi="Times New Roman" w:eastAsia="Times New Roman"/>
          <w:sz w:val="24"/>
          <w:szCs w:val="24"/>
        </w:rPr>
        <w:t>XX</w:t>
      </w:r>
      <w:r>
        <w:rPr>
          <w:rFonts w:ascii="宋体" w:hAnsi="宋体" w:eastAsia="宋体"/>
          <w:sz w:val="24"/>
          <w:szCs w:val="24"/>
        </w:rPr>
        <w:t>年</w:t>
      </w:r>
      <w:r>
        <w:rPr>
          <w:rFonts w:ascii="Times New Roman" w:hAnsi="Times New Roman" w:eastAsia="Times New Roman"/>
          <w:sz w:val="24"/>
          <w:szCs w:val="24"/>
        </w:rPr>
        <w:t>XX</w:t>
      </w:r>
      <w:r>
        <w:rPr>
          <w:rFonts w:ascii="宋体" w:hAnsi="宋体" w:eastAsia="宋体"/>
          <w:sz w:val="24"/>
          <w:szCs w:val="24"/>
        </w:rPr>
        <w:t>月</w:t>
      </w:r>
      <w:r>
        <w:rPr>
          <w:rFonts w:ascii="Times New Roman" w:hAnsi="Times New Roman" w:eastAsia="Times New Roman"/>
          <w:sz w:val="24"/>
          <w:szCs w:val="24"/>
        </w:rPr>
        <w:t>XX</w:t>
      </w:r>
      <w:r>
        <w:rPr>
          <w:rFonts w:ascii="宋体" w:hAnsi="宋体" w:eastAsia="宋体"/>
          <w:sz w:val="24"/>
          <w:szCs w:val="24"/>
        </w:rPr>
        <w:t>日</w:t>
      </w:r>
    </w:p>
    <w:p>
      <w:pPr>
        <w:spacing w:line="360" w:lineRule="auto"/>
        <w:ind w:firstLine="420" w:firstLineChars="200"/>
        <w:rPr>
          <w:rFonts w:ascii="宋体" w:hAnsi="宋体" w:eastAsia="宋体"/>
          <w:szCs w:val="21"/>
        </w:rPr>
      </w:pPr>
    </w:p>
    <w:p>
      <w:pPr>
        <w:rPr>
          <w:rFonts w:ascii="宋体" w:hAnsi="宋体" w:eastAsia="宋体"/>
          <w:szCs w:val="21"/>
        </w:rPr>
      </w:pPr>
    </w:p>
    <w:p>
      <w:pPr>
        <w:jc w:val="center"/>
        <w:rPr>
          <w:rFonts w:ascii="宋体" w:hAnsi="宋体" w:eastAsia="宋体"/>
          <w:szCs w:val="21"/>
        </w:rPr>
      </w:pPr>
    </w:p>
    <w:p/>
    <w:sectPr>
      <w:footerReference r:id="rId7" w:type="default"/>
      <w:pgSz w:w="11907" w:h="16840"/>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TimesNewRomanPSMT">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center"/>
                            <w:rPr>
                              <w:rStyle w:val="20"/>
                            </w:rPr>
                          </w:pPr>
                          <w:r>
                            <w:fldChar w:fldCharType="begin"/>
                          </w:r>
                          <w:r>
                            <w:rPr>
                              <w:rStyle w:val="20"/>
                            </w:rPr>
                            <w:instrText xml:space="preserve">PAGE  </w:instrText>
                          </w:r>
                          <w:r>
                            <w:fldChar w:fldCharType="separate"/>
                          </w:r>
                          <w:r>
                            <w:rPr>
                              <w:rStyle w:val="20"/>
                            </w:rPr>
                            <w:t>44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1"/>
                      <w:jc w:val="center"/>
                      <w:rPr>
                        <w:rStyle w:val="20"/>
                      </w:rPr>
                    </w:pPr>
                    <w:r>
                      <w:fldChar w:fldCharType="begin"/>
                    </w:r>
                    <w:r>
                      <w:rPr>
                        <w:rStyle w:val="20"/>
                      </w:rPr>
                      <w:instrText xml:space="preserve">PAGE  </w:instrText>
                    </w:r>
                    <w:r>
                      <w:fldChar w:fldCharType="separate"/>
                    </w:r>
                    <w:r>
                      <w:rPr>
                        <w:rStyle w:val="20"/>
                      </w:rPr>
                      <w:t>44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center"/>
                            <w:rPr>
                              <w:rStyle w:val="20"/>
                            </w:rPr>
                          </w:pPr>
                          <w:r>
                            <w:fldChar w:fldCharType="begin"/>
                          </w:r>
                          <w:r>
                            <w:rPr>
                              <w:rStyle w:val="20"/>
                            </w:rPr>
                            <w:instrText xml:space="preserve">PAGE  </w:instrText>
                          </w:r>
                          <w:r>
                            <w:fldChar w:fldCharType="separate"/>
                          </w:r>
                          <w:r>
                            <w:rPr>
                              <w:rStyle w:val="20"/>
                            </w:rPr>
                            <w:t>51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1"/>
                      <w:jc w:val="center"/>
                      <w:rPr>
                        <w:rStyle w:val="20"/>
                      </w:rPr>
                    </w:pPr>
                    <w:r>
                      <w:fldChar w:fldCharType="begin"/>
                    </w:r>
                    <w:r>
                      <w:rPr>
                        <w:rStyle w:val="20"/>
                      </w:rPr>
                      <w:instrText xml:space="preserve">PAGE  </w:instrText>
                    </w:r>
                    <w:r>
                      <w:fldChar w:fldCharType="separate"/>
                    </w:r>
                    <w:r>
                      <w:rPr>
                        <w:rStyle w:val="20"/>
                      </w:rPr>
                      <w:t>51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center"/>
                            <w:rPr>
                              <w:rStyle w:val="20"/>
                            </w:rPr>
                          </w:pPr>
                          <w:r>
                            <w:fldChar w:fldCharType="begin"/>
                          </w:r>
                          <w:r>
                            <w:rPr>
                              <w:rStyle w:val="20"/>
                            </w:rPr>
                            <w:instrText xml:space="preserve">PAGE  </w:instrText>
                          </w:r>
                          <w:r>
                            <w:fldChar w:fldCharType="separate"/>
                          </w:r>
                          <w:r>
                            <w:rPr>
                              <w:rStyle w:val="20"/>
                            </w:rPr>
                            <w:t>54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1"/>
                      <w:jc w:val="center"/>
                      <w:rPr>
                        <w:rStyle w:val="20"/>
                      </w:rPr>
                    </w:pPr>
                    <w:r>
                      <w:fldChar w:fldCharType="begin"/>
                    </w:r>
                    <w:r>
                      <w:rPr>
                        <w:rStyle w:val="20"/>
                      </w:rPr>
                      <w:instrText xml:space="preserve">PAGE  </w:instrText>
                    </w:r>
                    <w:r>
                      <w:fldChar w:fldCharType="separate"/>
                    </w:r>
                    <w:r>
                      <w:rPr>
                        <w:rStyle w:val="20"/>
                      </w:rPr>
                      <w:t>54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97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97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eastAsia="宋体"/>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7361E0"/>
    <w:multiLevelType w:val="singleLevel"/>
    <w:tmpl w:val="A07361E0"/>
    <w:lvl w:ilvl="0" w:tentative="0">
      <w:start w:val="2"/>
      <w:numFmt w:val="decimal"/>
      <w:suff w:val="nothing"/>
      <w:lvlText w:val="%1、"/>
      <w:lvlJc w:val="left"/>
    </w:lvl>
  </w:abstractNum>
  <w:abstractNum w:abstractNumId="1">
    <w:nsid w:val="C015B026"/>
    <w:multiLevelType w:val="singleLevel"/>
    <w:tmpl w:val="C015B026"/>
    <w:lvl w:ilvl="0" w:tentative="0">
      <w:start w:val="6"/>
      <w:numFmt w:val="chineseCounting"/>
      <w:lvlText w:val="第%1章"/>
      <w:lvlJc w:val="left"/>
      <w:rPr>
        <w:rFonts w:hint="eastAsia"/>
      </w:rPr>
    </w:lvl>
  </w:abstractNum>
  <w:abstractNum w:abstractNumId="2">
    <w:nsid w:val="F564FCB9"/>
    <w:multiLevelType w:val="singleLevel"/>
    <w:tmpl w:val="F564FCB9"/>
    <w:lvl w:ilvl="0" w:tentative="0">
      <w:start w:val="1"/>
      <w:numFmt w:val="decimal"/>
      <w:suff w:val="nothing"/>
      <w:lvlText w:val="（%1）"/>
      <w:lvlJc w:val="left"/>
    </w:lvl>
  </w:abstractNum>
  <w:abstractNum w:abstractNumId="3">
    <w:nsid w:val="436A7890"/>
    <w:multiLevelType w:val="multilevel"/>
    <w:tmpl w:val="436A7890"/>
    <w:lvl w:ilvl="0" w:tentative="0">
      <w:start w:val="2"/>
      <w:numFmt w:val="decimal"/>
      <w:lvlText w:val="（%1）"/>
      <w:lvlJc w:val="left"/>
      <w:pPr>
        <w:ind w:left="420" w:hanging="420"/>
      </w:pPr>
      <w:rPr>
        <w:rFonts w:hint="default" w:ascii="宋体" w:hAnsi="宋体" w:eastAsia="宋体"/>
        <w:bCs/>
      </w:rPr>
    </w:lvl>
    <w:lvl w:ilvl="1" w:tentative="0">
      <w:start w:val="1"/>
      <w:numFmt w:val="lowerLetter"/>
      <w:lvlText w:val="%2)"/>
      <w:lvlJc w:val="left"/>
      <w:pPr>
        <w:ind w:left="840" w:hanging="420"/>
      </w:pPr>
      <w:rPr>
        <w:rFonts w:hint="default" w:ascii="宋体" w:hAnsi="宋体" w:eastAsia="宋体"/>
        <w:bCs/>
      </w:rPr>
    </w:lvl>
    <w:lvl w:ilvl="2" w:tentative="0">
      <w:start w:val="1"/>
      <w:numFmt w:val="lowerRoman"/>
      <w:lvlText w:val="%3."/>
      <w:lvlJc w:val="left"/>
      <w:pPr>
        <w:ind w:left="1260" w:hanging="420"/>
      </w:pPr>
      <w:rPr>
        <w:rFonts w:hint="default" w:ascii="宋体" w:hAnsi="宋体" w:eastAsia="宋体"/>
        <w:bCs/>
      </w:rPr>
    </w:lvl>
    <w:lvl w:ilvl="3" w:tentative="0">
      <w:start w:val="1"/>
      <w:numFmt w:val="decimal"/>
      <w:lvlText w:val="%4."/>
      <w:lvlJc w:val="left"/>
      <w:pPr>
        <w:ind w:left="1680" w:hanging="420"/>
      </w:pPr>
      <w:rPr>
        <w:rFonts w:hint="default" w:ascii="宋体" w:hAnsi="宋体" w:eastAsia="宋体"/>
        <w:bCs/>
      </w:rPr>
    </w:lvl>
    <w:lvl w:ilvl="4" w:tentative="0">
      <w:start w:val="1"/>
      <w:numFmt w:val="lowerLetter"/>
      <w:lvlText w:val="%5)"/>
      <w:lvlJc w:val="left"/>
      <w:pPr>
        <w:ind w:left="2100" w:hanging="420"/>
      </w:pPr>
      <w:rPr>
        <w:rFonts w:hint="default" w:ascii="宋体" w:hAnsi="宋体" w:eastAsia="宋体"/>
        <w:bCs/>
      </w:rPr>
    </w:lvl>
    <w:lvl w:ilvl="5" w:tentative="0">
      <w:start w:val="1"/>
      <w:numFmt w:val="lowerRoman"/>
      <w:lvlText w:val="%6."/>
      <w:lvlJc w:val="left"/>
      <w:pPr>
        <w:ind w:left="2520" w:hanging="420"/>
      </w:pPr>
      <w:rPr>
        <w:rFonts w:hint="default" w:ascii="宋体" w:hAnsi="宋体" w:eastAsia="宋体"/>
        <w:bCs/>
      </w:rPr>
    </w:lvl>
    <w:lvl w:ilvl="6" w:tentative="0">
      <w:start w:val="1"/>
      <w:numFmt w:val="decimal"/>
      <w:lvlText w:val="%7."/>
      <w:lvlJc w:val="left"/>
      <w:pPr>
        <w:ind w:left="2940" w:hanging="420"/>
      </w:pPr>
      <w:rPr>
        <w:rFonts w:hint="default" w:ascii="宋体" w:hAnsi="宋体" w:eastAsia="宋体"/>
        <w:bCs/>
      </w:rPr>
    </w:lvl>
    <w:lvl w:ilvl="7" w:tentative="0">
      <w:start w:val="1"/>
      <w:numFmt w:val="lowerLetter"/>
      <w:lvlText w:val="%8)"/>
      <w:lvlJc w:val="left"/>
      <w:pPr>
        <w:ind w:left="3360" w:hanging="420"/>
      </w:pPr>
      <w:rPr>
        <w:rFonts w:hint="default" w:ascii="宋体" w:hAnsi="宋体" w:eastAsia="宋体"/>
        <w:bCs/>
      </w:rPr>
    </w:lvl>
    <w:lvl w:ilvl="8" w:tentative="0">
      <w:start w:val="1"/>
      <w:numFmt w:val="lowerRoman"/>
      <w:lvlText w:val="%9."/>
      <w:lvlJc w:val="left"/>
      <w:pPr>
        <w:ind w:left="3780" w:hanging="420"/>
      </w:pPr>
      <w:rPr>
        <w:rFonts w:hint="default" w:ascii="宋体" w:hAnsi="宋体" w:eastAsia="宋体"/>
        <w:bCs/>
      </w:rPr>
    </w:lvl>
  </w:abstractNum>
  <w:abstractNum w:abstractNumId="4">
    <w:nsid w:val="58A92D6F"/>
    <w:multiLevelType w:val="singleLevel"/>
    <w:tmpl w:val="58A92D6F"/>
    <w:lvl w:ilvl="0" w:tentative="0">
      <w:start w:val="1"/>
      <w:numFmt w:val="chineseCounting"/>
      <w:suff w:val="nothing"/>
      <w:lvlText w:val="%1、"/>
      <w:lvlJc w:val="left"/>
    </w:lvl>
  </w:abstractNum>
  <w:abstractNum w:abstractNumId="5">
    <w:nsid w:val="58A94082"/>
    <w:multiLevelType w:val="singleLevel"/>
    <w:tmpl w:val="58A94082"/>
    <w:lvl w:ilvl="0" w:tentative="0">
      <w:start w:val="5"/>
      <w:numFmt w:val="chineseCounting"/>
      <w:suff w:val="nothing"/>
      <w:lvlText w:val="（%1）"/>
      <w:lvlJc w:val="left"/>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1A"/>
    <w:rsid w:val="00005369"/>
    <w:rsid w:val="00010EA2"/>
    <w:rsid w:val="000179BF"/>
    <w:rsid w:val="00017E49"/>
    <w:rsid w:val="000246C5"/>
    <w:rsid w:val="0003178C"/>
    <w:rsid w:val="00033E7D"/>
    <w:rsid w:val="00043F1C"/>
    <w:rsid w:val="00046595"/>
    <w:rsid w:val="000517E4"/>
    <w:rsid w:val="000540AF"/>
    <w:rsid w:val="000545F1"/>
    <w:rsid w:val="000A1538"/>
    <w:rsid w:val="000A2DE3"/>
    <w:rsid w:val="000B35BF"/>
    <w:rsid w:val="000C51B7"/>
    <w:rsid w:val="000C567F"/>
    <w:rsid w:val="000D2B2C"/>
    <w:rsid w:val="0010127F"/>
    <w:rsid w:val="001043E2"/>
    <w:rsid w:val="001064BD"/>
    <w:rsid w:val="00117E77"/>
    <w:rsid w:val="00125E50"/>
    <w:rsid w:val="001305E0"/>
    <w:rsid w:val="00133886"/>
    <w:rsid w:val="00134ADF"/>
    <w:rsid w:val="0014201D"/>
    <w:rsid w:val="00154B55"/>
    <w:rsid w:val="00160CB4"/>
    <w:rsid w:val="00162E23"/>
    <w:rsid w:val="001667CD"/>
    <w:rsid w:val="00177F64"/>
    <w:rsid w:val="001A323C"/>
    <w:rsid w:val="001B0D5A"/>
    <w:rsid w:val="001B1CBB"/>
    <w:rsid w:val="001B29C4"/>
    <w:rsid w:val="001C23A6"/>
    <w:rsid w:val="001C7BDD"/>
    <w:rsid w:val="001D37D4"/>
    <w:rsid w:val="001E7FA3"/>
    <w:rsid w:val="00200BFA"/>
    <w:rsid w:val="00203227"/>
    <w:rsid w:val="002160E4"/>
    <w:rsid w:val="00216EB9"/>
    <w:rsid w:val="002173E8"/>
    <w:rsid w:val="00222C45"/>
    <w:rsid w:val="0023465F"/>
    <w:rsid w:val="00240D63"/>
    <w:rsid w:val="00246D64"/>
    <w:rsid w:val="0025796A"/>
    <w:rsid w:val="00271391"/>
    <w:rsid w:val="00287218"/>
    <w:rsid w:val="002932EE"/>
    <w:rsid w:val="00293C01"/>
    <w:rsid w:val="00295A2A"/>
    <w:rsid w:val="002A151B"/>
    <w:rsid w:val="002A1F7B"/>
    <w:rsid w:val="002A7B4B"/>
    <w:rsid w:val="002B72A4"/>
    <w:rsid w:val="002C69EA"/>
    <w:rsid w:val="002C7007"/>
    <w:rsid w:val="002D42AF"/>
    <w:rsid w:val="002D5CD8"/>
    <w:rsid w:val="002D7EB9"/>
    <w:rsid w:val="002F6022"/>
    <w:rsid w:val="00307CFF"/>
    <w:rsid w:val="00316E84"/>
    <w:rsid w:val="00324C85"/>
    <w:rsid w:val="00331ACF"/>
    <w:rsid w:val="00331C85"/>
    <w:rsid w:val="0033570F"/>
    <w:rsid w:val="00337BBC"/>
    <w:rsid w:val="00342C7B"/>
    <w:rsid w:val="003433D8"/>
    <w:rsid w:val="00345AE6"/>
    <w:rsid w:val="003547B8"/>
    <w:rsid w:val="003565A6"/>
    <w:rsid w:val="003642C1"/>
    <w:rsid w:val="00387E72"/>
    <w:rsid w:val="00390340"/>
    <w:rsid w:val="00392F66"/>
    <w:rsid w:val="003B60D8"/>
    <w:rsid w:val="003C1A33"/>
    <w:rsid w:val="003C3A3C"/>
    <w:rsid w:val="003C7BCB"/>
    <w:rsid w:val="003D04F2"/>
    <w:rsid w:val="003D29C7"/>
    <w:rsid w:val="003D3F78"/>
    <w:rsid w:val="003D795F"/>
    <w:rsid w:val="0040190D"/>
    <w:rsid w:val="00401D94"/>
    <w:rsid w:val="00404571"/>
    <w:rsid w:val="004045A6"/>
    <w:rsid w:val="00411A32"/>
    <w:rsid w:val="00447A41"/>
    <w:rsid w:val="0045398C"/>
    <w:rsid w:val="0045492F"/>
    <w:rsid w:val="004601D6"/>
    <w:rsid w:val="00461A04"/>
    <w:rsid w:val="00461D7D"/>
    <w:rsid w:val="00464311"/>
    <w:rsid w:val="0047712B"/>
    <w:rsid w:val="00480E39"/>
    <w:rsid w:val="00486F8D"/>
    <w:rsid w:val="004926B1"/>
    <w:rsid w:val="004972B3"/>
    <w:rsid w:val="004A25C5"/>
    <w:rsid w:val="004A2FF4"/>
    <w:rsid w:val="004A6CBA"/>
    <w:rsid w:val="004B22E9"/>
    <w:rsid w:val="004E0A00"/>
    <w:rsid w:val="004E3A96"/>
    <w:rsid w:val="004F3057"/>
    <w:rsid w:val="004F4E32"/>
    <w:rsid w:val="0052335E"/>
    <w:rsid w:val="00532A29"/>
    <w:rsid w:val="00535E37"/>
    <w:rsid w:val="00542BD2"/>
    <w:rsid w:val="00543040"/>
    <w:rsid w:val="0054412B"/>
    <w:rsid w:val="0054428C"/>
    <w:rsid w:val="00544DEF"/>
    <w:rsid w:val="00551CEE"/>
    <w:rsid w:val="005906BC"/>
    <w:rsid w:val="00593216"/>
    <w:rsid w:val="0059531B"/>
    <w:rsid w:val="00595B17"/>
    <w:rsid w:val="005A2188"/>
    <w:rsid w:val="005B4225"/>
    <w:rsid w:val="005C3BFF"/>
    <w:rsid w:val="005D3229"/>
    <w:rsid w:val="005E28D4"/>
    <w:rsid w:val="005F48FD"/>
    <w:rsid w:val="00611ADD"/>
    <w:rsid w:val="00616505"/>
    <w:rsid w:val="0062213C"/>
    <w:rsid w:val="0062494B"/>
    <w:rsid w:val="00633F40"/>
    <w:rsid w:val="00646658"/>
    <w:rsid w:val="00646C59"/>
    <w:rsid w:val="006549AD"/>
    <w:rsid w:val="00670C8D"/>
    <w:rsid w:val="00674363"/>
    <w:rsid w:val="00674664"/>
    <w:rsid w:val="0068062B"/>
    <w:rsid w:val="00681F2D"/>
    <w:rsid w:val="00684D9C"/>
    <w:rsid w:val="006966C9"/>
    <w:rsid w:val="00697DB2"/>
    <w:rsid w:val="006A064C"/>
    <w:rsid w:val="006A3EAE"/>
    <w:rsid w:val="006B6EFF"/>
    <w:rsid w:val="006C2F30"/>
    <w:rsid w:val="006C6C51"/>
    <w:rsid w:val="006D5A5B"/>
    <w:rsid w:val="0071425E"/>
    <w:rsid w:val="00725D11"/>
    <w:rsid w:val="00734BD5"/>
    <w:rsid w:val="007545AF"/>
    <w:rsid w:val="00780851"/>
    <w:rsid w:val="007A2AD9"/>
    <w:rsid w:val="007B2478"/>
    <w:rsid w:val="007B3706"/>
    <w:rsid w:val="007E375E"/>
    <w:rsid w:val="007F0075"/>
    <w:rsid w:val="008034A0"/>
    <w:rsid w:val="00814833"/>
    <w:rsid w:val="00814DDE"/>
    <w:rsid w:val="00826003"/>
    <w:rsid w:val="00852963"/>
    <w:rsid w:val="008538B6"/>
    <w:rsid w:val="00857092"/>
    <w:rsid w:val="00881A2D"/>
    <w:rsid w:val="00884C92"/>
    <w:rsid w:val="008A1D08"/>
    <w:rsid w:val="008B611B"/>
    <w:rsid w:val="008C29EB"/>
    <w:rsid w:val="008C6639"/>
    <w:rsid w:val="008D252E"/>
    <w:rsid w:val="008D2ADA"/>
    <w:rsid w:val="008F0590"/>
    <w:rsid w:val="008F7980"/>
    <w:rsid w:val="00906069"/>
    <w:rsid w:val="00913F5D"/>
    <w:rsid w:val="00924CA2"/>
    <w:rsid w:val="0092540C"/>
    <w:rsid w:val="009333EC"/>
    <w:rsid w:val="0095169A"/>
    <w:rsid w:val="00951D40"/>
    <w:rsid w:val="00963189"/>
    <w:rsid w:val="009663F8"/>
    <w:rsid w:val="00976699"/>
    <w:rsid w:val="00984AE5"/>
    <w:rsid w:val="009B4528"/>
    <w:rsid w:val="009C3A20"/>
    <w:rsid w:val="009F5348"/>
    <w:rsid w:val="009F7777"/>
    <w:rsid w:val="00A01C9E"/>
    <w:rsid w:val="00A15E0A"/>
    <w:rsid w:val="00A24969"/>
    <w:rsid w:val="00A2708C"/>
    <w:rsid w:val="00A2730A"/>
    <w:rsid w:val="00A33CB8"/>
    <w:rsid w:val="00A421E9"/>
    <w:rsid w:val="00A60633"/>
    <w:rsid w:val="00A62269"/>
    <w:rsid w:val="00A667C6"/>
    <w:rsid w:val="00A752D5"/>
    <w:rsid w:val="00A85F53"/>
    <w:rsid w:val="00A87C40"/>
    <w:rsid w:val="00A96872"/>
    <w:rsid w:val="00AC0330"/>
    <w:rsid w:val="00AC71D4"/>
    <w:rsid w:val="00AC7239"/>
    <w:rsid w:val="00AE2605"/>
    <w:rsid w:val="00AE6425"/>
    <w:rsid w:val="00AF5996"/>
    <w:rsid w:val="00B01111"/>
    <w:rsid w:val="00B06610"/>
    <w:rsid w:val="00B158D5"/>
    <w:rsid w:val="00B25510"/>
    <w:rsid w:val="00B31FC0"/>
    <w:rsid w:val="00B33EF3"/>
    <w:rsid w:val="00B510F0"/>
    <w:rsid w:val="00B566AE"/>
    <w:rsid w:val="00B645EA"/>
    <w:rsid w:val="00B83394"/>
    <w:rsid w:val="00B9319A"/>
    <w:rsid w:val="00BA0C1A"/>
    <w:rsid w:val="00BA210B"/>
    <w:rsid w:val="00BB64EB"/>
    <w:rsid w:val="00BC1F70"/>
    <w:rsid w:val="00BC317E"/>
    <w:rsid w:val="00BC4BAC"/>
    <w:rsid w:val="00C0124D"/>
    <w:rsid w:val="00C061CB"/>
    <w:rsid w:val="00C14BAB"/>
    <w:rsid w:val="00C23AF5"/>
    <w:rsid w:val="00C2688D"/>
    <w:rsid w:val="00C3459B"/>
    <w:rsid w:val="00C47C38"/>
    <w:rsid w:val="00C60115"/>
    <w:rsid w:val="00C604EC"/>
    <w:rsid w:val="00C639D2"/>
    <w:rsid w:val="00C713DC"/>
    <w:rsid w:val="00C80084"/>
    <w:rsid w:val="00CB7066"/>
    <w:rsid w:val="00CB7069"/>
    <w:rsid w:val="00CC1CE6"/>
    <w:rsid w:val="00CC46E6"/>
    <w:rsid w:val="00CD34F3"/>
    <w:rsid w:val="00CE54DD"/>
    <w:rsid w:val="00CF223E"/>
    <w:rsid w:val="00CF7B53"/>
    <w:rsid w:val="00D13D19"/>
    <w:rsid w:val="00D145CE"/>
    <w:rsid w:val="00D2013A"/>
    <w:rsid w:val="00D24F37"/>
    <w:rsid w:val="00D277E9"/>
    <w:rsid w:val="00D422AE"/>
    <w:rsid w:val="00D61C71"/>
    <w:rsid w:val="00D654EF"/>
    <w:rsid w:val="00D65E67"/>
    <w:rsid w:val="00D744ED"/>
    <w:rsid w:val="00D758F5"/>
    <w:rsid w:val="00D80299"/>
    <w:rsid w:val="00D86EED"/>
    <w:rsid w:val="00D87AA9"/>
    <w:rsid w:val="00D91B88"/>
    <w:rsid w:val="00D94F1D"/>
    <w:rsid w:val="00DA0F58"/>
    <w:rsid w:val="00DA2D15"/>
    <w:rsid w:val="00DC5B1B"/>
    <w:rsid w:val="00DD0363"/>
    <w:rsid w:val="00DE02AD"/>
    <w:rsid w:val="00DE0CE0"/>
    <w:rsid w:val="00DE6062"/>
    <w:rsid w:val="00DF347F"/>
    <w:rsid w:val="00DF7A92"/>
    <w:rsid w:val="00E05C2E"/>
    <w:rsid w:val="00E12162"/>
    <w:rsid w:val="00E26251"/>
    <w:rsid w:val="00E3242E"/>
    <w:rsid w:val="00E34AF7"/>
    <w:rsid w:val="00E44399"/>
    <w:rsid w:val="00E474DE"/>
    <w:rsid w:val="00E50A18"/>
    <w:rsid w:val="00E55ADF"/>
    <w:rsid w:val="00E76312"/>
    <w:rsid w:val="00E966EE"/>
    <w:rsid w:val="00EA1EE8"/>
    <w:rsid w:val="00EC1173"/>
    <w:rsid w:val="00ED5491"/>
    <w:rsid w:val="00EE1EC3"/>
    <w:rsid w:val="00F05DCD"/>
    <w:rsid w:val="00F12D26"/>
    <w:rsid w:val="00F14B74"/>
    <w:rsid w:val="00F16C55"/>
    <w:rsid w:val="00F22BF8"/>
    <w:rsid w:val="00F30F06"/>
    <w:rsid w:val="00F36156"/>
    <w:rsid w:val="00F53662"/>
    <w:rsid w:val="00F72668"/>
    <w:rsid w:val="00F729B4"/>
    <w:rsid w:val="00F74FFA"/>
    <w:rsid w:val="00F81425"/>
    <w:rsid w:val="00F8166E"/>
    <w:rsid w:val="00F939DF"/>
    <w:rsid w:val="00F96ADB"/>
    <w:rsid w:val="00FB62FB"/>
    <w:rsid w:val="00FD38CE"/>
    <w:rsid w:val="00FE0C95"/>
    <w:rsid w:val="015A099C"/>
    <w:rsid w:val="017C72E6"/>
    <w:rsid w:val="01987D52"/>
    <w:rsid w:val="01E8306C"/>
    <w:rsid w:val="02654689"/>
    <w:rsid w:val="03D271D3"/>
    <w:rsid w:val="03EC23B5"/>
    <w:rsid w:val="04553E7C"/>
    <w:rsid w:val="055068F0"/>
    <w:rsid w:val="058C2A79"/>
    <w:rsid w:val="05D6375D"/>
    <w:rsid w:val="06F57C1D"/>
    <w:rsid w:val="0719126B"/>
    <w:rsid w:val="083D07F0"/>
    <w:rsid w:val="09B82616"/>
    <w:rsid w:val="0A3E3A6F"/>
    <w:rsid w:val="0AA62B06"/>
    <w:rsid w:val="0AAD7F96"/>
    <w:rsid w:val="0B751FCA"/>
    <w:rsid w:val="0BBD08A7"/>
    <w:rsid w:val="0C2C0149"/>
    <w:rsid w:val="0C490632"/>
    <w:rsid w:val="0C744624"/>
    <w:rsid w:val="0C7C49AB"/>
    <w:rsid w:val="0D323B79"/>
    <w:rsid w:val="0D3B4174"/>
    <w:rsid w:val="0D9010CC"/>
    <w:rsid w:val="0DA777CB"/>
    <w:rsid w:val="0DF90CB3"/>
    <w:rsid w:val="0E326AF6"/>
    <w:rsid w:val="0EB16ED0"/>
    <w:rsid w:val="0F2F6419"/>
    <w:rsid w:val="10503986"/>
    <w:rsid w:val="105E3B74"/>
    <w:rsid w:val="11EB3D21"/>
    <w:rsid w:val="143E25B9"/>
    <w:rsid w:val="186C6856"/>
    <w:rsid w:val="194F2718"/>
    <w:rsid w:val="19D85819"/>
    <w:rsid w:val="1A706F29"/>
    <w:rsid w:val="1B085C93"/>
    <w:rsid w:val="1B1A5CD9"/>
    <w:rsid w:val="1C2C4424"/>
    <w:rsid w:val="1C976425"/>
    <w:rsid w:val="1CD54CE6"/>
    <w:rsid w:val="1D5B2BD6"/>
    <w:rsid w:val="1DE07F46"/>
    <w:rsid w:val="1DEC38DC"/>
    <w:rsid w:val="1DFE1565"/>
    <w:rsid w:val="1E907140"/>
    <w:rsid w:val="1EA656A7"/>
    <w:rsid w:val="1EA955DA"/>
    <w:rsid w:val="1EAD29B7"/>
    <w:rsid w:val="20641421"/>
    <w:rsid w:val="214A65AA"/>
    <w:rsid w:val="21944373"/>
    <w:rsid w:val="21B3363B"/>
    <w:rsid w:val="22840B02"/>
    <w:rsid w:val="22843308"/>
    <w:rsid w:val="23551B61"/>
    <w:rsid w:val="238C5393"/>
    <w:rsid w:val="264F0401"/>
    <w:rsid w:val="26A6376E"/>
    <w:rsid w:val="27544E49"/>
    <w:rsid w:val="27823052"/>
    <w:rsid w:val="27DA4E26"/>
    <w:rsid w:val="2C506B51"/>
    <w:rsid w:val="2EBB0769"/>
    <w:rsid w:val="2F417517"/>
    <w:rsid w:val="2F7178B6"/>
    <w:rsid w:val="2FE129B7"/>
    <w:rsid w:val="30456175"/>
    <w:rsid w:val="312B72CC"/>
    <w:rsid w:val="31404933"/>
    <w:rsid w:val="314D77D3"/>
    <w:rsid w:val="319C3A69"/>
    <w:rsid w:val="32027FA4"/>
    <w:rsid w:val="32E00224"/>
    <w:rsid w:val="331E7CB1"/>
    <w:rsid w:val="33B15C05"/>
    <w:rsid w:val="33D50D9B"/>
    <w:rsid w:val="346A2662"/>
    <w:rsid w:val="35911871"/>
    <w:rsid w:val="36772279"/>
    <w:rsid w:val="36A7144B"/>
    <w:rsid w:val="391720FB"/>
    <w:rsid w:val="395879AA"/>
    <w:rsid w:val="3AF06B5D"/>
    <w:rsid w:val="3AF443A5"/>
    <w:rsid w:val="3B542BDF"/>
    <w:rsid w:val="3B7B6689"/>
    <w:rsid w:val="3B885CD4"/>
    <w:rsid w:val="3C40347D"/>
    <w:rsid w:val="3C97321F"/>
    <w:rsid w:val="3DF606A6"/>
    <w:rsid w:val="3E220D0D"/>
    <w:rsid w:val="3ED332AA"/>
    <w:rsid w:val="3F5308D0"/>
    <w:rsid w:val="3FA77096"/>
    <w:rsid w:val="404C58D4"/>
    <w:rsid w:val="410F0EAE"/>
    <w:rsid w:val="41D0656D"/>
    <w:rsid w:val="423642C1"/>
    <w:rsid w:val="4249565B"/>
    <w:rsid w:val="434067C1"/>
    <w:rsid w:val="44517A0D"/>
    <w:rsid w:val="450B66F1"/>
    <w:rsid w:val="47AA10E1"/>
    <w:rsid w:val="481767A7"/>
    <w:rsid w:val="4890310F"/>
    <w:rsid w:val="48B27E62"/>
    <w:rsid w:val="48C778C6"/>
    <w:rsid w:val="499101F9"/>
    <w:rsid w:val="499C28F0"/>
    <w:rsid w:val="4A09474B"/>
    <w:rsid w:val="4A131602"/>
    <w:rsid w:val="4A3A2D29"/>
    <w:rsid w:val="4A6C3BBB"/>
    <w:rsid w:val="4B897CEB"/>
    <w:rsid w:val="4CB43CB8"/>
    <w:rsid w:val="4DEE01A4"/>
    <w:rsid w:val="4DF35575"/>
    <w:rsid w:val="4F864A36"/>
    <w:rsid w:val="4FDF75EF"/>
    <w:rsid w:val="51E751B9"/>
    <w:rsid w:val="52287AF4"/>
    <w:rsid w:val="54513952"/>
    <w:rsid w:val="54554DA4"/>
    <w:rsid w:val="54632804"/>
    <w:rsid w:val="54D252B2"/>
    <w:rsid w:val="567F25CD"/>
    <w:rsid w:val="568D20C3"/>
    <w:rsid w:val="578C6E33"/>
    <w:rsid w:val="57A03F3D"/>
    <w:rsid w:val="58AB4D2E"/>
    <w:rsid w:val="59411570"/>
    <w:rsid w:val="59FD7C13"/>
    <w:rsid w:val="5B640095"/>
    <w:rsid w:val="5B803174"/>
    <w:rsid w:val="5C437E39"/>
    <w:rsid w:val="5CA614D2"/>
    <w:rsid w:val="5CEB486B"/>
    <w:rsid w:val="5D100429"/>
    <w:rsid w:val="5DB77382"/>
    <w:rsid w:val="5E98414F"/>
    <w:rsid w:val="5EB35176"/>
    <w:rsid w:val="5EE916DA"/>
    <w:rsid w:val="60AB3FC2"/>
    <w:rsid w:val="60C608E5"/>
    <w:rsid w:val="61373D1D"/>
    <w:rsid w:val="61F20C9F"/>
    <w:rsid w:val="626A21A5"/>
    <w:rsid w:val="62F75E18"/>
    <w:rsid w:val="63CE64FF"/>
    <w:rsid w:val="640448E6"/>
    <w:rsid w:val="64216D8B"/>
    <w:rsid w:val="645A586B"/>
    <w:rsid w:val="64EB5B0E"/>
    <w:rsid w:val="6595172B"/>
    <w:rsid w:val="65C6027E"/>
    <w:rsid w:val="666E1450"/>
    <w:rsid w:val="68522528"/>
    <w:rsid w:val="6A2403F9"/>
    <w:rsid w:val="6B5D3719"/>
    <w:rsid w:val="6B6F02DE"/>
    <w:rsid w:val="6C326C37"/>
    <w:rsid w:val="6CF7592E"/>
    <w:rsid w:val="6E622B7A"/>
    <w:rsid w:val="6EAF13B0"/>
    <w:rsid w:val="6F5A3696"/>
    <w:rsid w:val="6F771719"/>
    <w:rsid w:val="71061E72"/>
    <w:rsid w:val="716857BD"/>
    <w:rsid w:val="717F5CA0"/>
    <w:rsid w:val="72DC5A3D"/>
    <w:rsid w:val="736C55E0"/>
    <w:rsid w:val="7401485D"/>
    <w:rsid w:val="74386B9B"/>
    <w:rsid w:val="74BC38BC"/>
    <w:rsid w:val="74E6356B"/>
    <w:rsid w:val="75D1496E"/>
    <w:rsid w:val="75F9379E"/>
    <w:rsid w:val="76377F34"/>
    <w:rsid w:val="772911D2"/>
    <w:rsid w:val="77E25996"/>
    <w:rsid w:val="78162231"/>
    <w:rsid w:val="789E3B3C"/>
    <w:rsid w:val="78F61420"/>
    <w:rsid w:val="78FB3C66"/>
    <w:rsid w:val="79DD4BC1"/>
    <w:rsid w:val="7A3B2499"/>
    <w:rsid w:val="7A714D2D"/>
    <w:rsid w:val="7A92500E"/>
    <w:rsid w:val="7B2D470B"/>
    <w:rsid w:val="7DC5448F"/>
    <w:rsid w:val="7DD46122"/>
    <w:rsid w:val="7DFA630C"/>
    <w:rsid w:val="7F894147"/>
    <w:rsid w:val="7F8E5F86"/>
    <w:rsid w:val="7FD73C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nhideWhenUsed="0" w:uiPriority="1"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240" w:after="240" w:line="408" w:lineRule="auto"/>
      <w:jc w:val="left"/>
      <w:outlineLvl w:val="0"/>
    </w:pPr>
    <w:rPr>
      <w:b/>
      <w:bCs/>
      <w:color w:val="000000"/>
      <w:kern w:val="44"/>
      <w:sz w:val="44"/>
      <w:szCs w:val="44"/>
    </w:rPr>
  </w:style>
  <w:style w:type="paragraph" w:styleId="5">
    <w:name w:val="heading 2"/>
    <w:basedOn w:val="1"/>
    <w:next w:val="1"/>
    <w:unhideWhenUsed/>
    <w:qFormat/>
    <w:uiPriority w:val="9"/>
    <w:pPr>
      <w:keepNext/>
      <w:keepLines/>
      <w:spacing w:before="240" w:after="240" w:line="408" w:lineRule="auto"/>
      <w:jc w:val="left"/>
      <w:outlineLvl w:val="1"/>
    </w:pPr>
    <w:rPr>
      <w:rFonts w:asciiTheme="majorHAnsi" w:hAnsiTheme="majorHAnsi" w:eastAsiaTheme="majorEastAsia" w:cstheme="majorBidi"/>
      <w:b/>
      <w:bCs/>
      <w:color w:val="000000"/>
      <w:sz w:val="32"/>
      <w:szCs w:val="32"/>
    </w:rPr>
  </w:style>
  <w:style w:type="paragraph" w:styleId="6">
    <w:name w:val="heading 3"/>
    <w:basedOn w:val="1"/>
    <w:next w:val="1"/>
    <w:unhideWhenUsed/>
    <w:qFormat/>
    <w:uiPriority w:val="9"/>
    <w:pPr>
      <w:keepNext/>
      <w:keepLines/>
      <w:spacing w:before="200" w:after="200" w:line="360" w:lineRule="auto"/>
      <w:jc w:val="left"/>
      <w:outlineLvl w:val="2"/>
    </w:pPr>
    <w:rPr>
      <w:b/>
      <w:bCs/>
      <w:color w:val="000000"/>
      <w:sz w:val="32"/>
      <w:szCs w:val="32"/>
    </w:rPr>
  </w:style>
  <w:style w:type="paragraph" w:styleId="7">
    <w:name w:val="heading 6"/>
    <w:basedOn w:val="1"/>
    <w:next w:val="1"/>
    <w:qFormat/>
    <w:uiPriority w:val="1"/>
    <w:pPr>
      <w:ind w:left="408"/>
      <w:outlineLvl w:val="5"/>
    </w:pPr>
    <w:rPr>
      <w:rFonts w:ascii="宋体" w:hAnsi="宋体" w:eastAsia="宋体" w:cs="宋体"/>
      <w:b/>
      <w:bCs/>
      <w:sz w:val="24"/>
      <w:szCs w:val="24"/>
      <w:lang w:val="zh-CN" w:bidi="zh-CN"/>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43"/>
    <w:qFormat/>
    <w:uiPriority w:val="99"/>
    <w:pPr>
      <w:spacing w:before="100" w:beforeAutospacing="1"/>
      <w:ind w:firstLine="640" w:firstLineChars="200"/>
    </w:pPr>
  </w:style>
  <w:style w:type="paragraph" w:styleId="3">
    <w:name w:val="Body Text Indent"/>
    <w:basedOn w:val="1"/>
    <w:link w:val="42"/>
    <w:qFormat/>
    <w:uiPriority w:val="99"/>
    <w:pPr>
      <w:ind w:firstLine="630"/>
    </w:pPr>
    <w:rPr>
      <w:sz w:val="32"/>
      <w:szCs w:val="20"/>
    </w:rPr>
  </w:style>
  <w:style w:type="paragraph" w:styleId="8">
    <w:name w:val="annotation text"/>
    <w:basedOn w:val="1"/>
    <w:link w:val="31"/>
    <w:unhideWhenUsed/>
    <w:qFormat/>
    <w:uiPriority w:val="99"/>
    <w:pPr>
      <w:jc w:val="left"/>
    </w:pPr>
  </w:style>
  <w:style w:type="paragraph" w:styleId="9">
    <w:name w:val="Body Text"/>
    <w:basedOn w:val="1"/>
    <w:qFormat/>
    <w:uiPriority w:val="1"/>
    <w:rPr>
      <w:rFonts w:ascii="宋体" w:hAnsi="宋体" w:eastAsia="宋体" w:cs="宋体"/>
      <w:sz w:val="24"/>
      <w:szCs w:val="24"/>
      <w:lang w:val="zh-CN" w:bidi="zh-CN"/>
    </w:rPr>
  </w:style>
  <w:style w:type="paragraph" w:styleId="10">
    <w:name w:val="Balloon Text"/>
    <w:basedOn w:val="1"/>
    <w:link w:val="34"/>
    <w:semiHidden/>
    <w:unhideWhenUsed/>
    <w:qFormat/>
    <w:uiPriority w:val="99"/>
    <w:rPr>
      <w:sz w:val="18"/>
      <w:szCs w:val="18"/>
    </w:rPr>
  </w:style>
  <w:style w:type="paragraph" w:styleId="11">
    <w:name w:val="footer"/>
    <w:basedOn w:val="1"/>
    <w:link w:val="29"/>
    <w:unhideWhenUsed/>
    <w:qFormat/>
    <w:uiPriority w:val="99"/>
    <w:pPr>
      <w:tabs>
        <w:tab w:val="center" w:pos="4153"/>
        <w:tab w:val="right" w:pos="8306"/>
      </w:tabs>
      <w:snapToGrid w:val="0"/>
      <w:jc w:val="left"/>
    </w:pPr>
    <w:rPr>
      <w:sz w:val="18"/>
      <w:szCs w:val="18"/>
    </w:rPr>
  </w:style>
  <w:style w:type="paragraph" w:styleId="12">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8949"/>
      </w:tabs>
    </w:pPr>
    <w:rPr>
      <w:rFonts w:ascii="楷体" w:hAnsi="楷体" w:eastAsia="楷体" w:cs="Times New Roman"/>
      <w:b/>
      <w:sz w:val="28"/>
      <w:szCs w:val="28"/>
    </w:rPr>
  </w:style>
  <w:style w:type="paragraph" w:styleId="14">
    <w:name w:val="toc 2"/>
    <w:basedOn w:val="1"/>
    <w:next w:val="1"/>
    <w:qFormat/>
    <w:uiPriority w:val="39"/>
    <w:pPr>
      <w:ind w:left="420" w:leftChars="200"/>
    </w:pPr>
    <w:rPr>
      <w:rFonts w:ascii="Times New Roman" w:hAnsi="Times New Roman" w:eastAsia="宋体" w:cs="Times New Roman"/>
      <w:szCs w:val="24"/>
    </w:rPr>
  </w:style>
  <w:style w:type="paragraph" w:styleId="15">
    <w:name w:val="Normal (Web)"/>
    <w:basedOn w:val="1"/>
    <w:semiHidden/>
    <w:unhideWhenUsed/>
    <w:qFormat/>
    <w:uiPriority w:val="99"/>
    <w:pPr>
      <w:jc w:val="left"/>
    </w:pPr>
    <w:rPr>
      <w:rFonts w:cs="Times New Roman"/>
      <w:kern w:val="0"/>
      <w:sz w:val="24"/>
    </w:rPr>
  </w:style>
  <w:style w:type="paragraph" w:styleId="16">
    <w:name w:val="annotation subject"/>
    <w:basedOn w:val="8"/>
    <w:next w:val="8"/>
    <w:link w:val="35"/>
    <w:semiHidden/>
    <w:unhideWhenUsed/>
    <w:qFormat/>
    <w:uiPriority w:val="99"/>
    <w:rPr>
      <w:b/>
      <w:bCs/>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FollowedHyperlink"/>
    <w:basedOn w:val="19"/>
    <w:semiHidden/>
    <w:unhideWhenUsed/>
    <w:qFormat/>
    <w:uiPriority w:val="99"/>
    <w:rPr>
      <w:color w:val="3D3D3D"/>
      <w:u w:val="none"/>
    </w:rPr>
  </w:style>
  <w:style w:type="character" w:styleId="22">
    <w:name w:val="HTML Definition"/>
    <w:basedOn w:val="19"/>
    <w:semiHidden/>
    <w:unhideWhenUsed/>
    <w:qFormat/>
    <w:uiPriority w:val="99"/>
  </w:style>
  <w:style w:type="character" w:styleId="23">
    <w:name w:val="HTML Variable"/>
    <w:basedOn w:val="19"/>
    <w:semiHidden/>
    <w:unhideWhenUsed/>
    <w:qFormat/>
    <w:uiPriority w:val="99"/>
  </w:style>
  <w:style w:type="character" w:styleId="24">
    <w:name w:val="Hyperlink"/>
    <w:basedOn w:val="19"/>
    <w:unhideWhenUsed/>
    <w:qFormat/>
    <w:uiPriority w:val="99"/>
    <w:rPr>
      <w:color w:val="3D3D3D"/>
      <w:u w:val="none"/>
    </w:rPr>
  </w:style>
  <w:style w:type="character" w:styleId="25">
    <w:name w:val="HTML Code"/>
    <w:basedOn w:val="19"/>
    <w:semiHidden/>
    <w:unhideWhenUsed/>
    <w:qFormat/>
    <w:uiPriority w:val="99"/>
    <w:rPr>
      <w:rFonts w:ascii="Courier New" w:hAnsi="Courier New"/>
      <w:sz w:val="20"/>
    </w:rPr>
  </w:style>
  <w:style w:type="character" w:styleId="26">
    <w:name w:val="annotation reference"/>
    <w:basedOn w:val="19"/>
    <w:semiHidden/>
    <w:unhideWhenUsed/>
    <w:qFormat/>
    <w:uiPriority w:val="99"/>
    <w:rPr>
      <w:sz w:val="21"/>
      <w:szCs w:val="21"/>
    </w:rPr>
  </w:style>
  <w:style w:type="character" w:styleId="27">
    <w:name w:val="HTML Cite"/>
    <w:basedOn w:val="19"/>
    <w:semiHidden/>
    <w:unhideWhenUsed/>
    <w:qFormat/>
    <w:uiPriority w:val="99"/>
  </w:style>
  <w:style w:type="character" w:customStyle="1" w:styleId="28">
    <w:name w:val="页眉 Char"/>
    <w:basedOn w:val="19"/>
    <w:link w:val="12"/>
    <w:semiHidden/>
    <w:qFormat/>
    <w:uiPriority w:val="99"/>
    <w:rPr>
      <w:sz w:val="18"/>
      <w:szCs w:val="18"/>
    </w:rPr>
  </w:style>
  <w:style w:type="character" w:customStyle="1" w:styleId="29">
    <w:name w:val="页脚 Char"/>
    <w:basedOn w:val="19"/>
    <w:link w:val="11"/>
    <w:semiHidden/>
    <w:qFormat/>
    <w:uiPriority w:val="99"/>
    <w:rPr>
      <w:sz w:val="18"/>
      <w:szCs w:val="18"/>
    </w:rPr>
  </w:style>
  <w:style w:type="paragraph" w:styleId="30">
    <w:name w:val="List Paragraph"/>
    <w:basedOn w:val="1"/>
    <w:qFormat/>
    <w:uiPriority w:val="34"/>
    <w:pPr>
      <w:ind w:firstLine="420" w:firstLineChars="200"/>
    </w:pPr>
  </w:style>
  <w:style w:type="character" w:customStyle="1" w:styleId="31">
    <w:name w:val="批注文字 Char"/>
    <w:basedOn w:val="19"/>
    <w:link w:val="8"/>
    <w:qFormat/>
    <w:uiPriority w:val="99"/>
    <w:rPr>
      <w:kern w:val="2"/>
      <w:sz w:val="21"/>
      <w:szCs w:val="22"/>
    </w:rPr>
  </w:style>
  <w:style w:type="character" w:customStyle="1" w:styleId="32">
    <w:name w:val="img"/>
    <w:basedOn w:val="19"/>
    <w:qFormat/>
    <w:uiPriority w:val="0"/>
  </w:style>
  <w:style w:type="character" w:customStyle="1" w:styleId="33">
    <w:name w:val="img1"/>
    <w:basedOn w:val="19"/>
    <w:qFormat/>
    <w:uiPriority w:val="0"/>
  </w:style>
  <w:style w:type="character" w:customStyle="1" w:styleId="34">
    <w:name w:val="批注框文本 Char"/>
    <w:basedOn w:val="19"/>
    <w:link w:val="10"/>
    <w:semiHidden/>
    <w:qFormat/>
    <w:uiPriority w:val="99"/>
    <w:rPr>
      <w:rFonts w:asciiTheme="minorHAnsi" w:hAnsiTheme="minorHAnsi" w:eastAsiaTheme="minorEastAsia" w:cstheme="minorBidi"/>
      <w:kern w:val="2"/>
      <w:sz w:val="18"/>
      <w:szCs w:val="18"/>
    </w:rPr>
  </w:style>
  <w:style w:type="character" w:customStyle="1" w:styleId="35">
    <w:name w:val="批注主题 Char"/>
    <w:basedOn w:val="31"/>
    <w:link w:val="16"/>
    <w:semiHidden/>
    <w:qFormat/>
    <w:uiPriority w:val="99"/>
    <w:rPr>
      <w:rFonts w:asciiTheme="minorHAnsi" w:hAnsiTheme="minorHAnsi" w:eastAsiaTheme="minorEastAsia" w:cstheme="minorBidi"/>
      <w:b/>
      <w:bCs/>
      <w:kern w:val="2"/>
      <w:sz w:val="21"/>
      <w:szCs w:val="22"/>
    </w:rPr>
  </w:style>
  <w:style w:type="paragraph" w:customStyle="1" w:styleId="3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styleId="37">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38">
    <w:name w:val="Other|1"/>
    <w:basedOn w:val="1"/>
    <w:qFormat/>
    <w:uiPriority w:val="0"/>
    <w:pPr>
      <w:spacing w:line="425" w:lineRule="auto"/>
      <w:ind w:firstLine="400"/>
    </w:pPr>
    <w:rPr>
      <w:rFonts w:ascii="宋体" w:hAnsi="宋体" w:eastAsia="宋体" w:cs="宋体"/>
      <w:sz w:val="28"/>
      <w:szCs w:val="28"/>
      <w:lang w:val="zh-TW" w:eastAsia="zh-TW" w:bidi="zh-TW"/>
    </w:rPr>
  </w:style>
  <w:style w:type="paragraph" w:customStyle="1" w:styleId="39">
    <w:name w:val="Body text|1"/>
    <w:basedOn w:val="1"/>
    <w:qFormat/>
    <w:uiPriority w:val="0"/>
    <w:pPr>
      <w:spacing w:line="425" w:lineRule="auto"/>
      <w:ind w:firstLine="400"/>
    </w:pPr>
    <w:rPr>
      <w:rFonts w:ascii="宋体" w:hAnsi="宋体" w:eastAsia="宋体" w:cs="宋体"/>
      <w:sz w:val="28"/>
      <w:szCs w:val="28"/>
      <w:lang w:val="zh-TW" w:eastAsia="zh-TW" w:bidi="zh-TW"/>
    </w:rPr>
  </w:style>
  <w:style w:type="paragraph" w:customStyle="1" w:styleId="40">
    <w:name w:val="Header or footer|2"/>
    <w:basedOn w:val="1"/>
    <w:qFormat/>
    <w:uiPriority w:val="0"/>
    <w:rPr>
      <w:sz w:val="20"/>
      <w:szCs w:val="20"/>
      <w:lang w:val="zh-TW" w:eastAsia="zh-TW" w:bidi="zh-TW"/>
    </w:rPr>
  </w:style>
  <w:style w:type="paragraph" w:customStyle="1" w:styleId="41">
    <w:name w:val="01、普通正文"/>
    <w:basedOn w:val="1"/>
    <w:qFormat/>
    <w:uiPriority w:val="0"/>
    <w:pPr>
      <w:tabs>
        <w:tab w:val="left" w:pos="0"/>
      </w:tabs>
      <w:wordWrap w:val="0"/>
      <w:topLinePunct/>
    </w:pPr>
    <w:rPr>
      <w:rFonts w:ascii="宋体" w:hAnsi="宋体" w:eastAsia="宋体"/>
      <w:snapToGrid w:val="0"/>
    </w:rPr>
  </w:style>
  <w:style w:type="character" w:customStyle="1" w:styleId="42">
    <w:name w:val="正文文本缩进 Char"/>
    <w:basedOn w:val="19"/>
    <w:link w:val="3"/>
    <w:qFormat/>
    <w:uiPriority w:val="99"/>
    <w:rPr>
      <w:rFonts w:asciiTheme="minorHAnsi" w:hAnsiTheme="minorHAnsi" w:eastAsiaTheme="minorEastAsia" w:cstheme="minorBidi"/>
      <w:kern w:val="2"/>
      <w:sz w:val="32"/>
    </w:rPr>
  </w:style>
  <w:style w:type="character" w:customStyle="1" w:styleId="43">
    <w:name w:val="正文首行缩进 2 Char"/>
    <w:basedOn w:val="42"/>
    <w:link w:val="2"/>
    <w:qFormat/>
    <w:uiPriority w:val="99"/>
    <w:rPr>
      <w:rFonts w:asciiTheme="minorHAnsi" w:hAnsiTheme="minorHAnsi" w:eastAsiaTheme="minorEastAsia" w:cstheme="minorBidi"/>
      <w:kern w:val="2"/>
      <w:sz w:val="32"/>
    </w:rPr>
  </w:style>
  <w:style w:type="paragraph" w:customStyle="1" w:styleId="44">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45">
    <w:name w:val="xl63"/>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46">
    <w:name w:val="xl6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
    <w:name w:val="xl65"/>
    <w:basedOn w:val="1"/>
    <w:qFormat/>
    <w:uiPriority w:val="0"/>
    <w:pPr>
      <w:widowControl/>
      <w:pBdr>
        <w:top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8">
    <w:name w:val="xl66"/>
    <w:basedOn w:val="1"/>
    <w:qFormat/>
    <w:uiPriority w:val="0"/>
    <w:pPr>
      <w:widowControl/>
      <w:spacing w:before="100" w:beforeAutospacing="1" w:after="100" w:afterAutospacing="1"/>
      <w:jc w:val="left"/>
    </w:pPr>
    <w:rPr>
      <w:rFonts w:ascii="宋体" w:hAnsi="宋体" w:eastAsia="宋体" w:cs="宋体"/>
      <w:color w:val="FF0000"/>
      <w:kern w:val="0"/>
      <w:sz w:val="20"/>
      <w:szCs w:val="20"/>
    </w:rPr>
  </w:style>
  <w:style w:type="paragraph" w:customStyle="1" w:styleId="49">
    <w:name w:val="xl67"/>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50">
    <w:name w:val="xl68"/>
    <w:basedOn w:val="1"/>
    <w:qFormat/>
    <w:uiPriority w:val="0"/>
    <w:pPr>
      <w:widowControl/>
      <w:pBdr>
        <w:top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1">
    <w:name w:val="xl69"/>
    <w:basedOn w:val="1"/>
    <w:qFormat/>
    <w:uiPriority w:val="0"/>
    <w:pPr>
      <w:widowControl/>
      <w:spacing w:before="100" w:beforeAutospacing="1" w:after="100" w:afterAutospacing="1"/>
      <w:jc w:val="left"/>
    </w:pPr>
    <w:rPr>
      <w:rFonts w:ascii="宋体" w:hAnsi="宋体" w:eastAsia="宋体" w:cs="宋体"/>
      <w:color w:val="FF0000"/>
      <w:kern w:val="0"/>
      <w:sz w:val="24"/>
      <w:szCs w:val="24"/>
    </w:rPr>
  </w:style>
  <w:style w:type="paragraph" w:customStyle="1" w:styleId="52">
    <w:name w:val="xl70"/>
    <w:basedOn w:val="1"/>
    <w:qFormat/>
    <w:uiPriority w:val="0"/>
    <w:pPr>
      <w:widowControl/>
      <w:shd w:val="clear" w:color="000000" w:fill="9BC2E6"/>
      <w:spacing w:before="100" w:beforeAutospacing="1" w:after="100" w:afterAutospacing="1"/>
      <w:jc w:val="left"/>
    </w:pPr>
    <w:rPr>
      <w:rFonts w:ascii="宋体" w:hAnsi="宋体" w:eastAsia="宋体" w:cs="宋体"/>
      <w:kern w:val="0"/>
      <w:sz w:val="24"/>
      <w:szCs w:val="24"/>
    </w:rPr>
  </w:style>
  <w:style w:type="paragraph" w:customStyle="1" w:styleId="53">
    <w:name w:val="xl71"/>
    <w:basedOn w:val="1"/>
    <w:qFormat/>
    <w:uiPriority w:val="0"/>
    <w:pPr>
      <w:widowControl/>
      <w:spacing w:before="100" w:beforeAutospacing="1" w:after="100" w:afterAutospacing="1"/>
      <w:jc w:val="center"/>
    </w:pPr>
    <w:rPr>
      <w:rFonts w:ascii="宋体" w:hAnsi="宋体" w:eastAsia="宋体" w:cs="宋体"/>
      <w:kern w:val="0"/>
      <w:sz w:val="16"/>
      <w:szCs w:val="16"/>
    </w:rPr>
  </w:style>
  <w:style w:type="paragraph" w:customStyle="1" w:styleId="54">
    <w:name w:val="xl72"/>
    <w:basedOn w:val="1"/>
    <w:qFormat/>
    <w:uiPriority w:val="0"/>
    <w:pPr>
      <w:widowControl/>
      <w:spacing w:before="100" w:beforeAutospacing="1" w:after="100" w:afterAutospacing="1"/>
      <w:jc w:val="center"/>
    </w:pPr>
    <w:rPr>
      <w:rFonts w:ascii="宋体" w:hAnsi="宋体" w:eastAsia="宋体" w:cs="宋体"/>
      <w:kern w:val="0"/>
      <w:sz w:val="16"/>
      <w:szCs w:val="16"/>
    </w:rPr>
  </w:style>
  <w:style w:type="paragraph" w:customStyle="1" w:styleId="55">
    <w:name w:val="xl73"/>
    <w:basedOn w:val="1"/>
    <w:qFormat/>
    <w:uiPriority w:val="0"/>
    <w:pPr>
      <w:widowControl/>
      <w:spacing w:before="100" w:beforeAutospacing="1" w:after="100" w:afterAutospacing="1"/>
      <w:jc w:val="center"/>
    </w:pPr>
    <w:rPr>
      <w:rFonts w:ascii="宋体" w:hAnsi="宋体" w:eastAsia="宋体" w:cs="宋体"/>
      <w:kern w:val="0"/>
      <w:sz w:val="16"/>
      <w:szCs w:val="16"/>
    </w:rPr>
  </w:style>
  <w:style w:type="paragraph" w:customStyle="1" w:styleId="5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5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5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5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60">
    <w:name w:val="xl7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61">
    <w:name w:val="xl7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62">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63">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64">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65">
    <w:name w:val="xl83"/>
    <w:basedOn w:val="1"/>
    <w:qFormat/>
    <w:uiPriority w:val="0"/>
    <w:pPr>
      <w:widowControl/>
      <w:pBdr>
        <w:top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66">
    <w:name w:val="xl84"/>
    <w:basedOn w:val="1"/>
    <w:qFormat/>
    <w:uiPriority w:val="0"/>
    <w:pPr>
      <w:widowControl/>
      <w:pBdr>
        <w:top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67">
    <w:name w:val="xl85"/>
    <w:basedOn w:val="1"/>
    <w:qFormat/>
    <w:uiPriority w:val="0"/>
    <w:pPr>
      <w:widowControl/>
      <w:pBdr>
        <w:top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68">
    <w:name w:val="xl86"/>
    <w:basedOn w:val="1"/>
    <w:qFormat/>
    <w:uiPriority w:val="0"/>
    <w:pPr>
      <w:widowControl/>
      <w:pBdr>
        <w:top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69">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70">
    <w:name w:val="xl88"/>
    <w:basedOn w:val="1"/>
    <w:qFormat/>
    <w:uiPriority w:val="0"/>
    <w:pPr>
      <w:widowControl/>
      <w:spacing w:before="100" w:beforeAutospacing="1" w:after="100" w:afterAutospacing="1"/>
      <w:jc w:val="center"/>
      <w:textAlignment w:val="center"/>
    </w:pPr>
    <w:rPr>
      <w:rFonts w:ascii="宋体" w:hAnsi="宋体" w:eastAsia="宋体" w:cs="宋体"/>
      <w:kern w:val="0"/>
      <w:sz w:val="20"/>
      <w:szCs w:val="20"/>
    </w:rPr>
  </w:style>
  <w:style w:type="paragraph" w:customStyle="1" w:styleId="71">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72">
    <w:name w:val="xl90"/>
    <w:basedOn w:val="1"/>
    <w:qFormat/>
    <w:uiPriority w:val="0"/>
    <w:pPr>
      <w:widowControl/>
      <w:spacing w:before="100" w:beforeAutospacing="1" w:after="100" w:afterAutospacing="1"/>
      <w:jc w:val="center"/>
      <w:textAlignment w:val="center"/>
    </w:pPr>
    <w:rPr>
      <w:rFonts w:ascii="宋体" w:hAnsi="宋体" w:eastAsia="宋体" w:cs="宋体"/>
      <w:kern w:val="0"/>
      <w:sz w:val="20"/>
      <w:szCs w:val="20"/>
    </w:rPr>
  </w:style>
  <w:style w:type="paragraph" w:customStyle="1" w:styleId="73">
    <w:name w:val="xl9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74">
    <w:name w:val="xl9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16"/>
      <w:szCs w:val="16"/>
    </w:rPr>
  </w:style>
  <w:style w:type="paragraph" w:customStyle="1" w:styleId="75">
    <w:name w:val="xl9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76">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77">
    <w:name w:val="xl95"/>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78">
    <w:name w:val="xl9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16"/>
      <w:szCs w:val="16"/>
    </w:rPr>
  </w:style>
  <w:style w:type="paragraph" w:customStyle="1" w:styleId="79">
    <w:name w:val="xl9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color w:val="FF0000"/>
      <w:kern w:val="0"/>
      <w:sz w:val="16"/>
      <w:szCs w:val="16"/>
    </w:rPr>
  </w:style>
  <w:style w:type="paragraph" w:customStyle="1" w:styleId="80">
    <w:name w:val="xl9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b/>
      <w:bCs/>
      <w:kern w:val="0"/>
      <w:sz w:val="16"/>
      <w:szCs w:val="16"/>
    </w:rPr>
  </w:style>
  <w:style w:type="paragraph" w:customStyle="1" w:styleId="81">
    <w:name w:val="xl9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82">
    <w:name w:val="xl100"/>
    <w:basedOn w:val="1"/>
    <w:qFormat/>
    <w:uiPriority w:val="0"/>
    <w:pPr>
      <w:widowControl/>
      <w:pBdr>
        <w:top w:val="single" w:color="auto" w:sz="4" w:space="0"/>
      </w:pBdr>
      <w:spacing w:before="100" w:beforeAutospacing="1" w:after="100" w:afterAutospacing="1"/>
      <w:jc w:val="center"/>
      <w:textAlignment w:val="center"/>
    </w:pPr>
    <w:rPr>
      <w:rFonts w:ascii="宋体" w:hAnsi="宋体" w:eastAsia="宋体" w:cs="宋体"/>
      <w:kern w:val="0"/>
      <w:sz w:val="16"/>
      <w:szCs w:val="16"/>
    </w:rPr>
  </w:style>
  <w:style w:type="paragraph" w:customStyle="1" w:styleId="83">
    <w:name w:val="xl101"/>
    <w:basedOn w:val="1"/>
    <w:qFormat/>
    <w:uiPriority w:val="0"/>
    <w:pPr>
      <w:widowControl/>
      <w:pBdr>
        <w:top w:val="single" w:color="auto" w:sz="4" w:space="0"/>
      </w:pBdr>
      <w:spacing w:before="100" w:beforeAutospacing="1" w:after="100" w:afterAutospacing="1"/>
      <w:jc w:val="center"/>
      <w:textAlignment w:val="center"/>
    </w:pPr>
    <w:rPr>
      <w:rFonts w:ascii="宋体" w:hAnsi="宋体" w:eastAsia="宋体" w:cs="宋体"/>
      <w:kern w:val="0"/>
      <w:sz w:val="16"/>
      <w:szCs w:val="16"/>
    </w:rPr>
  </w:style>
  <w:style w:type="paragraph" w:customStyle="1" w:styleId="84">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8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86">
    <w:name w:val="xl10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87">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88">
    <w:name w:val="xl106"/>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89">
    <w:name w:val="xl107"/>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b/>
      <w:bCs/>
      <w:kern w:val="0"/>
      <w:sz w:val="32"/>
      <w:szCs w:val="32"/>
    </w:rPr>
  </w:style>
  <w:style w:type="paragraph" w:customStyle="1" w:styleId="90">
    <w:name w:val="xl108"/>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b/>
      <w:bCs/>
      <w:kern w:val="0"/>
      <w:sz w:val="32"/>
      <w:szCs w:val="32"/>
    </w:rPr>
  </w:style>
  <w:style w:type="paragraph" w:customStyle="1" w:styleId="91">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eastAsia="宋体" w:cs="宋体"/>
      <w:kern w:val="0"/>
      <w:sz w:val="20"/>
      <w:szCs w:val="20"/>
    </w:rPr>
  </w:style>
  <w:style w:type="paragraph" w:customStyle="1" w:styleId="92">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textAlignment w:val="center"/>
    </w:pPr>
    <w:rPr>
      <w:rFonts w:ascii="宋体" w:hAnsi="宋体" w:eastAsia="宋体" w:cs="宋体"/>
      <w:kern w:val="0"/>
      <w:sz w:val="20"/>
      <w:szCs w:val="20"/>
    </w:rPr>
  </w:style>
  <w:style w:type="paragraph" w:customStyle="1" w:styleId="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94">
    <w:name w:val="xl112"/>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95">
    <w:name w:val="xl113"/>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b/>
      <w:bCs/>
      <w:kern w:val="0"/>
      <w:sz w:val="32"/>
      <w:szCs w:val="32"/>
    </w:rPr>
  </w:style>
  <w:style w:type="paragraph" w:customStyle="1" w:styleId="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97">
    <w:name w:val="xl115"/>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98">
    <w:name w:val="xl116"/>
    <w:basedOn w:val="1"/>
    <w:qFormat/>
    <w:uiPriority w:val="0"/>
    <w:pPr>
      <w:widowControl/>
      <w:spacing w:before="100" w:beforeAutospacing="1" w:after="100" w:afterAutospacing="1"/>
      <w:jc w:val="left"/>
      <w:textAlignment w:val="center"/>
    </w:pPr>
    <w:rPr>
      <w:rFonts w:ascii="宋体" w:hAnsi="宋体" w:eastAsia="宋体" w:cs="宋体"/>
      <w:kern w:val="0"/>
      <w:sz w:val="16"/>
      <w:szCs w:val="16"/>
    </w:rPr>
  </w:style>
  <w:style w:type="paragraph" w:customStyle="1" w:styleId="99">
    <w:name w:val="xl117"/>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b/>
      <w:bCs/>
      <w:kern w:val="0"/>
      <w:sz w:val="32"/>
      <w:szCs w:val="32"/>
    </w:rPr>
  </w:style>
  <w:style w:type="paragraph" w:customStyle="1" w:styleId="100">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6"/>
      <w:szCs w:val="16"/>
    </w:rPr>
  </w:style>
  <w:style w:type="paragraph" w:customStyle="1" w:styleId="101">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02">
    <w:name w:val="Table Paragraph"/>
    <w:basedOn w:val="1"/>
    <w:qFormat/>
    <w:uiPriority w:val="1"/>
    <w:rPr>
      <w:rFonts w:ascii="宋体" w:hAnsi="宋体" w:eastAsia="宋体" w:cs="宋体"/>
      <w:lang w:val="zh-CN" w:bidi="zh-CN"/>
    </w:rPr>
  </w:style>
  <w:style w:type="table" w:customStyle="1" w:styleId="103">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104">
    <w:name w:val="Other|2"/>
    <w:basedOn w:val="1"/>
    <w:qFormat/>
    <w:uiPriority w:val="0"/>
    <w:pPr>
      <w:spacing w:line="226" w:lineRule="exact"/>
      <w:jc w:val="center"/>
    </w:pPr>
    <w:rPr>
      <w:rFonts w:ascii="宋体" w:hAnsi="宋体" w:eastAsia="宋体" w:cs="宋体"/>
      <w:sz w:val="22"/>
      <w:lang w:val="zh-TW" w:eastAsia="zh-TW" w:bidi="zh-TW"/>
    </w:rPr>
  </w:style>
  <w:style w:type="paragraph" w:customStyle="1" w:styleId="10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E0F000-86DA-4B02-8F30-5F868216435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98</Pages>
  <Words>9361</Words>
  <Characters>53358</Characters>
  <Lines>444</Lines>
  <Paragraphs>125</Paragraphs>
  <TotalTime>21</TotalTime>
  <ScaleCrop>false</ScaleCrop>
  <LinksUpToDate>false</LinksUpToDate>
  <CharactersWithSpaces>62594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2021-05-19T06:41:00Z</dcterms:created>
  <dc:creator>Tencent</dc:creator>
  <cp:lastModifiedBy>li</cp:lastModifiedBy>
  <cp:lastPrinted>2021-04-21T06:03:00Z</cp:lastPrinted>
  <dcterms:modified xsi:type="dcterms:W3CDTF">2021-05-31T07:08:11Z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9C848AEA50CA4CBAA1A9DE5B2E1B21FB</vt:lpwstr>
  </property>
</Properties>
</file>