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AB6C1">
      <w:pPr>
        <w:pStyle w:val="3"/>
        <w:rPr>
          <w:rFonts w:ascii="Times New Roman" w:hAnsi="Times New Roman" w:cs="Times New Roman"/>
          <w:color w:val="000000" w:themeColor="text1"/>
          <w:highlight w:val="none"/>
        </w:rPr>
      </w:pPr>
    </w:p>
    <w:p w14:paraId="1439DE5B">
      <w:pPr>
        <w:rPr>
          <w:rFonts w:ascii="Times New Roman" w:hAnsi="Times New Roman" w:cs="Times New Roman"/>
          <w:color w:val="000000" w:themeColor="text1"/>
          <w:highlight w:val="none"/>
        </w:rPr>
      </w:pPr>
    </w:p>
    <w:p w14:paraId="148B389F">
      <w:pPr>
        <w:pStyle w:val="12"/>
        <w:rPr>
          <w:rFonts w:ascii="Times New Roman" w:hAnsi="Times New Roman" w:cs="Times New Roman"/>
          <w:color w:val="000000" w:themeColor="text1"/>
          <w:highlight w:val="none"/>
        </w:rPr>
      </w:pPr>
    </w:p>
    <w:p w14:paraId="0D57F61A">
      <w:pPr>
        <w:pStyle w:val="13"/>
        <w:ind w:firstLine="210"/>
        <w:rPr>
          <w:color w:val="000000" w:themeColor="text1"/>
          <w:highlight w:val="none"/>
        </w:rPr>
      </w:pPr>
    </w:p>
    <w:p w14:paraId="21F598AE">
      <w:pPr>
        <w:spacing w:beforeLines="50"/>
        <w:jc w:val="center"/>
        <w:rPr>
          <w:rFonts w:hint="eastAsia" w:ascii="Times New Roman" w:hAnsi="Times New Roman" w:cs="Times New Roman"/>
          <w:b/>
          <w:bCs/>
          <w:color w:val="000000" w:themeColor="text1"/>
          <w:spacing w:val="-11"/>
          <w:sz w:val="52"/>
          <w:szCs w:val="52"/>
          <w:highlight w:val="none"/>
          <w:lang w:eastAsia="zh-CN"/>
        </w:rPr>
      </w:pPr>
      <w:r>
        <w:rPr>
          <w:rFonts w:hint="eastAsia" w:ascii="Times New Roman" w:hAnsi="Times New Roman" w:cs="Times New Roman"/>
          <w:b/>
          <w:bCs/>
          <w:color w:val="000000" w:themeColor="text1"/>
          <w:spacing w:val="-11"/>
          <w:sz w:val="52"/>
          <w:szCs w:val="52"/>
          <w:highlight w:val="none"/>
          <w:lang w:eastAsia="zh-CN"/>
        </w:rPr>
        <w:t>2025年杭州湾乐清湾</w:t>
      </w:r>
    </w:p>
    <w:p w14:paraId="6F24937F">
      <w:pPr>
        <w:spacing w:beforeLines="50"/>
        <w:jc w:val="center"/>
        <w:rPr>
          <w:rFonts w:hint="eastAsia" w:ascii="Times New Roman" w:hAnsi="Times New Roman" w:eastAsia="宋体" w:cs="Times New Roman"/>
          <w:b/>
          <w:bCs/>
          <w:color w:val="000000" w:themeColor="text1"/>
          <w:spacing w:val="-11"/>
          <w:sz w:val="52"/>
          <w:szCs w:val="52"/>
          <w:highlight w:val="none"/>
          <w:lang w:eastAsia="zh-CN"/>
        </w:rPr>
      </w:pPr>
      <w:r>
        <w:rPr>
          <w:rFonts w:hint="eastAsia" w:ascii="Times New Roman" w:hAnsi="Times New Roman" w:cs="Times New Roman"/>
          <w:b/>
          <w:bCs/>
          <w:color w:val="000000" w:themeColor="text1"/>
          <w:spacing w:val="-11"/>
          <w:sz w:val="52"/>
          <w:szCs w:val="52"/>
          <w:highlight w:val="none"/>
          <w:lang w:eastAsia="zh-CN"/>
        </w:rPr>
        <w:t>滨海湿地变迁遥感调查项目</w:t>
      </w:r>
    </w:p>
    <w:p w14:paraId="736E7A7C">
      <w:pPr>
        <w:pStyle w:val="12"/>
        <w:rPr>
          <w:rFonts w:ascii="Times New Roman" w:hAnsi="Times New Roman" w:cs="Times New Roman"/>
          <w:b/>
          <w:bCs/>
          <w:color w:val="000000" w:themeColor="text1"/>
          <w:spacing w:val="12"/>
          <w:sz w:val="44"/>
          <w:szCs w:val="44"/>
          <w:highlight w:val="none"/>
        </w:rPr>
      </w:pPr>
    </w:p>
    <w:p w14:paraId="50B51252">
      <w:pPr>
        <w:pStyle w:val="12"/>
        <w:rPr>
          <w:rFonts w:ascii="Times New Roman" w:hAnsi="Times New Roman" w:cs="Times New Roman"/>
          <w:b/>
          <w:bCs/>
          <w:color w:val="000000" w:themeColor="text1"/>
          <w:spacing w:val="12"/>
          <w:sz w:val="44"/>
          <w:szCs w:val="44"/>
          <w:highlight w:val="none"/>
        </w:rPr>
      </w:pPr>
    </w:p>
    <w:p w14:paraId="388F2BC8">
      <w:pPr>
        <w:pStyle w:val="12"/>
        <w:rPr>
          <w:rFonts w:ascii="Times New Roman" w:hAnsi="Times New Roman" w:cs="Times New Roman"/>
          <w:b/>
          <w:bCs/>
          <w:color w:val="000000" w:themeColor="text1"/>
          <w:spacing w:val="12"/>
          <w:sz w:val="44"/>
          <w:szCs w:val="44"/>
          <w:highlight w:val="none"/>
        </w:rPr>
      </w:pPr>
    </w:p>
    <w:p w14:paraId="341021F5">
      <w:pPr>
        <w:spacing w:after="156"/>
        <w:outlineLvl w:val="0"/>
        <w:rPr>
          <w:rFonts w:ascii="Times New Roman" w:hAnsi="Times New Roman" w:cs="Times New Roman"/>
          <w:b/>
          <w:bCs/>
          <w:color w:val="000000" w:themeColor="text1"/>
          <w:spacing w:val="12"/>
          <w:sz w:val="44"/>
          <w:szCs w:val="44"/>
          <w:highlight w:val="none"/>
        </w:rPr>
      </w:pPr>
    </w:p>
    <w:p w14:paraId="34A18F5E">
      <w:pPr>
        <w:spacing w:beforeLines="50"/>
        <w:jc w:val="center"/>
        <w:rPr>
          <w:rFonts w:ascii="Times New Roman" w:hAnsi="Times New Roman" w:cs="Times New Roman"/>
          <w:b/>
          <w:bCs/>
          <w:color w:val="000000" w:themeColor="text1"/>
          <w:sz w:val="52"/>
          <w:szCs w:val="52"/>
          <w:highlight w:val="none"/>
        </w:rPr>
      </w:pPr>
      <w:r>
        <w:rPr>
          <w:rFonts w:ascii="Times New Roman" w:hAnsi="Times New Roman" w:cs="Times New Roman"/>
          <w:b/>
          <w:bCs/>
          <w:color w:val="000000" w:themeColor="text1"/>
          <w:sz w:val="52"/>
          <w:szCs w:val="52"/>
          <w:highlight w:val="none"/>
        </w:rPr>
        <w:t>公开招标采购文件</w:t>
      </w:r>
    </w:p>
    <w:p w14:paraId="1C3A43C3">
      <w:pPr>
        <w:jc w:val="center"/>
        <w:outlineLvl w:val="0"/>
        <w:rPr>
          <w:rFonts w:ascii="Times New Roman" w:hAnsi="Times New Roman" w:cs="Times New Roman"/>
          <w:b/>
          <w:bCs/>
          <w:color w:val="000000" w:themeColor="text1"/>
          <w:highlight w:val="none"/>
        </w:rPr>
      </w:pPr>
    </w:p>
    <w:p w14:paraId="1F6ECE1B">
      <w:pPr>
        <w:jc w:val="center"/>
        <w:outlineLvl w:val="0"/>
        <w:rPr>
          <w:rFonts w:ascii="Times New Roman" w:hAnsi="Times New Roman" w:cs="Times New Roman"/>
          <w:b/>
          <w:bCs/>
          <w:color w:val="000000" w:themeColor="text1"/>
          <w:highlight w:val="none"/>
        </w:rPr>
      </w:pPr>
    </w:p>
    <w:p w14:paraId="21AC12EE">
      <w:pPr>
        <w:jc w:val="center"/>
        <w:outlineLvl w:val="0"/>
        <w:rPr>
          <w:rFonts w:ascii="Times New Roman" w:hAnsi="Times New Roman" w:cs="Times New Roman"/>
          <w:b/>
          <w:bCs/>
          <w:color w:val="000000" w:themeColor="text1"/>
          <w:highlight w:val="none"/>
        </w:rPr>
      </w:pPr>
    </w:p>
    <w:p w14:paraId="54686090">
      <w:pPr>
        <w:outlineLvl w:val="0"/>
        <w:rPr>
          <w:rFonts w:ascii="Times New Roman" w:hAnsi="Times New Roman" w:cs="Times New Roman"/>
          <w:b/>
          <w:bCs/>
          <w:color w:val="000000" w:themeColor="text1"/>
          <w:highlight w:val="none"/>
        </w:rPr>
      </w:pPr>
    </w:p>
    <w:p w14:paraId="741AAA4C">
      <w:pPr>
        <w:pStyle w:val="12"/>
        <w:rPr>
          <w:rFonts w:ascii="Times New Roman" w:hAnsi="Times New Roman" w:cs="Times New Roman"/>
          <w:color w:val="000000" w:themeColor="text1"/>
          <w:highlight w:val="none"/>
        </w:rPr>
      </w:pPr>
    </w:p>
    <w:p w14:paraId="46B70899">
      <w:pPr>
        <w:pStyle w:val="13"/>
        <w:ind w:firstLine="210"/>
        <w:rPr>
          <w:color w:val="000000" w:themeColor="text1"/>
          <w:highlight w:val="none"/>
        </w:rPr>
      </w:pPr>
    </w:p>
    <w:p w14:paraId="128D6AD7">
      <w:pPr>
        <w:snapToGrid w:val="0"/>
        <w:spacing w:beforeLines="50" w:line="360" w:lineRule="auto"/>
        <w:rPr>
          <w:rFonts w:ascii="Times New Roman" w:hAnsi="Times New Roman" w:cs="Times New Roman"/>
          <w:b/>
          <w:bCs/>
          <w:color w:val="000000" w:themeColor="text1"/>
          <w:sz w:val="30"/>
          <w:szCs w:val="30"/>
          <w:highlight w:val="none"/>
        </w:rPr>
      </w:pPr>
    </w:p>
    <w:p w14:paraId="4B4D46E7">
      <w:pPr>
        <w:spacing w:beforeLines="50" w:line="360" w:lineRule="auto"/>
        <w:rPr>
          <w:rFonts w:ascii="Times New Roman" w:hAnsi="Times New Roman" w:cs="Times New Roman"/>
          <w:b/>
          <w:bCs/>
          <w:color w:val="000000" w:themeColor="text1"/>
          <w:sz w:val="30"/>
          <w:szCs w:val="30"/>
          <w:highlight w:val="none"/>
        </w:rPr>
      </w:pPr>
    </w:p>
    <w:p w14:paraId="4F5AD261">
      <w:pPr>
        <w:pStyle w:val="12"/>
        <w:rPr>
          <w:rFonts w:ascii="Times New Roman" w:hAnsi="Times New Roman" w:cs="Times New Roman"/>
          <w:color w:val="000000" w:themeColor="text1"/>
          <w:highlight w:val="none"/>
        </w:rPr>
      </w:pPr>
    </w:p>
    <w:p w14:paraId="120B2A44">
      <w:pPr>
        <w:spacing w:beforeLines="50" w:line="360" w:lineRule="auto"/>
        <w:rPr>
          <w:rFonts w:hint="eastAsia" w:ascii="Times New Roman" w:hAnsi="Times New Roman" w:eastAsia="宋体" w:cs="Times New Roman"/>
          <w:b/>
          <w:bCs/>
          <w:color w:val="000000" w:themeColor="text1"/>
          <w:sz w:val="30"/>
          <w:szCs w:val="30"/>
          <w:highlight w:val="none"/>
          <w:lang w:eastAsia="zh-CN"/>
        </w:rPr>
      </w:pPr>
      <w:r>
        <w:rPr>
          <w:rFonts w:ascii="Times New Roman" w:hAnsi="Times New Roman" w:cs="Times New Roman"/>
          <w:b/>
          <w:bCs/>
          <w:color w:val="000000" w:themeColor="text1"/>
          <w:sz w:val="30"/>
          <w:szCs w:val="30"/>
          <w:highlight w:val="none"/>
        </w:rPr>
        <w:t>项目编号：</w:t>
      </w:r>
      <w:r>
        <w:rPr>
          <w:rFonts w:hint="eastAsia" w:ascii="Times New Roman" w:hAnsi="Times New Roman" w:cs="Times New Roman"/>
          <w:b/>
          <w:bCs/>
          <w:color w:val="000000" w:themeColor="text1"/>
          <w:spacing w:val="-11"/>
          <w:sz w:val="30"/>
          <w:szCs w:val="30"/>
          <w:highlight w:val="none"/>
          <w:lang w:eastAsia="zh-CN"/>
        </w:rPr>
        <w:t>ZHCG2025-10</w:t>
      </w:r>
    </w:p>
    <w:p w14:paraId="56B51D5F">
      <w:pPr>
        <w:spacing w:beforeLines="50" w:line="360" w:lineRule="auto"/>
        <w:rPr>
          <w:rFonts w:hint="eastAsia" w:ascii="Times New Roman" w:hAnsi="Times New Roman" w:eastAsia="宋体" w:cs="Times New Roman"/>
          <w:b/>
          <w:bCs/>
          <w:color w:val="000000" w:themeColor="text1"/>
          <w:sz w:val="30"/>
          <w:szCs w:val="30"/>
          <w:highlight w:val="none"/>
          <w:lang w:eastAsia="zh-CN"/>
        </w:rPr>
      </w:pPr>
      <w:r>
        <w:rPr>
          <w:rFonts w:ascii="Times New Roman" w:hAnsi="Times New Roman" w:cs="Times New Roman"/>
          <w:b/>
          <w:bCs/>
          <w:color w:val="000000" w:themeColor="text1"/>
          <w:sz w:val="30"/>
          <w:szCs w:val="30"/>
          <w:highlight w:val="none"/>
        </w:rPr>
        <w:t>项目名称：</w:t>
      </w:r>
      <w:r>
        <w:rPr>
          <w:rFonts w:hint="eastAsia" w:ascii="Times New Roman" w:hAnsi="Times New Roman" w:cs="Times New Roman"/>
          <w:b/>
          <w:bCs/>
          <w:color w:val="000000" w:themeColor="text1"/>
          <w:spacing w:val="-11"/>
          <w:sz w:val="30"/>
          <w:szCs w:val="30"/>
          <w:highlight w:val="none"/>
          <w:lang w:eastAsia="zh-CN"/>
        </w:rPr>
        <w:t>2025年杭州湾乐清湾滨海湿地变迁遥感调查项目</w:t>
      </w:r>
    </w:p>
    <w:p w14:paraId="00B91ECB">
      <w:pPr>
        <w:snapToGrid w:val="0"/>
        <w:spacing w:beforeLines="50" w:line="360" w:lineRule="auto"/>
        <w:rPr>
          <w:rFonts w:ascii="Times New Roman" w:hAnsi="Times New Roman" w:cs="Times New Roman"/>
          <w:b/>
          <w:bCs/>
          <w:color w:val="000000" w:themeColor="text1"/>
          <w:sz w:val="30"/>
          <w:szCs w:val="30"/>
          <w:highlight w:val="none"/>
        </w:rPr>
      </w:pPr>
      <w:r>
        <w:rPr>
          <w:rFonts w:ascii="Times New Roman" w:hAnsi="Times New Roman" w:cs="Times New Roman"/>
          <w:b/>
          <w:bCs/>
          <w:color w:val="000000" w:themeColor="text1"/>
          <w:sz w:val="30"/>
          <w:szCs w:val="30"/>
          <w:highlight w:val="none"/>
        </w:rPr>
        <w:t>采购人：浙江省海洋生态环境监测中心</w:t>
      </w:r>
    </w:p>
    <w:p w14:paraId="1D7EDC5A">
      <w:pPr>
        <w:snapToGrid w:val="0"/>
        <w:spacing w:beforeLines="50" w:line="360" w:lineRule="auto"/>
        <w:rPr>
          <w:rFonts w:ascii="Times New Roman" w:hAnsi="Times New Roman" w:cs="Times New Roman"/>
          <w:b/>
          <w:bCs/>
          <w:color w:val="000000" w:themeColor="text1"/>
          <w:sz w:val="30"/>
          <w:szCs w:val="30"/>
          <w:highlight w:val="none"/>
        </w:rPr>
      </w:pPr>
      <w:r>
        <w:rPr>
          <w:rFonts w:ascii="Times New Roman" w:hAnsi="Times New Roman" w:cs="Times New Roman"/>
          <w:b/>
          <w:bCs/>
          <w:color w:val="000000" w:themeColor="text1"/>
          <w:sz w:val="30"/>
          <w:szCs w:val="30"/>
          <w:highlight w:val="none"/>
        </w:rPr>
        <w:t>采购代理机构：浙江自贸区中昊工程管理有限公司</w:t>
      </w:r>
    </w:p>
    <w:p w14:paraId="650D8DDB">
      <w:pPr>
        <w:pStyle w:val="12"/>
        <w:spacing w:line="360" w:lineRule="auto"/>
        <w:rPr>
          <w:rFonts w:ascii="Times New Roman" w:hAnsi="Times New Roman" w:cs="Times New Roman"/>
          <w:color w:val="000000" w:themeColor="text1"/>
          <w:sz w:val="32"/>
          <w:szCs w:val="32"/>
          <w:highlight w:val="none"/>
        </w:rPr>
      </w:pPr>
      <w:r>
        <w:rPr>
          <w:rFonts w:ascii="Times New Roman" w:hAnsi="Times New Roman" w:cs="Times New Roman"/>
          <w:b/>
          <w:bCs/>
          <w:color w:val="000000" w:themeColor="text1"/>
          <w:sz w:val="30"/>
          <w:szCs w:val="30"/>
          <w:highlight w:val="none"/>
        </w:rPr>
        <w:t>时间：二〇二</w:t>
      </w:r>
      <w:r>
        <w:rPr>
          <w:rFonts w:hint="eastAsia" w:ascii="Times New Roman" w:hAnsi="Times New Roman" w:cs="Times New Roman"/>
          <w:b/>
          <w:bCs/>
          <w:color w:val="000000" w:themeColor="text1"/>
          <w:sz w:val="30"/>
          <w:szCs w:val="30"/>
          <w:highlight w:val="none"/>
          <w:lang w:val="en-US" w:eastAsia="zh-CN"/>
        </w:rPr>
        <w:t>五</w:t>
      </w:r>
      <w:r>
        <w:rPr>
          <w:rFonts w:ascii="Times New Roman" w:hAnsi="Times New Roman" w:cs="Times New Roman"/>
          <w:b/>
          <w:bCs/>
          <w:color w:val="000000" w:themeColor="text1"/>
          <w:sz w:val="30"/>
          <w:szCs w:val="30"/>
          <w:highlight w:val="none"/>
        </w:rPr>
        <w:t>年</w:t>
      </w:r>
      <w:r>
        <w:rPr>
          <w:rFonts w:hint="eastAsia" w:ascii="Times New Roman" w:hAnsi="Times New Roman" w:cs="Times New Roman"/>
          <w:b/>
          <w:bCs/>
          <w:color w:val="000000" w:themeColor="text1"/>
          <w:sz w:val="30"/>
          <w:szCs w:val="30"/>
          <w:highlight w:val="none"/>
          <w:lang w:val="en-US" w:eastAsia="zh-CN"/>
        </w:rPr>
        <w:t>七</w:t>
      </w:r>
      <w:r>
        <w:rPr>
          <w:rFonts w:ascii="Times New Roman" w:hAnsi="Times New Roman" w:cs="Times New Roman"/>
          <w:b/>
          <w:bCs/>
          <w:color w:val="000000" w:themeColor="text1"/>
          <w:sz w:val="30"/>
          <w:szCs w:val="30"/>
          <w:highlight w:val="none"/>
        </w:rPr>
        <w:t>月</w:t>
      </w:r>
    </w:p>
    <w:p w14:paraId="17490ED4">
      <w:pPr>
        <w:pStyle w:val="57"/>
        <w:spacing w:before="120" w:after="120" w:line="360" w:lineRule="auto"/>
        <w:jc w:val="center"/>
        <w:rPr>
          <w:rFonts w:ascii="Times New Roman" w:hAnsi="Times New Roman" w:cs="Times New Roman"/>
          <w:color w:val="000000" w:themeColor="text1"/>
          <w:highlight w:val="none"/>
        </w:rPr>
        <w:sectPr>
          <w:pgSz w:w="11906" w:h="16838"/>
          <w:pgMar w:top="1304" w:right="1106" w:bottom="1304" w:left="1531" w:header="1304" w:footer="1304" w:gutter="0"/>
          <w:pgNumType w:start="1"/>
          <w:cols w:space="720" w:num="1"/>
        </w:sectPr>
      </w:pPr>
    </w:p>
    <w:p w14:paraId="5C4097A5">
      <w:pPr>
        <w:pStyle w:val="57"/>
        <w:spacing w:before="159" w:after="159" w:line="360" w:lineRule="auto"/>
        <w:jc w:val="center"/>
        <w:rPr>
          <w:rFonts w:ascii="Times New Roman" w:hAnsi="Times New Roman" w:eastAsia="宋体" w:cs="Times New Roman"/>
          <w:color w:val="000000" w:themeColor="text1"/>
          <w:sz w:val="32"/>
          <w:szCs w:val="32"/>
          <w:highlight w:val="none"/>
        </w:rPr>
      </w:pPr>
    </w:p>
    <w:p w14:paraId="02FF5250">
      <w:pPr>
        <w:pStyle w:val="57"/>
        <w:spacing w:before="159" w:after="159" w:line="360" w:lineRule="auto"/>
        <w:jc w:val="center"/>
        <w:rPr>
          <w:rFonts w:ascii="Times New Roman" w:hAnsi="Times New Roman" w:eastAsia="宋体" w:cs="Times New Roman"/>
          <w:color w:val="000000" w:themeColor="text1"/>
          <w:sz w:val="32"/>
          <w:szCs w:val="32"/>
          <w:highlight w:val="none"/>
        </w:rPr>
      </w:pPr>
      <w:r>
        <w:rPr>
          <w:rFonts w:ascii="Times New Roman" w:hAnsi="Times New Roman" w:eastAsia="宋体" w:cs="Times New Roman"/>
          <w:color w:val="000000" w:themeColor="text1"/>
          <w:sz w:val="32"/>
          <w:szCs w:val="32"/>
          <w:highlight w:val="none"/>
        </w:rPr>
        <w:t>目录</w:t>
      </w:r>
    </w:p>
    <w:p w14:paraId="2C62A81C">
      <w:pPr>
        <w:spacing w:line="360" w:lineRule="auto"/>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第一章采购公告</w:t>
      </w:r>
    </w:p>
    <w:p w14:paraId="46700452">
      <w:pPr>
        <w:spacing w:line="360" w:lineRule="auto"/>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第二章采购需求</w:t>
      </w:r>
    </w:p>
    <w:p w14:paraId="204144BC">
      <w:pPr>
        <w:spacing w:line="360" w:lineRule="auto"/>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第三章投标人须知</w:t>
      </w:r>
    </w:p>
    <w:p w14:paraId="3BB8B254">
      <w:pPr>
        <w:spacing w:before="120" w:line="360" w:lineRule="auto"/>
        <w:ind w:firstLine="1120" w:firstLineChars="400"/>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前附表</w:t>
      </w:r>
    </w:p>
    <w:p w14:paraId="584BD668">
      <w:pPr>
        <w:spacing w:before="120" w:line="360" w:lineRule="auto"/>
        <w:ind w:firstLine="560" w:firstLineChars="200"/>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一、总则</w:t>
      </w:r>
    </w:p>
    <w:p w14:paraId="75C025ED">
      <w:pPr>
        <w:spacing w:before="120" w:line="360" w:lineRule="auto"/>
        <w:ind w:firstLine="560" w:firstLineChars="200"/>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二、采购文件</w:t>
      </w:r>
    </w:p>
    <w:p w14:paraId="73EB1692">
      <w:pPr>
        <w:spacing w:before="120" w:line="360" w:lineRule="auto"/>
        <w:ind w:firstLine="560" w:firstLineChars="200"/>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三、投标文件的编制</w:t>
      </w:r>
    </w:p>
    <w:p w14:paraId="170DBF58">
      <w:pPr>
        <w:spacing w:before="120" w:line="360" w:lineRule="auto"/>
        <w:ind w:firstLine="560" w:firstLineChars="200"/>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四、开标</w:t>
      </w:r>
    </w:p>
    <w:p w14:paraId="7A98D0E8">
      <w:pPr>
        <w:spacing w:before="120" w:line="360" w:lineRule="auto"/>
        <w:ind w:firstLine="560" w:firstLineChars="200"/>
        <w:rPr>
          <w:rFonts w:ascii="Times New Roman" w:hAnsi="Times New Roman" w:cs="Times New Roman"/>
          <w:color w:val="000000" w:themeColor="text1"/>
          <w:highlight w:val="none"/>
        </w:rPr>
      </w:pPr>
      <w:r>
        <w:rPr>
          <w:rFonts w:ascii="Times New Roman" w:hAnsi="Times New Roman" w:cs="Times New Roman"/>
          <w:color w:val="000000" w:themeColor="text1"/>
          <w:sz w:val="28"/>
          <w:szCs w:val="28"/>
          <w:highlight w:val="none"/>
        </w:rPr>
        <w:t>五、评标</w:t>
      </w:r>
    </w:p>
    <w:p w14:paraId="767354B9">
      <w:pPr>
        <w:spacing w:before="120" w:line="360" w:lineRule="auto"/>
        <w:ind w:firstLine="560" w:firstLineChars="200"/>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六、定标</w:t>
      </w:r>
    </w:p>
    <w:p w14:paraId="475ADCCE">
      <w:pPr>
        <w:tabs>
          <w:tab w:val="left" w:pos="6112"/>
        </w:tabs>
        <w:spacing w:before="120" w:line="360" w:lineRule="auto"/>
        <w:ind w:firstLine="560" w:firstLineChars="200"/>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七、合同授予</w:t>
      </w:r>
      <w:r>
        <w:rPr>
          <w:rFonts w:hint="eastAsia" w:ascii="Times New Roman" w:hAnsi="Times New Roman" w:cs="Times New Roman"/>
          <w:color w:val="000000" w:themeColor="text1"/>
          <w:sz w:val="28"/>
          <w:szCs w:val="28"/>
          <w:highlight w:val="none"/>
        </w:rPr>
        <w:tab/>
      </w:r>
    </w:p>
    <w:p w14:paraId="4E2CFC4B">
      <w:pPr>
        <w:spacing w:before="120" w:line="360" w:lineRule="auto"/>
        <w:ind w:firstLine="560" w:firstLineChars="200"/>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八、招标代理费</w:t>
      </w:r>
    </w:p>
    <w:p w14:paraId="587A6E67">
      <w:pPr>
        <w:spacing w:before="120" w:line="360" w:lineRule="auto"/>
        <w:ind w:firstLine="560" w:firstLineChars="200"/>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九、政府采购政策</w:t>
      </w:r>
    </w:p>
    <w:p w14:paraId="2CF39688">
      <w:pPr>
        <w:spacing w:before="120" w:line="360" w:lineRule="auto"/>
        <w:ind w:firstLine="560" w:firstLineChars="200"/>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十、解释权</w:t>
      </w:r>
    </w:p>
    <w:p w14:paraId="2DF8540C">
      <w:pPr>
        <w:spacing w:line="360" w:lineRule="auto"/>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第四章评分办法及评分标准</w:t>
      </w:r>
    </w:p>
    <w:p w14:paraId="47559C10">
      <w:pPr>
        <w:spacing w:line="360" w:lineRule="auto"/>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第五章合同主要条款</w:t>
      </w:r>
    </w:p>
    <w:p w14:paraId="6894987C">
      <w:pPr>
        <w:spacing w:line="360" w:lineRule="auto"/>
        <w:rPr>
          <w:rFonts w:ascii="Times New Roman" w:hAnsi="Times New Roman" w:cs="Times New Roman"/>
          <w:color w:val="000000" w:themeColor="text1"/>
          <w:highlight w:val="none"/>
        </w:rPr>
      </w:pPr>
      <w:r>
        <w:rPr>
          <w:rFonts w:ascii="Times New Roman" w:hAnsi="Times New Roman" w:cs="Times New Roman"/>
          <w:color w:val="000000" w:themeColor="text1"/>
          <w:sz w:val="28"/>
          <w:szCs w:val="28"/>
          <w:highlight w:val="none"/>
        </w:rPr>
        <w:t>第六章投标文件相关格式</w:t>
      </w:r>
    </w:p>
    <w:p w14:paraId="33FB0069">
      <w:pPr>
        <w:spacing w:line="360" w:lineRule="auto"/>
        <w:jc w:val="center"/>
        <w:rPr>
          <w:rFonts w:ascii="Times New Roman" w:hAnsi="Times New Roman" w:eastAsia="仿宋" w:cs="Times New Roman"/>
          <w:color w:val="000000" w:themeColor="text1"/>
          <w:sz w:val="27"/>
          <w:szCs w:val="27"/>
          <w:highlight w:val="none"/>
        </w:rPr>
      </w:pPr>
      <w:bookmarkStart w:id="0" w:name="OLE_LINK1"/>
      <w:r>
        <w:rPr>
          <w:rFonts w:ascii="Times New Roman" w:hAnsi="Times New Roman" w:cs="Times New Roman"/>
          <w:b/>
          <w:bCs/>
          <w:color w:val="000000" w:themeColor="text1"/>
          <w:sz w:val="30"/>
          <w:szCs w:val="30"/>
          <w:highlight w:val="none"/>
        </w:rPr>
        <w:t>第一章采购公告</w:t>
      </w:r>
      <w:bookmarkEnd w:id="0"/>
    </w:p>
    <w:tbl>
      <w:tblPr>
        <w:tblStyle w:val="24"/>
        <w:tblW w:w="85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114A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0" w:type="dxa"/>
          </w:tcPr>
          <w:p w14:paraId="3D53A9F5">
            <w:pPr>
              <w:pStyle w:val="22"/>
              <w:widowControl/>
              <w:spacing w:before="0" w:beforeAutospacing="0" w:after="0" w:afterAutospacing="0" w:line="360" w:lineRule="auto"/>
              <w:ind w:firstLine="420" w:firstLineChars="200"/>
              <w:jc w:val="center"/>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项目概况</w:t>
            </w:r>
          </w:p>
          <w:p w14:paraId="03DF412C">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    </w:t>
            </w:r>
            <w:r>
              <w:rPr>
                <w:rFonts w:hint="eastAsia" w:ascii="Times New Roman" w:hAnsi="Times New Roman" w:cs="Times New Roman"/>
                <w:color w:val="000000" w:themeColor="text1"/>
                <w:sz w:val="21"/>
                <w:szCs w:val="21"/>
                <w:highlight w:val="none"/>
                <w:lang w:eastAsia="zh-CN"/>
              </w:rPr>
              <w:t>2025年杭州湾乐清湾滨海湿地变迁遥感调查项目</w:t>
            </w:r>
            <w:r>
              <w:rPr>
                <w:rFonts w:hint="eastAsia" w:ascii="Times New Roman" w:hAnsi="Times New Roman" w:cs="Times New Roman"/>
                <w:color w:val="000000" w:themeColor="text1"/>
                <w:sz w:val="21"/>
                <w:szCs w:val="21"/>
                <w:highlight w:val="none"/>
              </w:rPr>
              <w:t>招标项目的潜在投标人应在浙江政府采购网http://zfcg.czt.zj.gov.cn/（用“政采云”注册账号、密码登录系统后获取招标文件）  获取（下载）招标文件，并于</w:t>
            </w:r>
            <w:r>
              <w:rPr>
                <w:rFonts w:hint="eastAsia" w:ascii="Times New Roman" w:hAnsi="Times New Roman" w:cs="Times New Roman"/>
                <w:color w:val="000000" w:themeColor="text1"/>
                <w:sz w:val="21"/>
                <w:szCs w:val="21"/>
                <w:highlight w:val="none"/>
                <w:lang w:eastAsia="zh-CN"/>
              </w:rPr>
              <w:t> </w:t>
            </w:r>
            <w:r>
              <w:rPr>
                <w:rFonts w:hint="eastAsia" w:ascii="Times New Roman" w:hAnsi="Times New Roman" w:cs="Times New Roman"/>
                <w:color w:val="000000" w:themeColor="text1"/>
                <w:sz w:val="21"/>
                <w:szCs w:val="21"/>
                <w:highlight w:val="none"/>
                <w:lang w:eastAsia="zh-CN"/>
              </w:rPr>
              <w:t>202</w:t>
            </w:r>
            <w:r>
              <w:rPr>
                <w:rFonts w:hint="eastAsia" w:ascii="Times New Roman" w:hAnsi="Times New Roman" w:cs="Times New Roman"/>
                <w:color w:val="000000" w:themeColor="text1"/>
                <w:sz w:val="21"/>
                <w:szCs w:val="21"/>
                <w:highlight w:val="none"/>
                <w:lang w:val="en-US" w:eastAsia="zh-CN"/>
              </w:rPr>
              <w:t>5</w:t>
            </w:r>
            <w:r>
              <w:rPr>
                <w:rFonts w:hint="eastAsia" w:ascii="Times New Roman" w:hAnsi="Times New Roman" w:cs="Times New Roman"/>
                <w:color w:val="000000" w:themeColor="text1"/>
                <w:sz w:val="21"/>
                <w:szCs w:val="21"/>
                <w:highlight w:val="none"/>
                <w:lang w:eastAsia="zh-CN"/>
              </w:rPr>
              <w:t>年</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lang w:eastAsia="zh-CN"/>
              </w:rPr>
              <w:t>月</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lang w:eastAsia="zh-CN"/>
              </w:rPr>
              <w:t>日 14:30</w:t>
            </w:r>
            <w:r>
              <w:rPr>
                <w:rFonts w:hint="eastAsia" w:ascii="Times New Roman" w:hAnsi="Times New Roman" w:cs="Times New Roman"/>
                <w:color w:val="000000" w:themeColor="text1"/>
                <w:sz w:val="21"/>
                <w:szCs w:val="21"/>
                <w:highlight w:val="none"/>
              </w:rPr>
              <w:t>（北京时间）前递交（上传）投标文件。</w:t>
            </w:r>
          </w:p>
        </w:tc>
      </w:tr>
    </w:tbl>
    <w:p w14:paraId="3D57EE5C">
      <w:pPr>
        <w:pStyle w:val="22"/>
        <w:widowControl/>
        <w:spacing w:before="0" w:beforeAutospacing="0" w:after="0" w:afterAutospacing="0" w:line="360" w:lineRule="auto"/>
        <w:jc w:val="both"/>
        <w:rPr>
          <w:rFonts w:ascii="Times New Roman" w:hAnsi="Times New Roman" w:cs="Times New Roman"/>
          <w:color w:val="000000" w:themeColor="text1"/>
          <w:sz w:val="21"/>
          <w:szCs w:val="21"/>
          <w:highlight w:val="none"/>
        </w:rPr>
      </w:pPr>
      <w:r>
        <w:rPr>
          <w:rStyle w:val="27"/>
          <w:rFonts w:ascii="Times New Roman" w:hAnsi="Times New Roman" w:cs="Times New Roman"/>
          <w:color w:val="000000" w:themeColor="text1"/>
          <w:sz w:val="21"/>
          <w:szCs w:val="21"/>
          <w:highlight w:val="none"/>
        </w:rPr>
        <w:t>一、项目基本情况</w:t>
      </w:r>
    </w:p>
    <w:p w14:paraId="222735F4">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rPr>
        <w:t>项目编号：</w:t>
      </w:r>
      <w:r>
        <w:rPr>
          <w:rFonts w:hint="eastAsia" w:ascii="Times New Roman" w:hAnsi="Times New Roman" w:cs="Times New Roman"/>
          <w:color w:val="000000" w:themeColor="text1"/>
          <w:sz w:val="21"/>
          <w:szCs w:val="21"/>
          <w:highlight w:val="none"/>
          <w:lang w:eastAsia="zh-CN"/>
        </w:rPr>
        <w:t>ZHCG2025-10</w:t>
      </w:r>
    </w:p>
    <w:p w14:paraId="182FD3C2">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rPr>
        <w:t>项目名称：</w:t>
      </w:r>
      <w:r>
        <w:rPr>
          <w:rFonts w:hint="eastAsia" w:ascii="Times New Roman" w:hAnsi="Times New Roman" w:cs="Times New Roman"/>
          <w:color w:val="000000" w:themeColor="text1"/>
          <w:sz w:val="21"/>
          <w:szCs w:val="21"/>
          <w:highlight w:val="none"/>
          <w:lang w:eastAsia="zh-CN"/>
        </w:rPr>
        <w:t>2025年杭州湾乐清湾滨海湿地变迁遥感调查项目</w:t>
      </w:r>
    </w:p>
    <w:p w14:paraId="4668E4A1">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预算金额（元）：</w:t>
      </w:r>
      <w:r>
        <w:rPr>
          <w:rFonts w:hint="eastAsia" w:ascii="Times New Roman" w:hAnsi="Times New Roman" w:cs="Times New Roman"/>
          <w:color w:val="000000" w:themeColor="text1"/>
          <w:sz w:val="21"/>
          <w:szCs w:val="21"/>
          <w:highlight w:val="none"/>
          <w:lang w:eastAsia="zh-CN"/>
        </w:rPr>
        <w:t>250000</w:t>
      </w:r>
      <w:r>
        <w:rPr>
          <w:rFonts w:hint="eastAsia" w:ascii="Times New Roman" w:hAnsi="Times New Roman" w:cs="Times New Roman"/>
          <w:color w:val="000000" w:themeColor="text1"/>
          <w:sz w:val="21"/>
          <w:szCs w:val="21"/>
          <w:highlight w:val="none"/>
        </w:rPr>
        <w:t>  </w:t>
      </w:r>
    </w:p>
    <w:p w14:paraId="4B748364">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最高限价（元）：</w:t>
      </w:r>
      <w:r>
        <w:rPr>
          <w:rFonts w:hint="eastAsia" w:ascii="Times New Roman" w:hAnsi="Times New Roman" w:cs="Times New Roman"/>
          <w:color w:val="000000" w:themeColor="text1"/>
          <w:sz w:val="21"/>
          <w:szCs w:val="21"/>
          <w:highlight w:val="none"/>
          <w:lang w:eastAsia="zh-CN"/>
        </w:rPr>
        <w:t>250000</w:t>
      </w:r>
      <w:r>
        <w:rPr>
          <w:rFonts w:hint="eastAsia" w:ascii="Times New Roman" w:hAnsi="Times New Roman" w:cs="Times New Roman"/>
          <w:color w:val="000000" w:themeColor="text1"/>
          <w:sz w:val="21"/>
          <w:szCs w:val="21"/>
          <w:highlight w:val="none"/>
        </w:rPr>
        <w:t> </w:t>
      </w:r>
    </w:p>
    <w:p w14:paraId="5D892940">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采购需求：</w:t>
      </w:r>
    </w:p>
    <w:p w14:paraId="223BB097">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ascii="Times New Roman" w:hAnsi="Times New Roman" w:cs="Times New Roman"/>
          <w:color w:val="000000" w:themeColor="text1"/>
          <w:sz w:val="21"/>
          <w:szCs w:val="21"/>
          <w:highlight w:val="none"/>
        </w:rPr>
        <w:t>标项名称：</w:t>
      </w:r>
      <w:r>
        <w:rPr>
          <w:rFonts w:hint="eastAsia" w:ascii="Times New Roman" w:hAnsi="Times New Roman" w:cs="Times New Roman"/>
          <w:color w:val="000000" w:themeColor="text1"/>
          <w:sz w:val="21"/>
          <w:szCs w:val="21"/>
          <w:highlight w:val="none"/>
          <w:lang w:eastAsia="zh-CN"/>
        </w:rPr>
        <w:t>2025年杭州湾乐清湾滨海湿地变迁遥感调查项目</w:t>
      </w:r>
      <w:r>
        <w:rPr>
          <w:rFonts w:ascii="Times New Roman" w:hAnsi="Times New Roman" w:cs="Times New Roman"/>
          <w:color w:val="000000" w:themeColor="text1"/>
          <w:sz w:val="21"/>
          <w:szCs w:val="21"/>
          <w:highlight w:val="none"/>
        </w:rPr>
        <w:t> </w:t>
      </w:r>
    </w:p>
    <w:p w14:paraId="2614FA25">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ascii="Times New Roman" w:hAnsi="Times New Roman" w:cs="Times New Roman"/>
          <w:color w:val="000000" w:themeColor="text1"/>
          <w:sz w:val="21"/>
          <w:szCs w:val="21"/>
          <w:highlight w:val="none"/>
        </w:rPr>
        <w:t>     数量</w:t>
      </w:r>
      <w:r>
        <w:rPr>
          <w:rFonts w:hint="eastAsia" w:ascii="Times New Roman" w:hAnsi="Times New Roman" w:cs="Times New Roman"/>
          <w:color w:val="000000" w:themeColor="text1"/>
          <w:sz w:val="21"/>
          <w:szCs w:val="21"/>
          <w:highlight w:val="none"/>
          <w:lang w:eastAsia="zh-CN"/>
        </w:rPr>
        <w:t>：</w:t>
      </w:r>
      <w:r>
        <w:rPr>
          <w:rFonts w:ascii="Times New Roman" w:hAnsi="Times New Roman" w:cs="Times New Roman"/>
          <w:color w:val="000000" w:themeColor="text1"/>
          <w:sz w:val="21"/>
          <w:szCs w:val="21"/>
          <w:highlight w:val="none"/>
        </w:rPr>
        <w:t> 1  </w:t>
      </w:r>
    </w:p>
    <w:p w14:paraId="26E5CA32">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ascii="Times New Roman" w:hAnsi="Times New Roman" w:cs="Times New Roman"/>
          <w:color w:val="000000" w:themeColor="text1"/>
          <w:sz w:val="21"/>
          <w:szCs w:val="21"/>
          <w:highlight w:val="none"/>
        </w:rPr>
        <w:t>     预算金额（元）</w:t>
      </w:r>
      <w:r>
        <w:rPr>
          <w:rFonts w:hint="eastAsia" w:ascii="Times New Roman" w:hAnsi="Times New Roman" w:cs="Times New Roman"/>
          <w:color w:val="000000" w:themeColor="text1"/>
          <w:sz w:val="21"/>
          <w:szCs w:val="21"/>
          <w:highlight w:val="none"/>
          <w:lang w:eastAsia="zh-CN"/>
        </w:rPr>
        <w:t>：</w:t>
      </w:r>
      <w:r>
        <w:rPr>
          <w:rFonts w:ascii="Times New Roman" w:hAnsi="Times New Roman" w:cs="Times New Roman"/>
          <w:color w:val="000000" w:themeColor="text1"/>
          <w:sz w:val="21"/>
          <w:szCs w:val="21"/>
          <w:highlight w:val="none"/>
        </w:rPr>
        <w:t>  </w:t>
      </w:r>
      <w:r>
        <w:rPr>
          <w:rFonts w:hint="eastAsia" w:ascii="Times New Roman" w:hAnsi="Times New Roman" w:cs="Times New Roman"/>
          <w:color w:val="000000" w:themeColor="text1"/>
          <w:sz w:val="21"/>
          <w:szCs w:val="21"/>
          <w:highlight w:val="none"/>
          <w:lang w:eastAsia="zh-CN"/>
        </w:rPr>
        <w:t>250000</w:t>
      </w:r>
    </w:p>
    <w:p w14:paraId="6686BD41">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ascii="Times New Roman" w:hAnsi="Times New Roman" w:cs="Times New Roman"/>
          <w:color w:val="000000" w:themeColor="text1"/>
          <w:sz w:val="21"/>
          <w:szCs w:val="21"/>
          <w:highlight w:val="none"/>
        </w:rPr>
        <w:t> 简要规格描述或项目基本概况介绍、用途：具体详见采购需求 </w:t>
      </w:r>
    </w:p>
    <w:p w14:paraId="576C0A1A">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备注： </w:t>
      </w:r>
    </w:p>
    <w:p w14:paraId="6D77A71D">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yellow"/>
        </w:rPr>
      </w:pPr>
      <w:r>
        <w:rPr>
          <w:rFonts w:ascii="Times New Roman" w:hAnsi="Times New Roman" w:cs="Times New Roman"/>
          <w:color w:val="000000" w:themeColor="text1"/>
          <w:sz w:val="21"/>
          <w:szCs w:val="21"/>
          <w:highlight w:val="none"/>
        </w:rPr>
        <w:t>合同履约期限：</w:t>
      </w:r>
      <w:r>
        <w:rPr>
          <w:rFonts w:hint="eastAsia" w:ascii="Times New Roman" w:hAnsi="Times New Roman" w:cs="Times New Roman"/>
          <w:color w:val="000000" w:themeColor="text1"/>
          <w:sz w:val="21"/>
          <w:szCs w:val="21"/>
          <w:highlight w:val="none"/>
          <w:lang w:eastAsia="zh-CN"/>
        </w:rPr>
        <w:t>合同签订之日起至2025年11月30日止</w:t>
      </w:r>
      <w:r>
        <w:rPr>
          <w:rFonts w:hint="eastAsia" w:ascii="Times New Roman" w:hAnsi="Times New Roman" w:cs="Times New Roman"/>
          <w:color w:val="000000" w:themeColor="text1"/>
          <w:sz w:val="21"/>
          <w:szCs w:val="21"/>
          <w:highlight w:val="none"/>
        </w:rPr>
        <w:t>。</w:t>
      </w:r>
    </w:p>
    <w:p w14:paraId="473315F6">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本项目（否）接受联合体投标。</w:t>
      </w:r>
    </w:p>
    <w:p w14:paraId="22640316">
      <w:pPr>
        <w:pStyle w:val="22"/>
        <w:widowControl/>
        <w:spacing w:before="0" w:beforeAutospacing="0" w:after="0" w:afterAutospacing="0" w:line="360" w:lineRule="auto"/>
        <w:jc w:val="both"/>
        <w:rPr>
          <w:rStyle w:val="27"/>
          <w:rFonts w:ascii="Times New Roman" w:hAnsi="Times New Roman"/>
          <w:sz w:val="21"/>
          <w:szCs w:val="21"/>
          <w:highlight w:val="none"/>
        </w:rPr>
      </w:pPr>
      <w:r>
        <w:rPr>
          <w:rStyle w:val="27"/>
          <w:rFonts w:ascii="Times New Roman" w:hAnsi="Times New Roman"/>
          <w:sz w:val="21"/>
          <w:szCs w:val="21"/>
          <w:highlight w:val="none"/>
        </w:rPr>
        <w:t>二、申请人的资格要求：</w:t>
      </w:r>
    </w:p>
    <w:p w14:paraId="391C1C7E">
      <w:pPr>
        <w:pStyle w:val="22"/>
        <w:widowControl/>
        <w:spacing w:before="0" w:beforeAutospacing="0" w:after="0" w:afterAutospacing="0" w:line="288" w:lineRule="auto"/>
        <w:ind w:firstLine="525" w:firstLineChars="250"/>
        <w:rPr>
          <w:rFonts w:ascii="Times New Roman" w:hAnsi="Times New Roman"/>
          <w:sz w:val="21"/>
          <w:szCs w:val="21"/>
          <w:highlight w:val="none"/>
        </w:rPr>
      </w:pPr>
      <w:r>
        <w:rPr>
          <w:rFonts w:ascii="Times New Roman" w:hAnsi="Times New Roman"/>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9D26B33">
      <w:pPr>
        <w:pStyle w:val="22"/>
        <w:widowControl/>
        <w:spacing w:before="0" w:beforeAutospacing="0" w:after="0" w:afterAutospacing="0" w:line="360" w:lineRule="auto"/>
        <w:ind w:firstLine="630" w:firstLineChars="300"/>
        <w:jc w:val="both"/>
        <w:rPr>
          <w:rFonts w:hint="eastAsia" w:ascii="Times New Roman" w:hAnsi="Times New Roman" w:cs="Times New Roman"/>
          <w:b/>
          <w:bCs/>
          <w:color w:val="000000" w:themeColor="text1"/>
          <w:kern w:val="0"/>
          <w:highlight w:val="none"/>
        </w:rPr>
      </w:pPr>
      <w:r>
        <w:rPr>
          <w:rFonts w:ascii="Times New Roman" w:hAnsi="Times New Roman"/>
          <w:sz w:val="21"/>
          <w:szCs w:val="21"/>
          <w:highlight w:val="none"/>
        </w:rPr>
        <w:t>2.落实政府采购政策需满足的资格要求：</w:t>
      </w:r>
      <w:r>
        <w:rPr>
          <w:rStyle w:val="27"/>
          <w:rFonts w:hint="eastAsia" w:ascii="Times New Roman" w:hAnsi="Times New Roman" w:eastAsia="宋体" w:cs="Times New Roman"/>
          <w:sz w:val="21"/>
          <w:szCs w:val="21"/>
        </w:rPr>
        <w:t>本项目为专门面向中小企业采购的项目，供应商应为中小微企业（监狱企业及残疾人福利性单位视同小型、微型企业）</w:t>
      </w:r>
      <w:r>
        <w:rPr>
          <w:rFonts w:hint="eastAsia" w:ascii="Times New Roman" w:hAnsi="Times New Roman" w:cs="Times New Roman"/>
          <w:color w:val="000000" w:themeColor="text1"/>
          <w:sz w:val="21"/>
          <w:szCs w:val="21"/>
          <w:highlight w:val="none"/>
        </w:rPr>
        <w:t>。</w:t>
      </w:r>
      <w:r>
        <w:rPr>
          <w:rFonts w:hint="eastAsia" w:ascii="Times New Roman" w:hAnsi="Times New Roman" w:cs="Times New Roman"/>
          <w:b/>
          <w:bCs/>
          <w:color w:val="000000" w:themeColor="text1"/>
          <w:kern w:val="0"/>
          <w:highlight w:val="none"/>
        </w:rPr>
        <w:t xml:space="preserve"> </w:t>
      </w:r>
    </w:p>
    <w:p w14:paraId="0BD7BFAA">
      <w:pPr>
        <w:pStyle w:val="22"/>
        <w:widowControl/>
        <w:spacing w:before="0" w:beforeAutospacing="0" w:after="0" w:afterAutospacing="0" w:line="360" w:lineRule="auto"/>
        <w:ind w:firstLine="632" w:firstLineChars="300"/>
        <w:jc w:val="both"/>
        <w:rPr>
          <w:rFonts w:hint="eastAsia" w:ascii="Times New Roman" w:hAnsi="Times New Roman" w:eastAsia="宋体"/>
          <w:b/>
          <w:bCs/>
          <w:sz w:val="21"/>
          <w:szCs w:val="21"/>
          <w:highlight w:val="yellow"/>
        </w:rPr>
      </w:pPr>
      <w:r>
        <w:rPr>
          <w:rFonts w:hint="eastAsia" w:ascii="Times New Roman" w:hAnsi="Times New Roman" w:eastAsia="宋体"/>
          <w:b/>
          <w:bCs/>
          <w:sz w:val="21"/>
          <w:szCs w:val="21"/>
          <w:highlight w:val="yellow"/>
        </w:rPr>
        <w:t>3.本项目的特定资格要求：具有有效测绘资质认证证书</w:t>
      </w:r>
      <w:r>
        <w:rPr>
          <w:rFonts w:hint="eastAsia" w:ascii="Times New Roman" w:hAnsi="Times New Roman" w:eastAsia="宋体"/>
          <w:b/>
          <w:bCs/>
          <w:sz w:val="21"/>
          <w:szCs w:val="21"/>
          <w:highlight w:val="yellow"/>
          <w:lang w:eastAsia="zh-CN"/>
        </w:rPr>
        <w:t>。</w:t>
      </w:r>
    </w:p>
    <w:p w14:paraId="5EBB367B">
      <w:pPr>
        <w:pStyle w:val="22"/>
        <w:widowControl/>
        <w:spacing w:before="0" w:beforeAutospacing="0" w:after="0" w:afterAutospacing="0" w:line="360" w:lineRule="auto"/>
        <w:jc w:val="both"/>
        <w:rPr>
          <w:rStyle w:val="27"/>
          <w:rFonts w:ascii="Times New Roman" w:hAnsi="Times New Roman" w:cs="Times New Roman"/>
          <w:color w:val="000000" w:themeColor="text1"/>
          <w:sz w:val="21"/>
          <w:szCs w:val="21"/>
          <w:highlight w:val="none"/>
        </w:rPr>
      </w:pPr>
      <w:r>
        <w:rPr>
          <w:rStyle w:val="27"/>
          <w:rFonts w:ascii="Times New Roman" w:hAnsi="Times New Roman" w:cs="Times New Roman"/>
          <w:color w:val="000000" w:themeColor="text1"/>
          <w:sz w:val="21"/>
          <w:szCs w:val="21"/>
          <w:highlight w:val="none"/>
        </w:rPr>
        <w:t>三、获取招标文件 </w:t>
      </w:r>
    </w:p>
    <w:p w14:paraId="272965A7">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时间</w:t>
      </w:r>
      <w:r>
        <w:rPr>
          <w:rFonts w:hint="eastAsia" w:ascii="Times New Roman" w:hAnsi="Times New Roman" w:cs="Times New Roman"/>
          <w:color w:val="000000" w:themeColor="text1"/>
          <w:sz w:val="21"/>
          <w:szCs w:val="21"/>
          <w:highlight w:val="none"/>
          <w:lang w:eastAsia="zh-CN"/>
        </w:rPr>
        <w:t>：</w:t>
      </w:r>
      <w:r>
        <w:rPr>
          <w:rFonts w:hint="eastAsia" w:ascii="Times New Roman" w:hAnsi="Times New Roman" w:cs="Times New Roman"/>
          <w:color w:val="000000" w:themeColor="text1"/>
          <w:sz w:val="21"/>
          <w:szCs w:val="21"/>
          <w:highlight w:val="none"/>
        </w:rPr>
        <w:t>至</w:t>
      </w:r>
      <w:r>
        <w:rPr>
          <w:rFonts w:hint="eastAsia" w:ascii="Times New Roman" w:hAnsi="Times New Roman" w:cs="Times New Roman"/>
          <w:color w:val="000000" w:themeColor="text1"/>
          <w:sz w:val="21"/>
          <w:szCs w:val="21"/>
          <w:highlight w:val="none"/>
          <w:lang w:eastAsia="zh-CN"/>
        </w:rPr>
        <w:t> 202</w:t>
      </w:r>
      <w:r>
        <w:rPr>
          <w:rFonts w:hint="eastAsia" w:ascii="Times New Roman" w:hAnsi="Times New Roman" w:cs="Times New Roman"/>
          <w:color w:val="000000" w:themeColor="text1"/>
          <w:sz w:val="21"/>
          <w:szCs w:val="21"/>
          <w:highlight w:val="none"/>
          <w:lang w:val="en-US" w:eastAsia="zh-CN"/>
        </w:rPr>
        <w:t>5</w:t>
      </w:r>
      <w:r>
        <w:rPr>
          <w:rFonts w:hint="eastAsia" w:ascii="Times New Roman" w:hAnsi="Times New Roman" w:cs="Times New Roman"/>
          <w:color w:val="000000" w:themeColor="text1"/>
          <w:sz w:val="21"/>
          <w:szCs w:val="21"/>
          <w:highlight w:val="none"/>
          <w:lang w:eastAsia="zh-CN"/>
        </w:rPr>
        <w:t>年</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lang w:eastAsia="zh-CN"/>
        </w:rPr>
        <w:t>月</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lang w:eastAsia="zh-CN"/>
        </w:rPr>
        <w:t>日</w:t>
      </w:r>
      <w:r>
        <w:rPr>
          <w:rFonts w:hint="eastAsia" w:ascii="Times New Roman" w:hAnsi="Times New Roman" w:cs="Times New Roman"/>
          <w:color w:val="000000" w:themeColor="text1"/>
          <w:sz w:val="21"/>
          <w:szCs w:val="21"/>
          <w:highlight w:val="none"/>
          <w:lang w:eastAsia="zh-CN"/>
        </w:rPr>
        <w:t xml:space="preserve"> 14:30</w:t>
      </w:r>
      <w:r>
        <w:rPr>
          <w:rFonts w:hint="eastAsia" w:ascii="Times New Roman" w:hAnsi="Times New Roman" w:cs="Times New Roman"/>
          <w:color w:val="000000" w:themeColor="text1"/>
          <w:sz w:val="21"/>
          <w:szCs w:val="21"/>
          <w:highlight w:val="none"/>
        </w:rPr>
        <w:t>，每天上午00:00至12:00 ，下午12:00至23:59（北京时间，线上获取法定节假日均可，线下获取文件法定节假日除外）</w:t>
      </w:r>
    </w:p>
    <w:p w14:paraId="232AFB5A">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地点（网址）：浙江政府采购网http://zfcg.czt.zj.gov.cn/（用“政采云”注册账号、密码登录系统后获取招标文件）   </w:t>
      </w:r>
    </w:p>
    <w:p w14:paraId="47993CE2">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    </w:t>
      </w:r>
    </w:p>
    <w:p w14:paraId="2936D96F">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售价（元）：0 </w:t>
      </w:r>
    </w:p>
    <w:p w14:paraId="23C0EB44">
      <w:pPr>
        <w:pStyle w:val="22"/>
        <w:widowControl/>
        <w:spacing w:before="0" w:beforeAutospacing="0" w:after="0" w:afterAutospacing="0" w:line="360" w:lineRule="auto"/>
        <w:jc w:val="both"/>
        <w:rPr>
          <w:rStyle w:val="27"/>
          <w:rFonts w:ascii="Times New Roman" w:hAnsi="Times New Roman" w:cs="Times New Roman"/>
          <w:color w:val="000000" w:themeColor="text1"/>
          <w:sz w:val="21"/>
          <w:szCs w:val="21"/>
          <w:highlight w:val="none"/>
        </w:rPr>
      </w:pPr>
      <w:r>
        <w:rPr>
          <w:rStyle w:val="27"/>
          <w:rFonts w:ascii="Times New Roman" w:hAnsi="Times New Roman" w:cs="Times New Roman"/>
          <w:color w:val="000000" w:themeColor="text1"/>
          <w:sz w:val="21"/>
          <w:szCs w:val="21"/>
          <w:highlight w:val="none"/>
        </w:rPr>
        <w:t>四、提交投标文件截止时间、开标时间和地点</w:t>
      </w:r>
    </w:p>
    <w:p w14:paraId="3F38F0C6">
      <w:pPr>
        <w:pStyle w:val="22"/>
        <w:widowControl/>
        <w:spacing w:before="75" w:beforeAutospacing="0" w:after="75" w:afterAutospacing="0" w:line="360" w:lineRule="auto"/>
        <w:ind w:firstLine="420"/>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提交投标文件截止时间：</w:t>
      </w:r>
      <w:r>
        <w:rPr>
          <w:rFonts w:hint="eastAsia" w:ascii="Times New Roman" w:hAnsi="Times New Roman" w:cs="Times New Roman"/>
          <w:color w:val="000000" w:themeColor="text1"/>
          <w:sz w:val="21"/>
          <w:szCs w:val="21"/>
          <w:highlight w:val="none"/>
          <w:lang w:eastAsia="zh-CN"/>
        </w:rPr>
        <w:t>202</w:t>
      </w:r>
      <w:r>
        <w:rPr>
          <w:rFonts w:hint="eastAsia" w:ascii="Times New Roman" w:hAnsi="Times New Roman" w:cs="Times New Roman"/>
          <w:color w:val="000000" w:themeColor="text1"/>
          <w:sz w:val="21"/>
          <w:szCs w:val="21"/>
          <w:highlight w:val="none"/>
          <w:lang w:val="en-US" w:eastAsia="zh-CN"/>
        </w:rPr>
        <w:t>5</w:t>
      </w:r>
      <w:r>
        <w:rPr>
          <w:rFonts w:hint="eastAsia" w:ascii="Times New Roman" w:hAnsi="Times New Roman" w:cs="Times New Roman"/>
          <w:color w:val="000000" w:themeColor="text1"/>
          <w:sz w:val="21"/>
          <w:szCs w:val="21"/>
          <w:highlight w:val="none"/>
          <w:lang w:eastAsia="zh-CN"/>
        </w:rPr>
        <w:t>年</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lang w:eastAsia="zh-CN"/>
        </w:rPr>
        <w:t>月</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lang w:eastAsia="zh-CN"/>
        </w:rPr>
        <w:t>日 14:30</w:t>
      </w:r>
      <w:r>
        <w:rPr>
          <w:rFonts w:hint="eastAsia" w:ascii="Times New Roman" w:hAnsi="Times New Roman" w:cs="Times New Roman"/>
          <w:color w:val="000000" w:themeColor="text1"/>
          <w:sz w:val="21"/>
          <w:szCs w:val="21"/>
          <w:highlight w:val="none"/>
        </w:rPr>
        <w:t>（北京时间）</w:t>
      </w:r>
    </w:p>
    <w:p w14:paraId="59232277">
      <w:pPr>
        <w:pStyle w:val="22"/>
        <w:widowControl/>
        <w:spacing w:before="75" w:beforeAutospacing="0" w:after="75" w:afterAutospacing="0" w:line="360" w:lineRule="auto"/>
        <w:ind w:firstLine="420" w:firstLineChars="200"/>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投标地点（网址）：政采云平台（https://www.zcygov.cn/） </w:t>
      </w:r>
    </w:p>
    <w:p w14:paraId="349CD7D7">
      <w:pPr>
        <w:pStyle w:val="22"/>
        <w:widowControl/>
        <w:spacing w:before="75" w:beforeAutospacing="0" w:after="75" w:afterAutospacing="0" w:line="360" w:lineRule="auto"/>
        <w:ind w:firstLine="420"/>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rPr>
        <w:t>开标时间：</w:t>
      </w:r>
      <w:r>
        <w:rPr>
          <w:rFonts w:hint="eastAsia" w:ascii="Times New Roman" w:hAnsi="Times New Roman" w:cs="Times New Roman"/>
          <w:color w:val="000000" w:themeColor="text1"/>
          <w:sz w:val="21"/>
          <w:szCs w:val="21"/>
          <w:highlight w:val="none"/>
          <w:lang w:eastAsia="zh-CN"/>
        </w:rPr>
        <w:t>202</w:t>
      </w:r>
      <w:r>
        <w:rPr>
          <w:rFonts w:hint="eastAsia" w:ascii="Times New Roman" w:hAnsi="Times New Roman" w:cs="Times New Roman"/>
          <w:color w:val="000000" w:themeColor="text1"/>
          <w:sz w:val="21"/>
          <w:szCs w:val="21"/>
          <w:highlight w:val="none"/>
          <w:lang w:val="en-US" w:eastAsia="zh-CN"/>
        </w:rPr>
        <w:t>5</w:t>
      </w:r>
      <w:r>
        <w:rPr>
          <w:rFonts w:hint="eastAsia" w:ascii="Times New Roman" w:hAnsi="Times New Roman" w:cs="Times New Roman"/>
          <w:color w:val="000000" w:themeColor="text1"/>
          <w:sz w:val="21"/>
          <w:szCs w:val="21"/>
          <w:highlight w:val="none"/>
          <w:lang w:eastAsia="zh-CN"/>
        </w:rPr>
        <w:t>年</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lang w:eastAsia="zh-CN"/>
        </w:rPr>
        <w:t>月</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lang w:eastAsia="zh-CN"/>
        </w:rPr>
        <w:t>日 14:30</w:t>
      </w:r>
    </w:p>
    <w:p w14:paraId="11B6FB1B">
      <w:pPr>
        <w:pStyle w:val="22"/>
        <w:widowControl/>
        <w:spacing w:before="75" w:beforeAutospacing="0" w:after="75" w:afterAutospacing="0" w:line="360" w:lineRule="auto"/>
        <w:ind w:firstLine="420" w:firstLineChars="200"/>
        <w:rPr>
          <w:rFonts w:ascii="Times New Roman" w:hAnsi="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开标地点（网址）：政采云平台（https://www.zcygov.cn/）</w:t>
      </w:r>
    </w:p>
    <w:p w14:paraId="7639BF09">
      <w:pPr>
        <w:numPr>
          <w:ilvl w:val="0"/>
          <w:numId w:val="4"/>
        </w:numPr>
        <w:rPr>
          <w:rStyle w:val="27"/>
          <w:rFonts w:ascii="Times New Roman" w:hAnsi="Times New Roman"/>
          <w:kern w:val="0"/>
          <w:highlight w:val="none"/>
        </w:rPr>
      </w:pPr>
      <w:r>
        <w:rPr>
          <w:rStyle w:val="27"/>
          <w:rFonts w:hint="eastAsia" w:ascii="Times New Roman" w:hAnsi="Times New Roman"/>
          <w:kern w:val="0"/>
          <w:highlight w:val="none"/>
        </w:rPr>
        <w:t>采购意向公开链接</w:t>
      </w:r>
    </w:p>
    <w:p w14:paraId="2C39E74D">
      <w:pPr>
        <w:pStyle w:val="22"/>
        <w:widowControl/>
        <w:spacing w:before="0" w:beforeAutospacing="0" w:after="0" w:afterAutospacing="0" w:line="360" w:lineRule="auto"/>
        <w:jc w:val="both"/>
        <w:rPr>
          <w:rStyle w:val="27"/>
          <w:rFonts w:ascii="Times New Roman" w:hAnsi="Times New Roman" w:cs="Times New Roman"/>
          <w:color w:val="000000" w:themeColor="text1"/>
          <w:sz w:val="21"/>
          <w:szCs w:val="21"/>
          <w:highlight w:val="none"/>
        </w:rPr>
      </w:pPr>
      <w:r>
        <w:rPr>
          <w:rFonts w:hint="eastAsia" w:ascii="微软雅黑" w:hAnsi="微软雅黑" w:eastAsia="微软雅黑" w:cs="微软雅黑"/>
          <w:i w:val="0"/>
          <w:iCs w:val="0"/>
          <w:caps w:val="0"/>
          <w:spacing w:val="0"/>
          <w:sz w:val="21"/>
          <w:szCs w:val="21"/>
          <w:shd w:val="clear" w:fill="F5FAFF"/>
        </w:rPr>
        <w:t>https://zfcg.czt.zj.gov.cn/luban/detail?parentId=600007&amp;articleId=vYU76eKHCA13nNNFMNgaPQ==</w:t>
      </w:r>
    </w:p>
    <w:p w14:paraId="5925309F">
      <w:pPr>
        <w:pStyle w:val="22"/>
        <w:widowControl/>
        <w:spacing w:before="0" w:beforeAutospacing="0" w:after="0" w:afterAutospacing="0" w:line="360" w:lineRule="auto"/>
        <w:jc w:val="both"/>
        <w:rPr>
          <w:rStyle w:val="27"/>
          <w:rFonts w:ascii="Times New Roman" w:hAnsi="Times New Roman" w:cs="Times New Roman"/>
          <w:color w:val="000000" w:themeColor="text1"/>
          <w:sz w:val="21"/>
          <w:szCs w:val="21"/>
          <w:highlight w:val="none"/>
        </w:rPr>
      </w:pPr>
      <w:r>
        <w:rPr>
          <w:rStyle w:val="27"/>
          <w:rFonts w:hint="eastAsia" w:ascii="Times New Roman" w:hAnsi="Times New Roman"/>
          <w:sz w:val="21"/>
          <w:szCs w:val="21"/>
          <w:highlight w:val="none"/>
        </w:rPr>
        <w:t>六、</w:t>
      </w:r>
      <w:r>
        <w:rPr>
          <w:rStyle w:val="27"/>
          <w:rFonts w:ascii="Times New Roman" w:hAnsi="Times New Roman"/>
          <w:sz w:val="21"/>
          <w:szCs w:val="21"/>
          <w:highlight w:val="none"/>
        </w:rPr>
        <w:t>公告期限 </w:t>
      </w:r>
    </w:p>
    <w:p w14:paraId="55762D45">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自本公告发布之日起5个工作日。</w:t>
      </w:r>
    </w:p>
    <w:p w14:paraId="776D7784">
      <w:pPr>
        <w:pStyle w:val="22"/>
        <w:widowControl/>
        <w:spacing w:before="0" w:beforeAutospacing="0" w:after="0" w:afterAutospacing="0" w:line="360" w:lineRule="auto"/>
        <w:jc w:val="both"/>
        <w:rPr>
          <w:rStyle w:val="27"/>
          <w:rFonts w:ascii="Times New Roman" w:hAnsi="Times New Roman" w:cs="Times New Roman"/>
          <w:color w:val="000000" w:themeColor="text1"/>
          <w:sz w:val="21"/>
          <w:szCs w:val="21"/>
          <w:highlight w:val="none"/>
        </w:rPr>
      </w:pPr>
      <w:r>
        <w:rPr>
          <w:rStyle w:val="27"/>
          <w:rFonts w:hint="eastAsia" w:ascii="Times New Roman" w:hAnsi="Times New Roman" w:cs="Times New Roman"/>
          <w:color w:val="000000" w:themeColor="text1"/>
          <w:sz w:val="21"/>
          <w:szCs w:val="21"/>
          <w:highlight w:val="none"/>
        </w:rPr>
        <w:t>七</w:t>
      </w:r>
      <w:r>
        <w:rPr>
          <w:rStyle w:val="27"/>
          <w:rFonts w:ascii="Times New Roman" w:hAnsi="Times New Roman" w:cs="Times New Roman"/>
          <w:color w:val="000000" w:themeColor="text1"/>
          <w:sz w:val="21"/>
          <w:szCs w:val="21"/>
          <w:highlight w:val="none"/>
        </w:rPr>
        <w:t>、其他补充事宜</w:t>
      </w:r>
    </w:p>
    <w:p w14:paraId="7EAC609F">
      <w:pPr>
        <w:pStyle w:val="22"/>
        <w:widowControl/>
        <w:adjustRightInd w:val="0"/>
        <w:snapToGrid w:val="0"/>
        <w:spacing w:before="0" w:beforeAutospacing="0" w:after="0" w:afterAutospacing="0" w:line="360" w:lineRule="auto"/>
        <w:ind w:firstLine="420" w:firstLineChars="200"/>
        <w:rPr>
          <w:rFonts w:ascii="Times New Roman" w:hAnsi="Times New Roman" w:cs="Times New Roman"/>
          <w:sz w:val="21"/>
          <w:szCs w:val="21"/>
          <w:highlight w:val="none"/>
        </w:rPr>
      </w:pPr>
      <w:r>
        <w:rPr>
          <w:rFonts w:ascii="Times New Roman" w:hAnsi="Times New Roman" w:cs="Times New Roman"/>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cs="Times New Roman"/>
          <w:sz w:val="21"/>
          <w:szCs w:val="21"/>
          <w:highlight w:val="none"/>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E1DC7E7">
      <w:pPr>
        <w:pStyle w:val="22"/>
        <w:widowControl/>
        <w:adjustRightInd w:val="0"/>
        <w:snapToGrid w:val="0"/>
        <w:spacing w:before="0" w:beforeAutospacing="0" w:after="0" w:afterAutospacing="0" w:line="360" w:lineRule="auto"/>
        <w:ind w:firstLine="420" w:firstLineChars="200"/>
        <w:rPr>
          <w:rFonts w:ascii="Times New Roman" w:hAnsi="Times New Roman" w:cs="Times New Roman"/>
          <w:sz w:val="21"/>
          <w:szCs w:val="21"/>
          <w:highlight w:val="none"/>
        </w:rPr>
      </w:pPr>
      <w:r>
        <w:rPr>
          <w:rFonts w:hint="eastAsia" w:ascii="Times New Roman" w:hAnsi="Times New Roman"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项目采购</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询问质疑投诉</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询问列表</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鼓励供应商在线提起质疑，路径为：政采云</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项目采购</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询问质疑投诉</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质疑列表。质疑供应商对在线质疑答复不满意的，可在线提起投诉，路径为：浙江政府服务网</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政府采购投诉处理</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在线办理。</w:t>
      </w:r>
    </w:p>
    <w:p w14:paraId="21A2EBB6">
      <w:pPr>
        <w:pStyle w:val="22"/>
        <w:widowControl/>
        <w:spacing w:before="75" w:beforeAutospacing="0" w:after="75" w:afterAutospacing="0" w:line="360" w:lineRule="auto"/>
        <w:ind w:firstLine="420"/>
        <w:rPr>
          <w:rFonts w:ascii="Times New Roman" w:hAnsi="Times New Roman" w:cs="Times New Roman"/>
          <w:sz w:val="21"/>
          <w:szCs w:val="21"/>
          <w:highlight w:val="none"/>
        </w:rPr>
      </w:pPr>
      <w:r>
        <w:rPr>
          <w:rFonts w:hint="eastAsia" w:ascii="Times New Roman" w:hAnsi="Times New Roman"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130E9B">
      <w:pPr>
        <w:pStyle w:val="22"/>
        <w:widowControl/>
        <w:spacing w:before="75" w:beforeAutospacing="0" w:after="75" w:afterAutospacing="0" w:line="360" w:lineRule="auto"/>
        <w:ind w:firstLine="420"/>
        <w:rPr>
          <w:rFonts w:ascii="Times New Roman" w:hAnsi="Times New Roman" w:cs="Times New Roman"/>
          <w:color w:val="000000" w:themeColor="text1"/>
          <w:sz w:val="21"/>
          <w:szCs w:val="21"/>
          <w:highlight w:val="none"/>
          <w:shd w:val="clear" w:color="auto" w:fill="FFFF00"/>
        </w:rPr>
      </w:pPr>
      <w:r>
        <w:rPr>
          <w:rStyle w:val="27"/>
          <w:rFonts w:hint="eastAsia" w:ascii="Times New Roman" w:hAnsi="Times New Roman"/>
          <w:color w:val="000000" w:themeColor="text1"/>
          <w:sz w:val="21"/>
          <w:szCs w:val="21"/>
          <w:highlight w:val="none"/>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6A26141B">
      <w:pPr>
        <w:pStyle w:val="22"/>
        <w:widowControl/>
        <w:spacing w:before="0" w:beforeAutospacing="0" w:after="0" w:afterAutospacing="0" w:line="360" w:lineRule="auto"/>
        <w:jc w:val="both"/>
        <w:rPr>
          <w:rStyle w:val="27"/>
          <w:rFonts w:ascii="Times New Roman" w:hAnsi="Times New Roman" w:cs="Times New Roman"/>
          <w:color w:val="000000" w:themeColor="text1"/>
          <w:sz w:val="21"/>
          <w:szCs w:val="21"/>
          <w:highlight w:val="none"/>
        </w:rPr>
      </w:pPr>
      <w:r>
        <w:rPr>
          <w:rStyle w:val="27"/>
          <w:rFonts w:ascii="Times New Roman" w:hAnsi="Times New Roman" w:cs="Times New Roman"/>
          <w:color w:val="000000" w:themeColor="text1"/>
          <w:sz w:val="21"/>
          <w:szCs w:val="21"/>
          <w:highlight w:val="none"/>
        </w:rPr>
        <w:t>七、对本次采购提出询问、质疑、投诉，请按以下方式联系</w:t>
      </w:r>
    </w:p>
    <w:p w14:paraId="5E47D814">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eastAsia="仿宋" w:cs="Times New Roman"/>
          <w:color w:val="000000" w:themeColor="text1"/>
          <w:sz w:val="21"/>
          <w:szCs w:val="21"/>
          <w:highlight w:val="none"/>
        </w:rPr>
        <w:t xml:space="preserve">  </w:t>
      </w:r>
      <w:r>
        <w:rPr>
          <w:rFonts w:ascii="Times New Roman" w:hAnsi="Times New Roman" w:cs="Times New Roman"/>
          <w:color w:val="000000" w:themeColor="text1"/>
          <w:sz w:val="21"/>
          <w:szCs w:val="21"/>
          <w:highlight w:val="none"/>
        </w:rPr>
        <w:t xml:space="preserve"> 1.采购人信息</w:t>
      </w:r>
    </w:p>
    <w:p w14:paraId="1F378898">
      <w:pPr>
        <w:pStyle w:val="22"/>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 xml:space="preserve">    </w:t>
      </w:r>
      <w:r>
        <w:rPr>
          <w:rStyle w:val="27"/>
          <w:rFonts w:hint="eastAsia" w:ascii="Times New Roman" w:hAnsi="Times New Roman"/>
          <w:color w:val="000000" w:themeColor="text1"/>
          <w:sz w:val="21"/>
          <w:szCs w:val="21"/>
          <w:highlight w:val="none"/>
        </w:rPr>
        <w:t>名    称：浙江省海洋生态环境监测中心 </w:t>
      </w:r>
    </w:p>
    <w:p w14:paraId="3CD41A6C">
      <w:pPr>
        <w:pStyle w:val="22"/>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Style w:val="27"/>
          <w:rFonts w:hint="eastAsia" w:ascii="Times New Roman" w:hAnsi="Times New Roman"/>
          <w:color w:val="000000" w:themeColor="text1"/>
          <w:sz w:val="21"/>
          <w:szCs w:val="21"/>
          <w:highlight w:val="none"/>
        </w:rPr>
        <w:t>    地    址：舟山市新城体育路20号 </w:t>
      </w:r>
    </w:p>
    <w:p w14:paraId="49E11801">
      <w:pPr>
        <w:pStyle w:val="22"/>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lang w:eastAsia="zh-CN"/>
        </w:rPr>
      </w:pPr>
      <w:r>
        <w:rPr>
          <w:rStyle w:val="27"/>
          <w:rFonts w:hint="eastAsia" w:ascii="Times New Roman" w:hAnsi="Times New Roman"/>
          <w:color w:val="000000" w:themeColor="text1"/>
          <w:sz w:val="21"/>
          <w:szCs w:val="21"/>
          <w:highlight w:val="none"/>
        </w:rPr>
        <w:t>    项目联系人（询问）：</w:t>
      </w:r>
      <w:r>
        <w:rPr>
          <w:rStyle w:val="27"/>
          <w:rFonts w:hint="eastAsia" w:ascii="Times New Roman" w:hAnsi="Times New Roman"/>
          <w:color w:val="000000" w:themeColor="text1"/>
          <w:sz w:val="21"/>
          <w:szCs w:val="21"/>
          <w:highlight w:val="none"/>
          <w:lang w:val="en-US" w:eastAsia="zh-CN"/>
        </w:rPr>
        <w:t>孙先生</w:t>
      </w:r>
    </w:p>
    <w:p w14:paraId="13989209">
      <w:pPr>
        <w:pStyle w:val="22"/>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Style w:val="27"/>
          <w:rFonts w:hint="eastAsia" w:ascii="Times New Roman" w:hAnsi="Times New Roman"/>
          <w:color w:val="000000" w:themeColor="text1"/>
          <w:sz w:val="21"/>
          <w:szCs w:val="21"/>
          <w:highlight w:val="none"/>
        </w:rPr>
        <w:t xml:space="preserve">    项目联系方式（询问）：0580-2022995 </w:t>
      </w:r>
    </w:p>
    <w:p w14:paraId="7B1B8B73">
      <w:pPr>
        <w:pStyle w:val="22"/>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lang w:eastAsia="zh-CN"/>
        </w:rPr>
      </w:pPr>
      <w:r>
        <w:rPr>
          <w:rStyle w:val="27"/>
          <w:rFonts w:hint="eastAsia" w:ascii="Times New Roman" w:hAnsi="Times New Roman"/>
          <w:color w:val="000000" w:themeColor="text1"/>
          <w:sz w:val="21"/>
          <w:szCs w:val="21"/>
          <w:highlight w:val="none"/>
        </w:rPr>
        <w:t>    质疑联系人：</w:t>
      </w:r>
      <w:r>
        <w:rPr>
          <w:rStyle w:val="27"/>
          <w:rFonts w:hint="eastAsia" w:ascii="Times New Roman" w:hAnsi="Times New Roman"/>
          <w:color w:val="000000" w:themeColor="text1"/>
          <w:sz w:val="21"/>
          <w:szCs w:val="21"/>
          <w:highlight w:val="none"/>
          <w:lang w:val="en-US" w:eastAsia="zh-CN"/>
        </w:rPr>
        <w:t>王女士</w:t>
      </w:r>
    </w:p>
    <w:p w14:paraId="7418C64E">
      <w:pPr>
        <w:pStyle w:val="22"/>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Style w:val="27"/>
          <w:rFonts w:hint="eastAsia" w:ascii="Times New Roman" w:hAnsi="Times New Roman"/>
          <w:color w:val="000000" w:themeColor="text1"/>
          <w:sz w:val="21"/>
          <w:szCs w:val="21"/>
          <w:highlight w:val="none"/>
        </w:rPr>
        <w:t>    质疑联系方式：0580-2024133</w:t>
      </w:r>
    </w:p>
    <w:p w14:paraId="2BD680C9">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p>
    <w:p w14:paraId="2DEC900A">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2.采购代理机构信息</w:t>
      </w:r>
    </w:p>
    <w:p w14:paraId="334B2FA0">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名称：浙江自贸区中昊工程管理有限公司 </w:t>
      </w:r>
    </w:p>
    <w:p w14:paraId="78BFA3D4">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地址：舟山市定海区临城街道百川道9号海洋科学城A12号楼</w:t>
      </w:r>
      <w:r>
        <w:rPr>
          <w:rFonts w:hint="eastAsia" w:ascii="Times New Roman" w:hAnsi="Times New Roman" w:cs="Times New Roman"/>
          <w:color w:val="000000" w:themeColor="text1"/>
          <w:sz w:val="21"/>
          <w:szCs w:val="21"/>
          <w:highlight w:val="none"/>
        </w:rPr>
        <w:t>910室</w:t>
      </w:r>
      <w:r>
        <w:rPr>
          <w:rFonts w:ascii="Times New Roman" w:hAnsi="Times New Roman" w:cs="Times New Roman"/>
          <w:color w:val="000000" w:themeColor="text1"/>
          <w:sz w:val="21"/>
          <w:szCs w:val="21"/>
          <w:highlight w:val="none"/>
        </w:rPr>
        <w:t> </w:t>
      </w:r>
    </w:p>
    <w:p w14:paraId="7858AE1F">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传真：0580-2119100  </w:t>
      </w:r>
    </w:p>
    <w:p w14:paraId="4681767D">
      <w:pPr>
        <w:pStyle w:val="22"/>
        <w:widowControl/>
        <w:spacing w:before="50" w:beforeAutospacing="0" w:after="50" w:afterAutospacing="0" w:line="360" w:lineRule="auto"/>
        <w:ind w:firstLine="315"/>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项目联系人（询问）：</w:t>
      </w:r>
      <w:r>
        <w:rPr>
          <w:rFonts w:hint="eastAsia" w:ascii="Times New Roman" w:hAnsi="Times New Roman" w:cs="Times New Roman"/>
          <w:color w:val="000000" w:themeColor="text1"/>
          <w:sz w:val="21"/>
          <w:szCs w:val="21"/>
          <w:highlight w:val="none"/>
        </w:rPr>
        <w:t>张璐</w:t>
      </w:r>
    </w:p>
    <w:p w14:paraId="31010894">
      <w:pPr>
        <w:pStyle w:val="22"/>
        <w:widowControl/>
        <w:spacing w:before="50" w:beforeAutospacing="0" w:after="50" w:afterAutospacing="0" w:line="360" w:lineRule="auto"/>
        <w:ind w:firstLine="315"/>
        <w:rPr>
          <w:rFonts w:ascii="Times New Roman" w:hAnsi="Times New Roman" w:cs="Times New Roman"/>
          <w:b/>
          <w:bCs/>
          <w:color w:val="FF0000"/>
          <w:sz w:val="21"/>
          <w:szCs w:val="21"/>
          <w:highlight w:val="none"/>
        </w:rPr>
      </w:pPr>
      <w:r>
        <w:rPr>
          <w:rFonts w:ascii="Times New Roman" w:hAnsi="Times New Roman" w:cs="Times New Roman"/>
          <w:color w:val="000000" w:themeColor="text1"/>
          <w:sz w:val="21"/>
          <w:szCs w:val="21"/>
          <w:highlight w:val="none"/>
        </w:rPr>
        <w:t>项目联系方式（询问）：0580-2119100 </w:t>
      </w:r>
    </w:p>
    <w:p w14:paraId="7E5BECE9">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质疑联系人：</w:t>
      </w:r>
      <w:r>
        <w:rPr>
          <w:rFonts w:hint="eastAsia" w:ascii="Times New Roman" w:hAnsi="Times New Roman" w:cs="Times New Roman"/>
          <w:color w:val="000000" w:themeColor="text1"/>
          <w:sz w:val="21"/>
          <w:szCs w:val="21"/>
          <w:highlight w:val="none"/>
        </w:rPr>
        <w:t>刘妮</w:t>
      </w:r>
    </w:p>
    <w:p w14:paraId="19638E88">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质疑联系方式：0580-2119100 </w:t>
      </w:r>
    </w:p>
    <w:p w14:paraId="02236E3A">
      <w:pPr>
        <w:pStyle w:val="22"/>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lang w:eastAsia="zh-CN"/>
        </w:rPr>
      </w:pPr>
      <w:r>
        <w:rPr>
          <w:rFonts w:ascii="Times New Roman" w:hAnsi="Times New Roman" w:cs="Times New Roman"/>
          <w:color w:val="000000" w:themeColor="text1"/>
          <w:sz w:val="21"/>
          <w:szCs w:val="21"/>
          <w:highlight w:val="none"/>
        </w:rPr>
        <w:t>  </w:t>
      </w:r>
    </w:p>
    <w:p w14:paraId="4F6689AD">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w:t>
      </w:r>
      <w:r>
        <w:rPr>
          <w:rFonts w:hint="eastAsia" w:ascii="Times New Roman" w:hAnsi="Times New Roman" w:cs="Times New Roman"/>
          <w:color w:val="000000" w:themeColor="text1"/>
          <w:sz w:val="21"/>
          <w:szCs w:val="21"/>
          <w:highlight w:val="none"/>
        </w:rPr>
        <w:t> 3.该项目由采购人处理采购争议。质疑环节，采购人委托采购代理机构处理的，可由采购代理机构答复。对质疑答复不满意的，向采购人内部设置的采购监督机构反映。            </w:t>
      </w:r>
    </w:p>
    <w:p w14:paraId="3A6F5A71">
      <w:pPr>
        <w:pStyle w:val="22"/>
        <w:widowControl/>
        <w:spacing w:before="50" w:beforeAutospacing="0" w:after="50" w:afterAutospacing="0" w:line="360" w:lineRule="auto"/>
        <w:rPr>
          <w:rFonts w:hint="eastAsia" w:ascii="仿宋" w:hAnsi="仿宋" w:eastAsia="仿宋" w:cs="仿宋"/>
          <w:i w:val="0"/>
          <w:iCs w:val="0"/>
          <w:caps w:val="0"/>
          <w:color w:val="000000"/>
          <w:spacing w:val="0"/>
          <w:sz w:val="24"/>
          <w:szCs w:val="24"/>
          <w:highlight w:val="none"/>
        </w:rPr>
      </w:pPr>
      <w:r>
        <w:rPr>
          <w:rFonts w:hint="eastAsia" w:ascii="Times New Roman" w:hAnsi="Times New Roman" w:cs="Times New Roman"/>
          <w:color w:val="000000" w:themeColor="text1"/>
          <w:sz w:val="21"/>
          <w:szCs w:val="21"/>
          <w:highlight w:val="none"/>
        </w:rPr>
        <w:t>       预算金额未达100万元的采购项目，由采购人处理采购争议。</w:t>
      </w:r>
    </w:p>
    <w:p w14:paraId="68D53159">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p>
    <w:p w14:paraId="30E88B7E">
      <w:pPr>
        <w:pStyle w:val="22"/>
        <w:widowControl/>
        <w:spacing w:before="75" w:beforeAutospacing="0" w:after="75" w:afterAutospacing="0" w:line="360" w:lineRule="auto"/>
        <w:rPr>
          <w:rFonts w:ascii="Times New Roman" w:hAnsi="Times New Roman" w:cs="Times New Roman"/>
          <w:color w:val="000000" w:themeColor="text1"/>
          <w:sz w:val="21"/>
          <w:szCs w:val="21"/>
          <w:highlight w:val="none"/>
        </w:rPr>
      </w:pPr>
      <w:r>
        <w:rPr>
          <w:rFonts w:ascii="Times New Roman" w:hAnsi="Times New Roman" w:eastAsia="仿宋" w:cs="Times New Roman"/>
          <w:color w:val="000000" w:themeColor="text1"/>
          <w:sz w:val="21"/>
          <w:szCs w:val="21"/>
          <w:highlight w:val="none"/>
        </w:rPr>
        <w:t xml:space="preserve">    </w:t>
      </w:r>
    </w:p>
    <w:p w14:paraId="5C7542B2">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若对项目采购电子交易系统操作有疑问，可登录政采云（https://www.zcygov.cn/），点击右侧咨询小采，获取采小蜜智能服务管家帮助，或拨打政采云服务热线95763获取热线服务帮助。       </w:t>
      </w:r>
    </w:p>
    <w:p w14:paraId="001440D4">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CA问题联系电话（人工）：汇信CA 400-888-4636；天谷CA 400-087-8198。</w:t>
      </w:r>
    </w:p>
    <w:p w14:paraId="0A2CC75B">
      <w:pPr>
        <w:pStyle w:val="22"/>
        <w:widowControl/>
        <w:spacing w:before="75" w:beforeAutospacing="0" w:after="75" w:afterAutospacing="0" w:line="360" w:lineRule="auto"/>
        <w:rPr>
          <w:rFonts w:ascii="Times New Roman" w:hAnsi="Times New Roman" w:cs="Times New Roman"/>
          <w:color w:val="000000" w:themeColor="text1"/>
          <w:highlight w:val="none"/>
        </w:rPr>
      </w:pPr>
    </w:p>
    <w:p w14:paraId="4C882424">
      <w:pPr>
        <w:pStyle w:val="17"/>
        <w:snapToGrid w:val="0"/>
        <w:spacing w:before="120" w:after="120" w:line="360" w:lineRule="auto"/>
        <w:ind w:firstLine="602" w:firstLineChars="200"/>
        <w:jc w:val="center"/>
        <w:outlineLvl w:val="0"/>
        <w:rPr>
          <w:rFonts w:ascii="Times New Roman" w:hAnsi="Times New Roman" w:cs="Times New Roman"/>
          <w:b/>
          <w:bCs/>
          <w:color w:val="000000" w:themeColor="text1"/>
          <w:highlight w:val="none"/>
        </w:rPr>
      </w:pPr>
      <w:r>
        <w:rPr>
          <w:rFonts w:ascii="Times New Roman" w:hAnsi="Times New Roman" w:cs="Times New Roman"/>
          <w:b/>
          <w:bCs/>
          <w:color w:val="000000" w:themeColor="text1"/>
          <w:kern w:val="2"/>
          <w:sz w:val="30"/>
          <w:szCs w:val="30"/>
          <w:highlight w:val="none"/>
        </w:rPr>
        <w:br w:type="page"/>
      </w:r>
      <w:r>
        <w:rPr>
          <w:rFonts w:ascii="Times New Roman" w:hAnsi="Times New Roman" w:cs="Times New Roman"/>
          <w:b/>
          <w:bCs/>
          <w:color w:val="000000" w:themeColor="text1"/>
          <w:kern w:val="2"/>
          <w:sz w:val="30"/>
          <w:szCs w:val="30"/>
          <w:highlight w:val="none"/>
        </w:rPr>
        <w:t>第二章采购需求</w:t>
      </w:r>
    </w:p>
    <w:p w14:paraId="5467D88F">
      <w:pPr>
        <w:numPr>
          <w:ilvl w:val="0"/>
          <w:numId w:val="5"/>
        </w:numPr>
        <w:adjustRightInd w:val="0"/>
        <w:snapToGrid w:val="0"/>
        <w:spacing w:line="36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项目背景</w:t>
      </w:r>
    </w:p>
    <w:p w14:paraId="54EC8BCD">
      <w:pPr>
        <w:pStyle w:val="112"/>
        <w:adjustRightInd w:val="0"/>
        <w:snapToGrid w:val="0"/>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2022年1月，生态环境部、发展改革委、自然资源部、交通运输部、农业农村部、中国海警局联合印发《“十四五”海洋生态环境保护规划》，对“十四五”期间海洋生态环境保护工作作出了统筹谋划和具体部署。根据浙江省生态环境厅《浙江省贯彻“十四五”生态环境监测规划实施方案》要求，强化科技创新和数字赋能，推进生态环境领域数字化转型，提升生态环境治理的科学化、智能化水平；按照“一湾一策” 要求，持续加强杭州湾、象山港、三门湾、乐清湾等重要海湾生态环境整治。202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年3月，国家海洋环境监测中心下发了《202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年全国海洋生态环境监测工作实施方案》，内容包括典型海洋生态系统健康状况监测。明确要求在浙江省，开展杭州湾、乐清湾开展岸线、滨海湿地及</w:t>
      </w:r>
      <w:r>
        <w:rPr>
          <w:rFonts w:hint="eastAsia" w:ascii="宋体" w:hAnsi="宋体" w:eastAsia="宋体" w:cs="宋体"/>
          <w:sz w:val="21"/>
          <w:szCs w:val="21"/>
          <w:highlight w:val="none"/>
        </w:rPr>
        <w:t>生物栖息地</w:t>
      </w:r>
      <w:r>
        <w:rPr>
          <w:rFonts w:hint="eastAsia" w:ascii="宋体" w:hAnsi="宋体" w:eastAsia="宋体" w:cs="宋体"/>
          <w:color w:val="000000"/>
          <w:sz w:val="21"/>
          <w:szCs w:val="21"/>
          <w:highlight w:val="none"/>
        </w:rPr>
        <w:t>面积变化调查。</w:t>
      </w:r>
    </w:p>
    <w:p w14:paraId="120E7AD5">
      <w:pPr>
        <w:pStyle w:val="112"/>
        <w:adjustRightInd w:val="0"/>
        <w:snapToGrid w:val="0"/>
        <w:ind w:firstLine="480"/>
        <w:rPr>
          <w:rFonts w:hint="eastAsia" w:ascii="宋体" w:hAnsi="宋体" w:eastAsia="宋体" w:cs="宋体"/>
          <w:color w:val="000000"/>
          <w:sz w:val="21"/>
          <w:szCs w:val="21"/>
        </w:rPr>
      </w:pPr>
    </w:p>
    <w:p w14:paraId="60D21687">
      <w:pPr>
        <w:numPr>
          <w:ilvl w:val="0"/>
          <w:numId w:val="5"/>
        </w:numPr>
        <w:adjustRightInd w:val="0"/>
        <w:snapToGrid w:val="0"/>
        <w:spacing w:line="36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项目开展必要性</w:t>
      </w:r>
    </w:p>
    <w:p w14:paraId="59B8CAE9">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为实现浙江省重要湾口杭州湾和乐清湾的大陆自然岸线保有率及生态环境状况有效监控，需要在2025年继续开展浙江省典型海湾湿地变迁监测。要求对杭州湾和乐清湾滨海湿地现状及历史情况，利用高分遥感影像进行解译反演，按近岸海洋生态健康评价指南要求完成两处海湾的栖息地生境调查。</w:t>
      </w:r>
    </w:p>
    <w:p w14:paraId="0E1CD825">
      <w:pPr>
        <w:adjustRightInd w:val="0"/>
        <w:snapToGrid w:val="0"/>
        <w:spacing w:line="360" w:lineRule="auto"/>
        <w:ind w:firstLine="420" w:firstLineChars="200"/>
        <w:rPr>
          <w:rFonts w:hint="eastAsia" w:ascii="宋体" w:hAnsi="宋体" w:eastAsia="宋体" w:cs="宋体"/>
          <w:color w:val="000000"/>
          <w:sz w:val="21"/>
          <w:szCs w:val="21"/>
        </w:rPr>
      </w:pPr>
    </w:p>
    <w:p w14:paraId="0FAE7FC5">
      <w:pPr>
        <w:numPr>
          <w:ilvl w:val="0"/>
          <w:numId w:val="5"/>
        </w:numPr>
        <w:adjustRightInd w:val="0"/>
        <w:snapToGrid w:val="0"/>
        <w:spacing w:line="36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监测需求</w:t>
      </w:r>
    </w:p>
    <w:p w14:paraId="2133F90B">
      <w:pPr>
        <w:pStyle w:val="9"/>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项目时间为合同签订之日起至2025年11月30日。</w:t>
      </w:r>
    </w:p>
    <w:p w14:paraId="271F6FD3">
      <w:pPr>
        <w:adjustRightInd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项目监测内容主要包括：1）2000年和2025年两个时段的浙江省沿海各地市岸线及滨海湿地变化；2）2021年和2025年浙江省典型海湾（杭州湾和乐清湾）岸线及滨海湿地变化；3）2021年和2025年浙江省杭州湾滨海湿地植被覆盖（重点关注护花米草）及潮滩地形变化。具体如下表所示：</w:t>
      </w:r>
    </w:p>
    <w:p w14:paraId="163564F8">
      <w:pP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14:paraId="75858A45">
      <w:pPr>
        <w:adjustRightInd w:val="0"/>
        <w:snapToGrid w:val="0"/>
        <w:spacing w:line="360" w:lineRule="auto"/>
        <w:ind w:firstLine="420" w:firstLineChars="200"/>
        <w:jc w:val="left"/>
        <w:rPr>
          <w:rFonts w:hint="eastAsia" w:ascii="宋体" w:hAnsi="宋体" w:eastAsia="宋体" w:cs="宋体"/>
          <w:color w:val="000000"/>
          <w:sz w:val="21"/>
          <w:szCs w:val="21"/>
        </w:rPr>
      </w:pPr>
    </w:p>
    <w:tbl>
      <w:tblPr>
        <w:tblStyle w:val="24"/>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1"/>
        <w:gridCol w:w="4870"/>
      </w:tblGrid>
      <w:tr w14:paraId="5F82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noWrap/>
            <w:vAlign w:val="center"/>
          </w:tcPr>
          <w:p w14:paraId="27FB4C8B">
            <w:pPr>
              <w:pStyle w:val="112"/>
              <w:adjustRightInd w:val="0"/>
              <w:snapToGrid w:val="0"/>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监测内容</w:t>
            </w:r>
          </w:p>
        </w:tc>
        <w:tc>
          <w:tcPr>
            <w:tcW w:w="2551" w:type="dxa"/>
            <w:tcBorders>
              <w:top w:val="single" w:color="auto" w:sz="4" w:space="0"/>
              <w:left w:val="nil"/>
              <w:bottom w:val="single" w:color="auto" w:sz="4" w:space="0"/>
              <w:right w:val="single" w:color="auto" w:sz="4" w:space="0"/>
            </w:tcBorders>
            <w:noWrap/>
            <w:vAlign w:val="center"/>
          </w:tcPr>
          <w:p w14:paraId="5DEB08F1">
            <w:pPr>
              <w:pStyle w:val="112"/>
              <w:adjustRightInd w:val="0"/>
              <w:snapToGrid w:val="0"/>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监测参数</w:t>
            </w:r>
          </w:p>
        </w:tc>
        <w:tc>
          <w:tcPr>
            <w:tcW w:w="4870" w:type="dxa"/>
            <w:tcBorders>
              <w:top w:val="single" w:color="auto" w:sz="4" w:space="0"/>
              <w:left w:val="nil"/>
              <w:bottom w:val="single" w:color="auto" w:sz="4" w:space="0"/>
              <w:right w:val="single" w:color="auto" w:sz="4" w:space="0"/>
            </w:tcBorders>
            <w:noWrap/>
            <w:vAlign w:val="center"/>
          </w:tcPr>
          <w:p w14:paraId="54EF77A3">
            <w:pPr>
              <w:pStyle w:val="112"/>
              <w:adjustRightInd w:val="0"/>
              <w:snapToGrid w:val="0"/>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监测内容</w:t>
            </w:r>
          </w:p>
        </w:tc>
      </w:tr>
      <w:tr w14:paraId="69AB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13" w:type="dxa"/>
            <w:tcBorders>
              <w:top w:val="single" w:color="auto" w:sz="4" w:space="0"/>
              <w:left w:val="single" w:color="auto" w:sz="4" w:space="0"/>
              <w:bottom w:val="single" w:color="auto" w:sz="4" w:space="0"/>
              <w:right w:val="single" w:color="auto" w:sz="4" w:space="0"/>
            </w:tcBorders>
            <w:noWrap/>
            <w:vAlign w:val="center"/>
          </w:tcPr>
          <w:p w14:paraId="76C25A1C">
            <w:pPr>
              <w:pStyle w:val="112"/>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全省沿海各地市岸线及滨海湿地（潮滩）</w:t>
            </w:r>
          </w:p>
        </w:tc>
        <w:tc>
          <w:tcPr>
            <w:tcW w:w="2551" w:type="dxa"/>
            <w:tcBorders>
              <w:top w:val="single" w:color="auto" w:sz="4" w:space="0"/>
              <w:left w:val="nil"/>
              <w:bottom w:val="single" w:color="auto" w:sz="4" w:space="0"/>
              <w:right w:val="single" w:color="auto" w:sz="4" w:space="0"/>
            </w:tcBorders>
            <w:noWrap/>
            <w:vAlign w:val="center"/>
          </w:tcPr>
          <w:p w14:paraId="584F1929">
            <w:pPr>
              <w:pStyle w:val="112"/>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岸线类型、岸线长度、岸线类型转换率、岸线减少或增加速率、滨海湿地（潮滩）面积及变化率</w:t>
            </w:r>
          </w:p>
        </w:tc>
        <w:tc>
          <w:tcPr>
            <w:tcW w:w="4870" w:type="dxa"/>
            <w:tcBorders>
              <w:top w:val="single" w:color="auto" w:sz="4" w:space="0"/>
              <w:left w:val="nil"/>
              <w:bottom w:val="single" w:color="auto" w:sz="4" w:space="0"/>
              <w:right w:val="single" w:color="auto" w:sz="4" w:space="0"/>
            </w:tcBorders>
            <w:noWrap/>
            <w:vAlign w:val="center"/>
          </w:tcPr>
          <w:p w14:paraId="337C0DBE">
            <w:pPr>
              <w:pStyle w:val="112"/>
              <w:adjustRightInd w:val="0"/>
              <w:snapToGrid w:val="0"/>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1、利用中高分辨率卫星遥感影像，开展全省沿海各地市2000年与2025年两个年度的岸线及湿地变化调查。</w:t>
            </w:r>
          </w:p>
          <w:p w14:paraId="12811381">
            <w:pPr>
              <w:pStyle w:val="112"/>
              <w:adjustRightInd w:val="0"/>
              <w:snapToGrid w:val="0"/>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2、监测各地市海岸线类型、长度及其变化情况（包括岸线类型转换、岸线减少或增加速率等）；</w:t>
            </w:r>
          </w:p>
          <w:p w14:paraId="16113967">
            <w:pPr>
              <w:pStyle w:val="112"/>
              <w:adjustRightInd w:val="0"/>
              <w:snapToGrid w:val="0"/>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3、监测滨海湿地，特别是潮滩分布范围及其变化情况。</w:t>
            </w:r>
          </w:p>
        </w:tc>
      </w:tr>
      <w:tr w14:paraId="4E93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13" w:type="dxa"/>
            <w:tcBorders>
              <w:top w:val="single" w:color="auto" w:sz="4" w:space="0"/>
              <w:left w:val="single" w:color="auto" w:sz="4" w:space="0"/>
              <w:bottom w:val="single" w:color="auto" w:sz="4" w:space="0"/>
              <w:right w:val="single" w:color="auto" w:sz="4" w:space="0"/>
            </w:tcBorders>
            <w:noWrap/>
            <w:vAlign w:val="center"/>
          </w:tcPr>
          <w:p w14:paraId="1FC6C55C">
            <w:pPr>
              <w:pStyle w:val="112"/>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典型海湾（杭州湾和乐清湾）岸线及滨海湿地变化</w:t>
            </w:r>
          </w:p>
        </w:tc>
        <w:tc>
          <w:tcPr>
            <w:tcW w:w="2551" w:type="dxa"/>
            <w:tcBorders>
              <w:top w:val="single" w:color="auto" w:sz="4" w:space="0"/>
              <w:left w:val="nil"/>
              <w:bottom w:val="single" w:color="auto" w:sz="4" w:space="0"/>
              <w:right w:val="single" w:color="auto" w:sz="4" w:space="0"/>
            </w:tcBorders>
            <w:noWrap/>
            <w:vAlign w:val="center"/>
          </w:tcPr>
          <w:p w14:paraId="55826CC9">
            <w:pPr>
              <w:pStyle w:val="112"/>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岸线类型、岸线长度、岸线类型转换率、岸线减少速率、岸线增加速率、滨海湿地分带界线及面积、潮滩地形及变化</w:t>
            </w:r>
          </w:p>
        </w:tc>
        <w:tc>
          <w:tcPr>
            <w:tcW w:w="4870" w:type="dxa"/>
            <w:tcBorders>
              <w:top w:val="single" w:color="auto" w:sz="4" w:space="0"/>
              <w:left w:val="nil"/>
              <w:bottom w:val="single" w:color="auto" w:sz="4" w:space="0"/>
              <w:right w:val="single" w:color="auto" w:sz="4" w:space="0"/>
            </w:tcBorders>
            <w:noWrap/>
            <w:vAlign w:val="center"/>
          </w:tcPr>
          <w:p w14:paraId="551C2295">
            <w:pPr>
              <w:pStyle w:val="112"/>
              <w:adjustRightInd w:val="0"/>
              <w:snapToGrid w:val="0"/>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1、利用高分辨率卫星遥感影像，对浙江省两个典型海湾（杭州湾和乐清湾）2021和2025两个年度的岸线及滨海湿地（潮滩）变化进行调查。</w:t>
            </w:r>
          </w:p>
          <w:p w14:paraId="6C3F2B51">
            <w:pPr>
              <w:pStyle w:val="112"/>
              <w:adjustRightInd w:val="0"/>
              <w:snapToGrid w:val="0"/>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监测海岸线类型、长度及其变化情况（包括岸线类型转换、岸线减少或增加速率等）；监测滨海湿地，包括但不限于潮上带、潮间带及潮下带的界线划分及变化；融合多时相多源卫星遥感数据，获取并分析潮滩区域的地表形态及变化。</w:t>
            </w:r>
          </w:p>
          <w:p w14:paraId="77DEE1DD">
            <w:pPr>
              <w:pStyle w:val="112"/>
              <w:adjustRightInd w:val="0"/>
              <w:snapToGrid w:val="0"/>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3、部署低空无人机搭载激光雷达和高分辨率相机，针对关键区域或卫星数据不确定的地段进行详细勘查。</w:t>
            </w:r>
          </w:p>
        </w:tc>
      </w:tr>
      <w:tr w14:paraId="07DB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13" w:type="dxa"/>
            <w:tcBorders>
              <w:top w:val="single" w:color="auto" w:sz="4" w:space="0"/>
              <w:left w:val="single" w:color="auto" w:sz="4" w:space="0"/>
              <w:bottom w:val="single" w:color="auto" w:sz="4" w:space="0"/>
              <w:right w:val="single" w:color="auto" w:sz="4" w:space="0"/>
            </w:tcBorders>
            <w:noWrap/>
            <w:vAlign w:val="center"/>
          </w:tcPr>
          <w:p w14:paraId="2B6B6E1F">
            <w:pPr>
              <w:pStyle w:val="112"/>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杭州湾滨海植被类型调查</w:t>
            </w:r>
          </w:p>
        </w:tc>
        <w:tc>
          <w:tcPr>
            <w:tcW w:w="2551" w:type="dxa"/>
            <w:tcBorders>
              <w:top w:val="single" w:color="auto" w:sz="4" w:space="0"/>
              <w:left w:val="nil"/>
              <w:bottom w:val="single" w:color="auto" w:sz="4" w:space="0"/>
              <w:right w:val="single" w:color="auto" w:sz="4" w:space="0"/>
            </w:tcBorders>
            <w:noWrap/>
            <w:vAlign w:val="center"/>
          </w:tcPr>
          <w:p w14:paraId="6661ED54">
            <w:pPr>
              <w:pStyle w:val="112"/>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滨海湿地类型、分布范围、面积、变化及光谱特征</w:t>
            </w:r>
          </w:p>
        </w:tc>
        <w:tc>
          <w:tcPr>
            <w:tcW w:w="4870" w:type="dxa"/>
            <w:tcBorders>
              <w:top w:val="single" w:color="auto" w:sz="4" w:space="0"/>
              <w:left w:val="nil"/>
              <w:bottom w:val="single" w:color="auto" w:sz="4" w:space="0"/>
              <w:right w:val="single" w:color="auto" w:sz="4" w:space="0"/>
            </w:tcBorders>
            <w:noWrap/>
            <w:vAlign w:val="center"/>
          </w:tcPr>
          <w:p w14:paraId="47AA1324">
            <w:pPr>
              <w:pStyle w:val="112"/>
              <w:adjustRightInd w:val="0"/>
              <w:snapToGrid w:val="0"/>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1、利用高分辨率卫星遥感影像，对杭州湾2021和2025两个年度的滨海湿地植被进行调查。</w:t>
            </w:r>
          </w:p>
          <w:p w14:paraId="6592A22F">
            <w:pPr>
              <w:pStyle w:val="112"/>
              <w:adjustRightInd w:val="0"/>
              <w:snapToGrid w:val="0"/>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2、监测滨海湿地植被类型，特别是护花米草的空间分布范围、面积及变化。</w:t>
            </w:r>
          </w:p>
          <w:p w14:paraId="39919F81">
            <w:pPr>
              <w:pStyle w:val="112"/>
              <w:adjustRightInd w:val="0"/>
              <w:snapToGrid w:val="0"/>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3、部署低空无人机搭载高光谱相机，针对关键区域或卫星数据不确定的地段进行详细勘查，分析不同滨海湿地植被类型的反射光谱特征。</w:t>
            </w:r>
          </w:p>
        </w:tc>
      </w:tr>
    </w:tbl>
    <w:p w14:paraId="374417C1">
      <w:pPr>
        <w:adjustRightInd w:val="0"/>
        <w:snapToGrid w:val="0"/>
        <w:spacing w:line="360" w:lineRule="auto"/>
        <w:jc w:val="left"/>
        <w:rPr>
          <w:rFonts w:hint="eastAsia" w:ascii="宋体" w:hAnsi="宋体" w:eastAsia="宋体" w:cs="宋体"/>
          <w:color w:val="000000"/>
          <w:sz w:val="21"/>
          <w:szCs w:val="21"/>
        </w:rPr>
      </w:pPr>
    </w:p>
    <w:p w14:paraId="04F2BEDD">
      <w:pPr>
        <w:numPr>
          <w:ilvl w:val="0"/>
          <w:numId w:val="5"/>
        </w:numPr>
        <w:adjustRightInd w:val="0"/>
        <w:snapToGrid w:val="0"/>
        <w:spacing w:line="36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调查具体内容</w:t>
      </w:r>
    </w:p>
    <w:p w14:paraId="29E80061">
      <w:pPr>
        <w:pStyle w:val="113"/>
        <w:adjustRightInd w:val="0"/>
        <w:snapToGrid w:val="0"/>
        <w:spacing w:line="360" w:lineRule="auto"/>
        <w:ind w:firstLine="480"/>
        <w:rPr>
          <w:rFonts w:hint="eastAsia" w:ascii="宋体" w:hAnsi="宋体" w:eastAsia="宋体" w:cs="宋体"/>
          <w:color w:val="000000"/>
          <w:sz w:val="21"/>
          <w:szCs w:val="21"/>
        </w:rPr>
      </w:pPr>
      <w:bookmarkStart w:id="1" w:name="_Toc53581543"/>
      <w:r>
        <w:rPr>
          <w:rFonts w:hint="eastAsia" w:ascii="宋体" w:hAnsi="宋体" w:eastAsia="宋体" w:cs="宋体"/>
          <w:color w:val="000000"/>
          <w:sz w:val="21"/>
          <w:szCs w:val="21"/>
        </w:rPr>
        <w:t>4.1</w:t>
      </w:r>
      <w:bookmarkEnd w:id="1"/>
      <w:r>
        <w:rPr>
          <w:rFonts w:hint="eastAsia" w:ascii="宋体" w:hAnsi="宋体" w:eastAsia="宋体" w:cs="宋体"/>
          <w:color w:val="000000"/>
          <w:sz w:val="21"/>
          <w:szCs w:val="21"/>
        </w:rPr>
        <w:t>调查范围</w:t>
      </w:r>
    </w:p>
    <w:p w14:paraId="57E5D8CF">
      <w:pPr>
        <w:pStyle w:val="113"/>
        <w:adjustRightInd w:val="0"/>
        <w:snapToGrid w:val="0"/>
        <w:spacing w:line="360" w:lineRule="auto"/>
        <w:ind w:firstLine="480"/>
        <w:rPr>
          <w:rFonts w:hint="eastAsia" w:ascii="宋体" w:hAnsi="宋体" w:eastAsia="宋体" w:cs="宋体"/>
          <w:color w:val="000000"/>
          <w:sz w:val="21"/>
          <w:szCs w:val="21"/>
        </w:rPr>
      </w:pPr>
      <w:bookmarkStart w:id="2" w:name="_Toc53581544"/>
      <w:r>
        <w:rPr>
          <w:rFonts w:hint="eastAsia" w:ascii="宋体" w:hAnsi="宋体" w:eastAsia="宋体" w:cs="宋体"/>
          <w:color w:val="000000"/>
          <w:sz w:val="21"/>
          <w:szCs w:val="21"/>
        </w:rPr>
        <w:t>本次招标调查范围包括浙江全省沿海各地市，并重点关注杭州湾和乐清湾两大典型海湾。</w:t>
      </w:r>
    </w:p>
    <w:p w14:paraId="428A705F">
      <w:pPr>
        <w:pStyle w:val="113"/>
        <w:adjustRightInd w:val="0"/>
        <w:snapToGri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（1）全省沿海地市</w:t>
      </w:r>
    </w:p>
    <w:p w14:paraId="31BA7116">
      <w:pPr>
        <w:pStyle w:val="113"/>
        <w:adjustRightInd w:val="0"/>
        <w:snapToGrid w:val="0"/>
        <w:spacing w:line="360" w:lineRule="auto"/>
        <w:ind w:left="567" w:firstLine="480"/>
        <w:rPr>
          <w:rFonts w:hint="eastAsia" w:ascii="宋体" w:hAnsi="宋体" w:eastAsia="宋体" w:cs="宋体"/>
          <w:color w:val="000000"/>
          <w:sz w:val="21"/>
          <w:szCs w:val="21"/>
        </w:rPr>
      </w:pPr>
      <w:r>
        <w:rPr>
          <w:rFonts w:hint="eastAsia" w:ascii="宋体" w:hAnsi="宋体" w:eastAsia="宋体" w:cs="宋体"/>
          <w:color w:val="000000"/>
          <w:sz w:val="21"/>
          <w:szCs w:val="21"/>
        </w:rPr>
        <w:t>包括嘉兴市、宁波市、舟山市、台州市、温州市５个地级市及所属平湖市、海盐县、海宁市、余姚市等28个县区。</w:t>
      </w:r>
    </w:p>
    <w:p w14:paraId="6BFC73DA">
      <w:pPr>
        <w:pStyle w:val="113"/>
        <w:adjustRightInd w:val="0"/>
        <w:snapToGri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（2）杭州湾</w:t>
      </w:r>
    </w:p>
    <w:p w14:paraId="2CF7E859">
      <w:pPr>
        <w:pStyle w:val="113"/>
        <w:adjustRightInd w:val="0"/>
        <w:snapToGrid w:val="0"/>
        <w:spacing w:line="360" w:lineRule="auto"/>
        <w:ind w:left="567" w:firstLine="480"/>
        <w:rPr>
          <w:rFonts w:hint="eastAsia" w:ascii="宋体" w:hAnsi="宋体" w:eastAsia="宋体" w:cs="宋体"/>
          <w:color w:val="000000"/>
          <w:sz w:val="21"/>
          <w:szCs w:val="21"/>
        </w:rPr>
      </w:pPr>
      <w:r>
        <w:rPr>
          <w:rFonts w:hint="eastAsia" w:ascii="宋体" w:hAnsi="宋体" w:eastAsia="宋体" w:cs="宋体"/>
          <w:color w:val="000000"/>
          <w:sz w:val="21"/>
          <w:szCs w:val="21"/>
        </w:rPr>
        <w:t>浙江省东北部，既是海湾也是钱塘江的入海口，内界为钱塘江河口线， 外界为上海芦潮港闸与甬江口外长跳咀连线。</w:t>
      </w:r>
    </w:p>
    <w:p w14:paraId="3BB20CE8">
      <w:pPr>
        <w:pStyle w:val="113"/>
        <w:adjustRightInd w:val="0"/>
        <w:snapToGri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（3）乐清湾</w:t>
      </w:r>
    </w:p>
    <w:p w14:paraId="6C1F09CD">
      <w:pPr>
        <w:pStyle w:val="113"/>
        <w:adjustRightInd w:val="0"/>
        <w:snapToGrid w:val="0"/>
        <w:spacing w:line="360" w:lineRule="auto"/>
        <w:ind w:left="567" w:firstLine="480"/>
        <w:rPr>
          <w:rFonts w:hint="eastAsia" w:ascii="宋体" w:hAnsi="宋体" w:eastAsia="宋体" w:cs="宋体"/>
          <w:color w:val="000000"/>
          <w:sz w:val="21"/>
          <w:szCs w:val="21"/>
        </w:rPr>
      </w:pPr>
      <w:r>
        <w:rPr>
          <w:rFonts w:hint="eastAsia" w:ascii="宋体" w:hAnsi="宋体" w:eastAsia="宋体" w:cs="宋体"/>
          <w:color w:val="000000"/>
          <w:sz w:val="21"/>
          <w:szCs w:val="21"/>
        </w:rPr>
        <w:t>浙江南部瓯江入海口北侧，东侧玉环市，西岸乐清市，湾顶温岭市，湾口是洞头区各岛屿。</w:t>
      </w:r>
    </w:p>
    <w:p w14:paraId="1C0BB7CF">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4.2调查要求</w:t>
      </w:r>
      <w:bookmarkEnd w:id="2"/>
    </w:p>
    <w:p w14:paraId="4C7B9D24">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以中高分辨率卫星影像数据为核心，综合运用多源多时相遥感技术进行监测制图，确保调查结果的系统性和完整性。充分融合无人机现场采集信息及历史档案资料，进行必要的补充验证，确保数据准确性。具体要求如下：</w:t>
      </w:r>
    </w:p>
    <w:p w14:paraId="553177F3">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（1）严格遵循《海洋监测技术规程第七部分：卫星遥感技术方法（HY/T 147.7-2013）》、《海岛四项基本要素监视监测技术要求（试行）（国海发〔2016〕547号）》、《海岸带调查技术规程》《自然保护地人类活动遥感监测技术规范》（HJ 1156-2021）、《湿地分类》（GB/T 24708-2009）、《全国生态状况调查评估技术规范-生态系统格局评估》（HJ1171-2021）、《近岸海洋生态健康评价指南》（HY/T087-2005）、《自然保护区生态环境保护成效评估标准（试行）》（HJ 1203-2021）、《湿地生态质量评价技术规范》（HJ1339-2023）的相关规定，确保调查工作的科学性与规范性。</w:t>
      </w:r>
    </w:p>
    <w:p w14:paraId="429C9C54">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（2）依据滨海湿地的生态特征及地表覆盖变化规律，优选最利于湿地识别与区分的卫星成像和现场调查时间。</w:t>
      </w:r>
    </w:p>
    <w:p w14:paraId="5479747C">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（3）针对关键调查区域及难以直接通过卫星观测的地点，采用米级甚至更高分辨率的卫星或部署低空无人机进行精细监测与识别。</w:t>
      </w:r>
    </w:p>
    <w:p w14:paraId="315DF363">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（4）构建实地核查点网络，确保每两点之间最大距离不超过50公里。</w:t>
      </w:r>
    </w:p>
    <w:p w14:paraId="54BD7FBC">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（5）针对单幅影像无法完全覆盖的区域，需进行影像数据的精确拼接处理。</w:t>
      </w:r>
    </w:p>
    <w:p w14:paraId="6AECF1A4">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实现对岸线、滨海湿地、潮滩、植被类型等空间分布范围的精确定位，统计其长度、面积或地形特征，并进行多时相对比分析，量化岸线和滨海湿地的动态变化趋势，包括扩张、萎缩、类型转变等关键指标。</w:t>
      </w:r>
    </w:p>
    <w:p w14:paraId="1483667D">
      <w:pPr>
        <w:pStyle w:val="113"/>
        <w:adjustRightInd w:val="0"/>
        <w:snapToGrid w:val="0"/>
        <w:spacing w:line="360" w:lineRule="auto"/>
        <w:ind w:firstLine="480"/>
        <w:rPr>
          <w:rFonts w:hint="eastAsia" w:ascii="宋体" w:hAnsi="宋体" w:eastAsia="宋体" w:cs="宋体"/>
          <w:color w:val="000000"/>
          <w:sz w:val="21"/>
          <w:szCs w:val="21"/>
        </w:rPr>
      </w:pPr>
      <w:bookmarkStart w:id="3" w:name="_Toc53581545"/>
    </w:p>
    <w:p w14:paraId="3F9AEB69">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4.3</w:t>
      </w:r>
      <w:bookmarkEnd w:id="3"/>
      <w:r>
        <w:rPr>
          <w:rFonts w:hint="eastAsia" w:ascii="宋体" w:hAnsi="宋体" w:eastAsia="宋体" w:cs="宋体"/>
          <w:color w:val="000000"/>
          <w:sz w:val="21"/>
          <w:szCs w:val="21"/>
        </w:rPr>
        <w:t>质量控制要求</w:t>
      </w:r>
    </w:p>
    <w:p w14:paraId="66CA1590">
      <w:pPr>
        <w:pStyle w:val="113"/>
        <w:adjustRightInd w:val="0"/>
        <w:snapToGrid w:val="0"/>
        <w:spacing w:line="360" w:lineRule="auto"/>
        <w:ind w:firstLine="480"/>
        <w:rPr>
          <w:rFonts w:hint="eastAsia" w:ascii="宋体" w:hAnsi="宋体" w:eastAsia="宋体" w:cs="宋体"/>
          <w:color w:val="000000"/>
          <w:sz w:val="21"/>
          <w:szCs w:val="21"/>
        </w:rPr>
      </w:pPr>
      <w:bookmarkStart w:id="4" w:name="_Toc53581546"/>
      <w:r>
        <w:rPr>
          <w:rFonts w:hint="eastAsia" w:ascii="宋体" w:hAnsi="宋体" w:eastAsia="宋体" w:cs="宋体"/>
          <w:color w:val="000000"/>
          <w:sz w:val="21"/>
          <w:szCs w:val="21"/>
        </w:rPr>
        <w:t>中标方必须严格遵守以下质量控制措施，以确保本项目报告的精准度和可靠性：</w:t>
      </w:r>
    </w:p>
    <w:p w14:paraId="5735769A">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中标方需深入分析调查区域海域特有的潮汐模式，确保精确同步潮位数据与遥感监测影像的获取时间，减少时间差异带来的影响。在此基础上，组织专业团队进行现场验证，对比遥感数据分析结果与实际水边线情况，采用先进的图像处理技术和算法，以确保提取的水边线精度符合项目既定标准。</w:t>
      </w:r>
    </w:p>
    <w:p w14:paraId="0C0B9485">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在进行潮滩湿地面积计算时，中标方应科学运用地球椭球面积计算理论，结合适宜的地图投影反解技术，精确校正由于地图投影引起的几何变形，减少面积估算误差。采用地理信息系统软件，对潮滩湿地边界进行细致勾勒，确保与岸线调查结果的高度吻合。</w:t>
      </w:r>
    </w:p>
    <w:p w14:paraId="21D35A85">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中标方需建立一套完善的调查结果精度评价机制，该机制应涵盖但不限于混淆矩阵分析、Kappa系数计算等统计学评估方法，以全面、客观地衡量项目调查数据的准确性和一致性。鼓励采用第三方独立验证，通过交叉比对不同数据源，进一步提升整体精度评估的可靠性和客观性。</w:t>
      </w:r>
    </w:p>
    <w:p w14:paraId="50713C6E">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中标方应设立动态质量监控流程，在项目执行过程中持续监控数据收集、处理及分析各阶段的精度状况，及时发现并纠正偏差。建立快速响应机制，对发现的任何精度问题实施即时修正措施，并记录修正过程及结果，确保最终报告的高质量完成。</w:t>
      </w:r>
    </w:p>
    <w:p w14:paraId="73AAA3FE">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（5）所有参与项目的工作人员需接受专项培训，确保其熟悉最新的调查技术和质量控制标准。同时，对关键岗位人员的资质进行严格审核，确保团队成员具备实施高质量潮滩湿地调查的专业能力和经验。</w:t>
      </w:r>
      <w:bookmarkEnd w:id="4"/>
      <w:bookmarkStart w:id="5" w:name="_Toc53581547"/>
    </w:p>
    <w:p w14:paraId="2918DD96">
      <w:pPr>
        <w:pStyle w:val="113"/>
        <w:adjustRightInd w:val="0"/>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4.4</w:t>
      </w:r>
      <w:r>
        <w:rPr>
          <w:rFonts w:hint="eastAsia" w:ascii="宋体" w:hAnsi="宋体" w:cs="宋体"/>
          <w:color w:val="000000"/>
          <w:sz w:val="21"/>
          <w:szCs w:val="21"/>
          <w:lang w:val="en-US" w:eastAsia="zh-CN"/>
        </w:rPr>
        <w:t>成果</w:t>
      </w:r>
      <w:r>
        <w:rPr>
          <w:rFonts w:hint="eastAsia" w:ascii="宋体" w:hAnsi="宋体" w:eastAsia="宋体" w:cs="宋体"/>
          <w:color w:val="000000"/>
          <w:sz w:val="21"/>
          <w:szCs w:val="21"/>
        </w:rPr>
        <w:t>要求</w:t>
      </w:r>
      <w:bookmarkEnd w:id="5"/>
    </w:p>
    <w:p w14:paraId="6084DC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中标人应确保在</w:t>
      </w:r>
      <w:r>
        <w:rPr>
          <w:rFonts w:hint="eastAsia" w:ascii="宋体" w:hAnsi="宋体" w:cs="宋体"/>
          <w:color w:val="000000"/>
          <w:kern w:val="2"/>
          <w:sz w:val="21"/>
          <w:szCs w:val="21"/>
          <w:highlight w:val="none"/>
          <w:lang w:val="en-US" w:eastAsia="zh-CN" w:bidi="ar-SA"/>
        </w:rPr>
        <w:t>2025年11月30日前</w:t>
      </w:r>
      <w:r>
        <w:rPr>
          <w:rFonts w:hint="eastAsia" w:ascii="宋体" w:hAnsi="宋体" w:eastAsia="宋体" w:cs="宋体"/>
          <w:color w:val="000000"/>
          <w:kern w:val="2"/>
          <w:sz w:val="21"/>
          <w:szCs w:val="21"/>
          <w:highlight w:val="none"/>
          <w:lang w:val="en-US" w:eastAsia="zh-CN" w:bidi="ar-SA"/>
        </w:rPr>
        <w:t>通过</w:t>
      </w:r>
      <w:r>
        <w:rPr>
          <w:rFonts w:hint="eastAsia" w:ascii="宋体" w:hAnsi="宋体" w:cs="宋体"/>
          <w:color w:val="000000"/>
          <w:kern w:val="2"/>
          <w:sz w:val="21"/>
          <w:szCs w:val="21"/>
          <w:highlight w:val="none"/>
          <w:lang w:val="en-US" w:eastAsia="zh-CN" w:bidi="ar-SA"/>
        </w:rPr>
        <w:t>招标人</w:t>
      </w:r>
      <w:r>
        <w:rPr>
          <w:rFonts w:hint="eastAsia" w:ascii="宋体" w:hAnsi="宋体" w:eastAsia="宋体" w:cs="宋体"/>
          <w:color w:val="000000"/>
          <w:kern w:val="2"/>
          <w:sz w:val="21"/>
          <w:szCs w:val="21"/>
          <w:highlight w:val="none"/>
          <w:lang w:val="en-US" w:eastAsia="zh-CN" w:bidi="ar-SA"/>
        </w:rPr>
        <w:t>组织的成果验收，并提交全面且详细的调查报告和相关资料，包括报告纸质盖章版</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份，电子版1份。数据和资料集电子版以光盘、U盘等固定介质存储方式提交1份。成果需涵盖以下关键要素：</w:t>
      </w:r>
    </w:p>
    <w:p w14:paraId="485211F9">
      <w:pPr>
        <w:pStyle w:val="113"/>
        <w:adjustRightInd w:val="0"/>
        <w:snapToGrid w:val="0"/>
        <w:spacing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目总体报告：应详尽阐述调查工作的实施过程、调查结果与结论。附件需包括但不限于项目要求调查范围与调查时段的岸线类型及空间分布图、岸线变化及新增围填海分布图、滨海湿地类型分布图、潮滩湿地变化图、潮滩地形特征图、潮上带潮间带植被类型分布图、实际调查采样点分布图等。</w:t>
      </w:r>
    </w:p>
    <w:p w14:paraId="0E2AC05C">
      <w:pPr>
        <w:pStyle w:val="113"/>
        <w:adjustRightInd w:val="0"/>
        <w:snapToGrid w:val="0"/>
        <w:spacing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项目数据与资料集：提交所有与项目相关的原始数据、处理后的数据及分析文档，具体包括：购买的卫星遥感影像、生成的栅格及矢量结果数据、无人机航拍影像、实地核验照片（分辨率应满足不小于600dpi）、历史资料数据等。</w:t>
      </w:r>
    </w:p>
    <w:p w14:paraId="17FC83B8">
      <w:pPr>
        <w:pStyle w:val="113"/>
        <w:adjustRightInd w:val="0"/>
        <w:snapToGrid w:val="0"/>
        <w:spacing w:line="360" w:lineRule="auto"/>
        <w:ind w:left="480" w:firstLine="0" w:firstLineChars="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▲4.5</w:t>
      </w:r>
      <w:r>
        <w:rPr>
          <w:rFonts w:hint="eastAsia" w:ascii="宋体" w:hAnsi="宋体" w:eastAsia="宋体" w:cs="宋体"/>
          <w:b/>
          <w:bCs/>
          <w:color w:val="000000"/>
          <w:sz w:val="21"/>
          <w:szCs w:val="21"/>
          <w:highlight w:val="none"/>
        </w:rPr>
        <w:t>售后服务要求</w:t>
      </w:r>
    </w:p>
    <w:p w14:paraId="4C0A44E6">
      <w:pPr>
        <w:adjustRightInd w:val="0"/>
        <w:snapToGrid w:val="0"/>
        <w:spacing w:line="360" w:lineRule="auto"/>
        <w:ind w:firstLine="422" w:firstLineChars="200"/>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2"/>
          <w:sz w:val="21"/>
          <w:szCs w:val="21"/>
          <w:highlight w:val="none"/>
          <w:lang w:val="en-US" w:eastAsia="zh-CN" w:bidi="ar-SA"/>
        </w:rPr>
        <w:t>本项目质保期为合同签订之日起一年</w:t>
      </w:r>
      <w:r>
        <w:rPr>
          <w:rFonts w:hint="eastAsia" w:ascii="宋体" w:hAnsi="宋体" w:eastAsia="宋体" w:cs="宋体"/>
          <w:b/>
          <w:bCs/>
          <w:color w:val="000000"/>
          <w:kern w:val="2"/>
          <w:sz w:val="21"/>
          <w:szCs w:val="21"/>
          <w:highlight w:val="none"/>
          <w:lang w:val="zh-CN" w:eastAsia="zh-CN" w:bidi="ar-SA"/>
        </w:rPr>
        <w:t>，</w:t>
      </w:r>
      <w:r>
        <w:rPr>
          <w:rFonts w:hint="eastAsia" w:ascii="宋体" w:hAnsi="宋体" w:cs="宋体"/>
          <w:b/>
          <w:bCs/>
          <w:color w:val="000000"/>
          <w:kern w:val="2"/>
          <w:sz w:val="21"/>
          <w:szCs w:val="21"/>
          <w:highlight w:val="none"/>
          <w:lang w:val="en-US" w:eastAsia="zh-CN" w:bidi="ar-SA"/>
        </w:rPr>
        <w:t>质保期内中标人须响应</w:t>
      </w:r>
      <w:r>
        <w:rPr>
          <w:rFonts w:hint="eastAsia" w:ascii="宋体" w:hAnsi="宋体" w:eastAsia="宋体" w:cs="宋体"/>
          <w:b/>
          <w:bCs/>
          <w:color w:val="000000"/>
          <w:kern w:val="2"/>
          <w:sz w:val="21"/>
          <w:szCs w:val="21"/>
          <w:highlight w:val="none"/>
          <w:lang w:val="zh-CN" w:eastAsia="zh-CN" w:bidi="ar-SA"/>
        </w:rPr>
        <w:t>招标人</w:t>
      </w:r>
      <w:r>
        <w:rPr>
          <w:rFonts w:hint="eastAsia" w:ascii="宋体" w:hAnsi="宋体" w:cs="宋体"/>
          <w:b/>
          <w:bCs/>
          <w:color w:val="000000"/>
          <w:kern w:val="2"/>
          <w:sz w:val="21"/>
          <w:szCs w:val="21"/>
          <w:highlight w:val="none"/>
          <w:lang w:val="en-US" w:eastAsia="zh-CN" w:bidi="ar-SA"/>
        </w:rPr>
        <w:t>关于</w:t>
      </w:r>
      <w:r>
        <w:rPr>
          <w:rFonts w:hint="eastAsia" w:ascii="宋体" w:hAnsi="宋体" w:eastAsia="宋体" w:cs="宋体"/>
          <w:b/>
          <w:bCs/>
          <w:color w:val="000000"/>
          <w:kern w:val="2"/>
          <w:sz w:val="21"/>
          <w:szCs w:val="21"/>
          <w:highlight w:val="none"/>
          <w:lang w:val="zh-CN" w:eastAsia="zh-CN" w:bidi="ar-SA"/>
        </w:rPr>
        <w:t>项目技术和报告内容方面质询与完善</w:t>
      </w:r>
      <w:r>
        <w:rPr>
          <w:rFonts w:hint="eastAsia" w:ascii="宋体" w:hAnsi="宋体" w:cs="宋体"/>
          <w:b/>
          <w:bCs/>
          <w:color w:val="000000"/>
          <w:kern w:val="2"/>
          <w:sz w:val="21"/>
          <w:szCs w:val="21"/>
          <w:highlight w:val="none"/>
          <w:lang w:val="en-US" w:eastAsia="zh-CN" w:bidi="ar-SA"/>
        </w:rPr>
        <w:t>需求</w:t>
      </w:r>
      <w:r>
        <w:rPr>
          <w:rFonts w:hint="eastAsia" w:ascii="宋体" w:hAnsi="宋体" w:cs="宋体"/>
          <w:b/>
          <w:bCs/>
          <w:color w:val="000000"/>
          <w:kern w:val="2"/>
          <w:sz w:val="21"/>
          <w:szCs w:val="21"/>
          <w:highlight w:val="none"/>
          <w:lang w:val="zh-CN" w:eastAsia="zh-CN" w:bidi="ar-SA"/>
        </w:rPr>
        <w:t>，</w:t>
      </w:r>
      <w:r>
        <w:rPr>
          <w:rFonts w:hint="eastAsia" w:ascii="宋体" w:hAnsi="宋体" w:eastAsia="宋体" w:cs="宋体"/>
          <w:b/>
          <w:bCs/>
          <w:color w:val="000000"/>
          <w:kern w:val="2"/>
          <w:sz w:val="21"/>
          <w:szCs w:val="21"/>
          <w:highlight w:val="none"/>
          <w:lang w:val="en-US" w:eastAsia="zh-CN" w:bidi="ar-SA"/>
        </w:rPr>
        <w:t>在接到招标人通知后三个工作日内响应</w:t>
      </w:r>
      <w:r>
        <w:rPr>
          <w:rFonts w:hint="eastAsia" w:ascii="宋体" w:hAnsi="宋体" w:cs="宋体"/>
          <w:b/>
          <w:bCs/>
          <w:color w:val="000000"/>
          <w:kern w:val="2"/>
          <w:sz w:val="21"/>
          <w:szCs w:val="21"/>
          <w:highlight w:val="none"/>
          <w:lang w:val="en-US" w:eastAsia="zh-CN" w:bidi="ar-SA"/>
        </w:rPr>
        <w:t>并尽快完成报告的解释与修订、图件补充制作等。</w:t>
      </w:r>
    </w:p>
    <w:p w14:paraId="4721FF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sz w:val="24"/>
          <w:highlight w:val="none"/>
          <w:lang w:eastAsia="zh-CN"/>
        </w:rPr>
      </w:pPr>
    </w:p>
    <w:p w14:paraId="432B25C5">
      <w:pPr>
        <w:spacing w:line="360" w:lineRule="auto"/>
        <w:jc w:val="center"/>
        <w:rPr>
          <w:rFonts w:ascii="Times New Roman" w:hAnsi="Times New Roman" w:cs="Times New Roman"/>
          <w:b/>
          <w:bCs/>
          <w:sz w:val="30"/>
          <w:szCs w:val="30"/>
          <w:highlight w:val="none"/>
        </w:rPr>
      </w:pPr>
    </w:p>
    <w:p w14:paraId="1720A96F">
      <w:pPr>
        <w:spacing w:line="360" w:lineRule="auto"/>
        <w:jc w:val="center"/>
        <w:rPr>
          <w:rFonts w:ascii="Times New Roman" w:hAnsi="Times New Roman" w:cs="Times New Roman"/>
          <w:b/>
          <w:bCs/>
          <w:sz w:val="30"/>
          <w:szCs w:val="30"/>
          <w:highlight w:val="none"/>
        </w:rPr>
      </w:pPr>
    </w:p>
    <w:p w14:paraId="2DC2C99C">
      <w:pPr>
        <w:spacing w:line="360" w:lineRule="auto"/>
        <w:jc w:val="center"/>
        <w:rPr>
          <w:rFonts w:ascii="Times New Roman" w:hAnsi="Times New Roman" w:cs="Times New Roman"/>
          <w:b/>
          <w:bCs/>
          <w:sz w:val="30"/>
          <w:szCs w:val="30"/>
          <w:highlight w:val="none"/>
        </w:rPr>
      </w:pPr>
    </w:p>
    <w:p w14:paraId="39C7CFB4">
      <w:pPr>
        <w:rPr>
          <w:highlight w:val="none"/>
        </w:rPr>
      </w:pPr>
    </w:p>
    <w:p w14:paraId="2EE82A25">
      <w:pPr>
        <w:rPr>
          <w:highlight w:val="none"/>
        </w:rPr>
      </w:pPr>
    </w:p>
    <w:p w14:paraId="46C8253D">
      <w:pPr>
        <w:rPr>
          <w:highlight w:val="none"/>
        </w:rPr>
      </w:pPr>
    </w:p>
    <w:p w14:paraId="7AF1FC0E">
      <w:pPr>
        <w:rPr>
          <w:highlight w:val="none"/>
        </w:rPr>
      </w:pPr>
    </w:p>
    <w:p w14:paraId="08D9E69C">
      <w:pPr>
        <w:rPr>
          <w:highlight w:val="none"/>
        </w:rPr>
      </w:pPr>
    </w:p>
    <w:p w14:paraId="2288E03D">
      <w:pPr>
        <w:spacing w:line="360" w:lineRule="auto"/>
        <w:jc w:val="center"/>
        <w:rPr>
          <w:rFonts w:ascii="Times New Roman" w:hAnsi="Times New Roman" w:cs="Times New Roman"/>
          <w:b/>
          <w:bCs/>
          <w:color w:val="000000" w:themeColor="text1"/>
          <w:spacing w:val="12"/>
          <w:sz w:val="40"/>
          <w:szCs w:val="40"/>
          <w:highlight w:val="none"/>
        </w:rPr>
      </w:pPr>
      <w:r>
        <w:rPr>
          <w:rFonts w:ascii="Times New Roman" w:hAnsi="Times New Roman" w:cs="Times New Roman"/>
          <w:b/>
          <w:bCs/>
          <w:color w:val="000000" w:themeColor="text1"/>
          <w:sz w:val="30"/>
          <w:szCs w:val="30"/>
          <w:highlight w:val="none"/>
        </w:rPr>
        <w:t>第三章供应商须知</w:t>
      </w:r>
    </w:p>
    <w:p w14:paraId="1795B465">
      <w:pPr>
        <w:spacing w:line="360" w:lineRule="auto"/>
        <w:jc w:val="center"/>
        <w:rPr>
          <w:rFonts w:ascii="Times New Roman" w:hAnsi="Times New Roman" w:cs="Times New Roman"/>
          <w:b/>
          <w:bCs/>
          <w:color w:val="000000" w:themeColor="text1"/>
          <w:sz w:val="30"/>
          <w:szCs w:val="30"/>
          <w:highlight w:val="none"/>
        </w:rPr>
      </w:pPr>
      <w:r>
        <w:rPr>
          <w:rFonts w:ascii="Times New Roman" w:hAnsi="Times New Roman" w:cs="Times New Roman"/>
          <w:b/>
          <w:bCs/>
          <w:color w:val="000000" w:themeColor="text1"/>
          <w:sz w:val="30"/>
          <w:szCs w:val="30"/>
          <w:highlight w:val="none"/>
        </w:rPr>
        <w:t>前附表</w:t>
      </w:r>
    </w:p>
    <w:tbl>
      <w:tblPr>
        <w:tblStyle w:val="24"/>
        <w:tblW w:w="929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435"/>
        <w:gridCol w:w="3586"/>
        <w:gridCol w:w="1134"/>
        <w:gridCol w:w="19"/>
        <w:gridCol w:w="2555"/>
      </w:tblGrid>
      <w:tr w14:paraId="2798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blCellSpacing w:w="7" w:type="dxa"/>
          <w:jc w:val="center"/>
        </w:trPr>
        <w:tc>
          <w:tcPr>
            <w:tcW w:w="549" w:type="dxa"/>
            <w:shd w:val="clear" w:color="auto" w:fill="E0E0E0"/>
            <w:vAlign w:val="center"/>
          </w:tcPr>
          <w:p w14:paraId="02AC5820">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序号</w:t>
            </w:r>
          </w:p>
        </w:tc>
        <w:tc>
          <w:tcPr>
            <w:tcW w:w="8708" w:type="dxa"/>
            <w:gridSpan w:val="5"/>
            <w:shd w:val="clear" w:color="auto" w:fill="E0E0E0"/>
            <w:vAlign w:val="center"/>
          </w:tcPr>
          <w:p w14:paraId="74EE6766">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内容说明及要求</w:t>
            </w:r>
          </w:p>
        </w:tc>
      </w:tr>
      <w:tr w14:paraId="5F83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24609B98">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1</w:t>
            </w:r>
          </w:p>
        </w:tc>
        <w:tc>
          <w:tcPr>
            <w:tcW w:w="1421" w:type="dxa"/>
            <w:shd w:val="clear" w:color="auto" w:fill="E0E0E0"/>
            <w:vAlign w:val="center"/>
          </w:tcPr>
          <w:p w14:paraId="7C915F6E">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项目名称</w:t>
            </w:r>
          </w:p>
        </w:tc>
        <w:tc>
          <w:tcPr>
            <w:tcW w:w="3572" w:type="dxa"/>
            <w:shd w:val="clear" w:color="auto" w:fill="FFFFFF"/>
            <w:vAlign w:val="center"/>
          </w:tcPr>
          <w:p w14:paraId="11120230">
            <w:pPr>
              <w:spacing w:before="100" w:beforeAutospacing="1" w:after="100" w:afterAutospacing="1" w:line="360" w:lineRule="exact"/>
              <w:rPr>
                <w:rFonts w:hint="eastAsia" w:ascii="Times New Roman" w:hAnsi="Times New Roman" w:eastAsia="宋体" w:cs="Times New Roman"/>
                <w:color w:val="000000" w:themeColor="text1"/>
                <w:kern w:val="0"/>
                <w:highlight w:val="none"/>
                <w:lang w:eastAsia="zh-CN"/>
              </w:rPr>
            </w:pPr>
            <w:r>
              <w:rPr>
                <w:rFonts w:hint="eastAsia" w:ascii="Times New Roman" w:hAnsi="Times New Roman" w:cs="Times New Roman"/>
                <w:color w:val="000000" w:themeColor="text1"/>
                <w:highlight w:val="none"/>
                <w:shd w:val="clear" w:color="auto" w:fill="FFFFFF"/>
                <w:lang w:eastAsia="zh-CN"/>
              </w:rPr>
              <w:t>2025年杭州湾乐清湾滨海湿地变迁遥感调查项目</w:t>
            </w:r>
          </w:p>
        </w:tc>
        <w:tc>
          <w:tcPr>
            <w:tcW w:w="1120" w:type="dxa"/>
            <w:shd w:val="clear" w:color="auto" w:fill="E0E0E0"/>
            <w:vAlign w:val="center"/>
          </w:tcPr>
          <w:p w14:paraId="07A96EB8">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采购编号</w:t>
            </w:r>
          </w:p>
        </w:tc>
        <w:tc>
          <w:tcPr>
            <w:tcW w:w="2553" w:type="dxa"/>
            <w:gridSpan w:val="2"/>
            <w:shd w:val="clear" w:color="auto" w:fill="FFFFFF"/>
            <w:vAlign w:val="center"/>
          </w:tcPr>
          <w:p w14:paraId="2FF8A89D">
            <w:pPr>
              <w:spacing w:before="100" w:beforeAutospacing="1" w:after="100" w:afterAutospacing="1" w:line="360" w:lineRule="exact"/>
              <w:rPr>
                <w:rFonts w:hint="eastAsia" w:ascii="Times New Roman" w:hAnsi="Times New Roman" w:eastAsia="宋体" w:cs="Times New Roman"/>
                <w:color w:val="000000" w:themeColor="text1"/>
                <w:highlight w:val="none"/>
                <w:lang w:eastAsia="zh-CN"/>
              </w:rPr>
            </w:pPr>
            <w:r>
              <w:rPr>
                <w:rFonts w:hint="eastAsia" w:ascii="Times New Roman" w:hAnsi="Times New Roman" w:cs="Times New Roman"/>
                <w:color w:val="000000" w:themeColor="text1"/>
                <w:highlight w:val="none"/>
                <w:lang w:eastAsia="zh-CN"/>
              </w:rPr>
              <w:t>ZHCG2025-10</w:t>
            </w:r>
          </w:p>
        </w:tc>
      </w:tr>
      <w:tr w14:paraId="1EFB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54EDEC7F">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2</w:t>
            </w:r>
          </w:p>
        </w:tc>
        <w:tc>
          <w:tcPr>
            <w:tcW w:w="1421" w:type="dxa"/>
            <w:shd w:val="clear" w:color="auto" w:fill="E0E0E0"/>
            <w:vAlign w:val="center"/>
          </w:tcPr>
          <w:p w14:paraId="757AB6DC">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采购内容</w:t>
            </w:r>
          </w:p>
        </w:tc>
        <w:tc>
          <w:tcPr>
            <w:tcW w:w="3572" w:type="dxa"/>
            <w:shd w:val="clear" w:color="auto" w:fill="FFFFFF"/>
            <w:vAlign w:val="center"/>
          </w:tcPr>
          <w:p w14:paraId="6873A0D2">
            <w:pPr>
              <w:spacing w:before="100" w:beforeAutospacing="1" w:after="100" w:afterAutospacing="1" w:line="360" w:lineRule="exact"/>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rPr>
              <w:t>详见第二章采购需求</w:t>
            </w:r>
          </w:p>
        </w:tc>
        <w:tc>
          <w:tcPr>
            <w:tcW w:w="1139" w:type="dxa"/>
            <w:gridSpan w:val="2"/>
            <w:shd w:val="clear" w:color="auto" w:fill="FFFFFF"/>
            <w:vAlign w:val="center"/>
          </w:tcPr>
          <w:p w14:paraId="41A79FC6">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资金来源</w:t>
            </w:r>
          </w:p>
        </w:tc>
        <w:tc>
          <w:tcPr>
            <w:tcW w:w="2534" w:type="dxa"/>
            <w:shd w:val="clear" w:color="auto" w:fill="FFFFFF"/>
            <w:vAlign w:val="center"/>
          </w:tcPr>
          <w:p w14:paraId="61F591A1">
            <w:pPr>
              <w:spacing w:before="100" w:beforeAutospacing="1" w:after="100" w:afterAutospacing="1" w:line="360" w:lineRule="exact"/>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rPr>
              <w:t>财政性资金</w:t>
            </w:r>
          </w:p>
        </w:tc>
      </w:tr>
      <w:tr w14:paraId="622A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04EF308C">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3</w:t>
            </w:r>
          </w:p>
        </w:tc>
        <w:tc>
          <w:tcPr>
            <w:tcW w:w="1421" w:type="dxa"/>
            <w:shd w:val="clear" w:color="auto" w:fill="E0E0E0"/>
            <w:vAlign w:val="center"/>
          </w:tcPr>
          <w:p w14:paraId="5810CC5E">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项目预算</w:t>
            </w:r>
          </w:p>
        </w:tc>
        <w:tc>
          <w:tcPr>
            <w:tcW w:w="7273" w:type="dxa"/>
            <w:gridSpan w:val="4"/>
            <w:shd w:val="clear" w:color="auto" w:fill="FFFFFF"/>
            <w:vAlign w:val="center"/>
          </w:tcPr>
          <w:p w14:paraId="0346DCCA">
            <w:pPr>
              <w:spacing w:before="100" w:beforeAutospacing="1" w:after="100" w:afterAutospacing="1" w:line="360" w:lineRule="exact"/>
              <w:rPr>
                <w:rFonts w:ascii="Times New Roman" w:hAnsi="Times New Roman" w:cs="Times New Roman"/>
                <w:color w:val="000000" w:themeColor="text1"/>
                <w:kern w:val="0"/>
                <w:highlight w:val="none"/>
              </w:rPr>
            </w:pPr>
            <w:r>
              <w:rPr>
                <w:rFonts w:hint="eastAsia" w:ascii="Times New Roman" w:hAnsi="Times New Roman" w:cs="Times New Roman"/>
                <w:color w:val="000000" w:themeColor="text1"/>
                <w:highlight w:val="none"/>
                <w:lang w:eastAsia="zh-CN"/>
              </w:rPr>
              <w:t>25万元</w:t>
            </w:r>
            <w:r>
              <w:rPr>
                <w:rFonts w:ascii="Times New Roman" w:hAnsi="Times New Roman" w:cs="Times New Roman"/>
                <w:color w:val="000000" w:themeColor="text1"/>
                <w:highlight w:val="none"/>
              </w:rPr>
              <w:t>。</w:t>
            </w:r>
          </w:p>
        </w:tc>
      </w:tr>
      <w:tr w14:paraId="7F30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tblCellSpacing w:w="7" w:type="dxa"/>
          <w:jc w:val="center"/>
        </w:trPr>
        <w:tc>
          <w:tcPr>
            <w:tcW w:w="549" w:type="dxa"/>
            <w:shd w:val="clear" w:color="auto" w:fill="E0E0E0"/>
            <w:vAlign w:val="center"/>
          </w:tcPr>
          <w:p w14:paraId="2E7B1037">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4</w:t>
            </w:r>
          </w:p>
        </w:tc>
        <w:tc>
          <w:tcPr>
            <w:tcW w:w="1421" w:type="dxa"/>
            <w:shd w:val="clear" w:color="auto" w:fill="E0E0E0"/>
            <w:vAlign w:val="center"/>
          </w:tcPr>
          <w:p w14:paraId="79374B5F">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踏勘现场</w:t>
            </w:r>
          </w:p>
        </w:tc>
        <w:tc>
          <w:tcPr>
            <w:tcW w:w="7273" w:type="dxa"/>
            <w:gridSpan w:val="4"/>
            <w:shd w:val="clear" w:color="auto" w:fill="FFFFFF"/>
            <w:vAlign w:val="center"/>
          </w:tcPr>
          <w:p w14:paraId="463320A0">
            <w:pPr>
              <w:spacing w:before="100" w:beforeAutospacing="1" w:after="100" w:afterAutospacing="1" w:line="360" w:lineRule="exact"/>
              <w:jc w:val="left"/>
              <w:rPr>
                <w:rFonts w:ascii="Times New Roman" w:hAnsi="Times New Roman" w:cs="Times New Roman"/>
                <w:bCs/>
                <w:color w:val="000000" w:themeColor="text1"/>
                <w:highlight w:val="none"/>
              </w:rPr>
            </w:pPr>
            <w:r>
              <w:rPr>
                <w:rFonts w:ascii="Times New Roman" w:hAnsi="Times New Roman" w:cs="Times New Roman"/>
                <w:bCs/>
                <w:color w:val="000000" w:themeColor="text1"/>
                <w:highlight w:val="none"/>
              </w:rPr>
              <w:t>代理机构不组织踏勘，如供应商需进行现场踏勘的，须跟采购人进行协商。但供应商不得因此使采购人承担有关责任和蒙受损失，投标人应承担踏勘现场的责任和风险。</w:t>
            </w:r>
          </w:p>
        </w:tc>
      </w:tr>
      <w:tr w14:paraId="1C38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1FDD8482">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5</w:t>
            </w:r>
          </w:p>
        </w:tc>
        <w:tc>
          <w:tcPr>
            <w:tcW w:w="1421" w:type="dxa"/>
            <w:shd w:val="clear" w:color="auto" w:fill="E0E0E0"/>
            <w:vAlign w:val="center"/>
          </w:tcPr>
          <w:p w14:paraId="5AD77FA7">
            <w:pPr>
              <w:spacing w:before="100" w:beforeAutospacing="1" w:after="100" w:afterAutospacing="1" w:line="360" w:lineRule="exact"/>
              <w:jc w:val="center"/>
              <w:rPr>
                <w:rFonts w:ascii="Times New Roman" w:hAnsi="Times New Roman" w:cs="Times New Roman"/>
                <w:color w:val="000000" w:themeColor="text1"/>
                <w:highlight w:val="none"/>
              </w:rPr>
            </w:pPr>
            <w:r>
              <w:rPr>
                <w:rFonts w:ascii="Times New Roman" w:hAnsi="Times New Roman" w:cs="Times New Roman"/>
                <w:b/>
                <w:color w:val="000000" w:themeColor="text1"/>
                <w:highlight w:val="none"/>
              </w:rPr>
              <w:t>服务期限</w:t>
            </w:r>
          </w:p>
        </w:tc>
        <w:tc>
          <w:tcPr>
            <w:tcW w:w="7273" w:type="dxa"/>
            <w:gridSpan w:val="4"/>
            <w:shd w:val="clear" w:color="auto" w:fill="FFFFFF"/>
            <w:vAlign w:val="center"/>
          </w:tcPr>
          <w:p w14:paraId="6A9A1AD1">
            <w:pPr>
              <w:spacing w:before="100" w:beforeAutospacing="1" w:after="100" w:afterAutospacing="1" w:line="360" w:lineRule="exact"/>
              <w:jc w:val="left"/>
              <w:rPr>
                <w:rFonts w:ascii="Times New Roman" w:hAnsi="Times New Roman" w:cs="Times New Roman"/>
                <w:bCs/>
                <w:color w:val="000000" w:themeColor="text1"/>
                <w:highlight w:val="none"/>
              </w:rPr>
            </w:pPr>
            <w:r>
              <w:rPr>
                <w:rFonts w:hint="eastAsia" w:ascii="Times New Roman" w:hAnsi="Times New Roman" w:cs="Times New Roman"/>
                <w:bCs/>
                <w:color w:val="000000" w:themeColor="text1"/>
                <w:highlight w:val="none"/>
                <w:lang w:eastAsia="zh-CN"/>
              </w:rPr>
              <w:t>合同签订之日起至2025年11月30日止</w:t>
            </w:r>
            <w:r>
              <w:rPr>
                <w:rFonts w:ascii="Times New Roman" w:hAnsi="Times New Roman" w:cs="Times New Roman"/>
                <w:bCs/>
                <w:color w:val="000000" w:themeColor="text1"/>
                <w:highlight w:val="none"/>
              </w:rPr>
              <w:t>。</w:t>
            </w:r>
          </w:p>
        </w:tc>
      </w:tr>
      <w:tr w14:paraId="73DB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2337F9DC">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6</w:t>
            </w:r>
          </w:p>
        </w:tc>
        <w:tc>
          <w:tcPr>
            <w:tcW w:w="1421" w:type="dxa"/>
            <w:shd w:val="clear" w:color="auto" w:fill="E0E0E0"/>
            <w:vAlign w:val="center"/>
          </w:tcPr>
          <w:p w14:paraId="01DE2544">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投标有效期</w:t>
            </w:r>
          </w:p>
        </w:tc>
        <w:tc>
          <w:tcPr>
            <w:tcW w:w="7273" w:type="dxa"/>
            <w:gridSpan w:val="4"/>
            <w:shd w:val="clear" w:color="auto" w:fill="FFFFFF"/>
            <w:vAlign w:val="center"/>
          </w:tcPr>
          <w:p w14:paraId="6C91B7E5">
            <w:pPr>
              <w:spacing w:before="100" w:beforeAutospacing="1" w:after="100" w:afterAutospacing="1" w:line="360" w:lineRule="exac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90日历天。（从开标截止之日起）。</w:t>
            </w:r>
          </w:p>
        </w:tc>
      </w:tr>
      <w:tr w14:paraId="1B11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05B1FCFC">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7</w:t>
            </w:r>
          </w:p>
        </w:tc>
        <w:tc>
          <w:tcPr>
            <w:tcW w:w="1421" w:type="dxa"/>
            <w:shd w:val="clear" w:color="auto" w:fill="E0E0E0"/>
            <w:vAlign w:val="center"/>
          </w:tcPr>
          <w:p w14:paraId="74AC94E6">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评标办法</w:t>
            </w:r>
          </w:p>
        </w:tc>
        <w:tc>
          <w:tcPr>
            <w:tcW w:w="7273" w:type="dxa"/>
            <w:gridSpan w:val="4"/>
            <w:shd w:val="clear" w:color="auto" w:fill="FFFFFF"/>
            <w:vAlign w:val="center"/>
          </w:tcPr>
          <w:p w14:paraId="0B187B99">
            <w:pPr>
              <w:spacing w:before="100" w:beforeAutospacing="1" w:after="100" w:afterAutospacing="1" w:line="360" w:lineRule="exac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综合评分法</w:t>
            </w:r>
          </w:p>
        </w:tc>
      </w:tr>
      <w:tr w14:paraId="5BBF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76459A17">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8</w:t>
            </w:r>
          </w:p>
        </w:tc>
        <w:tc>
          <w:tcPr>
            <w:tcW w:w="1421" w:type="dxa"/>
            <w:shd w:val="clear" w:color="auto" w:fill="E0E0E0"/>
            <w:vAlign w:val="center"/>
          </w:tcPr>
          <w:p w14:paraId="1CE7BBCD">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签订合同</w:t>
            </w:r>
          </w:p>
        </w:tc>
        <w:tc>
          <w:tcPr>
            <w:tcW w:w="7273" w:type="dxa"/>
            <w:gridSpan w:val="4"/>
            <w:shd w:val="clear" w:color="auto" w:fill="FFFFFF"/>
            <w:vAlign w:val="center"/>
          </w:tcPr>
          <w:p w14:paraId="5F7A6D7B">
            <w:pPr>
              <w:spacing w:before="100" w:beforeAutospacing="1" w:after="100" w:afterAutospacing="1" w:line="360" w:lineRule="exact"/>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中标通知书发出后</w:t>
            </w:r>
            <w:r>
              <w:rPr>
                <w:rFonts w:ascii="Times New Roman" w:hAnsi="Times New Roman" w:cs="Times New Roman"/>
                <w:color w:val="000000" w:themeColor="text1"/>
                <w:highlight w:val="none"/>
                <w:u w:val="single"/>
              </w:rPr>
              <w:t xml:space="preserve"> 30 </w:t>
            </w:r>
            <w:r>
              <w:rPr>
                <w:rFonts w:ascii="Times New Roman" w:hAnsi="Times New Roman" w:cs="Times New Roman"/>
                <w:color w:val="000000" w:themeColor="text1"/>
                <w:highlight w:val="none"/>
              </w:rPr>
              <w:t>天内。</w:t>
            </w:r>
          </w:p>
        </w:tc>
      </w:tr>
      <w:tr w14:paraId="7C5E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4" w:hRule="atLeast"/>
          <w:tblCellSpacing w:w="7" w:type="dxa"/>
          <w:jc w:val="center"/>
        </w:trPr>
        <w:tc>
          <w:tcPr>
            <w:tcW w:w="549" w:type="dxa"/>
            <w:shd w:val="clear" w:color="auto" w:fill="E0E0E0"/>
            <w:vAlign w:val="center"/>
          </w:tcPr>
          <w:p w14:paraId="5FAF212A">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9</w:t>
            </w:r>
          </w:p>
        </w:tc>
        <w:tc>
          <w:tcPr>
            <w:tcW w:w="1421" w:type="dxa"/>
            <w:shd w:val="clear" w:color="auto" w:fill="E0E0E0"/>
            <w:vAlign w:val="center"/>
          </w:tcPr>
          <w:p w14:paraId="1C1D8022">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资金结算</w:t>
            </w:r>
          </w:p>
        </w:tc>
        <w:tc>
          <w:tcPr>
            <w:tcW w:w="7273" w:type="dxa"/>
            <w:gridSpan w:val="4"/>
            <w:shd w:val="clear" w:color="auto" w:fill="FFFFFF"/>
            <w:vAlign w:val="center"/>
          </w:tcPr>
          <w:p w14:paraId="7D941635">
            <w:pPr>
              <w:widowControl/>
              <w:spacing w:line="360" w:lineRule="auto"/>
              <w:jc w:val="left"/>
              <w:textAlignment w:val="center"/>
              <w:rPr>
                <w:rFonts w:hint="eastAsia" w:eastAsia="宋体"/>
                <w:color w:val="000000" w:themeColor="text1"/>
                <w:highlight w:val="none"/>
                <w:lang w:eastAsia="zh-CN"/>
              </w:rPr>
            </w:pPr>
            <w:r>
              <w:rPr>
                <w:rFonts w:hint="eastAsia"/>
                <w:b/>
                <w:bCs/>
                <w:color w:val="000000" w:themeColor="text1"/>
                <w:highlight w:val="none"/>
                <w:lang w:eastAsia="zh-CN"/>
              </w:rPr>
              <w:t>合同签订之日起</w:t>
            </w:r>
            <w:r>
              <w:rPr>
                <w:rFonts w:hint="eastAsia"/>
                <w:b/>
                <w:bCs/>
                <w:color w:val="000000" w:themeColor="text1"/>
                <w:highlight w:val="none"/>
                <w:lang w:val="en-US" w:eastAsia="zh-CN"/>
              </w:rPr>
              <w:t>7</w:t>
            </w:r>
            <w:r>
              <w:rPr>
                <w:rFonts w:hint="eastAsia"/>
                <w:b/>
                <w:bCs/>
                <w:color w:val="000000" w:themeColor="text1"/>
                <w:highlight w:val="none"/>
                <w:lang w:eastAsia="zh-CN"/>
              </w:rPr>
              <w:t>个工作日内支付合同款的50%；通过采购人组织的成果验收后7个工作日内支付项目合同余款。付款前成交供应商先开具增值税发票给采购人。</w:t>
            </w:r>
          </w:p>
        </w:tc>
      </w:tr>
      <w:tr w14:paraId="7EE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3" w:hRule="atLeast"/>
          <w:tblCellSpacing w:w="7" w:type="dxa"/>
          <w:jc w:val="center"/>
        </w:trPr>
        <w:tc>
          <w:tcPr>
            <w:tcW w:w="549" w:type="dxa"/>
            <w:shd w:val="clear" w:color="auto" w:fill="E0E0E0"/>
            <w:vAlign w:val="center"/>
          </w:tcPr>
          <w:p w14:paraId="5FFAD073">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10</w:t>
            </w:r>
          </w:p>
        </w:tc>
        <w:tc>
          <w:tcPr>
            <w:tcW w:w="1421" w:type="dxa"/>
            <w:shd w:val="clear" w:color="auto" w:fill="E0E0E0"/>
            <w:vAlign w:val="center"/>
          </w:tcPr>
          <w:p w14:paraId="50D1B658">
            <w:pPr>
              <w:spacing w:line="276"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投标报价</w:t>
            </w:r>
          </w:p>
          <w:p w14:paraId="2072A9E7">
            <w:pPr>
              <w:spacing w:line="276"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与费用</w:t>
            </w:r>
          </w:p>
        </w:tc>
        <w:tc>
          <w:tcPr>
            <w:tcW w:w="7273" w:type="dxa"/>
            <w:gridSpan w:val="4"/>
            <w:shd w:val="clear" w:color="auto" w:fill="FFFFFF"/>
            <w:vAlign w:val="center"/>
          </w:tcPr>
          <w:p w14:paraId="6EFD1200">
            <w:pPr>
              <w:numPr>
                <w:ilvl w:val="0"/>
                <w:numId w:val="6"/>
              </w:numPr>
              <w:spacing w:before="100" w:beforeAutospacing="1" w:after="100" w:afterAutospacing="1" w:line="360" w:lineRule="auto"/>
              <w:jc w:val="left"/>
              <w:rPr>
                <w:rFonts w:ascii="Times New Roman" w:hAnsi="Times New Roman" w:cs="Times New Roman"/>
                <w:color w:val="000000" w:themeColor="text1"/>
                <w:highlight w:val="none"/>
              </w:rPr>
            </w:pPr>
            <w:r>
              <w:rPr>
                <w:rFonts w:ascii="Times New Roman" w:hAnsi="Times New Roman" w:cs="Times New Roman"/>
                <w:bCs/>
                <w:color w:val="000000" w:themeColor="text1"/>
                <w:highlight w:val="none"/>
              </w:rPr>
              <w:t>本项目投标应以人民币报价；是履行合同的最终价格，</w:t>
            </w:r>
            <w:r>
              <w:rPr>
                <w:rFonts w:hint="eastAsia" w:ascii="Times New Roman" w:hAnsi="Times New Roman" w:cs="Times New Roman"/>
                <w:bCs/>
                <w:color w:val="000000" w:themeColor="text1"/>
                <w:highlight w:val="none"/>
              </w:rPr>
              <w:t>实行总承包报价，报价为采购人指定服务范围内的全部价格，至少包括：服务的价格（包括人工、材料、设备等）；必要的保险费用和各项税金；</w:t>
            </w:r>
            <w:r>
              <w:rPr>
                <w:rFonts w:hint="eastAsia" w:ascii="Times New Roman" w:hAnsi="Times New Roman" w:cs="Times New Roman"/>
                <w:bCs/>
                <w:color w:val="000000" w:themeColor="text1"/>
                <w:highlight w:val="none"/>
                <w:lang w:val="en-US" w:eastAsia="zh-CN"/>
              </w:rPr>
              <w:t>代理服务费及</w:t>
            </w:r>
            <w:r>
              <w:rPr>
                <w:rFonts w:hint="eastAsia" w:ascii="Times New Roman" w:hAnsi="Times New Roman" w:cs="Times New Roman"/>
                <w:bCs/>
                <w:color w:val="000000" w:themeColor="text1"/>
                <w:highlight w:val="none"/>
              </w:rPr>
              <w:t>与本项目有关的其他一切费用。</w:t>
            </w:r>
          </w:p>
          <w:p w14:paraId="3E1540A6">
            <w:pPr>
              <w:numPr>
                <w:ilvl w:val="0"/>
                <w:numId w:val="6"/>
              </w:numPr>
              <w:spacing w:before="100" w:beforeAutospacing="1" w:after="100" w:afterAutospacing="1" w:line="360" w:lineRule="auto"/>
              <w:jc w:val="left"/>
              <w:rPr>
                <w:rFonts w:ascii="Times New Roman" w:hAnsi="Times New Roman" w:cs="Times New Roman"/>
                <w:color w:val="000000" w:themeColor="text1"/>
                <w:highlight w:val="none"/>
              </w:rPr>
            </w:pPr>
            <w:r>
              <w:rPr>
                <w:rFonts w:ascii="Times New Roman" w:hAnsi="Times New Roman" w:cs="Times New Roman"/>
                <w:bCs/>
                <w:color w:val="000000" w:themeColor="text1"/>
                <w:highlight w:val="none"/>
              </w:rPr>
              <w:t>不论投标结果如何，供应商均应自行承担所有与投标有关的全部费用。</w:t>
            </w:r>
          </w:p>
        </w:tc>
      </w:tr>
      <w:tr w14:paraId="6B40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tblCellSpacing w:w="7" w:type="dxa"/>
          <w:jc w:val="center"/>
        </w:trPr>
        <w:tc>
          <w:tcPr>
            <w:tcW w:w="549" w:type="dxa"/>
            <w:shd w:val="clear" w:color="auto" w:fill="E0E0E0"/>
            <w:vAlign w:val="center"/>
          </w:tcPr>
          <w:p w14:paraId="5F0B66F8">
            <w:pPr>
              <w:spacing w:before="100" w:beforeAutospacing="1" w:after="100" w:afterAutospacing="1" w:line="360" w:lineRule="exact"/>
              <w:jc w:val="center"/>
              <w:rPr>
                <w:rFonts w:ascii="Times New Roman" w:hAnsi="Times New Roman" w:eastAsia="宋体" w:cs="Times New Roman"/>
                <w:b/>
                <w:color w:val="000000" w:themeColor="text1"/>
                <w:kern w:val="2"/>
                <w:sz w:val="21"/>
                <w:szCs w:val="21"/>
                <w:highlight w:val="none"/>
                <w:lang w:val="en-US" w:eastAsia="zh-CN" w:bidi="ar-SA"/>
              </w:rPr>
            </w:pPr>
            <w:r>
              <w:rPr>
                <w:rFonts w:ascii="Times New Roman" w:hAnsi="Times New Roman" w:cs="Times New Roman"/>
                <w:b/>
                <w:color w:val="000000" w:themeColor="text1"/>
                <w:highlight w:val="none"/>
              </w:rPr>
              <w:t>11</w:t>
            </w:r>
          </w:p>
        </w:tc>
        <w:tc>
          <w:tcPr>
            <w:tcW w:w="1421" w:type="dxa"/>
            <w:shd w:val="clear" w:color="auto" w:fill="E0E0E0"/>
            <w:vAlign w:val="center"/>
          </w:tcPr>
          <w:p w14:paraId="1393D53F">
            <w:pPr>
              <w:spacing w:line="360"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采购代理</w:t>
            </w:r>
          </w:p>
          <w:p w14:paraId="6ADC589D">
            <w:pPr>
              <w:spacing w:line="360" w:lineRule="auto"/>
              <w:jc w:val="center"/>
              <w:rPr>
                <w:rFonts w:ascii="Times New Roman" w:hAnsi="Times New Roman" w:eastAsia="宋体" w:cs="Times New Roman"/>
                <w:b/>
                <w:color w:val="000000" w:themeColor="text1"/>
                <w:kern w:val="2"/>
                <w:sz w:val="21"/>
                <w:szCs w:val="21"/>
                <w:highlight w:val="none"/>
                <w:lang w:val="en-US" w:eastAsia="zh-CN" w:bidi="ar-SA"/>
              </w:rPr>
            </w:pPr>
            <w:r>
              <w:rPr>
                <w:rFonts w:ascii="Times New Roman" w:hAnsi="Times New Roman" w:cs="Times New Roman"/>
                <w:b/>
                <w:color w:val="000000" w:themeColor="text1"/>
                <w:highlight w:val="none"/>
              </w:rPr>
              <w:t>服务费</w:t>
            </w:r>
          </w:p>
        </w:tc>
        <w:tc>
          <w:tcPr>
            <w:tcW w:w="7273" w:type="dxa"/>
            <w:gridSpan w:val="4"/>
            <w:shd w:val="clear" w:color="auto" w:fill="FFFFFF"/>
            <w:vAlign w:val="center"/>
          </w:tcPr>
          <w:p w14:paraId="453759DD">
            <w:pPr>
              <w:numPr>
                <w:ilvl w:val="0"/>
                <w:numId w:val="0"/>
              </w:numPr>
              <w:spacing w:before="100" w:beforeAutospacing="1" w:after="100" w:afterAutospacing="1" w:line="360" w:lineRule="auto"/>
              <w:ind w:firstLine="420" w:firstLineChars="200"/>
              <w:jc w:val="left"/>
              <w:rPr>
                <w:rFonts w:hint="eastAsia" w:ascii="Times New Roman" w:hAnsi="Times New Roman" w:cs="Times New Roman"/>
                <w:bCs/>
                <w:color w:val="000000" w:themeColor="text1"/>
                <w:highlight w:val="none"/>
              </w:rPr>
            </w:pPr>
            <w:r>
              <w:rPr>
                <w:rFonts w:hint="eastAsia" w:ascii="Times New Roman" w:hAnsi="Times New Roman" w:cs="Times New Roman"/>
                <w:bCs/>
                <w:color w:val="000000" w:themeColor="text1"/>
                <w:highlight w:val="none"/>
                <w:lang w:val="en-US" w:eastAsia="zh-CN"/>
              </w:rPr>
              <w:t>中标服务费的收取：本采购代理机构参考国家发改委发改办价格[2003]857号通知和国家计委计价格[2002]1980号文件规定的服务类招标费率标准，以中标价为基数打七折向中标人收取招标服务费，低于保底收费7000元的按保底收费收取。</w:t>
            </w:r>
          </w:p>
          <w:p w14:paraId="4F7D716C">
            <w:pPr>
              <w:snapToGrid w:val="0"/>
              <w:spacing w:line="360" w:lineRule="auto"/>
              <w:rPr>
                <w:rFonts w:ascii="Times New Roman" w:hAnsi="Times New Roman" w:cs="Times New Roman"/>
                <w:color w:val="000000"/>
              </w:rPr>
            </w:pPr>
            <w:r>
              <w:rPr>
                <w:rFonts w:ascii="Times New Roman" w:hAnsi="Times New Roman" w:cs="Times New Roman"/>
                <w:b/>
                <w:bCs/>
                <w:color w:val="000000"/>
              </w:rPr>
              <w:t>采购代理费由中标人支付，中标人在领取中标通知书</w:t>
            </w:r>
            <w:r>
              <w:rPr>
                <w:rFonts w:hint="eastAsia" w:ascii="Times New Roman" w:hAnsi="Times New Roman" w:cs="Times New Roman"/>
                <w:b/>
                <w:bCs/>
                <w:color w:val="000000"/>
                <w:lang w:val="en-US" w:eastAsia="zh-CN"/>
              </w:rPr>
              <w:t>后十五个工作日内</w:t>
            </w:r>
            <w:r>
              <w:rPr>
                <w:rFonts w:ascii="Times New Roman" w:hAnsi="Times New Roman" w:cs="Times New Roman"/>
                <w:b/>
                <w:bCs/>
                <w:color w:val="000000"/>
              </w:rPr>
              <w:t>一次性付清</w:t>
            </w:r>
            <w:r>
              <w:rPr>
                <w:rFonts w:ascii="Times New Roman" w:hAnsi="Times New Roman" w:cs="Times New Roman"/>
                <w:color w:val="000000"/>
              </w:rPr>
              <w:t>。</w:t>
            </w:r>
          </w:p>
          <w:p w14:paraId="07ACCD46">
            <w:pPr>
              <w:numPr>
                <w:ilvl w:val="0"/>
                <w:numId w:val="0"/>
              </w:numPr>
              <w:spacing w:line="360" w:lineRule="exact"/>
              <w:rPr>
                <w:rFonts w:hint="eastAsia" w:eastAsia="宋体" w:cs="Times New Roman"/>
                <w:color w:val="000000"/>
                <w:lang w:val="en-US" w:eastAsia="zh-CN"/>
              </w:rPr>
            </w:pPr>
            <w:r>
              <w:rPr>
                <w:rFonts w:hint="eastAsia" w:eastAsia="宋体" w:cs="Times New Roman"/>
                <w:color w:val="000000"/>
                <w:lang w:val="en-US" w:eastAsia="zh-CN"/>
              </w:rPr>
              <w:t>收款账号：</w:t>
            </w:r>
          </w:p>
          <w:p w14:paraId="64D6E825">
            <w:pPr>
              <w:numPr>
                <w:ilvl w:val="0"/>
                <w:numId w:val="0"/>
              </w:numPr>
              <w:spacing w:line="360" w:lineRule="exact"/>
              <w:rPr>
                <w:rFonts w:hint="eastAsia" w:eastAsia="宋体" w:cs="Times New Roman"/>
                <w:color w:val="000000"/>
                <w:lang w:val="en-US" w:eastAsia="zh-CN"/>
              </w:rPr>
            </w:pPr>
            <w:r>
              <w:rPr>
                <w:rFonts w:hint="eastAsia" w:eastAsia="宋体" w:cs="Times New Roman"/>
                <w:color w:val="000000"/>
                <w:lang w:val="en-US" w:eastAsia="zh-CN"/>
              </w:rPr>
              <w:t>收款单位（户名）：浙江自贸区中昊工程管理有限公司</w:t>
            </w:r>
          </w:p>
          <w:p w14:paraId="17577B80">
            <w:pPr>
              <w:numPr>
                <w:ilvl w:val="0"/>
                <w:numId w:val="0"/>
              </w:numPr>
              <w:spacing w:line="360" w:lineRule="exact"/>
              <w:rPr>
                <w:rFonts w:hint="eastAsia" w:eastAsia="宋体" w:cs="Times New Roman"/>
                <w:color w:val="000000"/>
                <w:lang w:val="en-US" w:eastAsia="zh-CN"/>
              </w:rPr>
            </w:pPr>
            <w:r>
              <w:rPr>
                <w:rFonts w:hint="eastAsia" w:eastAsia="宋体" w:cs="Times New Roman"/>
                <w:color w:val="000000"/>
                <w:lang w:val="en-US" w:eastAsia="zh-CN"/>
              </w:rPr>
              <w:t>开户银行：建行舟山定海支行</w:t>
            </w:r>
          </w:p>
          <w:p w14:paraId="7BC5459F">
            <w:pPr>
              <w:pStyle w:val="13"/>
              <w:ind w:firstLine="210" w:firstLineChars="100"/>
              <w:rPr>
                <w:rFonts w:ascii="Times New Roman" w:hAnsi="Times New Roman" w:eastAsia="宋体" w:cs="Times New Roman"/>
                <w:color w:val="000000" w:themeColor="text1"/>
                <w:kern w:val="0"/>
                <w:sz w:val="21"/>
                <w:szCs w:val="21"/>
                <w:highlight w:val="none"/>
                <w:lang w:val="en-US" w:eastAsia="zh-CN" w:bidi="ar-SA"/>
              </w:rPr>
            </w:pPr>
            <w:r>
              <w:rPr>
                <w:rFonts w:hint="eastAsia" w:eastAsia="宋体" w:cs="Times New Roman"/>
                <w:color w:val="000000"/>
                <w:lang w:val="en-US" w:eastAsia="zh-CN"/>
              </w:rPr>
              <w:t>银行账号：33001706235050001511</w:t>
            </w:r>
          </w:p>
        </w:tc>
      </w:tr>
      <w:tr w14:paraId="0E4A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blCellSpacing w:w="7" w:type="dxa"/>
          <w:jc w:val="center"/>
        </w:trPr>
        <w:tc>
          <w:tcPr>
            <w:tcW w:w="549" w:type="dxa"/>
            <w:shd w:val="clear" w:color="auto" w:fill="E0E0E0"/>
            <w:vAlign w:val="center"/>
          </w:tcPr>
          <w:p w14:paraId="2ED9BD35">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val="en-US" w:eastAsia="zh-CN"/>
              </w:rPr>
            </w:pPr>
            <w:r>
              <w:rPr>
                <w:rFonts w:ascii="Times New Roman" w:hAnsi="Times New Roman" w:cs="Times New Roman"/>
                <w:b/>
                <w:color w:val="000000" w:themeColor="text1"/>
                <w:highlight w:val="none"/>
              </w:rPr>
              <w:t>1</w:t>
            </w:r>
            <w:r>
              <w:rPr>
                <w:rFonts w:hint="eastAsia" w:ascii="Times New Roman" w:hAnsi="Times New Roman" w:cs="Times New Roman"/>
                <w:b/>
                <w:color w:val="000000" w:themeColor="text1"/>
                <w:highlight w:val="none"/>
                <w:lang w:val="en-US" w:eastAsia="zh-CN"/>
              </w:rPr>
              <w:t>2</w:t>
            </w:r>
          </w:p>
        </w:tc>
        <w:tc>
          <w:tcPr>
            <w:tcW w:w="1421" w:type="dxa"/>
            <w:shd w:val="clear" w:color="auto" w:fill="E0E0E0"/>
            <w:vAlign w:val="center"/>
          </w:tcPr>
          <w:p w14:paraId="134DB137">
            <w:pPr>
              <w:spacing w:line="276"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履约保证金</w:t>
            </w:r>
          </w:p>
        </w:tc>
        <w:tc>
          <w:tcPr>
            <w:tcW w:w="7273" w:type="dxa"/>
            <w:gridSpan w:val="4"/>
            <w:shd w:val="clear" w:color="auto" w:fill="FFFFFF"/>
            <w:vAlign w:val="center"/>
          </w:tcPr>
          <w:p w14:paraId="4B8DE287">
            <w:pPr>
              <w:spacing w:line="360" w:lineRule="auto"/>
              <w:rPr>
                <w:rFonts w:ascii="Times New Roman" w:hAnsi="Times New Roman" w:cs="Times New Roman"/>
                <w:color w:val="000000" w:themeColor="text1"/>
                <w:szCs w:val="24"/>
                <w:highlight w:val="none"/>
              </w:rPr>
            </w:pPr>
            <w:r>
              <w:rPr>
                <w:rFonts w:hint="eastAsia" w:ascii="Times New Roman" w:hAnsi="Times New Roman" w:cs="Times New Roman"/>
                <w:color w:val="000000" w:themeColor="text1"/>
                <w:szCs w:val="24"/>
                <w:highlight w:val="none"/>
              </w:rPr>
              <w:t>/</w:t>
            </w:r>
          </w:p>
        </w:tc>
      </w:tr>
      <w:tr w14:paraId="6393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CellSpacing w:w="7" w:type="dxa"/>
          <w:jc w:val="center"/>
        </w:trPr>
        <w:tc>
          <w:tcPr>
            <w:tcW w:w="549" w:type="dxa"/>
            <w:shd w:val="clear" w:color="auto" w:fill="E0E0E0"/>
            <w:vAlign w:val="center"/>
          </w:tcPr>
          <w:p w14:paraId="0B831BD5">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ascii="Times New Roman" w:hAnsi="Times New Roman" w:cs="Times New Roman"/>
                <w:b/>
                <w:color w:val="000000" w:themeColor="text1"/>
                <w:highlight w:val="none"/>
              </w:rPr>
              <w:t>1</w:t>
            </w:r>
            <w:r>
              <w:rPr>
                <w:rFonts w:hint="eastAsia" w:ascii="Times New Roman" w:hAnsi="Times New Roman" w:cs="Times New Roman"/>
                <w:b/>
                <w:color w:val="000000" w:themeColor="text1"/>
                <w:highlight w:val="none"/>
                <w:lang w:val="en-US" w:eastAsia="zh-CN"/>
              </w:rPr>
              <w:t>3</w:t>
            </w:r>
          </w:p>
        </w:tc>
        <w:tc>
          <w:tcPr>
            <w:tcW w:w="1421" w:type="dxa"/>
            <w:shd w:val="clear" w:color="auto" w:fill="E0E0E0"/>
            <w:vAlign w:val="center"/>
          </w:tcPr>
          <w:p w14:paraId="47965768">
            <w:pPr>
              <w:spacing w:line="276"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投标文件</w:t>
            </w:r>
          </w:p>
          <w:p w14:paraId="49D4660B">
            <w:pPr>
              <w:spacing w:line="276"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的组成</w:t>
            </w:r>
          </w:p>
        </w:tc>
        <w:tc>
          <w:tcPr>
            <w:tcW w:w="7273" w:type="dxa"/>
            <w:gridSpan w:val="4"/>
            <w:shd w:val="clear" w:color="auto" w:fill="FFFFFF"/>
            <w:vAlign w:val="center"/>
          </w:tcPr>
          <w:p w14:paraId="51FB4604">
            <w:pPr>
              <w:spacing w:line="360" w:lineRule="exac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本项目实行电子投标。</w:t>
            </w:r>
          </w:p>
          <w:p w14:paraId="33A8C82F">
            <w:pPr>
              <w:pStyle w:val="12"/>
              <w:spacing w:after="0" w:line="360" w:lineRule="exact"/>
              <w:rPr>
                <w:rFonts w:ascii="Times New Roman" w:hAnsi="Times New Roman" w:cs="Times New Roman"/>
                <w:color w:val="000000" w:themeColor="text1"/>
                <w:kern w:val="2"/>
                <w:sz w:val="21"/>
                <w:szCs w:val="21"/>
                <w:highlight w:val="none"/>
              </w:rPr>
            </w:pPr>
            <w:r>
              <w:rPr>
                <w:rFonts w:ascii="Times New Roman" w:hAnsi="Times New Roman" w:cs="Times New Roman"/>
                <w:color w:val="000000" w:themeColor="text1"/>
                <w:sz w:val="21"/>
                <w:highlight w:val="none"/>
              </w:rPr>
              <w:t>投标文件由资格响应文件、商务及技术响应文件、报价文件</w:t>
            </w:r>
            <w:r>
              <w:rPr>
                <w:rFonts w:hint="eastAsia" w:ascii="Times New Roman" w:hAnsi="Times New Roman" w:cs="Times New Roman"/>
                <w:color w:val="000000" w:themeColor="text1"/>
                <w:sz w:val="21"/>
                <w:highlight w:val="none"/>
                <w:lang w:eastAsia="zh-CN"/>
              </w:rPr>
              <w:t>三部分组成</w:t>
            </w:r>
            <w:r>
              <w:rPr>
                <w:rFonts w:ascii="Times New Roman" w:hAnsi="Times New Roman" w:cs="Times New Roman"/>
                <w:color w:val="000000" w:themeColor="text1"/>
                <w:sz w:val="21"/>
                <w:highlight w:val="none"/>
              </w:rPr>
              <w:t>。</w:t>
            </w:r>
          </w:p>
        </w:tc>
      </w:tr>
      <w:tr w14:paraId="3238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atLeast"/>
          <w:tblCellSpacing w:w="7" w:type="dxa"/>
          <w:jc w:val="center"/>
        </w:trPr>
        <w:tc>
          <w:tcPr>
            <w:tcW w:w="549" w:type="dxa"/>
            <w:shd w:val="clear" w:color="auto" w:fill="E0E0E0"/>
            <w:vAlign w:val="center"/>
          </w:tcPr>
          <w:p w14:paraId="2E1954E4">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ascii="Times New Roman" w:hAnsi="Times New Roman" w:cs="Times New Roman"/>
                <w:b/>
                <w:color w:val="000000" w:themeColor="text1"/>
                <w:highlight w:val="none"/>
              </w:rPr>
              <w:t>1</w:t>
            </w:r>
            <w:r>
              <w:rPr>
                <w:rFonts w:hint="eastAsia" w:ascii="Times New Roman" w:hAnsi="Times New Roman" w:cs="Times New Roman"/>
                <w:b/>
                <w:color w:val="000000" w:themeColor="text1"/>
                <w:highlight w:val="none"/>
                <w:lang w:val="en-US" w:eastAsia="zh-CN"/>
              </w:rPr>
              <w:t>4</w:t>
            </w:r>
          </w:p>
        </w:tc>
        <w:tc>
          <w:tcPr>
            <w:tcW w:w="1421" w:type="dxa"/>
            <w:shd w:val="clear" w:color="auto" w:fill="E0E0E0"/>
            <w:vAlign w:val="center"/>
          </w:tcPr>
          <w:p w14:paraId="186F5A56">
            <w:pPr>
              <w:spacing w:line="276"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投标文件</w:t>
            </w:r>
          </w:p>
          <w:p w14:paraId="0416F0F3">
            <w:pPr>
              <w:spacing w:line="276"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的递交</w:t>
            </w:r>
          </w:p>
        </w:tc>
        <w:tc>
          <w:tcPr>
            <w:tcW w:w="7273" w:type="dxa"/>
            <w:gridSpan w:val="4"/>
            <w:shd w:val="clear" w:color="auto" w:fill="FFFFFF"/>
            <w:vAlign w:val="center"/>
          </w:tcPr>
          <w:p w14:paraId="7A414579">
            <w:pPr>
              <w:ind w:firstLine="420" w:firstLineChars="200"/>
              <w:rPr>
                <w:rFonts w:ascii="Times New Roman" w:hAnsi="Times New Roman"/>
                <w:highlight w:val="none"/>
              </w:rPr>
            </w:pPr>
            <w:r>
              <w:rPr>
                <w:rFonts w:ascii="Times New Roman" w:hAnsi="Times New Roman"/>
                <w:highlight w:val="none"/>
              </w:rPr>
              <w:t>根据《浙江省政府采购项目电子交易管理暂行办法》第二十条规定，本次投标允许投标人递交电子备份投标文件</w:t>
            </w:r>
            <w:r>
              <w:rPr>
                <w:rFonts w:ascii="Times New Roman" w:hAnsi="Times New Roman"/>
                <w:b/>
                <w:bCs/>
                <w:highlight w:val="none"/>
              </w:rPr>
              <w:t>（后缀名为.bfbs）</w:t>
            </w:r>
            <w:r>
              <w:rPr>
                <w:rFonts w:ascii="Times New Roman" w:hAnsi="Times New Roman"/>
                <w:highlight w:val="none"/>
              </w:rPr>
              <w:t>，但不强制要求提交，未</w:t>
            </w:r>
            <w:r>
              <w:rPr>
                <w:rFonts w:hint="eastAsia" w:ascii="Times New Roman" w:hAnsi="Times New Roman"/>
                <w:highlight w:val="none"/>
                <w:lang w:eastAsia="zh-CN"/>
              </w:rPr>
              <w:t>提交</w:t>
            </w:r>
            <w:r>
              <w:rPr>
                <w:rFonts w:ascii="Times New Roman" w:hAnsi="Times New Roman"/>
                <w:highlight w:val="none"/>
              </w:rPr>
              <w:t>造成项目开评标活动无法进行下去的，投标无效，相关风险由投标人自行承担。</w:t>
            </w:r>
          </w:p>
          <w:p w14:paraId="11EB327D">
            <w:pPr>
              <w:rPr>
                <w:rFonts w:ascii="Times New Roman" w:hAnsi="Times New Roman"/>
                <w:highlight w:val="none"/>
              </w:rPr>
            </w:pPr>
            <w:r>
              <w:rPr>
                <w:rFonts w:ascii="Times New Roman" w:hAnsi="Times New Roman"/>
                <w:highlight w:val="none"/>
              </w:rPr>
              <w:t>1、在开标截止时间前须在政采云系统里上传加密的电子版投标文件。</w:t>
            </w:r>
          </w:p>
          <w:p w14:paraId="38AB5CEC">
            <w:pPr>
              <w:rPr>
                <w:rFonts w:ascii="Times New Roman" w:hAnsi="Times New Roman"/>
                <w:highlight w:val="none"/>
                <w:shd w:val="clear" w:color="auto" w:fill="FFFFFF"/>
              </w:rPr>
            </w:pPr>
            <w:r>
              <w:rPr>
                <w:rFonts w:ascii="Times New Roman" w:hAnsi="Times New Roman"/>
                <w:highlight w:val="none"/>
              </w:rPr>
              <w:t>2、</w:t>
            </w:r>
            <w:r>
              <w:rPr>
                <w:rFonts w:ascii="Times New Roman" w:hAnsi="Times New Roman"/>
                <w:highlight w:val="none"/>
                <w:shd w:val="clear" w:color="auto" w:fill="FFFFFF"/>
              </w:rPr>
              <w:t>备份投标文件递交的方式为：</w:t>
            </w:r>
            <w:r>
              <w:rPr>
                <w:rFonts w:ascii="Times New Roman" w:hAnsi="Times New Roman"/>
                <w:b/>
                <w:bCs/>
                <w:highlight w:val="none"/>
                <w:shd w:val="clear" w:color="auto" w:fill="FFFFFF"/>
              </w:rPr>
              <w:t>邮寄或</w:t>
            </w:r>
            <w:r>
              <w:rPr>
                <w:rFonts w:hint="eastAsia" w:ascii="Times New Roman" w:hAnsi="Times New Roman"/>
                <w:b/>
                <w:bCs/>
                <w:highlight w:val="none"/>
                <w:shd w:val="clear" w:color="auto" w:fill="FFFFFF"/>
              </w:rPr>
              <w:t>邮箱（</w:t>
            </w:r>
            <w:r>
              <w:rPr>
                <w:rFonts w:ascii="Times New Roman" w:hAnsi="Times New Roman"/>
                <w:b/>
                <w:bCs/>
                <w:highlight w:val="none"/>
                <w:shd w:val="clear" w:color="auto" w:fill="FFFFFF"/>
              </w:rPr>
              <w:t>备份文件</w:t>
            </w:r>
            <w:r>
              <w:rPr>
                <w:rFonts w:hint="eastAsia" w:ascii="Times New Roman" w:hAnsi="Times New Roman"/>
                <w:b/>
                <w:bCs/>
                <w:highlight w:val="none"/>
                <w:shd w:val="clear" w:color="auto" w:fill="FFFFFF"/>
              </w:rPr>
              <w:t>的</w:t>
            </w:r>
            <w:r>
              <w:rPr>
                <w:rFonts w:ascii="Times New Roman" w:hAnsi="Times New Roman"/>
                <w:b/>
                <w:bCs/>
                <w:highlight w:val="none"/>
                <w:shd w:val="clear" w:color="auto" w:fill="FFFFFF"/>
              </w:rPr>
              <w:t>后缀名为.bfbs</w:t>
            </w:r>
            <w:r>
              <w:rPr>
                <w:rFonts w:hint="eastAsia" w:ascii="Times New Roman" w:hAnsi="Times New Roman"/>
                <w:b/>
                <w:bCs/>
                <w:highlight w:val="none"/>
                <w:shd w:val="clear" w:color="auto" w:fill="FFFFFF"/>
              </w:rPr>
              <w:t>）</w:t>
            </w:r>
            <w:r>
              <w:rPr>
                <w:rFonts w:ascii="Times New Roman" w:hAnsi="Times New Roman"/>
                <w:highlight w:val="none"/>
                <w:shd w:val="clear" w:color="auto" w:fill="FFFFFF"/>
              </w:rPr>
              <w:t>。</w:t>
            </w:r>
          </w:p>
          <w:p w14:paraId="72ABBB02">
            <w:pPr>
              <w:snapToGrid w:val="0"/>
              <w:rPr>
                <w:rFonts w:ascii="Times New Roman" w:hAnsi="Times New Roman"/>
                <w:b/>
                <w:bCs/>
                <w:highlight w:val="none"/>
              </w:rPr>
            </w:pPr>
            <w:r>
              <w:rPr>
                <w:rFonts w:hint="eastAsia" w:ascii="Times New Roman" w:hAnsi="Times New Roman"/>
                <w:b/>
                <w:bCs/>
                <w:highlight w:val="none"/>
              </w:rPr>
              <w:t>2.1邮寄</w:t>
            </w:r>
            <w:r>
              <w:rPr>
                <w:rFonts w:ascii="Times New Roman" w:hAnsi="Times New Roman"/>
                <w:b/>
                <w:bCs/>
                <w:highlight w:val="none"/>
              </w:rPr>
              <w:t>地址：舟山市定海区临城街道百川道9号910（科创园区）</w:t>
            </w:r>
          </w:p>
          <w:p w14:paraId="4BA33EA3">
            <w:pPr>
              <w:snapToGrid w:val="0"/>
              <w:rPr>
                <w:rFonts w:ascii="Times New Roman" w:hAnsi="Times New Roman"/>
                <w:b/>
                <w:bCs/>
                <w:highlight w:val="none"/>
              </w:rPr>
            </w:pPr>
            <w:r>
              <w:rPr>
                <w:rFonts w:ascii="Times New Roman" w:hAnsi="Times New Roman"/>
                <w:b/>
                <w:bCs/>
                <w:highlight w:val="none"/>
              </w:rPr>
              <w:t>收件人：</w:t>
            </w:r>
            <w:r>
              <w:rPr>
                <w:rFonts w:hint="eastAsia" w:ascii="Times New Roman" w:hAnsi="Times New Roman"/>
                <w:b/>
                <w:bCs/>
                <w:highlight w:val="none"/>
              </w:rPr>
              <w:t>张璐</w:t>
            </w:r>
            <w:r>
              <w:rPr>
                <w:rFonts w:ascii="Times New Roman" w:hAnsi="Times New Roman"/>
                <w:b/>
                <w:bCs/>
                <w:highlight w:val="none"/>
              </w:rPr>
              <w:t>，电话：0580-2119100</w:t>
            </w:r>
          </w:p>
          <w:p w14:paraId="6EDB9B12">
            <w:pPr>
              <w:snapToGrid w:val="0"/>
              <w:rPr>
                <w:rFonts w:ascii="Times New Roman" w:hAnsi="Times New Roman"/>
                <w:b/>
                <w:bCs/>
                <w:highlight w:val="none"/>
              </w:rPr>
            </w:pPr>
            <w:r>
              <w:rPr>
                <w:rFonts w:hint="eastAsia" w:ascii="Times New Roman" w:hAnsi="Times New Roman"/>
                <w:b/>
                <w:bCs/>
                <w:highlight w:val="none"/>
              </w:rPr>
              <w:t>2.2邮箱</w:t>
            </w:r>
            <w:r>
              <w:rPr>
                <w:rFonts w:hint="eastAsia" w:ascii="Times New Roman" w:hAnsi="Times New Roman"/>
                <w:b/>
                <w:bCs/>
                <w:highlight w:val="none"/>
                <w:lang w:eastAsia="zh-CN"/>
              </w:rPr>
              <w:t>：</w:t>
            </w:r>
            <w:r>
              <w:rPr>
                <w:rFonts w:hint="eastAsia" w:ascii="Times New Roman" w:hAnsi="Times New Roman"/>
                <w:b/>
                <w:bCs/>
                <w:highlight w:val="none"/>
              </w:rPr>
              <w:t>41688047@qq.com</w:t>
            </w:r>
          </w:p>
          <w:p w14:paraId="4B6032F3">
            <w:pPr>
              <w:pStyle w:val="13"/>
              <w:ind w:firstLine="210"/>
              <w:rPr>
                <w:highlight w:val="none"/>
              </w:rPr>
            </w:pPr>
            <w:r>
              <w:rPr>
                <w:highlight w:val="none"/>
              </w:rPr>
              <w:t>采用邮箱送达备份文件的，投标人将备份文件压缩加密后发至邮箱，当解密发生失败时，代理公司将通过电话获取文件密码。</w:t>
            </w:r>
          </w:p>
          <w:p w14:paraId="6A7BFED4">
            <w:pPr>
              <w:rPr>
                <w:rFonts w:ascii="Times New Roman" w:hAnsi="Times New Roman"/>
                <w:highlight w:val="none"/>
              </w:rPr>
            </w:pPr>
            <w:r>
              <w:rPr>
                <w:rFonts w:ascii="Times New Roman" w:hAnsi="Times New Roman"/>
                <w:highlight w:val="none"/>
              </w:rPr>
              <w:t>3、备份投标文件，介质可以是U盘或DVD光盘，只允许存储一个文件。</w:t>
            </w:r>
          </w:p>
          <w:p w14:paraId="701F86CB">
            <w:pPr>
              <w:rPr>
                <w:rFonts w:ascii="Times New Roman" w:hAnsi="Times New Roman"/>
                <w:highlight w:val="none"/>
              </w:rPr>
            </w:pPr>
            <w:r>
              <w:rPr>
                <w:rFonts w:ascii="Times New Roman" w:hAnsi="Times New Roman"/>
                <w:highlight w:val="none"/>
              </w:rPr>
              <w:t>4、当发生投标人未按时解密时，代理机构将启用已提交的备份投标文件。</w:t>
            </w:r>
          </w:p>
          <w:p w14:paraId="0A54A561">
            <w:pPr>
              <w:rPr>
                <w:rFonts w:ascii="Times New Roman" w:hAnsi="Times New Roman"/>
                <w:highlight w:val="none"/>
              </w:rPr>
            </w:pPr>
            <w:r>
              <w:rPr>
                <w:rFonts w:ascii="Times New Roman" w:hAnsi="Times New Roman"/>
                <w:highlight w:val="none"/>
              </w:rPr>
              <w:t>5、以下情形视为</w:t>
            </w:r>
            <w:r>
              <w:rPr>
                <w:rFonts w:ascii="Times New Roman" w:hAnsi="Times New Roman"/>
                <w:b/>
                <w:bCs/>
                <w:highlight w:val="none"/>
              </w:rPr>
              <w:t>未提交有效投标文件</w:t>
            </w:r>
            <w:r>
              <w:rPr>
                <w:rFonts w:ascii="Times New Roman" w:hAnsi="Times New Roman"/>
                <w:highlight w:val="none"/>
              </w:rPr>
              <w:t>：</w:t>
            </w:r>
          </w:p>
          <w:p w14:paraId="15ECBB75">
            <w:pPr>
              <w:rPr>
                <w:rFonts w:ascii="Times New Roman" w:hAnsi="Times New Roman"/>
                <w:highlight w:val="none"/>
              </w:rPr>
            </w:pPr>
            <w:r>
              <w:rPr>
                <w:rFonts w:ascii="Times New Roman" w:hAnsi="Times New Roman"/>
                <w:highlight w:val="none"/>
              </w:rPr>
              <w:t>5.1仅提交备份投标文件的；</w:t>
            </w:r>
          </w:p>
          <w:p w14:paraId="36571CBA">
            <w:pPr>
              <w:rPr>
                <w:rFonts w:ascii="Times New Roman" w:hAnsi="Times New Roman"/>
                <w:highlight w:val="none"/>
              </w:rPr>
            </w:pPr>
            <w:r>
              <w:rPr>
                <w:rFonts w:ascii="Times New Roman" w:hAnsi="Times New Roman"/>
                <w:highlight w:val="none"/>
              </w:rPr>
              <w:t>5.2投标人未按时解密，且提交备份投标文件无效的；</w:t>
            </w:r>
          </w:p>
          <w:p w14:paraId="7B5F477D">
            <w:pPr>
              <w:rPr>
                <w:rFonts w:ascii="Times New Roman" w:hAnsi="Times New Roman"/>
                <w:highlight w:val="none"/>
              </w:rPr>
            </w:pPr>
            <w:r>
              <w:rPr>
                <w:rFonts w:ascii="Times New Roman" w:hAnsi="Times New Roman"/>
                <w:highlight w:val="none"/>
              </w:rPr>
              <w:t>5.3投标人未按时解密，且提交的备份投标文件不明确，存在一个或一个以上备选（替代）备份投标文件。</w:t>
            </w:r>
          </w:p>
          <w:p w14:paraId="530021B6">
            <w:pPr>
              <w:rPr>
                <w:rFonts w:ascii="Times New Roman" w:hAnsi="Times New Roman"/>
                <w:highlight w:val="none"/>
              </w:rPr>
            </w:pPr>
            <w:r>
              <w:rPr>
                <w:rFonts w:ascii="Times New Roman" w:hAnsi="Times New Roman"/>
                <w:highlight w:val="none"/>
              </w:rPr>
              <w:t>6、投标人递交备份投标文件时，如出现下列情况之一的，</w:t>
            </w:r>
            <w:r>
              <w:rPr>
                <w:rFonts w:ascii="Times New Roman" w:hAnsi="Times New Roman"/>
                <w:b/>
                <w:bCs/>
                <w:highlight w:val="none"/>
              </w:rPr>
              <w:t>将被拒收</w:t>
            </w:r>
            <w:r>
              <w:rPr>
                <w:rFonts w:hint="eastAsia" w:ascii="Times New Roman" w:hAnsi="Times New Roman"/>
                <w:b/>
                <w:bCs/>
                <w:highlight w:val="none"/>
              </w:rPr>
              <w:t>（此条款仅针对邮寄的备份文件）</w:t>
            </w:r>
            <w:r>
              <w:rPr>
                <w:rFonts w:ascii="Times New Roman" w:hAnsi="Times New Roman"/>
                <w:b/>
                <w:bCs/>
                <w:highlight w:val="none"/>
              </w:rPr>
              <w:t>：</w:t>
            </w:r>
          </w:p>
          <w:p w14:paraId="656BF605">
            <w:pPr>
              <w:rPr>
                <w:rFonts w:ascii="Times New Roman" w:hAnsi="Times New Roman"/>
                <w:highlight w:val="none"/>
              </w:rPr>
            </w:pPr>
            <w:r>
              <w:rPr>
                <w:rFonts w:ascii="Times New Roman" w:hAnsi="Times New Roman"/>
                <w:highlight w:val="none"/>
              </w:rPr>
              <w:t>6.1未按规定密封或标记的投标文件；</w:t>
            </w:r>
          </w:p>
          <w:p w14:paraId="4A8C4F5E">
            <w:pPr>
              <w:rPr>
                <w:rFonts w:ascii="Times New Roman" w:hAnsi="Times New Roman"/>
                <w:highlight w:val="none"/>
              </w:rPr>
            </w:pPr>
            <w:r>
              <w:rPr>
                <w:rFonts w:ascii="Times New Roman" w:hAnsi="Times New Roman"/>
                <w:highlight w:val="none"/>
              </w:rPr>
              <w:t>6.2由于包装不妥，在送交途中严重损坏的；</w:t>
            </w:r>
          </w:p>
          <w:p w14:paraId="4E16F07B">
            <w:pPr>
              <w:spacing w:line="360" w:lineRule="exact"/>
              <w:rPr>
                <w:rFonts w:ascii="Times New Roman" w:hAnsi="Times New Roman" w:cs="Times New Roman"/>
                <w:color w:val="000000" w:themeColor="text1"/>
                <w:szCs w:val="24"/>
                <w:highlight w:val="none"/>
              </w:rPr>
            </w:pPr>
            <w:r>
              <w:rPr>
                <w:rFonts w:ascii="Times New Roman" w:hAnsi="Times New Roman"/>
                <w:highlight w:val="none"/>
              </w:rPr>
              <w:t>6.3超过规定时间送达的。</w:t>
            </w:r>
          </w:p>
        </w:tc>
      </w:tr>
      <w:tr w14:paraId="60BE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1" w:hRule="atLeast"/>
          <w:tblCellSpacing w:w="7" w:type="dxa"/>
          <w:jc w:val="center"/>
        </w:trPr>
        <w:tc>
          <w:tcPr>
            <w:tcW w:w="549" w:type="dxa"/>
            <w:shd w:val="clear" w:color="auto" w:fill="E0E0E0"/>
            <w:vAlign w:val="center"/>
          </w:tcPr>
          <w:p w14:paraId="7FA1C0C4">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ascii="Times New Roman" w:hAnsi="Times New Roman" w:cs="Times New Roman"/>
                <w:b/>
                <w:color w:val="000000" w:themeColor="text1"/>
                <w:highlight w:val="none"/>
              </w:rPr>
              <w:t>1</w:t>
            </w:r>
            <w:r>
              <w:rPr>
                <w:rFonts w:hint="eastAsia" w:ascii="Times New Roman" w:hAnsi="Times New Roman" w:cs="Times New Roman"/>
                <w:b/>
                <w:color w:val="000000" w:themeColor="text1"/>
                <w:highlight w:val="none"/>
                <w:lang w:val="en-US" w:eastAsia="zh-CN"/>
              </w:rPr>
              <w:t>5</w:t>
            </w:r>
          </w:p>
        </w:tc>
        <w:tc>
          <w:tcPr>
            <w:tcW w:w="1421" w:type="dxa"/>
            <w:shd w:val="clear" w:color="auto" w:fill="E0E0E0"/>
            <w:vAlign w:val="center"/>
          </w:tcPr>
          <w:p w14:paraId="2FB301B3">
            <w:pPr>
              <w:spacing w:line="276"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投标文件</w:t>
            </w:r>
          </w:p>
          <w:p w14:paraId="2B2ABAEB">
            <w:pPr>
              <w:spacing w:line="276"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的密封要求</w:t>
            </w:r>
          </w:p>
        </w:tc>
        <w:tc>
          <w:tcPr>
            <w:tcW w:w="7273" w:type="dxa"/>
            <w:gridSpan w:val="4"/>
            <w:shd w:val="clear" w:color="auto" w:fill="FFFFFF"/>
            <w:vAlign w:val="center"/>
          </w:tcPr>
          <w:p w14:paraId="063FCE9A">
            <w:pPr>
              <w:spacing w:line="360" w:lineRule="exac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1、供应商线上制作投标文件并采用CA数字证书进行电子签章及加密。</w:t>
            </w:r>
          </w:p>
          <w:p w14:paraId="1B190F7B">
            <w:pPr>
              <w:spacing w:line="360" w:lineRule="exact"/>
              <w:rPr>
                <w:rFonts w:ascii="Times New Roman" w:hAnsi="Times New Roman" w:cs="Times New Roman"/>
                <w:color w:val="000000" w:themeColor="text1"/>
                <w:szCs w:val="24"/>
                <w:highlight w:val="none"/>
              </w:rPr>
            </w:pPr>
            <w:r>
              <w:rPr>
                <w:rFonts w:ascii="Times New Roman" w:hAnsi="Times New Roman" w:cs="Times New Roman"/>
                <w:color w:val="000000" w:themeColor="text1"/>
                <w:highlight w:val="none"/>
              </w:rPr>
              <w:t>2、供应商邮寄或现场递交的备份投标文件应密封封装，注明投标人名称、项目名称并封口处加盖公章。</w:t>
            </w:r>
          </w:p>
        </w:tc>
      </w:tr>
      <w:tr w14:paraId="66E3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7" w:hRule="atLeast"/>
          <w:tblCellSpacing w:w="7" w:type="dxa"/>
          <w:jc w:val="center"/>
        </w:trPr>
        <w:tc>
          <w:tcPr>
            <w:tcW w:w="549" w:type="dxa"/>
            <w:shd w:val="clear" w:color="auto" w:fill="E0E0E0"/>
            <w:vAlign w:val="center"/>
          </w:tcPr>
          <w:p w14:paraId="6E5032A3">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ascii="Times New Roman" w:hAnsi="Times New Roman" w:cs="Times New Roman"/>
                <w:b/>
                <w:color w:val="000000" w:themeColor="text1"/>
                <w:highlight w:val="none"/>
              </w:rPr>
              <w:t>1</w:t>
            </w:r>
            <w:r>
              <w:rPr>
                <w:rFonts w:hint="eastAsia" w:ascii="Times New Roman" w:hAnsi="Times New Roman" w:cs="Times New Roman"/>
                <w:b/>
                <w:color w:val="000000" w:themeColor="text1"/>
                <w:highlight w:val="none"/>
                <w:lang w:val="en-US" w:eastAsia="zh-CN"/>
              </w:rPr>
              <w:t>6</w:t>
            </w:r>
          </w:p>
        </w:tc>
        <w:tc>
          <w:tcPr>
            <w:tcW w:w="1421" w:type="dxa"/>
            <w:shd w:val="clear" w:color="auto" w:fill="E0E0E0"/>
            <w:vAlign w:val="center"/>
          </w:tcPr>
          <w:p w14:paraId="1430D9A9">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投标文件提交/开标截止时间</w:t>
            </w:r>
          </w:p>
        </w:tc>
        <w:tc>
          <w:tcPr>
            <w:tcW w:w="7273" w:type="dxa"/>
            <w:gridSpan w:val="4"/>
            <w:shd w:val="clear" w:color="auto" w:fill="FFFFFF"/>
            <w:vAlign w:val="center"/>
          </w:tcPr>
          <w:p w14:paraId="53C20F98">
            <w:pPr>
              <w:spacing w:line="360" w:lineRule="exact"/>
              <w:rPr>
                <w:rFonts w:hint="default" w:ascii="Times New Roman" w:hAnsi="Times New Roman" w:eastAsia="宋体" w:cs="Times New Roman"/>
                <w:color w:val="000000" w:themeColor="text1"/>
                <w:highlight w:val="none"/>
                <w:lang w:val="en-US" w:eastAsia="zh-CN"/>
              </w:rPr>
            </w:pPr>
            <w:r>
              <w:rPr>
                <w:rFonts w:hint="eastAsia" w:ascii="Times New Roman" w:hAnsi="Times New Roman" w:cs="Times New Roman"/>
                <w:color w:val="000000" w:themeColor="text1"/>
                <w:highlight w:val="none"/>
              </w:rPr>
              <w:t> </w:t>
            </w:r>
            <w:r>
              <w:rPr>
                <w:rFonts w:hint="eastAsia" w:ascii="Times New Roman" w:hAnsi="Times New Roman" w:cs="Times New Roman"/>
                <w:color w:val="000000" w:themeColor="text1"/>
                <w:highlight w:val="none"/>
                <w:lang w:eastAsia="zh-CN"/>
              </w:rPr>
              <w:t> </w:t>
            </w:r>
            <w:r>
              <w:rPr>
                <w:rFonts w:hint="eastAsia" w:ascii="Times New Roman" w:hAnsi="Times New Roman" w:cs="Times New Roman"/>
                <w:color w:val="000000" w:themeColor="text1"/>
                <w:sz w:val="21"/>
                <w:szCs w:val="21"/>
                <w:highlight w:val="none"/>
                <w:lang w:eastAsia="zh-CN"/>
              </w:rPr>
              <w:t>202</w:t>
            </w:r>
            <w:r>
              <w:rPr>
                <w:rFonts w:hint="eastAsia" w:ascii="Times New Roman" w:hAnsi="Times New Roman" w:cs="Times New Roman"/>
                <w:color w:val="000000" w:themeColor="text1"/>
                <w:sz w:val="21"/>
                <w:szCs w:val="21"/>
                <w:highlight w:val="none"/>
                <w:lang w:val="en-US" w:eastAsia="zh-CN"/>
              </w:rPr>
              <w:t>5</w:t>
            </w:r>
            <w:r>
              <w:rPr>
                <w:rFonts w:hint="eastAsia" w:ascii="Times New Roman" w:hAnsi="Times New Roman" w:cs="Times New Roman"/>
                <w:color w:val="000000" w:themeColor="text1"/>
                <w:sz w:val="21"/>
                <w:szCs w:val="21"/>
                <w:highlight w:val="none"/>
                <w:lang w:eastAsia="zh-CN"/>
              </w:rPr>
              <w:t>年</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lang w:eastAsia="zh-CN"/>
              </w:rPr>
              <w:t>月</w:t>
            </w:r>
            <w:r>
              <w:rPr>
                <w:rFonts w:hint="eastAsia" w:ascii="Times New Roman" w:hAnsi="Times New Roman" w:cs="Times New Roman"/>
                <w:color w:val="000000" w:themeColor="text1"/>
                <w:sz w:val="21"/>
                <w:szCs w:val="21"/>
                <w:highlight w:val="none"/>
                <w:lang w:val="en-US" w:eastAsia="zh-CN"/>
              </w:rPr>
              <w:t>8</w:t>
            </w:r>
            <w:r>
              <w:rPr>
                <w:rFonts w:hint="eastAsia" w:ascii="Times New Roman" w:hAnsi="Times New Roman" w:cs="Times New Roman"/>
                <w:color w:val="000000" w:themeColor="text1"/>
                <w:sz w:val="21"/>
                <w:szCs w:val="21"/>
                <w:highlight w:val="none"/>
                <w:lang w:eastAsia="zh-CN"/>
              </w:rPr>
              <w:t>日 14:30</w:t>
            </w:r>
            <w:r>
              <w:rPr>
                <w:rFonts w:hint="eastAsia" w:ascii="Times New Roman" w:hAnsi="Times New Roman" w:cs="Times New Roman"/>
                <w:color w:val="000000" w:themeColor="text1"/>
                <w:sz w:val="21"/>
                <w:szCs w:val="21"/>
                <w:highlight w:val="none"/>
                <w:lang w:val="en-US" w:eastAsia="zh-CN"/>
              </w:rPr>
              <w:t>止（北京时间）</w:t>
            </w:r>
          </w:p>
        </w:tc>
      </w:tr>
      <w:tr w14:paraId="15BA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tblCellSpacing w:w="7" w:type="dxa"/>
          <w:jc w:val="center"/>
        </w:trPr>
        <w:tc>
          <w:tcPr>
            <w:tcW w:w="549" w:type="dxa"/>
            <w:shd w:val="clear" w:color="auto" w:fill="E0E0E0"/>
            <w:vAlign w:val="center"/>
          </w:tcPr>
          <w:p w14:paraId="64B56C67">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ascii="Times New Roman" w:hAnsi="Times New Roman" w:cs="Times New Roman"/>
                <w:b/>
                <w:color w:val="000000" w:themeColor="text1"/>
                <w:highlight w:val="none"/>
              </w:rPr>
              <w:t>1</w:t>
            </w:r>
            <w:r>
              <w:rPr>
                <w:rFonts w:hint="eastAsia" w:ascii="Times New Roman" w:hAnsi="Times New Roman" w:cs="Times New Roman"/>
                <w:b/>
                <w:color w:val="000000" w:themeColor="text1"/>
                <w:highlight w:val="none"/>
                <w:lang w:val="en-US" w:eastAsia="zh-CN"/>
              </w:rPr>
              <w:t>7</w:t>
            </w:r>
          </w:p>
        </w:tc>
        <w:tc>
          <w:tcPr>
            <w:tcW w:w="1421" w:type="dxa"/>
            <w:shd w:val="clear" w:color="auto" w:fill="E0E0E0"/>
            <w:vAlign w:val="center"/>
          </w:tcPr>
          <w:p w14:paraId="7E3794BC">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供应商注册</w:t>
            </w:r>
          </w:p>
        </w:tc>
        <w:tc>
          <w:tcPr>
            <w:tcW w:w="7273" w:type="dxa"/>
            <w:gridSpan w:val="4"/>
            <w:shd w:val="clear" w:color="auto" w:fill="FFFFFF"/>
            <w:vAlign w:val="center"/>
          </w:tcPr>
          <w:p w14:paraId="016420C6">
            <w:pPr>
              <w:spacing w:line="360" w:lineRule="exact"/>
              <w:ind w:firstLine="420"/>
              <w:jc w:val="left"/>
              <w:rPr>
                <w:rFonts w:ascii="Times New Roman" w:hAnsi="Times New Roman" w:cs="Times New Roman"/>
                <w:bCs/>
                <w:snapToGrid w:val="0"/>
                <w:color w:val="000000" w:themeColor="text1"/>
                <w:kern w:val="0"/>
                <w:highlight w:val="none"/>
              </w:rPr>
            </w:pPr>
            <w:r>
              <w:rPr>
                <w:rFonts w:ascii="Times New Roman" w:hAnsi="Times New Roman" w:cs="Times New Roman"/>
                <w:bCs/>
                <w:snapToGrid w:val="0"/>
                <w:color w:val="000000" w:themeColor="text1"/>
                <w:kern w:val="0"/>
                <w:highlight w:val="none"/>
              </w:rPr>
              <w:t>各供应商须在投标截止时间前根据浙江省财政厅《关于开展政府采购投标人网上注册登记和诚信管理工作的通知》（浙财采监【2010】8号文）的要求，通过浙江政府采购网申请注册加入政府采购供应商库。以免影响享受相关政策优惠及成交后的款项支付。</w:t>
            </w:r>
          </w:p>
          <w:p w14:paraId="2E8AD26D">
            <w:pPr>
              <w:spacing w:line="360" w:lineRule="exact"/>
              <w:ind w:firstLine="420"/>
              <w:jc w:val="left"/>
              <w:rPr>
                <w:rFonts w:ascii="Times New Roman" w:hAnsi="Times New Roman" w:cs="Times New Roman"/>
                <w:color w:val="000000" w:themeColor="text1"/>
                <w:highlight w:val="none"/>
              </w:rPr>
            </w:pPr>
            <w:r>
              <w:rPr>
                <w:rFonts w:ascii="Times New Roman" w:hAnsi="Times New Roman" w:cs="Times New Roman"/>
                <w:bCs/>
                <w:snapToGrid w:val="0"/>
                <w:color w:val="000000" w:themeColor="text1"/>
                <w:kern w:val="0"/>
                <w:highlight w:val="none"/>
              </w:rPr>
              <w:t>供应商在申请注册前，请认真阅读，学习《中华人民共和国政府采购法》和《浙江省政府采购供应商注册及诚信管理暂行办法》等相关法规规定。</w:t>
            </w:r>
          </w:p>
        </w:tc>
      </w:tr>
      <w:tr w14:paraId="2487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7" w:hRule="atLeast"/>
          <w:tblCellSpacing w:w="7" w:type="dxa"/>
          <w:jc w:val="center"/>
        </w:trPr>
        <w:tc>
          <w:tcPr>
            <w:tcW w:w="549" w:type="dxa"/>
            <w:shd w:val="clear" w:color="auto" w:fill="E0E0E0"/>
            <w:vAlign w:val="center"/>
          </w:tcPr>
          <w:p w14:paraId="6CB5C26E">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ascii="Times New Roman" w:hAnsi="Times New Roman" w:cs="Times New Roman"/>
                <w:b/>
                <w:color w:val="000000" w:themeColor="text1"/>
                <w:highlight w:val="none"/>
              </w:rPr>
              <w:t>1</w:t>
            </w:r>
            <w:r>
              <w:rPr>
                <w:rFonts w:hint="eastAsia" w:ascii="Times New Roman" w:hAnsi="Times New Roman" w:cs="Times New Roman"/>
                <w:b/>
                <w:color w:val="000000" w:themeColor="text1"/>
                <w:highlight w:val="none"/>
                <w:lang w:val="en-US" w:eastAsia="zh-CN"/>
              </w:rPr>
              <w:t>8</w:t>
            </w:r>
          </w:p>
        </w:tc>
        <w:tc>
          <w:tcPr>
            <w:tcW w:w="1421" w:type="dxa"/>
            <w:shd w:val="clear" w:color="auto" w:fill="E0E0E0"/>
            <w:vAlign w:val="center"/>
          </w:tcPr>
          <w:p w14:paraId="48D13A5D">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不良信用记录查询</w:t>
            </w:r>
          </w:p>
        </w:tc>
        <w:tc>
          <w:tcPr>
            <w:tcW w:w="7273" w:type="dxa"/>
            <w:gridSpan w:val="4"/>
            <w:shd w:val="clear" w:color="auto" w:fill="FFFFFF"/>
            <w:vAlign w:val="center"/>
          </w:tcPr>
          <w:p w14:paraId="7F1D7E50">
            <w:pPr>
              <w:spacing w:line="360" w:lineRule="exac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根据财库[2016]125号文件：</w:t>
            </w:r>
          </w:p>
          <w:p w14:paraId="3D20AB5B">
            <w:pPr>
              <w:spacing w:line="360" w:lineRule="exac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1、至本项目投标截止前未被列入“信用中国”网站</w:t>
            </w:r>
            <w:r>
              <w:rPr>
                <w:rFonts w:hint="eastAsia" w:ascii="Times New Roman" w:hAnsi="Times New Roman" w:cs="Times New Roman"/>
                <w:color w:val="000000" w:themeColor="text1"/>
                <w:highlight w:val="none"/>
                <w:lang w:eastAsia="zh-CN"/>
              </w:rPr>
              <w:t>（</w:t>
            </w:r>
            <w:r>
              <w:rPr>
                <w:rFonts w:ascii="Times New Roman" w:hAnsi="Times New Roman" w:cs="Times New Roman"/>
                <w:color w:val="000000" w:themeColor="text1"/>
                <w:highlight w:val="none"/>
              </w:rPr>
              <w:t>www.creditchina.gov.cn)“记录失信被执行人或重大税收违法案件当事人名单”记录名单。</w:t>
            </w:r>
          </w:p>
          <w:p w14:paraId="13412005">
            <w:pPr>
              <w:spacing w:line="360" w:lineRule="exac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2、至本项目投标截止前不处于中国政府采购网</w:t>
            </w:r>
            <w:r>
              <w:rPr>
                <w:rFonts w:hint="eastAsia" w:ascii="Times New Roman" w:hAnsi="Times New Roman" w:cs="Times New Roman"/>
                <w:color w:val="000000" w:themeColor="text1"/>
                <w:highlight w:val="none"/>
                <w:lang w:eastAsia="zh-CN"/>
              </w:rPr>
              <w:t>（</w:t>
            </w:r>
            <w:r>
              <w:rPr>
                <w:rFonts w:ascii="Times New Roman" w:hAnsi="Times New Roman" w:cs="Times New Roman"/>
                <w:color w:val="000000" w:themeColor="text1"/>
                <w:highlight w:val="none"/>
              </w:rPr>
              <w:t>www.ccgp.gov.cn)“政府采购严重违法失信行为信息记录”中的禁止参加政府采购活动期间。</w:t>
            </w:r>
          </w:p>
          <w:p w14:paraId="1CEDD189">
            <w:pPr>
              <w:spacing w:line="360" w:lineRule="exact"/>
              <w:rPr>
                <w:rFonts w:hint="eastAsia" w:ascii="Times New Roman" w:hAnsi="Times New Roman" w:eastAsia="宋体" w:cs="Times New Roman"/>
                <w:color w:val="000000" w:themeColor="text1"/>
                <w:highlight w:val="none"/>
                <w:lang w:eastAsia="zh-CN"/>
              </w:rPr>
            </w:pPr>
            <w:r>
              <w:rPr>
                <w:rFonts w:ascii="Times New Roman" w:hAnsi="Times New Roman" w:cs="Times New Roman"/>
                <w:color w:val="000000" w:themeColor="text1"/>
                <w:highlight w:val="none"/>
              </w:rPr>
              <w:t>二个渠道提供</w:t>
            </w:r>
            <w:r>
              <w:rPr>
                <w:rFonts w:ascii="Times New Roman" w:hAnsi="Times New Roman" w:cs="Times New Roman"/>
                <w:b/>
                <w:color w:val="000000" w:themeColor="text1"/>
                <w:highlight w:val="none"/>
              </w:rPr>
              <w:t>查询截图。</w:t>
            </w:r>
            <w:r>
              <w:rPr>
                <w:rFonts w:ascii="Times New Roman" w:hAnsi="Times New Roman" w:cs="Times New Roman"/>
                <w:color w:val="000000" w:themeColor="text1"/>
                <w:highlight w:val="none"/>
              </w:rPr>
              <w:t>对列入失信被执行人、重大税收违法案件当事人名单、政府采购严重违法失信行为记录名单的投标人，</w:t>
            </w:r>
            <w:r>
              <w:rPr>
                <w:rFonts w:ascii="Times New Roman" w:hAnsi="Times New Roman" w:cs="Times New Roman"/>
                <w:b/>
                <w:color w:val="000000" w:themeColor="text1"/>
                <w:highlight w:val="none"/>
              </w:rPr>
              <w:t>其投标将作无效标处理</w:t>
            </w:r>
            <w:r>
              <w:rPr>
                <w:rFonts w:ascii="Times New Roman" w:hAnsi="Times New Roman" w:cs="Times New Roman"/>
                <w:color w:val="000000" w:themeColor="text1"/>
                <w:highlight w:val="none"/>
              </w:rPr>
              <w:t>。</w:t>
            </w:r>
          </w:p>
          <w:p w14:paraId="129ADC91">
            <w:pPr>
              <w:spacing w:line="360" w:lineRule="exact"/>
              <w:rPr>
                <w:rFonts w:ascii="Times New Roman" w:hAnsi="Times New Roman" w:cs="Times New Roman"/>
                <w:color w:val="000000" w:themeColor="text1"/>
                <w:szCs w:val="24"/>
                <w:highlight w:val="none"/>
              </w:rPr>
            </w:pPr>
            <w:r>
              <w:rPr>
                <w:rFonts w:ascii="Times New Roman" w:hAnsi="Times New Roman" w:cs="Times New Roman"/>
                <w:color w:val="000000" w:themeColor="text1"/>
                <w:highlight w:val="none"/>
              </w:rPr>
              <w:t>采购代理机构在投标截止日对投标人信用记录进行查询，以代理机构在开标当日的查询记录为准。</w:t>
            </w:r>
          </w:p>
        </w:tc>
      </w:tr>
      <w:tr w14:paraId="6B3D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2" w:hRule="atLeast"/>
          <w:tblCellSpacing w:w="7" w:type="dxa"/>
          <w:jc w:val="center"/>
        </w:trPr>
        <w:tc>
          <w:tcPr>
            <w:tcW w:w="549" w:type="dxa"/>
            <w:shd w:val="clear" w:color="auto" w:fill="E0E0E0"/>
            <w:vAlign w:val="center"/>
          </w:tcPr>
          <w:p w14:paraId="188EA337">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ascii="Times New Roman" w:hAnsi="Times New Roman" w:cs="Times New Roman"/>
                <w:b/>
                <w:color w:val="000000" w:themeColor="text1"/>
                <w:highlight w:val="none"/>
              </w:rPr>
              <w:t>1</w:t>
            </w:r>
            <w:r>
              <w:rPr>
                <w:rFonts w:hint="eastAsia" w:ascii="Times New Roman" w:hAnsi="Times New Roman" w:cs="Times New Roman"/>
                <w:b/>
                <w:color w:val="000000" w:themeColor="text1"/>
                <w:highlight w:val="none"/>
                <w:lang w:val="en-US" w:eastAsia="zh-CN"/>
              </w:rPr>
              <w:t>9</w:t>
            </w:r>
          </w:p>
        </w:tc>
        <w:tc>
          <w:tcPr>
            <w:tcW w:w="1421" w:type="dxa"/>
            <w:shd w:val="clear" w:color="auto" w:fill="E0E0E0"/>
            <w:vAlign w:val="center"/>
          </w:tcPr>
          <w:p w14:paraId="7127708C">
            <w:pPr>
              <w:snapToGrid w:val="0"/>
              <w:spacing w:line="360" w:lineRule="auto"/>
              <w:ind w:firstLine="422" w:firstLineChars="200"/>
              <w:rPr>
                <w:rFonts w:ascii="宋体" w:cs="Times New Roman"/>
                <w:b/>
                <w:highlight w:val="none"/>
              </w:rPr>
            </w:pPr>
            <w:r>
              <w:rPr>
                <w:rFonts w:hint="eastAsia" w:ascii="宋体" w:hAnsi="宋体"/>
                <w:b/>
                <w:highlight w:val="none"/>
              </w:rPr>
              <w:t>分包</w:t>
            </w:r>
          </w:p>
        </w:tc>
        <w:tc>
          <w:tcPr>
            <w:tcW w:w="7273" w:type="dxa"/>
            <w:gridSpan w:val="4"/>
            <w:shd w:val="clear" w:color="auto" w:fill="FFFFFF"/>
            <w:vAlign w:val="center"/>
          </w:tcPr>
          <w:p w14:paraId="3A887F1A">
            <w:pPr>
              <w:spacing w:line="360" w:lineRule="auto"/>
              <w:rPr>
                <w:rFonts w:ascii="宋体" w:hAnsi="宋体" w:cs="宋体"/>
                <w:highlight w:val="none"/>
              </w:rPr>
            </w:pPr>
            <w:r>
              <w:rPr>
                <w:rFonts w:hint="eastAsia" w:ascii="宋体" w:hAnsi="宋体" w:cs="宋体"/>
                <w:kern w:val="0"/>
                <w:highlight w:val="none"/>
              </w:rPr>
              <w:t>☐ A</w:t>
            </w:r>
            <w:r>
              <w:rPr>
                <w:rFonts w:hint="eastAsia" w:ascii="宋体" w:hAnsi="宋体" w:cs="宋体"/>
                <w:highlight w:val="none"/>
              </w:rPr>
              <w:t>同意将非主体、非关键性的工作分包。</w:t>
            </w:r>
          </w:p>
          <w:p w14:paraId="4DE0A808">
            <w:pPr>
              <w:spacing w:line="360" w:lineRule="auto"/>
              <w:rPr>
                <w:rFonts w:cs="Times New Roman"/>
                <w:szCs w:val="24"/>
                <w:highlight w:val="none"/>
              </w:rPr>
            </w:pPr>
            <w:r>
              <w:rPr>
                <w:rFonts w:hint="eastAsia" w:ascii="宋体" w:hAnsi="宋体" w:cs="宋体"/>
                <w:kern w:val="0"/>
                <w:highlight w:val="none"/>
              </w:rPr>
              <w:sym w:font="Wingdings" w:char="F0FE"/>
            </w:r>
            <w:r>
              <w:rPr>
                <w:rFonts w:hint="eastAsia" w:ascii="宋体" w:hAnsi="宋体" w:cs="宋体"/>
                <w:b/>
                <w:bCs/>
                <w:kern w:val="0"/>
                <w:highlight w:val="none"/>
              </w:rPr>
              <w:t xml:space="preserve"> B</w:t>
            </w:r>
            <w:r>
              <w:rPr>
                <w:rFonts w:hint="eastAsia" w:ascii="宋体" w:hAnsi="宋体" w:cs="宋体"/>
                <w:b/>
                <w:bCs/>
                <w:highlight w:val="none"/>
              </w:rPr>
              <w:t>不同意分包</w:t>
            </w:r>
            <w:r>
              <w:rPr>
                <w:rFonts w:hint="eastAsia" w:ascii="宋体" w:hAnsi="宋体" w:cs="宋体"/>
                <w:highlight w:val="none"/>
              </w:rPr>
              <w:t>。</w:t>
            </w:r>
          </w:p>
        </w:tc>
      </w:tr>
      <w:tr w14:paraId="0D93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tblCellSpacing w:w="7" w:type="dxa"/>
          <w:jc w:val="center"/>
        </w:trPr>
        <w:tc>
          <w:tcPr>
            <w:tcW w:w="549" w:type="dxa"/>
            <w:shd w:val="clear" w:color="auto" w:fill="E0E0E0"/>
            <w:vAlign w:val="center"/>
          </w:tcPr>
          <w:p w14:paraId="29619A4F">
            <w:pPr>
              <w:spacing w:before="100" w:beforeAutospacing="1" w:after="100" w:afterAutospacing="1" w:line="360" w:lineRule="exact"/>
              <w:jc w:val="center"/>
              <w:rPr>
                <w:rFonts w:hint="default" w:ascii="Times New Roman" w:hAnsi="Times New Roman" w:eastAsia="宋体" w:cs="Times New Roman"/>
                <w:b/>
                <w:color w:val="000000" w:themeColor="text1"/>
                <w:highlight w:val="none"/>
                <w:lang w:val="en-US" w:eastAsia="zh-CN"/>
              </w:rPr>
            </w:pPr>
            <w:r>
              <w:rPr>
                <w:rFonts w:hint="eastAsia" w:ascii="Times New Roman" w:hAnsi="Times New Roman" w:cs="Times New Roman"/>
                <w:b/>
                <w:color w:val="000000" w:themeColor="text1"/>
                <w:highlight w:val="none"/>
                <w:lang w:val="en-US" w:eastAsia="zh-CN"/>
              </w:rPr>
              <w:t>20</w:t>
            </w:r>
          </w:p>
        </w:tc>
        <w:tc>
          <w:tcPr>
            <w:tcW w:w="1421" w:type="dxa"/>
            <w:shd w:val="clear" w:color="auto" w:fill="E0E0E0"/>
            <w:vAlign w:val="center"/>
          </w:tcPr>
          <w:p w14:paraId="7284AC06">
            <w:pPr>
              <w:snapToGrid w:val="0"/>
              <w:spacing w:line="360" w:lineRule="auto"/>
              <w:jc w:val="center"/>
              <w:rPr>
                <w:rFonts w:ascii="Times New Roman" w:hAnsi="Times New Roman" w:cs="Times New Roman"/>
                <w:b/>
                <w:highlight w:val="none"/>
              </w:rPr>
            </w:pPr>
            <w:r>
              <w:rPr>
                <w:rFonts w:hint="eastAsia" w:ascii="宋体" w:hAnsi="宋体"/>
                <w:b/>
                <w:highlight w:val="none"/>
              </w:rPr>
              <w:t>开标前答疑会或现场考察</w:t>
            </w:r>
          </w:p>
        </w:tc>
        <w:tc>
          <w:tcPr>
            <w:tcW w:w="7273" w:type="dxa"/>
            <w:gridSpan w:val="4"/>
            <w:shd w:val="clear" w:color="auto" w:fill="FFFFFF"/>
            <w:vAlign w:val="center"/>
          </w:tcPr>
          <w:p w14:paraId="64CB7BC1">
            <w:pPr>
              <w:spacing w:line="360" w:lineRule="auto"/>
              <w:rPr>
                <w:rFonts w:ascii="宋体" w:hAnsi="宋体" w:cs="宋体"/>
                <w:b/>
                <w:bCs/>
                <w:highlight w:val="none"/>
              </w:rPr>
            </w:pPr>
            <w:r>
              <w:rPr>
                <w:rFonts w:hint="eastAsia" w:ascii="宋体" w:hAnsi="宋体" w:cs="宋体"/>
                <w:b/>
                <w:bCs/>
                <w:kern w:val="0"/>
                <w:highlight w:val="none"/>
              </w:rPr>
              <w:sym w:font="Wingdings" w:char="F0FE"/>
            </w:r>
            <w:r>
              <w:rPr>
                <w:rFonts w:hint="eastAsia" w:ascii="宋体" w:hAnsi="宋体" w:cs="宋体"/>
                <w:b/>
                <w:bCs/>
                <w:kern w:val="0"/>
                <w:highlight w:val="none"/>
              </w:rPr>
              <w:t>A</w:t>
            </w:r>
            <w:r>
              <w:rPr>
                <w:rFonts w:hint="eastAsia" w:ascii="宋体" w:hAnsi="宋体" w:cs="宋体"/>
                <w:b/>
                <w:bCs/>
                <w:highlight w:val="none"/>
              </w:rPr>
              <w:t>不组织。</w:t>
            </w:r>
          </w:p>
          <w:p w14:paraId="154C76C8">
            <w:pPr>
              <w:spacing w:line="360" w:lineRule="auto"/>
              <w:rPr>
                <w:rFonts w:ascii="Times New Roman" w:hAnsi="Times New Roman" w:cs="Times New Roman"/>
                <w:szCs w:val="24"/>
                <w:highlight w:val="none"/>
              </w:rPr>
            </w:pPr>
            <w:r>
              <w:rPr>
                <w:rFonts w:hint="eastAsia" w:ascii="宋体" w:hAnsi="宋体" w:cs="宋体"/>
                <w:kern w:val="0"/>
                <w:highlight w:val="none"/>
              </w:rPr>
              <w:t>☐B组织，</w:t>
            </w:r>
            <w:r>
              <w:rPr>
                <w:rFonts w:hint="eastAsia" w:ascii="宋体" w:hAnsi="宋体" w:cs="宋体"/>
                <w:highlight w:val="none"/>
              </w:rPr>
              <w:t>时间</w:t>
            </w:r>
            <w:r>
              <w:rPr>
                <w:rFonts w:hint="eastAsia" w:ascii="宋体" w:hAnsi="宋体" w:cs="宋体"/>
                <w:highlight w:val="none"/>
                <w:lang w:eastAsia="zh-CN"/>
              </w:rPr>
              <w:t>：</w:t>
            </w:r>
            <w:r>
              <w:rPr>
                <w:rFonts w:hint="eastAsia" w:ascii="宋体" w:hAnsi="宋体" w:cs="宋体"/>
                <w:highlight w:val="none"/>
              </w:rPr>
              <w:t>地点</w:t>
            </w:r>
            <w:r>
              <w:rPr>
                <w:rFonts w:hint="eastAsia" w:ascii="宋体" w:hAnsi="宋体" w:cs="宋体"/>
                <w:highlight w:val="none"/>
                <w:lang w:eastAsia="zh-CN"/>
              </w:rPr>
              <w:t>：，</w:t>
            </w:r>
            <w:r>
              <w:rPr>
                <w:rFonts w:hint="eastAsia" w:ascii="宋体" w:hAnsi="宋体" w:cs="宋体"/>
                <w:highlight w:val="none"/>
              </w:rPr>
              <w:t>联系人：，联系方式：。</w:t>
            </w:r>
          </w:p>
        </w:tc>
      </w:tr>
      <w:tr w14:paraId="6517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5" w:hRule="atLeast"/>
          <w:tblCellSpacing w:w="7" w:type="dxa"/>
          <w:jc w:val="center"/>
        </w:trPr>
        <w:tc>
          <w:tcPr>
            <w:tcW w:w="549" w:type="dxa"/>
            <w:shd w:val="clear" w:color="auto" w:fill="E0E0E0"/>
            <w:vAlign w:val="center"/>
          </w:tcPr>
          <w:p w14:paraId="69FECCB4">
            <w:pPr>
              <w:spacing w:before="100" w:beforeAutospacing="1" w:after="100" w:afterAutospacing="1" w:line="360" w:lineRule="exact"/>
              <w:jc w:val="center"/>
              <w:rPr>
                <w:rFonts w:hint="default" w:ascii="Times New Roman" w:hAnsi="Times New Roman" w:eastAsia="宋体" w:cs="Times New Roman"/>
                <w:b/>
                <w:color w:val="000000" w:themeColor="text1"/>
                <w:highlight w:val="none"/>
                <w:lang w:val="en-US" w:eastAsia="zh-CN"/>
              </w:rPr>
            </w:pPr>
            <w:r>
              <w:rPr>
                <w:rFonts w:hint="eastAsia" w:ascii="Times New Roman" w:hAnsi="Times New Roman" w:cs="Times New Roman"/>
                <w:b/>
                <w:color w:val="000000" w:themeColor="text1"/>
                <w:highlight w:val="none"/>
                <w:lang w:val="en-US" w:eastAsia="zh-CN"/>
              </w:rPr>
              <w:t>21</w:t>
            </w:r>
          </w:p>
        </w:tc>
        <w:tc>
          <w:tcPr>
            <w:tcW w:w="1421" w:type="dxa"/>
            <w:shd w:val="clear" w:color="auto" w:fill="E0E0E0"/>
            <w:vAlign w:val="center"/>
          </w:tcPr>
          <w:p w14:paraId="440D01B2">
            <w:pPr>
              <w:snapToGrid w:val="0"/>
              <w:spacing w:line="360" w:lineRule="auto"/>
              <w:jc w:val="center"/>
              <w:rPr>
                <w:rFonts w:ascii="宋体" w:hAnsi="宋体" w:cs="宋体"/>
                <w:b/>
                <w:color w:val="FF0000"/>
                <w:kern w:val="0"/>
                <w:highlight w:val="none"/>
              </w:rPr>
            </w:pPr>
            <w:r>
              <w:rPr>
                <w:rFonts w:hint="eastAsia" w:ascii="宋体" w:hAnsi="宋体"/>
                <w:b/>
                <w:highlight w:val="none"/>
              </w:rPr>
              <w:t>样品提供</w:t>
            </w:r>
          </w:p>
        </w:tc>
        <w:tc>
          <w:tcPr>
            <w:tcW w:w="7273" w:type="dxa"/>
            <w:gridSpan w:val="4"/>
            <w:shd w:val="clear" w:color="auto" w:fill="FFFFFF"/>
            <w:vAlign w:val="center"/>
          </w:tcPr>
          <w:p w14:paraId="3B7C8EB7">
            <w:pPr>
              <w:spacing w:line="360" w:lineRule="auto"/>
              <w:rPr>
                <w:rFonts w:ascii="宋体" w:hAnsi="宋体" w:cs="宋体"/>
                <w:b/>
                <w:bCs/>
                <w:highlight w:val="none"/>
              </w:rPr>
            </w:pPr>
            <w:r>
              <w:rPr>
                <w:rFonts w:hint="eastAsia" w:ascii="宋体" w:hAnsi="宋体" w:cs="宋体"/>
                <w:b/>
                <w:bCs/>
                <w:kern w:val="0"/>
                <w:highlight w:val="none"/>
              </w:rPr>
              <w:sym w:font="Wingdings" w:char="00FE"/>
            </w:r>
            <w:r>
              <w:rPr>
                <w:rFonts w:hint="eastAsia" w:ascii="宋体" w:hAnsi="宋体" w:cs="宋体"/>
                <w:b/>
                <w:bCs/>
                <w:kern w:val="0"/>
                <w:highlight w:val="none"/>
              </w:rPr>
              <w:t>A</w:t>
            </w:r>
            <w:r>
              <w:rPr>
                <w:rFonts w:hint="eastAsia" w:ascii="宋体" w:hAnsi="宋体" w:cs="宋体"/>
                <w:b/>
                <w:bCs/>
                <w:highlight w:val="none"/>
              </w:rPr>
              <w:t>不要求提供。</w:t>
            </w:r>
          </w:p>
          <w:p w14:paraId="1917BA5A">
            <w:pPr>
              <w:spacing w:line="360" w:lineRule="auto"/>
              <w:rPr>
                <w:rFonts w:ascii="宋体" w:hAnsi="宋体" w:cs="宋体"/>
                <w:kern w:val="0"/>
                <w:highlight w:val="none"/>
              </w:rPr>
            </w:pPr>
            <w:r>
              <w:rPr>
                <w:rFonts w:hint="eastAsia" w:ascii="宋体" w:hAnsi="宋体" w:cs="宋体"/>
                <w:kern w:val="0"/>
                <w:highlight w:val="none"/>
              </w:rPr>
              <w:sym w:font="Wingdings" w:char="00A8"/>
            </w:r>
            <w:r>
              <w:rPr>
                <w:rFonts w:hint="eastAsia" w:ascii="宋体" w:hAnsi="宋体" w:cs="宋体"/>
                <w:kern w:val="0"/>
                <w:highlight w:val="none"/>
              </w:rPr>
              <w:t>B要求提供，</w:t>
            </w:r>
          </w:p>
          <w:p w14:paraId="54E95901">
            <w:pPr>
              <w:spacing w:line="360" w:lineRule="auto"/>
              <w:rPr>
                <w:rFonts w:ascii="宋体" w:hAnsi="宋体" w:cs="宋体"/>
                <w:kern w:val="0"/>
                <w:highlight w:val="none"/>
              </w:rPr>
            </w:pPr>
            <w:r>
              <w:rPr>
                <w:rFonts w:hint="eastAsia" w:ascii="宋体" w:hAnsi="宋体" w:cs="宋体"/>
                <w:kern w:val="0"/>
                <w:highlight w:val="none"/>
              </w:rPr>
              <w:t>（1）</w:t>
            </w:r>
            <w:r>
              <w:rPr>
                <w:rFonts w:hint="eastAsia" w:ascii="宋体" w:hAnsi="宋体" w:cs="宋体"/>
                <w:snapToGrid w:val="0"/>
                <w:kern w:val="28"/>
                <w:highlight w:val="none"/>
              </w:rPr>
              <w:t>样品：</w:t>
            </w:r>
            <w:r>
              <w:rPr>
                <w:rFonts w:hint="eastAsia" w:ascii="宋体" w:hAnsi="宋体" w:cs="宋体"/>
                <w:kern w:val="0"/>
                <w:highlight w:val="none"/>
              </w:rPr>
              <w:t>；</w:t>
            </w:r>
          </w:p>
          <w:p w14:paraId="4D440139">
            <w:pPr>
              <w:spacing w:line="360" w:lineRule="auto"/>
              <w:rPr>
                <w:rFonts w:ascii="宋体" w:hAnsi="宋体" w:cs="宋体"/>
                <w:kern w:val="0"/>
                <w:highlight w:val="none"/>
              </w:rPr>
            </w:pPr>
            <w:r>
              <w:rPr>
                <w:rFonts w:hint="eastAsia" w:ascii="宋体" w:hAnsi="宋体" w:cs="宋体"/>
                <w:kern w:val="0"/>
                <w:highlight w:val="none"/>
              </w:rPr>
              <w:t>（2）</w:t>
            </w:r>
            <w:r>
              <w:rPr>
                <w:rFonts w:hint="eastAsia" w:ascii="宋体" w:hAnsi="宋体" w:cs="宋体"/>
                <w:snapToGrid w:val="0"/>
                <w:kern w:val="28"/>
                <w:highlight w:val="none"/>
              </w:rPr>
              <w:t>样品制作的标准和要求：</w:t>
            </w:r>
            <w:r>
              <w:rPr>
                <w:rFonts w:hint="eastAsia" w:ascii="宋体" w:hAnsi="宋体" w:cs="宋体"/>
                <w:kern w:val="0"/>
                <w:highlight w:val="none"/>
              </w:rPr>
              <w:t>；</w:t>
            </w:r>
          </w:p>
          <w:p w14:paraId="7956A949">
            <w:pPr>
              <w:spacing w:line="360" w:lineRule="auto"/>
              <w:rPr>
                <w:rFonts w:ascii="宋体" w:hAnsi="宋体" w:cs="宋体"/>
                <w:kern w:val="0"/>
                <w:highlight w:val="none"/>
              </w:rPr>
            </w:pPr>
            <w:r>
              <w:rPr>
                <w:rFonts w:hint="eastAsia" w:ascii="宋体" w:hAnsi="宋体" w:cs="宋体"/>
                <w:kern w:val="0"/>
                <w:highlight w:val="none"/>
              </w:rPr>
              <w:t>（3）样品的评审方法以及评审标准</w:t>
            </w:r>
            <w:r>
              <w:rPr>
                <w:rFonts w:hint="eastAsia" w:ascii="宋体" w:hAnsi="宋体" w:cs="宋体"/>
                <w:snapToGrid w:val="0"/>
                <w:kern w:val="28"/>
                <w:highlight w:val="none"/>
              </w:rPr>
              <w:t>：详见</w:t>
            </w:r>
            <w:r>
              <w:rPr>
                <w:rFonts w:hint="eastAsia" w:ascii="宋体" w:hAnsi="宋体" w:cs="宋体"/>
                <w:highlight w:val="none"/>
                <w:u w:val="single"/>
              </w:rPr>
              <w:t>评标办法</w:t>
            </w:r>
            <w:r>
              <w:rPr>
                <w:rFonts w:hint="eastAsia" w:ascii="宋体" w:hAnsi="宋体" w:cs="宋体"/>
                <w:kern w:val="0"/>
                <w:highlight w:val="none"/>
              </w:rPr>
              <w:t>；</w:t>
            </w:r>
          </w:p>
          <w:p w14:paraId="42989250">
            <w:pPr>
              <w:spacing w:line="360" w:lineRule="auto"/>
              <w:rPr>
                <w:rFonts w:ascii="宋体" w:hAnsi="宋体" w:cs="宋体"/>
                <w:kern w:val="0"/>
                <w:highlight w:val="none"/>
              </w:rPr>
            </w:pPr>
            <w:r>
              <w:rPr>
                <w:rFonts w:hint="eastAsia" w:ascii="宋体" w:hAnsi="宋体" w:cs="宋体"/>
                <w:kern w:val="0"/>
                <w:highlight w:val="none"/>
              </w:rPr>
              <w:t>（4）是否需要随样品提交检测报告：</w:t>
            </w:r>
            <w:r>
              <w:rPr>
                <w:rFonts w:hint="eastAsia" w:ascii="宋体" w:hAnsi="宋体" w:cs="宋体"/>
                <w:kern w:val="0"/>
                <w:highlight w:val="none"/>
              </w:rPr>
              <w:sym w:font="Wingdings" w:char="00A8"/>
            </w:r>
            <w:r>
              <w:rPr>
                <w:rFonts w:hint="eastAsia" w:ascii="宋体" w:hAnsi="宋体" w:cs="宋体"/>
                <w:kern w:val="0"/>
                <w:highlight w:val="none"/>
              </w:rPr>
              <w:t>否；☐是，检测机构的要求</w:t>
            </w:r>
            <w:r>
              <w:rPr>
                <w:rFonts w:hint="eastAsia" w:ascii="宋体" w:hAnsi="宋体" w:cs="宋体"/>
                <w:highlight w:val="none"/>
              </w:rPr>
              <w:t>：</w:t>
            </w:r>
            <w:r>
              <w:rPr>
                <w:rFonts w:hint="eastAsia" w:ascii="宋体" w:hAnsi="宋体" w:cs="宋体"/>
                <w:kern w:val="0"/>
                <w:highlight w:val="none"/>
              </w:rPr>
              <w:t>；检测内容</w:t>
            </w:r>
            <w:r>
              <w:rPr>
                <w:rFonts w:hint="eastAsia" w:ascii="宋体" w:hAnsi="宋体" w:cs="宋体"/>
                <w:highlight w:val="none"/>
              </w:rPr>
              <w:t>：</w:t>
            </w:r>
            <w:r>
              <w:rPr>
                <w:rFonts w:hint="eastAsia" w:ascii="宋体" w:hAnsi="宋体" w:cs="宋体"/>
                <w:kern w:val="0"/>
                <w:highlight w:val="none"/>
              </w:rPr>
              <w:t>。</w:t>
            </w:r>
          </w:p>
          <w:p w14:paraId="14834697">
            <w:pPr>
              <w:spacing w:line="360" w:lineRule="auto"/>
              <w:rPr>
                <w:rFonts w:ascii="宋体" w:hAnsi="宋体" w:cs="宋体"/>
                <w:highlight w:val="none"/>
              </w:rPr>
            </w:pPr>
            <w:r>
              <w:rPr>
                <w:rFonts w:hint="eastAsia" w:ascii="宋体" w:hAnsi="宋体" w:cs="宋体"/>
                <w:highlight w:val="none"/>
              </w:rPr>
              <w:t>（5）提供样品的时间</w:t>
            </w:r>
            <w:r>
              <w:rPr>
                <w:rFonts w:hint="eastAsia" w:ascii="宋体" w:hAnsi="宋体" w:cs="宋体"/>
                <w:highlight w:val="none"/>
                <w:lang w:eastAsia="zh-CN"/>
              </w:rPr>
              <w:t>：</w:t>
            </w:r>
            <w:r>
              <w:rPr>
                <w:rFonts w:hint="eastAsia" w:ascii="宋体" w:hAnsi="宋体" w:cs="宋体"/>
                <w:kern w:val="0"/>
                <w:highlight w:val="none"/>
              </w:rPr>
              <w:t>地点</w:t>
            </w:r>
            <w:r>
              <w:rPr>
                <w:rFonts w:hint="eastAsia" w:ascii="宋体" w:hAnsi="宋体" w:cs="宋体"/>
                <w:kern w:val="0"/>
                <w:highlight w:val="none"/>
                <w:lang w:eastAsia="zh-CN"/>
              </w:rPr>
              <w:t>：</w:t>
            </w:r>
            <w:r>
              <w:rPr>
                <w:rFonts w:hint="eastAsia" w:ascii="宋体" w:hAnsi="宋体" w:cs="宋体"/>
                <w:kern w:val="0"/>
                <w:highlight w:val="none"/>
              </w:rPr>
              <w:t>联系人</w:t>
            </w:r>
            <w:r>
              <w:rPr>
                <w:rFonts w:hint="eastAsia" w:ascii="宋体" w:hAnsi="宋体" w:cs="宋体"/>
                <w:kern w:val="0"/>
                <w:highlight w:val="none"/>
                <w:lang w:eastAsia="zh-CN"/>
              </w:rPr>
              <w:t>：</w:t>
            </w:r>
            <w:r>
              <w:rPr>
                <w:rFonts w:hint="eastAsia" w:ascii="宋体" w:hAnsi="宋体" w:cs="宋体"/>
                <w:kern w:val="28"/>
                <w:highlight w:val="none"/>
              </w:rPr>
              <w:t>联系电话</w:t>
            </w:r>
            <w:r>
              <w:rPr>
                <w:rFonts w:hint="eastAsia" w:ascii="宋体" w:hAnsi="宋体" w:cs="宋体"/>
                <w:kern w:val="28"/>
                <w:highlight w:val="none"/>
                <w:lang w:eastAsia="zh-CN"/>
              </w:rPr>
              <w:t>：</w:t>
            </w:r>
            <w:r>
              <w:rPr>
                <w:rFonts w:hint="eastAsia" w:ascii="宋体" w:hAnsi="宋体" w:cs="宋体"/>
                <w:highlight w:val="none"/>
              </w:rPr>
              <w:t>请投标人在上述时间内提供样品并按规定位置安装完毕。超过截止时间的，采购人或采购代理机构将不予接收，并将清场并封闭样品现场。</w:t>
            </w:r>
          </w:p>
          <w:p w14:paraId="6E2227C1">
            <w:pPr>
              <w:spacing w:line="360" w:lineRule="auto"/>
              <w:rPr>
                <w:rFonts w:ascii="宋体" w:hAnsi="宋体" w:cs="宋体"/>
                <w:highlight w:val="none"/>
              </w:rPr>
            </w:pPr>
            <w:r>
              <w:rPr>
                <w:rFonts w:hint="eastAsia" w:ascii="宋体" w:hAnsi="宋体" w:cs="宋体"/>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8934709">
            <w:pPr>
              <w:spacing w:line="360" w:lineRule="auto"/>
              <w:rPr>
                <w:rFonts w:cs="Times New Roman"/>
                <w:color w:val="FF0000"/>
                <w:szCs w:val="24"/>
                <w:highlight w:val="none"/>
              </w:rPr>
            </w:pPr>
            <w:r>
              <w:rPr>
                <w:rFonts w:hint="eastAsia" w:ascii="宋体" w:hAnsi="宋体" w:cs="宋体"/>
                <w:highlight w:val="none"/>
              </w:rPr>
              <w:t>（7）制作、运输、安装和保管样品所发生的一切费用由投标人自理。</w:t>
            </w:r>
          </w:p>
        </w:tc>
      </w:tr>
      <w:tr w14:paraId="1FD3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2" w:hRule="atLeast"/>
          <w:tblCellSpacing w:w="7" w:type="dxa"/>
          <w:jc w:val="center"/>
        </w:trPr>
        <w:tc>
          <w:tcPr>
            <w:tcW w:w="549" w:type="dxa"/>
            <w:shd w:val="clear" w:color="auto" w:fill="E0E0E0"/>
            <w:vAlign w:val="center"/>
          </w:tcPr>
          <w:p w14:paraId="5E13D5F2">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hint="eastAsia" w:ascii="Times New Roman" w:hAnsi="Times New Roman" w:cs="Times New Roman"/>
                <w:b/>
                <w:color w:val="000000" w:themeColor="text1"/>
                <w:highlight w:val="none"/>
              </w:rPr>
              <w:t>2</w:t>
            </w:r>
            <w:r>
              <w:rPr>
                <w:rFonts w:hint="eastAsia" w:ascii="Times New Roman" w:hAnsi="Times New Roman" w:cs="Times New Roman"/>
                <w:b/>
                <w:color w:val="000000" w:themeColor="text1"/>
                <w:highlight w:val="none"/>
                <w:lang w:val="en-US" w:eastAsia="zh-CN"/>
              </w:rPr>
              <w:t>1</w:t>
            </w:r>
          </w:p>
        </w:tc>
        <w:tc>
          <w:tcPr>
            <w:tcW w:w="1421" w:type="dxa"/>
            <w:shd w:val="clear" w:color="auto" w:fill="E0E0E0"/>
            <w:vAlign w:val="center"/>
          </w:tcPr>
          <w:p w14:paraId="3C7F05F1">
            <w:pPr>
              <w:snapToGrid w:val="0"/>
              <w:spacing w:line="360" w:lineRule="auto"/>
              <w:jc w:val="center"/>
              <w:rPr>
                <w:rFonts w:ascii="宋体" w:hAnsi="宋体" w:cs="宋体"/>
                <w:b/>
                <w:color w:val="FF0000"/>
                <w:kern w:val="0"/>
                <w:highlight w:val="none"/>
              </w:rPr>
            </w:pPr>
            <w:r>
              <w:rPr>
                <w:rFonts w:hint="eastAsia" w:ascii="宋体" w:hAnsi="宋体" w:cs="宋体"/>
                <w:kern w:val="0"/>
                <w:highlight w:val="none"/>
              </w:rPr>
              <w:t>方案讲解演示</w:t>
            </w:r>
          </w:p>
        </w:tc>
        <w:tc>
          <w:tcPr>
            <w:tcW w:w="7273" w:type="dxa"/>
            <w:gridSpan w:val="4"/>
            <w:shd w:val="clear" w:color="auto" w:fill="FFFFFF"/>
            <w:vAlign w:val="center"/>
          </w:tcPr>
          <w:p w14:paraId="4ED73DC0">
            <w:pPr>
              <w:spacing w:line="360" w:lineRule="auto"/>
              <w:rPr>
                <w:highlight w:val="none"/>
              </w:rPr>
            </w:pPr>
            <w:sdt>
              <w:sdtPr>
                <w:rPr>
                  <w:rFonts w:hint="eastAsia"/>
                  <w:highlight w:val="none"/>
                </w:rPr>
                <w:id w:val="4372058"/>
              </w:sdtPr>
              <w:sdtEndPr>
                <w:rPr>
                  <w:rFonts w:hint="eastAsia"/>
                  <w:highlight w:val="none"/>
                </w:rPr>
              </w:sdtEndPr>
              <w:sdtContent>
                <w:r>
                  <w:rPr>
                    <w:rFonts w:hint="eastAsia"/>
                    <w:highlight w:val="none"/>
                  </w:rPr>
                  <w:sym w:font="Wingdings" w:char="00FE"/>
                </w:r>
              </w:sdtContent>
            </w:sdt>
            <w:r>
              <w:rPr>
                <w:rFonts w:hint="eastAsia"/>
                <w:highlight w:val="none"/>
              </w:rPr>
              <w:t>A不组织。</w:t>
            </w:r>
          </w:p>
          <w:p w14:paraId="4C31D3E1">
            <w:pPr>
              <w:spacing w:line="360" w:lineRule="auto"/>
              <w:rPr>
                <w:rFonts w:cs="Times New Roman"/>
                <w:kern w:val="0"/>
                <w:sz w:val="24"/>
                <w:szCs w:val="24"/>
                <w:highlight w:val="none"/>
              </w:rPr>
            </w:pPr>
            <w:r>
              <w:rPr>
                <w:rFonts w:hint="eastAsia"/>
                <w:highlight w:val="none"/>
              </w:rPr>
              <w:sym w:font="Wingdings" w:char="00A8"/>
            </w:r>
            <w:r>
              <w:rPr>
                <w:rFonts w:hint="eastAsia"/>
                <w:highlight w:val="none"/>
              </w:rPr>
              <w:t>B组织</w:t>
            </w:r>
          </w:p>
        </w:tc>
      </w:tr>
      <w:tr w14:paraId="05D1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2" w:hRule="atLeast"/>
          <w:tblCellSpacing w:w="7" w:type="dxa"/>
          <w:jc w:val="center"/>
        </w:trPr>
        <w:tc>
          <w:tcPr>
            <w:tcW w:w="549" w:type="dxa"/>
            <w:shd w:val="clear" w:color="auto" w:fill="E0E0E0"/>
            <w:vAlign w:val="center"/>
          </w:tcPr>
          <w:p w14:paraId="5EE58BEA">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hint="eastAsia" w:ascii="Times New Roman" w:hAnsi="Times New Roman" w:cs="Times New Roman"/>
                <w:b/>
                <w:color w:val="000000" w:themeColor="text1"/>
                <w:highlight w:val="none"/>
              </w:rPr>
              <w:t>2</w:t>
            </w:r>
            <w:r>
              <w:rPr>
                <w:rFonts w:hint="eastAsia" w:ascii="Times New Roman" w:hAnsi="Times New Roman" w:cs="Times New Roman"/>
                <w:b/>
                <w:color w:val="000000" w:themeColor="text1"/>
                <w:highlight w:val="none"/>
                <w:lang w:val="en-US" w:eastAsia="zh-CN"/>
              </w:rPr>
              <w:t>2</w:t>
            </w:r>
          </w:p>
        </w:tc>
        <w:tc>
          <w:tcPr>
            <w:tcW w:w="1421" w:type="dxa"/>
            <w:shd w:val="clear" w:color="auto" w:fill="E0E0E0"/>
            <w:vAlign w:val="center"/>
          </w:tcPr>
          <w:p w14:paraId="6A2BC862">
            <w:pPr>
              <w:adjustRightInd w:val="0"/>
              <w:snapToGrid w:val="0"/>
              <w:jc w:val="center"/>
              <w:rPr>
                <w:rFonts w:ascii="Times New Roman" w:hAnsi="Times New Roman" w:cs="Times New Roman"/>
                <w:color w:val="000000" w:themeColor="text1"/>
                <w:highlight w:val="none"/>
              </w:rPr>
            </w:pPr>
            <w:r>
              <w:rPr>
                <w:rFonts w:hint="eastAsia" w:ascii="宋体" w:hAnsi="宋体"/>
                <w:b/>
                <w:highlight w:val="none"/>
              </w:rPr>
              <w:t>是否允许采购进口产品</w:t>
            </w:r>
          </w:p>
        </w:tc>
        <w:tc>
          <w:tcPr>
            <w:tcW w:w="7273" w:type="dxa"/>
            <w:gridSpan w:val="4"/>
            <w:shd w:val="clear" w:color="auto" w:fill="FFFFFF"/>
            <w:vAlign w:val="center"/>
          </w:tcPr>
          <w:p w14:paraId="0E1F59F8">
            <w:pPr>
              <w:snapToGrid w:val="0"/>
              <w:rPr>
                <w:rFonts w:ascii="宋体" w:hAnsi="宋体" w:cs="宋体"/>
                <w:kern w:val="0"/>
                <w:highlight w:val="none"/>
              </w:rPr>
            </w:pPr>
            <w:r>
              <w:rPr>
                <w:rFonts w:ascii="Wingdings" w:hAnsi="Wingdings" w:cs="宋体"/>
                <w:kern w:val="0"/>
                <w:highlight w:val="none"/>
              </w:rPr>
              <w:sym w:font="Wingdings" w:char="00FE"/>
            </w:r>
            <w:r>
              <w:rPr>
                <w:rFonts w:hint="eastAsia" w:ascii="宋体" w:hAnsi="宋体" w:cs="宋体"/>
                <w:kern w:val="0"/>
                <w:highlight w:val="none"/>
              </w:rPr>
              <w:t>本项目不允许采购进口产品。</w:t>
            </w:r>
          </w:p>
          <w:p w14:paraId="2F4B4F57">
            <w:pPr>
              <w:snapToGrid w:val="0"/>
              <w:rPr>
                <w:rFonts w:ascii="Times New Roman" w:hAnsi="Times New Roman" w:cs="Times New Roman"/>
                <w:color w:val="000000" w:themeColor="text1"/>
                <w:highlight w:val="none"/>
              </w:rPr>
            </w:pPr>
            <w:r>
              <w:rPr>
                <w:rFonts w:hint="eastAsia" w:ascii="宋体" w:hAnsi="宋体" w:cs="宋体"/>
                <w:kern w:val="0"/>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39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blCellSpacing w:w="7" w:type="dxa"/>
          <w:jc w:val="center"/>
        </w:trPr>
        <w:tc>
          <w:tcPr>
            <w:tcW w:w="549" w:type="dxa"/>
            <w:shd w:val="clear" w:color="auto" w:fill="E0E0E0"/>
            <w:vAlign w:val="center"/>
          </w:tcPr>
          <w:p w14:paraId="3B1B3ED4">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hint="eastAsia" w:ascii="Times New Roman" w:hAnsi="Times New Roman" w:cs="Times New Roman"/>
                <w:b/>
                <w:color w:val="000000" w:themeColor="text1"/>
                <w:highlight w:val="none"/>
              </w:rPr>
              <w:t>2</w:t>
            </w:r>
            <w:r>
              <w:rPr>
                <w:rFonts w:hint="eastAsia" w:ascii="Times New Roman" w:hAnsi="Times New Roman" w:cs="Times New Roman"/>
                <w:b/>
                <w:color w:val="000000" w:themeColor="text1"/>
                <w:highlight w:val="none"/>
                <w:lang w:val="en-US" w:eastAsia="zh-CN"/>
              </w:rPr>
              <w:t>3</w:t>
            </w:r>
          </w:p>
        </w:tc>
        <w:tc>
          <w:tcPr>
            <w:tcW w:w="1421" w:type="dxa"/>
            <w:shd w:val="clear" w:color="auto" w:fill="E0E0E0"/>
            <w:vAlign w:val="center"/>
          </w:tcPr>
          <w:p w14:paraId="3C79F488">
            <w:pPr>
              <w:adjustRightInd w:val="0"/>
              <w:snapToGrid w:val="0"/>
              <w:jc w:val="center"/>
              <w:rPr>
                <w:rFonts w:ascii="Times New Roman" w:hAnsi="Times New Roman" w:cs="Times New Roman"/>
                <w:b/>
                <w:color w:val="000000" w:themeColor="text1"/>
                <w:highlight w:val="none"/>
              </w:rPr>
            </w:pPr>
            <w:r>
              <w:rPr>
                <w:rFonts w:hint="eastAsia" w:ascii="宋体" w:hAnsi="宋体"/>
                <w:b/>
                <w:highlight w:val="none"/>
              </w:rPr>
              <w:t>项目属性与核心产品</w:t>
            </w:r>
          </w:p>
        </w:tc>
        <w:tc>
          <w:tcPr>
            <w:tcW w:w="7273" w:type="dxa"/>
            <w:gridSpan w:val="4"/>
            <w:shd w:val="clear" w:color="auto" w:fill="FFFFFF"/>
            <w:vAlign w:val="center"/>
          </w:tcPr>
          <w:p w14:paraId="67CB49DF">
            <w:pPr>
              <w:snapToGrid w:val="0"/>
              <w:rPr>
                <w:rFonts w:ascii="宋体" w:hAnsi="宋体" w:cs="宋体"/>
                <w:highlight w:val="none"/>
              </w:rPr>
            </w:pPr>
            <w:r>
              <w:rPr>
                <w:rFonts w:ascii="Wingdings" w:hAnsi="Wingdings" w:cs="宋体"/>
                <w:kern w:val="0"/>
                <w:highlight w:val="none"/>
              </w:rPr>
              <w:sym w:font="Wingdings" w:char="00A8"/>
            </w:r>
            <w:r>
              <w:rPr>
                <w:rFonts w:hint="eastAsia" w:ascii="宋体" w:hAnsi="宋体" w:cs="宋体"/>
                <w:kern w:val="0"/>
                <w:highlight w:val="none"/>
              </w:rPr>
              <w:t>A</w:t>
            </w:r>
            <w:r>
              <w:rPr>
                <w:rFonts w:hint="eastAsia" w:ascii="宋体" w:hAnsi="宋体" w:cs="宋体"/>
                <w:highlight w:val="none"/>
              </w:rPr>
              <w:t>货物类，单一产品或</w:t>
            </w:r>
            <w:r>
              <w:rPr>
                <w:rFonts w:hint="eastAsia" w:ascii="宋体" w:hAnsi="宋体" w:cs="宋体"/>
                <w:kern w:val="0"/>
                <w:highlight w:val="none"/>
              </w:rPr>
              <w:t>核心产品为</w:t>
            </w:r>
            <w:r>
              <w:rPr>
                <w:rFonts w:hint="eastAsia" w:ascii="宋体" w:hAnsi="宋体" w:cs="宋体"/>
                <w:kern w:val="0"/>
                <w:highlight w:val="none"/>
                <w:lang w:eastAsia="zh-CN"/>
              </w:rPr>
              <w:t>：</w:t>
            </w:r>
          </w:p>
          <w:p w14:paraId="5934C126">
            <w:pPr>
              <w:snapToGrid w:val="0"/>
              <w:rPr>
                <w:rFonts w:ascii="Times New Roman" w:hAnsi="Times New Roman" w:cs="Times New Roman"/>
                <w:color w:val="000000" w:themeColor="text1"/>
                <w:highlight w:val="none"/>
              </w:rPr>
            </w:pPr>
            <w:r>
              <w:rPr>
                <w:rFonts w:ascii="Wingdings" w:hAnsi="Wingdings" w:cs="宋体"/>
                <w:kern w:val="0"/>
                <w:highlight w:val="none"/>
              </w:rPr>
              <w:sym w:font="Wingdings" w:char="00FE"/>
            </w:r>
            <w:r>
              <w:rPr>
                <w:rFonts w:hint="eastAsia" w:ascii="宋体" w:hAnsi="宋体" w:cs="宋体"/>
                <w:kern w:val="0"/>
                <w:highlight w:val="none"/>
              </w:rPr>
              <w:t>B</w:t>
            </w:r>
            <w:r>
              <w:rPr>
                <w:rFonts w:hint="eastAsia" w:ascii="宋体" w:hAnsi="宋体" w:cs="宋体"/>
                <w:highlight w:val="none"/>
              </w:rPr>
              <w:t>服务类。</w:t>
            </w:r>
          </w:p>
        </w:tc>
      </w:tr>
      <w:tr w14:paraId="49AB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5" w:hRule="atLeast"/>
          <w:tblCellSpacing w:w="7" w:type="dxa"/>
          <w:jc w:val="center"/>
        </w:trPr>
        <w:tc>
          <w:tcPr>
            <w:tcW w:w="549" w:type="dxa"/>
            <w:shd w:val="clear" w:color="auto" w:fill="E0E0E0"/>
            <w:vAlign w:val="center"/>
          </w:tcPr>
          <w:p w14:paraId="1C9F00F5">
            <w:pPr>
              <w:spacing w:before="100" w:beforeAutospacing="1" w:after="100" w:afterAutospacing="1" w:line="360" w:lineRule="exact"/>
              <w:jc w:val="center"/>
              <w:rPr>
                <w:rFonts w:hint="eastAsia" w:ascii="Times New Roman" w:hAnsi="Times New Roman" w:eastAsia="宋体" w:cs="Times New Roman"/>
                <w:b/>
                <w:color w:val="000000" w:themeColor="text1"/>
                <w:highlight w:val="none"/>
                <w:lang w:eastAsia="zh-CN"/>
              </w:rPr>
            </w:pPr>
            <w:r>
              <w:rPr>
                <w:rFonts w:hint="eastAsia" w:ascii="Times New Roman" w:hAnsi="Times New Roman" w:cs="Times New Roman"/>
                <w:b/>
                <w:color w:val="000000" w:themeColor="text1"/>
                <w:highlight w:val="none"/>
              </w:rPr>
              <w:t>2</w:t>
            </w:r>
            <w:r>
              <w:rPr>
                <w:rFonts w:hint="eastAsia" w:ascii="Times New Roman" w:hAnsi="Times New Roman" w:cs="Times New Roman"/>
                <w:b/>
                <w:color w:val="000000" w:themeColor="text1"/>
                <w:highlight w:val="none"/>
                <w:lang w:val="en-US" w:eastAsia="zh-CN"/>
              </w:rPr>
              <w:t>4</w:t>
            </w:r>
          </w:p>
        </w:tc>
        <w:tc>
          <w:tcPr>
            <w:tcW w:w="1421" w:type="dxa"/>
            <w:shd w:val="clear" w:color="auto" w:fill="E0E0E0"/>
            <w:vAlign w:val="center"/>
          </w:tcPr>
          <w:p w14:paraId="6C947CC0">
            <w:pPr>
              <w:jc w:val="center"/>
              <w:rPr>
                <w:rFonts w:ascii="宋体" w:hAnsi="宋体" w:cs="宋体"/>
                <w:b/>
                <w:kern w:val="0"/>
                <w:highlight w:val="none"/>
              </w:rPr>
            </w:pPr>
            <w:r>
              <w:rPr>
                <w:rFonts w:hint="eastAsia" w:ascii="宋体" w:hAnsi="宋体"/>
                <w:b/>
                <w:highlight w:val="none"/>
              </w:rPr>
              <w:t>采购标的对应的中小企业划分标准所属行业</w:t>
            </w:r>
          </w:p>
        </w:tc>
        <w:tc>
          <w:tcPr>
            <w:tcW w:w="7273" w:type="dxa"/>
            <w:gridSpan w:val="4"/>
            <w:shd w:val="clear" w:color="auto" w:fill="FFFFFF"/>
            <w:vAlign w:val="center"/>
          </w:tcPr>
          <w:p w14:paraId="3661700D">
            <w:pPr>
              <w:adjustRightInd w:val="0"/>
              <w:snapToGrid w:val="0"/>
              <w:jc w:val="left"/>
              <w:rPr>
                <w:rFonts w:hint="default" w:eastAsia="宋体"/>
                <w:color w:val="000000" w:themeColor="text1"/>
                <w:highlight w:val="none"/>
                <w:lang w:val="en-US" w:eastAsia="zh-CN"/>
              </w:rPr>
            </w:pPr>
            <w:r>
              <w:rPr>
                <w:rFonts w:hint="eastAsia"/>
                <w:highlight w:val="none"/>
              </w:rPr>
              <w:t>所属行业：</w:t>
            </w:r>
            <w:r>
              <w:rPr>
                <w:rFonts w:hint="eastAsia"/>
                <w:highlight w:val="none"/>
                <w:lang w:val="en-US" w:eastAsia="zh-CN"/>
              </w:rPr>
              <w:t>其他未列明行业</w:t>
            </w:r>
          </w:p>
          <w:tbl>
            <w:tblPr>
              <w:tblStyle w:val="24"/>
              <w:tblW w:w="6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020"/>
              <w:gridCol w:w="1035"/>
              <w:gridCol w:w="1151"/>
              <w:gridCol w:w="1166"/>
              <w:gridCol w:w="919"/>
            </w:tblGrid>
            <w:tr w14:paraId="7DC2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66" w:type="dxa"/>
                  <w:vAlign w:val="center"/>
                </w:tcPr>
                <w:p w14:paraId="29DC0D83">
                  <w:pPr>
                    <w:widowControl/>
                    <w:wordWrap w:val="0"/>
                    <w:spacing w:line="360" w:lineRule="atLeast"/>
                    <w:jc w:val="center"/>
                    <w:textAlignment w:val="center"/>
                    <w:rPr>
                      <w:highlight w:val="none"/>
                    </w:rPr>
                  </w:pPr>
                  <w:r>
                    <w:rPr>
                      <w:rFonts w:ascii="Arial" w:hAnsi="Arial" w:cs="Arial"/>
                      <w:b/>
                      <w:bCs/>
                      <w:kern w:val="0"/>
                      <w:sz w:val="18"/>
                      <w:szCs w:val="18"/>
                      <w:highlight w:val="none"/>
                    </w:rPr>
                    <w:t>行业名称</w:t>
                  </w:r>
                </w:p>
              </w:tc>
              <w:tc>
                <w:tcPr>
                  <w:tcW w:w="1020" w:type="dxa"/>
                  <w:vAlign w:val="center"/>
                </w:tcPr>
                <w:p w14:paraId="43B80C46">
                  <w:pPr>
                    <w:widowControl/>
                    <w:wordWrap w:val="0"/>
                    <w:spacing w:line="360" w:lineRule="atLeast"/>
                    <w:jc w:val="center"/>
                    <w:textAlignment w:val="center"/>
                    <w:rPr>
                      <w:highlight w:val="none"/>
                    </w:rPr>
                  </w:pPr>
                  <w:r>
                    <w:rPr>
                      <w:rFonts w:ascii="Arial" w:hAnsi="Arial" w:cs="Arial"/>
                      <w:b/>
                      <w:bCs/>
                      <w:kern w:val="0"/>
                      <w:sz w:val="18"/>
                      <w:szCs w:val="18"/>
                      <w:highlight w:val="none"/>
                    </w:rPr>
                    <w:t>指标名称</w:t>
                  </w:r>
                </w:p>
              </w:tc>
              <w:tc>
                <w:tcPr>
                  <w:tcW w:w="1035" w:type="dxa"/>
                  <w:vAlign w:val="center"/>
                </w:tcPr>
                <w:p w14:paraId="24224BF1">
                  <w:pPr>
                    <w:widowControl/>
                    <w:wordWrap w:val="0"/>
                    <w:spacing w:line="360" w:lineRule="atLeast"/>
                    <w:jc w:val="center"/>
                    <w:textAlignment w:val="center"/>
                    <w:rPr>
                      <w:highlight w:val="none"/>
                    </w:rPr>
                  </w:pPr>
                  <w:r>
                    <w:rPr>
                      <w:rFonts w:ascii="Arial" w:hAnsi="Arial" w:cs="Arial"/>
                      <w:b/>
                      <w:bCs/>
                      <w:kern w:val="0"/>
                      <w:sz w:val="18"/>
                      <w:szCs w:val="18"/>
                      <w:highlight w:val="none"/>
                    </w:rPr>
                    <w:t>计量单位</w:t>
                  </w:r>
                </w:p>
              </w:tc>
              <w:tc>
                <w:tcPr>
                  <w:tcW w:w="1151" w:type="dxa"/>
                  <w:vAlign w:val="center"/>
                </w:tcPr>
                <w:p w14:paraId="4CA2C202">
                  <w:pPr>
                    <w:widowControl/>
                    <w:wordWrap w:val="0"/>
                    <w:spacing w:line="360" w:lineRule="atLeast"/>
                    <w:jc w:val="center"/>
                    <w:textAlignment w:val="center"/>
                    <w:rPr>
                      <w:highlight w:val="none"/>
                    </w:rPr>
                  </w:pPr>
                  <w:r>
                    <w:rPr>
                      <w:rFonts w:ascii="Arial" w:hAnsi="Arial" w:cs="Arial"/>
                      <w:b/>
                      <w:bCs/>
                      <w:kern w:val="0"/>
                      <w:sz w:val="18"/>
                      <w:szCs w:val="18"/>
                      <w:highlight w:val="none"/>
                    </w:rPr>
                    <w:t>中型</w:t>
                  </w:r>
                </w:p>
              </w:tc>
              <w:tc>
                <w:tcPr>
                  <w:tcW w:w="1166" w:type="dxa"/>
                  <w:vAlign w:val="center"/>
                </w:tcPr>
                <w:p w14:paraId="4760C8A6">
                  <w:pPr>
                    <w:widowControl/>
                    <w:wordWrap w:val="0"/>
                    <w:spacing w:line="360" w:lineRule="atLeast"/>
                    <w:jc w:val="center"/>
                    <w:textAlignment w:val="center"/>
                    <w:rPr>
                      <w:highlight w:val="none"/>
                    </w:rPr>
                  </w:pPr>
                  <w:r>
                    <w:rPr>
                      <w:rFonts w:ascii="Arial" w:hAnsi="Arial" w:cs="Arial"/>
                      <w:b/>
                      <w:bCs/>
                      <w:kern w:val="0"/>
                      <w:sz w:val="18"/>
                      <w:szCs w:val="18"/>
                      <w:highlight w:val="none"/>
                    </w:rPr>
                    <w:t>小型</w:t>
                  </w:r>
                </w:p>
              </w:tc>
              <w:tc>
                <w:tcPr>
                  <w:tcW w:w="919" w:type="dxa"/>
                  <w:vAlign w:val="center"/>
                </w:tcPr>
                <w:p w14:paraId="70F0DD22">
                  <w:pPr>
                    <w:widowControl/>
                    <w:wordWrap w:val="0"/>
                    <w:spacing w:line="360" w:lineRule="atLeast"/>
                    <w:jc w:val="center"/>
                    <w:textAlignment w:val="center"/>
                    <w:rPr>
                      <w:highlight w:val="none"/>
                    </w:rPr>
                  </w:pPr>
                  <w:r>
                    <w:rPr>
                      <w:rFonts w:ascii="Arial" w:hAnsi="Arial" w:cs="Arial"/>
                      <w:b/>
                      <w:bCs/>
                      <w:kern w:val="0"/>
                      <w:sz w:val="18"/>
                      <w:szCs w:val="18"/>
                      <w:highlight w:val="none"/>
                    </w:rPr>
                    <w:t>微型</w:t>
                  </w:r>
                </w:p>
              </w:tc>
            </w:tr>
            <w:tr w14:paraId="7100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66" w:type="dxa"/>
                  <w:vAlign w:val="center"/>
                </w:tcPr>
                <w:p w14:paraId="00B8F880">
                  <w:pPr>
                    <w:widowControl/>
                    <w:wordWrap w:val="0"/>
                    <w:spacing w:line="360" w:lineRule="atLeast"/>
                    <w:jc w:val="center"/>
                    <w:textAlignment w:val="center"/>
                    <w:rPr>
                      <w:rFonts w:hint="default" w:ascii="Arial" w:hAnsi="Arial" w:cs="Arial"/>
                      <w:kern w:val="0"/>
                      <w:sz w:val="18"/>
                      <w:szCs w:val="18"/>
                      <w:highlight w:val="none"/>
                      <w:lang w:val="en-US" w:eastAsia="zh-CN"/>
                    </w:rPr>
                  </w:pPr>
                  <w:r>
                    <w:rPr>
                      <w:rFonts w:hint="eastAsia" w:ascii="Arial" w:hAnsi="Arial" w:cs="Arial"/>
                      <w:kern w:val="0"/>
                      <w:sz w:val="18"/>
                      <w:szCs w:val="18"/>
                      <w:highlight w:val="none"/>
                      <w:lang w:val="en-US" w:eastAsia="zh-CN"/>
                    </w:rPr>
                    <w:t>其他未列明行业</w:t>
                  </w:r>
                </w:p>
              </w:tc>
              <w:tc>
                <w:tcPr>
                  <w:tcW w:w="1020" w:type="dxa"/>
                  <w:vAlign w:val="center"/>
                </w:tcPr>
                <w:p w14:paraId="02882793">
                  <w:pPr>
                    <w:widowControl/>
                    <w:wordWrap w:val="0"/>
                    <w:spacing w:line="360" w:lineRule="atLeast"/>
                    <w:jc w:val="center"/>
                    <w:textAlignment w:val="center"/>
                    <w:rPr>
                      <w:rFonts w:ascii="Arial" w:hAnsi="Arial" w:cs="Arial"/>
                      <w:kern w:val="0"/>
                      <w:sz w:val="18"/>
                      <w:szCs w:val="18"/>
                      <w:highlight w:val="none"/>
                    </w:rPr>
                  </w:pPr>
                  <w:r>
                    <w:rPr>
                      <w:rFonts w:ascii="Arial" w:hAnsi="Arial" w:cs="Arial"/>
                      <w:kern w:val="0"/>
                      <w:sz w:val="18"/>
                      <w:szCs w:val="18"/>
                      <w:highlight w:val="none"/>
                    </w:rPr>
                    <w:t>从业人员</w:t>
                  </w:r>
                  <w:r>
                    <w:rPr>
                      <w:rFonts w:hint="eastAsia" w:ascii="Arial" w:hAnsi="Arial" w:cs="Arial"/>
                      <w:kern w:val="0"/>
                      <w:sz w:val="18"/>
                      <w:szCs w:val="18"/>
                      <w:highlight w:val="none"/>
                      <w:lang w:eastAsia="zh-CN"/>
                    </w:rPr>
                    <w:t>（</w:t>
                  </w:r>
                  <w:r>
                    <w:rPr>
                      <w:rFonts w:ascii="Arial" w:hAnsi="Arial" w:cs="Arial"/>
                      <w:kern w:val="0"/>
                      <w:sz w:val="18"/>
                      <w:szCs w:val="18"/>
                      <w:highlight w:val="none"/>
                    </w:rPr>
                    <w:t>X)</w:t>
                  </w:r>
                </w:p>
              </w:tc>
              <w:tc>
                <w:tcPr>
                  <w:tcW w:w="1035" w:type="dxa"/>
                  <w:vAlign w:val="center"/>
                </w:tcPr>
                <w:p w14:paraId="1A1D21E2">
                  <w:pPr>
                    <w:widowControl/>
                    <w:wordWrap w:val="0"/>
                    <w:spacing w:line="360" w:lineRule="atLeast"/>
                    <w:jc w:val="center"/>
                    <w:textAlignment w:val="center"/>
                    <w:rPr>
                      <w:rFonts w:ascii="Arial" w:hAnsi="Arial" w:cs="Arial"/>
                      <w:kern w:val="0"/>
                      <w:sz w:val="18"/>
                      <w:szCs w:val="18"/>
                      <w:highlight w:val="none"/>
                    </w:rPr>
                  </w:pPr>
                  <w:r>
                    <w:rPr>
                      <w:rFonts w:ascii="Arial" w:hAnsi="Arial" w:cs="Arial"/>
                      <w:kern w:val="0"/>
                      <w:sz w:val="18"/>
                      <w:szCs w:val="18"/>
                      <w:highlight w:val="none"/>
                    </w:rPr>
                    <w:t>人</w:t>
                  </w:r>
                </w:p>
              </w:tc>
              <w:tc>
                <w:tcPr>
                  <w:tcW w:w="1151" w:type="dxa"/>
                  <w:vAlign w:val="center"/>
                </w:tcPr>
                <w:p w14:paraId="6038F244">
                  <w:pPr>
                    <w:widowControl/>
                    <w:wordWrap w:val="0"/>
                    <w:spacing w:line="360" w:lineRule="atLeast"/>
                    <w:jc w:val="center"/>
                    <w:textAlignment w:val="center"/>
                    <w:rPr>
                      <w:rFonts w:ascii="Arial" w:hAnsi="Arial" w:cs="Arial"/>
                      <w:kern w:val="0"/>
                      <w:sz w:val="18"/>
                      <w:szCs w:val="18"/>
                      <w:highlight w:val="none"/>
                    </w:rPr>
                  </w:pPr>
                  <w:r>
                    <w:rPr>
                      <w:rFonts w:ascii="Arial" w:hAnsi="Arial" w:cs="Arial"/>
                      <w:kern w:val="0"/>
                      <w:sz w:val="18"/>
                      <w:szCs w:val="18"/>
                      <w:highlight w:val="none"/>
                    </w:rPr>
                    <w:t>100≤X&lt;300</w:t>
                  </w:r>
                </w:p>
              </w:tc>
              <w:tc>
                <w:tcPr>
                  <w:tcW w:w="1166" w:type="dxa"/>
                  <w:vAlign w:val="center"/>
                </w:tcPr>
                <w:p w14:paraId="55F1897C">
                  <w:pPr>
                    <w:widowControl/>
                    <w:wordWrap w:val="0"/>
                    <w:spacing w:line="360" w:lineRule="atLeast"/>
                    <w:jc w:val="center"/>
                    <w:textAlignment w:val="center"/>
                    <w:rPr>
                      <w:rFonts w:ascii="Arial" w:hAnsi="Arial" w:cs="Arial"/>
                      <w:kern w:val="0"/>
                      <w:sz w:val="18"/>
                      <w:szCs w:val="18"/>
                      <w:highlight w:val="none"/>
                    </w:rPr>
                  </w:pPr>
                  <w:r>
                    <w:rPr>
                      <w:rFonts w:hint="default" w:ascii="Arial" w:hAnsi="Arial" w:cs="Arial"/>
                      <w:kern w:val="0"/>
                      <w:sz w:val="18"/>
                      <w:szCs w:val="18"/>
                      <w:highlight w:val="none"/>
                    </w:rPr>
                    <w:t>10≤X&lt;100</w:t>
                  </w:r>
                </w:p>
              </w:tc>
              <w:tc>
                <w:tcPr>
                  <w:tcW w:w="919" w:type="dxa"/>
                  <w:vAlign w:val="center"/>
                </w:tcPr>
                <w:p w14:paraId="2C60B4DB">
                  <w:pPr>
                    <w:widowControl/>
                    <w:wordWrap w:val="0"/>
                    <w:spacing w:line="360" w:lineRule="atLeast"/>
                    <w:jc w:val="center"/>
                    <w:textAlignment w:val="center"/>
                    <w:rPr>
                      <w:rFonts w:ascii="Arial" w:hAnsi="Arial" w:cs="Arial"/>
                      <w:kern w:val="0"/>
                      <w:sz w:val="18"/>
                      <w:szCs w:val="18"/>
                      <w:highlight w:val="none"/>
                    </w:rPr>
                  </w:pPr>
                  <w:r>
                    <w:rPr>
                      <w:rFonts w:hint="default" w:ascii="Arial" w:hAnsi="Arial" w:cs="Arial"/>
                      <w:kern w:val="0"/>
                      <w:sz w:val="18"/>
                      <w:szCs w:val="18"/>
                      <w:highlight w:val="none"/>
                    </w:rPr>
                    <w:t>X&lt;10</w:t>
                  </w:r>
                </w:p>
              </w:tc>
            </w:tr>
          </w:tbl>
          <w:p w14:paraId="7A1DA897">
            <w:pPr>
              <w:pStyle w:val="15"/>
              <w:ind w:firstLine="301"/>
              <w:rPr>
                <w:rFonts w:ascii="宋体" w:hAnsi="宋体" w:cs="宋体"/>
                <w:sz w:val="21"/>
                <w:szCs w:val="21"/>
                <w:highlight w:val="none"/>
              </w:rPr>
            </w:pPr>
          </w:p>
        </w:tc>
      </w:tr>
    </w:tbl>
    <w:p w14:paraId="4A1B6D5D">
      <w:pPr>
        <w:pStyle w:val="12"/>
        <w:rPr>
          <w:highlight w:val="none"/>
        </w:rPr>
      </w:pPr>
    </w:p>
    <w:p w14:paraId="5DB07288">
      <w:pPr>
        <w:jc w:val="center"/>
        <w:rPr>
          <w:rFonts w:ascii="Times New Roman" w:hAnsi="Times New Roman" w:cs="Times New Roman"/>
          <w:b/>
          <w:bCs/>
          <w:color w:val="000000" w:themeColor="text1"/>
          <w:sz w:val="24"/>
          <w:szCs w:val="24"/>
          <w:highlight w:val="none"/>
        </w:rPr>
      </w:pPr>
    </w:p>
    <w:p w14:paraId="2B905BFC">
      <w:pPr>
        <w:jc w:val="center"/>
        <w:rPr>
          <w:rFonts w:ascii="Times New Roman" w:hAnsi="Times New Roman" w:cs="Times New Roman"/>
          <w:b/>
          <w:bCs/>
          <w:color w:val="000000" w:themeColor="text1"/>
          <w:sz w:val="24"/>
          <w:szCs w:val="24"/>
          <w:highlight w:val="none"/>
        </w:rPr>
      </w:pPr>
    </w:p>
    <w:p w14:paraId="33CA21BE">
      <w:pPr>
        <w:jc w:val="center"/>
        <w:rPr>
          <w:rFonts w:ascii="Times New Roman" w:hAnsi="Times New Roman" w:cs="Times New Roman"/>
          <w:b/>
          <w:bCs/>
          <w:color w:val="000000" w:themeColor="text1"/>
          <w:sz w:val="24"/>
          <w:szCs w:val="24"/>
          <w:highlight w:val="none"/>
        </w:rPr>
      </w:pPr>
    </w:p>
    <w:p w14:paraId="0E5D88BE">
      <w:pPr>
        <w:jc w:val="center"/>
        <w:rPr>
          <w:rFonts w:ascii="Times New Roman" w:hAnsi="Times New Roman" w:cs="Times New Roman"/>
          <w:b/>
          <w:bCs/>
          <w:color w:val="000000" w:themeColor="text1"/>
          <w:sz w:val="24"/>
          <w:szCs w:val="24"/>
          <w:highlight w:val="none"/>
        </w:rPr>
      </w:pPr>
    </w:p>
    <w:p w14:paraId="3A4C872D">
      <w:pPr>
        <w:jc w:val="center"/>
        <w:rPr>
          <w:rFonts w:ascii="Times New Roman" w:hAnsi="Times New Roman" w:cs="Times New Roman"/>
          <w:b/>
          <w:bCs/>
          <w:color w:val="000000" w:themeColor="text1"/>
          <w:sz w:val="24"/>
          <w:szCs w:val="24"/>
          <w:highlight w:val="none"/>
        </w:rPr>
      </w:pPr>
    </w:p>
    <w:p w14:paraId="6358BAB0">
      <w:pPr>
        <w:jc w:val="center"/>
        <w:rPr>
          <w:rFonts w:ascii="Times New Roman" w:hAnsi="Times New Roman" w:cs="Times New Roman"/>
          <w:b/>
          <w:bCs/>
          <w:color w:val="000000" w:themeColor="text1"/>
          <w:sz w:val="24"/>
          <w:szCs w:val="24"/>
          <w:highlight w:val="none"/>
        </w:rPr>
      </w:pPr>
    </w:p>
    <w:p w14:paraId="6CFDEA96">
      <w:pPr>
        <w:jc w:val="center"/>
        <w:rPr>
          <w:rFonts w:ascii="Times New Roman" w:hAnsi="Times New Roman" w:cs="Times New Roman"/>
          <w:b/>
          <w:bCs/>
          <w:color w:val="000000" w:themeColor="text1"/>
          <w:sz w:val="24"/>
          <w:szCs w:val="24"/>
          <w:highlight w:val="none"/>
        </w:rPr>
      </w:pPr>
    </w:p>
    <w:p w14:paraId="27BF3341">
      <w:pPr>
        <w:jc w:val="center"/>
        <w:rPr>
          <w:rFonts w:ascii="Times New Roman" w:hAnsi="Times New Roman" w:cs="Times New Roman"/>
          <w:b/>
          <w:bCs/>
          <w:color w:val="000000" w:themeColor="text1"/>
          <w:sz w:val="24"/>
          <w:szCs w:val="24"/>
          <w:highlight w:val="none"/>
        </w:rPr>
      </w:pPr>
    </w:p>
    <w:p w14:paraId="3B8BBA97">
      <w:pPr>
        <w:jc w:val="center"/>
        <w:rPr>
          <w:rFonts w:ascii="Times New Roman" w:hAnsi="Times New Roman" w:cs="Times New Roman"/>
          <w:b/>
          <w:bCs/>
          <w:color w:val="000000" w:themeColor="text1"/>
          <w:sz w:val="24"/>
          <w:szCs w:val="24"/>
          <w:highlight w:val="none"/>
        </w:rPr>
      </w:pPr>
    </w:p>
    <w:p w14:paraId="1E8D2C54">
      <w:pPr>
        <w:jc w:val="center"/>
        <w:rPr>
          <w:rFonts w:ascii="Times New Roman" w:hAnsi="Times New Roman" w:cs="Times New Roman"/>
          <w:b/>
          <w:bCs/>
          <w:color w:val="000000" w:themeColor="text1"/>
          <w:sz w:val="24"/>
          <w:szCs w:val="24"/>
          <w:highlight w:val="none"/>
        </w:rPr>
      </w:pPr>
    </w:p>
    <w:p w14:paraId="268EA7A9">
      <w:pPr>
        <w:jc w:val="center"/>
        <w:rPr>
          <w:rFonts w:ascii="Times New Roman" w:hAnsi="Times New Roman" w:cs="Times New Roman"/>
          <w:b/>
          <w:bCs/>
          <w:color w:val="000000" w:themeColor="text1"/>
          <w:sz w:val="24"/>
          <w:szCs w:val="24"/>
          <w:highlight w:val="none"/>
        </w:rPr>
      </w:pPr>
    </w:p>
    <w:p w14:paraId="1648FC87">
      <w:pPr>
        <w:jc w:val="center"/>
        <w:rPr>
          <w:rFonts w:ascii="Times New Roman" w:hAnsi="Times New Roman" w:cs="Times New Roman"/>
          <w:b/>
          <w:bCs/>
          <w:color w:val="000000" w:themeColor="text1"/>
          <w:sz w:val="24"/>
          <w:szCs w:val="24"/>
          <w:highlight w:val="none"/>
        </w:rPr>
      </w:pPr>
    </w:p>
    <w:p w14:paraId="3C48A643">
      <w:pPr>
        <w:jc w:val="center"/>
        <w:rPr>
          <w:rFonts w:ascii="Times New Roman" w:hAnsi="Times New Roman" w:cs="Times New Roman"/>
          <w:b/>
          <w:bCs/>
          <w:color w:val="000000" w:themeColor="text1"/>
          <w:sz w:val="24"/>
          <w:szCs w:val="24"/>
          <w:highlight w:val="none"/>
        </w:rPr>
      </w:pPr>
    </w:p>
    <w:p w14:paraId="113FFFE0">
      <w:pPr>
        <w:jc w:val="center"/>
        <w:rPr>
          <w:rFonts w:ascii="Times New Roman" w:hAnsi="Times New Roman" w:cs="Times New Roman"/>
          <w:b/>
          <w:bCs/>
          <w:color w:val="000000" w:themeColor="text1"/>
          <w:sz w:val="24"/>
          <w:szCs w:val="24"/>
          <w:highlight w:val="none"/>
        </w:rPr>
      </w:pPr>
    </w:p>
    <w:p w14:paraId="0576D9C1">
      <w:pPr>
        <w:jc w:val="center"/>
        <w:rPr>
          <w:rFonts w:ascii="Times New Roman" w:hAnsi="Times New Roman" w:cs="Times New Roman"/>
          <w:b/>
          <w:bCs/>
          <w:color w:val="000000" w:themeColor="text1"/>
          <w:sz w:val="24"/>
          <w:szCs w:val="24"/>
          <w:highlight w:val="none"/>
        </w:rPr>
      </w:pPr>
    </w:p>
    <w:p w14:paraId="293215F5">
      <w:pPr>
        <w:jc w:val="center"/>
        <w:rPr>
          <w:rFonts w:ascii="Times New Roman" w:hAnsi="Times New Roman" w:cs="Times New Roman"/>
          <w:b/>
          <w:bCs/>
          <w:color w:val="000000" w:themeColor="text1"/>
          <w:sz w:val="24"/>
          <w:szCs w:val="24"/>
          <w:highlight w:val="none"/>
        </w:rPr>
      </w:pPr>
    </w:p>
    <w:p w14:paraId="53B50E61">
      <w:pPr>
        <w:jc w:val="center"/>
        <w:rPr>
          <w:rFonts w:ascii="Times New Roman" w:hAnsi="Times New Roman" w:cs="Times New Roman"/>
          <w:b/>
          <w:bCs/>
          <w:color w:val="000000" w:themeColor="text1"/>
          <w:sz w:val="24"/>
          <w:szCs w:val="24"/>
          <w:highlight w:val="none"/>
        </w:rPr>
      </w:pPr>
    </w:p>
    <w:p w14:paraId="4B988E7C">
      <w:pPr>
        <w:jc w:val="center"/>
        <w:rPr>
          <w:rFonts w:ascii="Times New Roman" w:hAnsi="Times New Roman" w:cs="Times New Roman"/>
          <w:b/>
          <w:bCs/>
          <w:color w:val="000000" w:themeColor="text1"/>
          <w:sz w:val="24"/>
          <w:szCs w:val="24"/>
          <w:highlight w:val="none"/>
        </w:rPr>
      </w:pPr>
    </w:p>
    <w:p w14:paraId="679650A6">
      <w:pPr>
        <w:jc w:val="center"/>
        <w:rPr>
          <w:rFonts w:ascii="Times New Roman" w:hAnsi="Times New Roman" w:cs="Times New Roman"/>
          <w:b/>
          <w:bCs/>
          <w:color w:val="000000" w:themeColor="text1"/>
          <w:sz w:val="24"/>
          <w:szCs w:val="24"/>
          <w:highlight w:val="none"/>
        </w:rPr>
      </w:pPr>
    </w:p>
    <w:p w14:paraId="71E68CED">
      <w:pPr>
        <w:jc w:val="center"/>
        <w:rPr>
          <w:rFonts w:ascii="Times New Roman" w:hAnsi="Times New Roman" w:cs="Times New Roman"/>
          <w:b/>
          <w:bCs/>
          <w:color w:val="000000" w:themeColor="text1"/>
          <w:sz w:val="24"/>
          <w:szCs w:val="24"/>
          <w:highlight w:val="none"/>
        </w:rPr>
      </w:pPr>
    </w:p>
    <w:p w14:paraId="6447BBA4">
      <w:pPr>
        <w:jc w:val="center"/>
        <w:rPr>
          <w:rFonts w:ascii="Times New Roman" w:hAnsi="Times New Roman" w:cs="Times New Roman"/>
          <w:b/>
          <w:bCs/>
          <w:color w:val="000000" w:themeColor="text1"/>
          <w:sz w:val="24"/>
          <w:szCs w:val="24"/>
          <w:highlight w:val="none"/>
        </w:rPr>
      </w:pPr>
    </w:p>
    <w:p w14:paraId="7567423E">
      <w:pPr>
        <w:jc w:val="center"/>
        <w:rPr>
          <w:rFonts w:ascii="Times New Roman" w:hAnsi="Times New Roman" w:cs="Times New Roman"/>
          <w:b/>
          <w:bCs/>
          <w:color w:val="000000" w:themeColor="text1"/>
          <w:sz w:val="24"/>
          <w:szCs w:val="24"/>
          <w:highlight w:val="none"/>
        </w:rPr>
      </w:pPr>
      <w:r>
        <w:rPr>
          <w:rFonts w:ascii="Times New Roman" w:hAnsi="Times New Roman" w:cs="Times New Roman"/>
          <w:b/>
          <w:bCs/>
          <w:color w:val="000000" w:themeColor="text1"/>
          <w:sz w:val="24"/>
          <w:szCs w:val="24"/>
          <w:highlight w:val="none"/>
        </w:rPr>
        <w:t>一、总则</w:t>
      </w:r>
    </w:p>
    <w:p w14:paraId="4D8898A0">
      <w:pPr>
        <w:pStyle w:val="57"/>
        <w:snapToGrid w:val="0"/>
        <w:spacing w:beforeLines="0" w:afterLines="0" w:line="360" w:lineRule="auto"/>
        <w:ind w:firstLine="422" w:firstLineChars="200"/>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（一）适用范围</w:t>
      </w:r>
    </w:p>
    <w:p w14:paraId="53053638">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本采购文件适用于</w:t>
      </w:r>
      <w:r>
        <w:rPr>
          <w:rFonts w:hint="eastAsia" w:ascii="Times New Roman" w:hAnsi="Times New Roman" w:cs="Times New Roman"/>
          <w:color w:val="000000" w:themeColor="text1"/>
          <w:highlight w:val="none"/>
          <w:lang w:eastAsia="zh-CN"/>
        </w:rPr>
        <w:t>2025年杭州湾乐清湾滨海湿地变迁遥感调查项目</w:t>
      </w:r>
      <w:r>
        <w:rPr>
          <w:rFonts w:ascii="Times New Roman" w:hAnsi="Times New Roman" w:cs="Times New Roman"/>
          <w:color w:val="000000" w:themeColor="text1"/>
          <w:highlight w:val="none"/>
        </w:rPr>
        <w:t>的招标、投标、评标、定标、验收、合同履约、付款等行为（</w:t>
      </w:r>
      <w:r>
        <w:rPr>
          <w:rFonts w:hint="eastAsia" w:ascii="Times New Roman" w:hAnsi="Times New Roman" w:cs="Times New Roman"/>
          <w:color w:val="000000" w:themeColor="text1"/>
          <w:highlight w:val="none"/>
          <w:lang w:eastAsia="zh-CN"/>
        </w:rPr>
        <w:t>法律法规</w:t>
      </w:r>
      <w:r>
        <w:rPr>
          <w:rFonts w:ascii="Times New Roman" w:hAnsi="Times New Roman" w:cs="Times New Roman"/>
          <w:color w:val="000000" w:themeColor="text1"/>
          <w:highlight w:val="none"/>
        </w:rPr>
        <w:t>另有规定的，从其规定）。</w:t>
      </w:r>
    </w:p>
    <w:p w14:paraId="1F065E78">
      <w:pPr>
        <w:pStyle w:val="57"/>
        <w:snapToGrid w:val="0"/>
        <w:spacing w:beforeLines="0" w:afterLines="0" w:line="360" w:lineRule="auto"/>
        <w:ind w:firstLine="422" w:firstLineChars="200"/>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（二）定义</w:t>
      </w:r>
    </w:p>
    <w:p w14:paraId="12894895">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1.招标采购单位系指组织本次招标的代理机构和采购单位（“采购人”）。</w:t>
      </w:r>
    </w:p>
    <w:p w14:paraId="25546319">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2.“投标人</w:t>
      </w:r>
      <w:r>
        <w:rPr>
          <w:rFonts w:hint="eastAsia" w:ascii="Times New Roman" w:hAnsi="Times New Roman" w:cs="Times New Roman"/>
          <w:color w:val="000000" w:themeColor="text1"/>
          <w:highlight w:val="none"/>
        </w:rPr>
        <w:t>、供应商</w:t>
      </w:r>
      <w:r>
        <w:rPr>
          <w:rFonts w:ascii="Times New Roman" w:hAnsi="Times New Roman" w:cs="Times New Roman"/>
          <w:color w:val="000000" w:themeColor="text1"/>
          <w:highlight w:val="none"/>
        </w:rPr>
        <w:t>”系指向采购人提交投标响应文件的单位或个人。</w:t>
      </w:r>
    </w:p>
    <w:p w14:paraId="54432522">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3.“产品”系指供方按采购文件规定，须向采购人提供的一切设备、保险、税金、备品备件、工具、手册</w:t>
      </w:r>
      <w:r>
        <w:rPr>
          <w:rFonts w:hint="eastAsia" w:ascii="Times New Roman" w:hAnsi="Times New Roman" w:cs="Times New Roman"/>
          <w:color w:val="000000" w:themeColor="text1"/>
          <w:highlight w:val="none"/>
          <w:lang w:eastAsia="zh-CN"/>
        </w:rPr>
        <w:t>及其他有关</w:t>
      </w:r>
      <w:r>
        <w:rPr>
          <w:rFonts w:ascii="Times New Roman" w:hAnsi="Times New Roman" w:cs="Times New Roman"/>
          <w:color w:val="000000" w:themeColor="text1"/>
          <w:highlight w:val="none"/>
        </w:rPr>
        <w:t>技术资料和材料。</w:t>
      </w:r>
    </w:p>
    <w:p w14:paraId="2DF002A6">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4.“服务”系指采购文件规定投标人须承担的安装、调试、技术协助、校准、培训、技术指导以及其他类似的义务。</w:t>
      </w:r>
    </w:p>
    <w:p w14:paraId="184842A2">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5.“项目”系指投标人按采购文件规定向采购人提供的产品和服务。</w:t>
      </w:r>
    </w:p>
    <w:p w14:paraId="43F14839">
      <w:pPr>
        <w:spacing w:line="360" w:lineRule="auto"/>
        <w:ind w:right="3"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6.“中标人”是指经审查通过，并经公示无异议的投标人。</w:t>
      </w:r>
    </w:p>
    <w:p w14:paraId="681BD838">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7.“书面形式”包括信函、传真、电报、电子文档等。</w:t>
      </w:r>
    </w:p>
    <w:p w14:paraId="60ACBB06">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8.</w:t>
      </w:r>
      <w:r>
        <w:rPr>
          <w:rFonts w:ascii="Times New Roman" w:hAnsi="Times New Roman" w:cs="Times New Roman"/>
          <w:b/>
          <w:bCs/>
          <w:color w:val="000000" w:themeColor="text1"/>
          <w:highlight w:val="none"/>
        </w:rPr>
        <w:t xml:space="preserve"> “▲”系指实质性要求条款，未响应的作无效标处理。</w:t>
      </w:r>
    </w:p>
    <w:p w14:paraId="5509E0B8">
      <w:pPr>
        <w:snapToGrid w:val="0"/>
        <w:spacing w:line="360" w:lineRule="auto"/>
        <w:ind w:firstLine="422" w:firstLineChars="200"/>
        <w:contextualSpacing/>
        <w:jc w:val="left"/>
        <w:outlineLvl w:val="1"/>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（三）采购方式</w:t>
      </w:r>
    </w:p>
    <w:p w14:paraId="7E53B863">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本次采购采用公开采购方式进行。</w:t>
      </w:r>
    </w:p>
    <w:p w14:paraId="5ABC7B97">
      <w:pPr>
        <w:pStyle w:val="57"/>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（四）采购预算</w:t>
      </w:r>
    </w:p>
    <w:p w14:paraId="2DEBCB33">
      <w:pPr>
        <w:pStyle w:val="12"/>
        <w:spacing w:after="0" w:line="360" w:lineRule="auto"/>
        <w:ind w:firstLine="422" w:firstLineChars="200"/>
        <w:contextualSpacing/>
        <w:rPr>
          <w:rFonts w:ascii="Times New Roman" w:hAnsi="Times New Roman" w:cs="Times New Roman"/>
          <w:color w:val="000000" w:themeColor="text1"/>
          <w:highlight w:val="none"/>
        </w:rPr>
      </w:pPr>
      <w:r>
        <w:rPr>
          <w:rFonts w:ascii="Times New Roman" w:hAnsi="Times New Roman" w:cs="Times New Roman"/>
          <w:b/>
          <w:bCs/>
          <w:color w:val="000000" w:themeColor="text1"/>
          <w:sz w:val="21"/>
          <w:szCs w:val="21"/>
          <w:highlight w:val="none"/>
        </w:rPr>
        <w:t>本</w:t>
      </w:r>
      <w:r>
        <w:rPr>
          <w:rFonts w:ascii="Times New Roman" w:hAnsi="Times New Roman" w:cs="Times New Roman"/>
          <w:b/>
          <w:bCs/>
          <w:color w:val="000000" w:themeColor="text1"/>
          <w:kern w:val="2"/>
          <w:sz w:val="21"/>
          <w:szCs w:val="21"/>
          <w:highlight w:val="none"/>
        </w:rPr>
        <w:t>次采购以</w:t>
      </w:r>
      <w:r>
        <w:rPr>
          <w:rFonts w:ascii="Times New Roman" w:hAnsi="Times New Roman" w:cs="Times New Roman"/>
          <w:b/>
          <w:bCs/>
          <w:color w:val="000000" w:themeColor="text1"/>
          <w:sz w:val="21"/>
          <w:szCs w:val="21"/>
          <w:highlight w:val="none"/>
        </w:rPr>
        <w:t>预算价</w:t>
      </w:r>
      <w:r>
        <w:rPr>
          <w:rFonts w:hint="eastAsia" w:ascii="Times New Roman" w:hAnsi="Times New Roman" w:cs="Times New Roman"/>
          <w:b/>
          <w:bCs/>
          <w:color w:val="000000" w:themeColor="text1"/>
          <w:sz w:val="21"/>
          <w:szCs w:val="21"/>
          <w:highlight w:val="none"/>
          <w:u w:val="single"/>
          <w:lang w:eastAsia="zh-CN"/>
        </w:rPr>
        <w:t>25万元</w:t>
      </w:r>
      <w:r>
        <w:rPr>
          <w:rFonts w:ascii="Times New Roman" w:hAnsi="Times New Roman" w:cs="Times New Roman"/>
          <w:color w:val="000000" w:themeColor="text1"/>
          <w:sz w:val="21"/>
          <w:szCs w:val="21"/>
          <w:highlight w:val="none"/>
        </w:rPr>
        <w:t>作为上限价。</w:t>
      </w:r>
    </w:p>
    <w:p w14:paraId="37492F28">
      <w:pPr>
        <w:pStyle w:val="57"/>
        <w:numPr>
          <w:ilvl w:val="0"/>
          <w:numId w:val="7"/>
        </w:numPr>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费用</w:t>
      </w:r>
    </w:p>
    <w:p w14:paraId="51F9D37C">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不论采购结果如何，投标人均应自行承担所有与投标有关的全部费用（采购文件另有规定除外）。</w:t>
      </w:r>
    </w:p>
    <w:p w14:paraId="1A106681">
      <w:pPr>
        <w:pStyle w:val="57"/>
        <w:numPr>
          <w:ilvl w:val="0"/>
          <w:numId w:val="7"/>
        </w:numPr>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联合体投标</w:t>
      </w:r>
    </w:p>
    <w:p w14:paraId="353C4A98">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本项目不接受联合体投标。</w:t>
      </w:r>
    </w:p>
    <w:p w14:paraId="17BD54D2">
      <w:pPr>
        <w:pStyle w:val="57"/>
        <w:numPr>
          <w:ilvl w:val="0"/>
          <w:numId w:val="7"/>
        </w:numPr>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转包与分包</w:t>
      </w:r>
    </w:p>
    <w:p w14:paraId="36CB5DE0">
      <w:pPr>
        <w:snapToGrid w:val="0"/>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1.本项目不允许转包。</w:t>
      </w:r>
    </w:p>
    <w:p w14:paraId="2EF11FA6">
      <w:pPr>
        <w:pStyle w:val="12"/>
        <w:spacing w:after="0" w:line="360" w:lineRule="auto"/>
        <w:ind w:firstLine="420" w:firstLineChars="200"/>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2.本项目不允许分包。</w:t>
      </w:r>
    </w:p>
    <w:p w14:paraId="373226BA">
      <w:pPr>
        <w:spacing w:line="360" w:lineRule="auto"/>
        <w:ind w:firstLine="422" w:firstLineChars="200"/>
        <w:contextualSpacing/>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（八）踏勘现场和投标费用</w:t>
      </w:r>
    </w:p>
    <w:p w14:paraId="6E345CFD">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1．投标人可以对项目实施现场及周围环境进行踏勘，以便获取有关编制投标文件和签署合同所涉及现场的资料。投标人应承担踏勘现场所发生的自身费用。</w:t>
      </w:r>
    </w:p>
    <w:p w14:paraId="636AF714">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w:t>
      </w:r>
      <w:r>
        <w:rPr>
          <w:rFonts w:hint="eastAsia" w:ascii="Times New Roman" w:hAnsi="Times New Roman" w:cs="Times New Roman"/>
          <w:color w:val="000000" w:themeColor="text1"/>
          <w:highlight w:val="none"/>
          <w:lang w:eastAsia="zh-CN"/>
        </w:rPr>
        <w:t>采购人</w:t>
      </w:r>
      <w:r>
        <w:rPr>
          <w:rFonts w:ascii="Times New Roman" w:hAnsi="Times New Roman" w:cs="Times New Roman"/>
          <w:color w:val="000000" w:themeColor="text1"/>
          <w:highlight w:val="none"/>
        </w:rPr>
        <w:t>向投标人提供的有关现场的数据和资料，是</w:t>
      </w:r>
      <w:r>
        <w:rPr>
          <w:rFonts w:hint="eastAsia" w:ascii="Times New Roman" w:hAnsi="Times New Roman" w:cs="Times New Roman"/>
          <w:color w:val="000000" w:themeColor="text1"/>
          <w:highlight w:val="none"/>
          <w:lang w:eastAsia="zh-CN"/>
        </w:rPr>
        <w:t>采购人</w:t>
      </w:r>
      <w:r>
        <w:rPr>
          <w:rFonts w:ascii="Times New Roman" w:hAnsi="Times New Roman" w:cs="Times New Roman"/>
          <w:color w:val="000000" w:themeColor="text1"/>
          <w:highlight w:val="none"/>
        </w:rPr>
        <w:t>现有的能被投标人利用的资料，</w:t>
      </w:r>
      <w:r>
        <w:rPr>
          <w:rFonts w:hint="eastAsia" w:ascii="Times New Roman" w:hAnsi="Times New Roman" w:cs="Times New Roman"/>
          <w:color w:val="000000" w:themeColor="text1"/>
          <w:highlight w:val="none"/>
          <w:lang w:eastAsia="zh-CN"/>
        </w:rPr>
        <w:t>采购人</w:t>
      </w:r>
      <w:r>
        <w:rPr>
          <w:rFonts w:ascii="Times New Roman" w:hAnsi="Times New Roman" w:cs="Times New Roman"/>
          <w:color w:val="000000" w:themeColor="text1"/>
          <w:highlight w:val="none"/>
        </w:rPr>
        <w:t>对投标人做出的任何推论、理解和结论不负责任。</w:t>
      </w:r>
    </w:p>
    <w:p w14:paraId="28F73F95">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3．经</w:t>
      </w:r>
      <w:r>
        <w:rPr>
          <w:rFonts w:hint="eastAsia" w:ascii="Times New Roman" w:hAnsi="Times New Roman" w:cs="Times New Roman"/>
          <w:color w:val="000000" w:themeColor="text1"/>
          <w:highlight w:val="none"/>
          <w:lang w:eastAsia="zh-CN"/>
        </w:rPr>
        <w:t>采购人</w:t>
      </w:r>
      <w:r>
        <w:rPr>
          <w:rFonts w:ascii="Times New Roman" w:hAnsi="Times New Roman" w:cs="Times New Roman"/>
          <w:color w:val="000000" w:themeColor="text1"/>
          <w:highlight w:val="none"/>
        </w:rPr>
        <w:t>允许，投标人可为踏勘目的进入</w:t>
      </w:r>
      <w:r>
        <w:rPr>
          <w:rFonts w:hint="eastAsia" w:ascii="Times New Roman" w:hAnsi="Times New Roman" w:cs="Times New Roman"/>
          <w:color w:val="000000" w:themeColor="text1"/>
          <w:highlight w:val="none"/>
          <w:lang w:eastAsia="zh-CN"/>
        </w:rPr>
        <w:t>采购人</w:t>
      </w:r>
      <w:r>
        <w:rPr>
          <w:rFonts w:ascii="Times New Roman" w:hAnsi="Times New Roman" w:cs="Times New Roman"/>
          <w:color w:val="000000" w:themeColor="text1"/>
          <w:highlight w:val="none"/>
        </w:rPr>
        <w:t>的项目现场，但投标人不得因此使</w:t>
      </w:r>
      <w:r>
        <w:rPr>
          <w:rFonts w:hint="eastAsia" w:ascii="Times New Roman" w:hAnsi="Times New Roman" w:cs="Times New Roman"/>
          <w:color w:val="000000" w:themeColor="text1"/>
          <w:highlight w:val="none"/>
          <w:lang w:eastAsia="zh-CN"/>
        </w:rPr>
        <w:t>采购人</w:t>
      </w:r>
      <w:r>
        <w:rPr>
          <w:rFonts w:ascii="Times New Roman" w:hAnsi="Times New Roman" w:cs="Times New Roman"/>
          <w:color w:val="000000" w:themeColor="text1"/>
          <w:highlight w:val="none"/>
        </w:rPr>
        <w:t>承担有关的责任和蒙受损失。投标人应承担踏勘现场的责任和风险。</w:t>
      </w:r>
    </w:p>
    <w:p w14:paraId="79656B71">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4．无论投标结果如何，投标人自行承担其所有与参加投标有关的全部费用。投标文件一律不退还。</w:t>
      </w:r>
    </w:p>
    <w:p w14:paraId="1B151FF3">
      <w:pPr>
        <w:pStyle w:val="57"/>
        <w:snapToGrid w:val="0"/>
        <w:spacing w:beforeLines="0" w:afterLines="0" w:line="360" w:lineRule="auto"/>
        <w:ind w:left="416" w:leftChars="198"/>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▲（九）特别说明：</w:t>
      </w:r>
    </w:p>
    <w:p w14:paraId="3BEE4DC3">
      <w:pPr>
        <w:pStyle w:val="12"/>
        <w:spacing w:after="0" w:line="360" w:lineRule="auto"/>
        <w:ind w:firstLine="480"/>
        <w:contextualSpacing/>
        <w:rPr>
          <w:rFonts w:ascii="Times New Roman" w:hAnsi="Times New Roman" w:cs="Times New Roman"/>
          <w:color w:val="000000" w:themeColor="text1"/>
          <w:highlight w:val="none"/>
        </w:rPr>
      </w:pPr>
      <w:r>
        <w:rPr>
          <w:rFonts w:ascii="Times New Roman" w:hAnsi="Times New Roman" w:cs="Times New Roman"/>
          <w:snapToGrid w:val="0"/>
          <w:color w:val="000000" w:themeColor="text1"/>
          <w:sz w:val="21"/>
          <w:szCs w:val="21"/>
          <w:highlight w:val="none"/>
        </w:rPr>
        <w:t>1.对投标人的限制</w:t>
      </w:r>
    </w:p>
    <w:p w14:paraId="7C31899D">
      <w:pPr>
        <w:snapToGrid w:val="0"/>
        <w:spacing w:line="360" w:lineRule="auto"/>
        <w:ind w:firstLine="422" w:firstLineChars="200"/>
        <w:contextualSpacing/>
        <w:jc w:val="left"/>
        <w:rPr>
          <w:rFonts w:ascii="Times New Roman" w:hAnsi="Times New Roman" w:cs="Times New Roman"/>
          <w:b/>
          <w:bCs/>
          <w:color w:val="000000" w:themeColor="text1"/>
          <w:highlight w:val="none"/>
        </w:rPr>
      </w:pPr>
      <w:r>
        <w:rPr>
          <w:rFonts w:ascii="Times New Roman" w:hAnsi="Times New Roman" w:cs="Times New Roman"/>
          <w:b/>
          <w:bCs/>
          <w:snapToGrid w:val="0"/>
          <w:color w:val="000000" w:themeColor="text1"/>
          <w:kern w:val="0"/>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17B3592">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2.投标人投标所使用的资格、信誉、荣誉、业绩与企业认证必须为本法人所拥有。投标人投标所使用的采购项目实施人员必须为本法人员工（或必须为本法人或控股公司正式员工）。</w:t>
      </w:r>
    </w:p>
    <w:p w14:paraId="7A63320B">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3.投标人应仔细阅读采购文件的所有内容，按照采购文件的要求提交投标响应文件，并对所提供的全部资料的真实性承担法律责任。</w:t>
      </w:r>
    </w:p>
    <w:p w14:paraId="654F7B35">
      <w:pPr>
        <w:pStyle w:val="57"/>
        <w:snapToGrid w:val="0"/>
        <w:spacing w:beforeLines="0" w:afterLines="0" w:line="360" w:lineRule="auto"/>
        <w:ind w:left="416" w:leftChars="198"/>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（十）质疑和投诉</w:t>
      </w:r>
    </w:p>
    <w:p w14:paraId="583FDD98">
      <w:pPr>
        <w:pStyle w:val="57"/>
        <w:snapToGrid w:val="0"/>
        <w:spacing w:beforeLines="0" w:afterLines="0" w:line="360" w:lineRule="auto"/>
        <w:ind w:firstLine="413" w:firstLineChars="196"/>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1、质疑</w:t>
      </w:r>
    </w:p>
    <w:p w14:paraId="0B3BCC75">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1.1</w:t>
      </w:r>
      <w:r>
        <w:rPr>
          <w:rFonts w:ascii="Times New Roman" w:hAnsi="Times New Roman" w:cs="Times New Roman"/>
          <w:color w:val="000000" w:themeColor="text1"/>
          <w:kern w:val="0"/>
          <w:highlight w:val="none"/>
        </w:rPr>
        <w:t>根据财政部94号令（《政府采购质疑和投诉办法》）的规定，</w:t>
      </w:r>
      <w:r>
        <w:rPr>
          <w:rFonts w:ascii="Times New Roman" w:hAnsi="Times New Roman" w:cs="Times New Roman"/>
          <w:color w:val="000000" w:themeColor="text1"/>
          <w:highlight w:val="none"/>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2BFF7E80">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（1）投标人如认为招标公告信息使自身的合法权益受到损害的，应于自招标公告期限届满之日起七个工作日内以书面形式向招标代理机构提出质疑；</w:t>
      </w:r>
    </w:p>
    <w:p w14:paraId="2FEB6A6C">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（2）投标人如认为采购文件使自身的合法权益受到损害的，应按投标人须知前附表中质疑一栏中规定时间内提出要求；</w:t>
      </w:r>
    </w:p>
    <w:p w14:paraId="7E49D605">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（3）对采购过程提出质疑的，为各采购程序环节结束之日；</w:t>
      </w:r>
    </w:p>
    <w:p w14:paraId="1E975798">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（4）投标人如认为招标过程和中标结果使自身的合法权益受到损害的，应于中标结果公告期限届满之日起七个工作日内以书面形式向招标代理机构一次性提出针对同一采购程序环节的质疑。</w:t>
      </w:r>
    </w:p>
    <w:p w14:paraId="50E3608C">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1.2提出质疑的投标人（以下简称质疑投标人）应当是参与所质疑项目采购活动的投标人。</w:t>
      </w:r>
    </w:p>
    <w:p w14:paraId="19229DDC">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1.3投标人为自然人的，应当由本人签字；投标人为法人或者其他组织的，应当由法定代表人、主要负责人，并加盖公章。</w:t>
      </w:r>
    </w:p>
    <w:p w14:paraId="4CC4BC54">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4768A892">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以联合体形式参加政府采购活动的，其投诉应当由组成联合体的所有投标人共同提出。</w:t>
      </w:r>
    </w:p>
    <w:p w14:paraId="6794DA5E">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1.4投标人提交的质疑书需一式三份，质疑书至少应包括下列主要内容：</w:t>
      </w:r>
    </w:p>
    <w:p w14:paraId="534FBD25">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（一）投标人的姓名或者名称、地址、邮编、联系人及联系电话；</w:t>
      </w:r>
    </w:p>
    <w:p w14:paraId="1C80E852">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（二）质疑项目的名称、编号；</w:t>
      </w:r>
    </w:p>
    <w:p w14:paraId="4727DF7E">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（三）具体、明确的质疑事项和与质疑事项相关的请求；</w:t>
      </w:r>
    </w:p>
    <w:p w14:paraId="6FE7FC45">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（四）事实依据；</w:t>
      </w:r>
    </w:p>
    <w:p w14:paraId="1F030ECF">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（五）必要的法律依据；</w:t>
      </w:r>
    </w:p>
    <w:p w14:paraId="2C4E6E04">
      <w:pPr>
        <w:spacing w:line="360" w:lineRule="auto"/>
        <w:ind w:firstLine="42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（六）提出质疑的日期。</w:t>
      </w:r>
    </w:p>
    <w:p w14:paraId="74FA7106">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rPr>
        <w:t>1.5</w:t>
      </w:r>
      <w:r>
        <w:rPr>
          <w:rFonts w:ascii="Times New Roman" w:hAnsi="Times New Roman" w:cs="Times New Roman"/>
          <w:color w:val="000000" w:themeColor="text1"/>
          <w:highlight w:val="none"/>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6CE80E59">
      <w:pPr>
        <w:pStyle w:val="57"/>
        <w:snapToGrid w:val="0"/>
        <w:spacing w:beforeLines="0" w:afterLines="0" w:line="360" w:lineRule="auto"/>
        <w:ind w:firstLine="413" w:firstLineChars="196"/>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2、投诉</w:t>
      </w:r>
    </w:p>
    <w:p w14:paraId="5FC8F3C9">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s="Times New Roman"/>
          <w:color w:val="000000" w:themeColor="text1"/>
          <w:kern w:val="0"/>
          <w:highlight w:val="none"/>
        </w:rPr>
        <w:t>《政府采购质疑和投诉办法》</w:t>
      </w:r>
      <w:r>
        <w:rPr>
          <w:rFonts w:ascii="Times New Roman" w:hAnsi="Times New Roman" w:cs="Times New Roman"/>
          <w:color w:val="000000" w:themeColor="text1"/>
          <w:highlight w:val="none"/>
          <w:shd w:val="clear" w:color="auto" w:fill="FFFFFF"/>
        </w:rPr>
        <w:t>第六条规定的财政部门提起投诉。</w:t>
      </w:r>
    </w:p>
    <w:p w14:paraId="50476433">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2.2投标人投诉的事项不得超出已质疑事项的范围，但基于质疑答复内容提出的投诉事项除外。</w:t>
      </w:r>
    </w:p>
    <w:p w14:paraId="4940E7CA">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2.3投诉人提起投诉应当符合下列条件：</w:t>
      </w:r>
    </w:p>
    <w:p w14:paraId="4966EB12">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（一）提起投诉前已依法进行质疑；</w:t>
      </w:r>
    </w:p>
    <w:p w14:paraId="03D0863F">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（二）投诉书内容符合本办法的规定；</w:t>
      </w:r>
    </w:p>
    <w:p w14:paraId="422D661E">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（三）在投诉有效期限内提起投诉；</w:t>
      </w:r>
    </w:p>
    <w:p w14:paraId="28ED4FB7">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（四）同一投诉事项未经财政部门投诉处理；</w:t>
      </w:r>
    </w:p>
    <w:p w14:paraId="4F6E1D23">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（五）财政部规定的其他条件。</w:t>
      </w:r>
    </w:p>
    <w:p w14:paraId="673BE603">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2.4投诉人在全国范围12个月内三次以上投诉查无实据的，由财政部门列入不良行为记录名单。</w:t>
      </w:r>
    </w:p>
    <w:p w14:paraId="4504525D">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2.5投诉人有下列行为之一的，属于虚假、恶意投诉，由财政部门列入不良行为记录名单，禁止其1至3年内参加政府采购活动：</w:t>
      </w:r>
    </w:p>
    <w:p w14:paraId="426DFF20">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（一）捏造事实；</w:t>
      </w:r>
    </w:p>
    <w:p w14:paraId="239946E4">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（二）提供虚假材料；</w:t>
      </w:r>
    </w:p>
    <w:p w14:paraId="7F2868D6">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（三）以非法手段取得证明材料。证据来源的合法性存在明显疑问，投诉人无法证明其取得方式合法的，视为以非法手段取得证明材料。</w:t>
      </w:r>
    </w:p>
    <w:p w14:paraId="3A81A887">
      <w:pPr>
        <w:spacing w:line="360" w:lineRule="auto"/>
        <w:ind w:firstLine="420"/>
        <w:contextualSpacing/>
        <w:rPr>
          <w:rFonts w:ascii="Times New Roman" w:hAnsi="Times New Roman" w:cs="Times New Roman"/>
          <w:color w:val="000000" w:themeColor="text1"/>
          <w:highlight w:val="none"/>
          <w:shd w:val="clear" w:color="auto" w:fill="FFFFFF"/>
        </w:rPr>
      </w:pPr>
      <w:r>
        <w:rPr>
          <w:rFonts w:ascii="Times New Roman" w:hAnsi="Times New Roman" w:cs="Times New Roman"/>
          <w:color w:val="000000" w:themeColor="text1"/>
          <w:highlight w:val="none"/>
          <w:shd w:val="clear" w:color="auto" w:fill="FFFFFF"/>
        </w:rPr>
        <w:t>2.6</w:t>
      </w:r>
      <w:r>
        <w:rPr>
          <w:rFonts w:ascii="Times New Roman" w:hAnsi="Times New Roman" w:cs="Times New Roman"/>
          <w:color w:val="000000" w:themeColor="text1"/>
          <w:kern w:val="0"/>
          <w:highlight w:val="none"/>
        </w:rPr>
        <w:t>政府采购投标人质疑函范本，详见格式。</w:t>
      </w:r>
    </w:p>
    <w:p w14:paraId="017262BF">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highlight w:val="none"/>
        </w:rPr>
      </w:pPr>
      <w:r>
        <w:rPr>
          <w:rFonts w:ascii="Times New Roman" w:hAnsi="Times New Roman" w:eastAsia="宋体" w:cs="Times New Roman"/>
          <w:b/>
          <w:bCs/>
          <w:color w:val="000000" w:themeColor="text1"/>
          <w:highlight w:val="none"/>
        </w:rPr>
        <w:t>二、采购文件</w:t>
      </w:r>
    </w:p>
    <w:p w14:paraId="73A7C54A">
      <w:pPr>
        <w:spacing w:line="360" w:lineRule="auto"/>
        <w:ind w:right="-241"/>
        <w:contextualSpacing/>
        <w:jc w:val="left"/>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（一）采购文件的构成。本采购文件由以下</w:t>
      </w:r>
      <w:r>
        <w:rPr>
          <w:rFonts w:hint="eastAsia" w:ascii="Times New Roman" w:hAnsi="Times New Roman" w:cs="Times New Roman"/>
          <w:b/>
          <w:bCs/>
          <w:color w:val="000000" w:themeColor="text1"/>
          <w:highlight w:val="none"/>
          <w:lang w:eastAsia="zh-CN"/>
        </w:rPr>
        <w:t>部分</w:t>
      </w:r>
      <w:r>
        <w:rPr>
          <w:rFonts w:ascii="Times New Roman" w:hAnsi="Times New Roman" w:cs="Times New Roman"/>
          <w:b/>
          <w:bCs/>
          <w:color w:val="000000" w:themeColor="text1"/>
          <w:highlight w:val="none"/>
        </w:rPr>
        <w:t>组成：</w:t>
      </w:r>
    </w:p>
    <w:p w14:paraId="6785E42E">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第一章采购公告</w:t>
      </w:r>
    </w:p>
    <w:p w14:paraId="5E80756E">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第二章采购需求</w:t>
      </w:r>
    </w:p>
    <w:p w14:paraId="419E0721">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第三章投标人须知</w:t>
      </w:r>
    </w:p>
    <w:p w14:paraId="31014719">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第四章评标办法及标准</w:t>
      </w:r>
    </w:p>
    <w:p w14:paraId="1C3B725E">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第五章合同主要条款</w:t>
      </w:r>
    </w:p>
    <w:p w14:paraId="4B00558B">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第六章投标文件相关格式</w:t>
      </w:r>
    </w:p>
    <w:p w14:paraId="052CB7D4">
      <w:pPr>
        <w:spacing w:line="360" w:lineRule="auto"/>
        <w:ind w:right="-238"/>
        <w:contextualSpacing/>
        <w:jc w:val="left"/>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（二）投标人的风险</w:t>
      </w:r>
    </w:p>
    <w:p w14:paraId="42D4B34B">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投标人没有按照采购文件要求提供全部资料，或者投标人没有对采购文件在各方面作出实质性响应是投标人的风险，责任自负。</w:t>
      </w:r>
    </w:p>
    <w:p w14:paraId="00968621">
      <w:pPr>
        <w:spacing w:line="360" w:lineRule="auto"/>
        <w:ind w:right="-238"/>
        <w:contextualSpacing/>
        <w:jc w:val="left"/>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（三）采购文件的澄清与修改</w:t>
      </w:r>
    </w:p>
    <w:p w14:paraId="1CB33B16">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6E6DBAF6">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637D3E57">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3、采购文件澄清、答复、修改、补充的内容为采购文件的组成部分。当采购文件与采购文件的答复、澄清、修改、补充通知就同一内容的表述不一致时，以最后发出的变更公告为准。</w:t>
      </w:r>
    </w:p>
    <w:p w14:paraId="1CCDE37D">
      <w:pPr>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4、采购文件的澄清、答复、修改或补充都应该通过本代理机构以法定形式发布。</w:t>
      </w:r>
    </w:p>
    <w:p w14:paraId="4F4EB6AA">
      <w:pPr>
        <w:pStyle w:val="57"/>
        <w:snapToGrid w:val="0"/>
        <w:spacing w:before="159" w:after="159" w:line="360" w:lineRule="auto"/>
        <w:ind w:right="-506" w:rightChars="-241"/>
        <w:jc w:val="center"/>
        <w:rPr>
          <w:rFonts w:hAnsi="宋体" w:eastAsia="宋体"/>
          <w:b/>
          <w:sz w:val="28"/>
          <w:szCs w:val="28"/>
          <w:highlight w:val="none"/>
        </w:rPr>
      </w:pPr>
      <w:r>
        <w:rPr>
          <w:rFonts w:hint="eastAsia" w:hAnsi="宋体" w:eastAsia="宋体"/>
          <w:b/>
          <w:sz w:val="28"/>
          <w:szCs w:val="28"/>
          <w:highlight w:val="none"/>
        </w:rPr>
        <w:t>三、投标文件的编制</w:t>
      </w:r>
    </w:p>
    <w:p w14:paraId="6F32D0D7">
      <w:pPr>
        <w:snapToGrid w:val="0"/>
        <w:spacing w:line="360" w:lineRule="auto"/>
        <w:ind w:right="55" w:firstLine="472" w:firstLineChars="196"/>
        <w:jc w:val="left"/>
        <w:outlineLvl w:val="0"/>
        <w:rPr>
          <w:rFonts w:ascii="宋体"/>
          <w:b/>
          <w:sz w:val="24"/>
          <w:highlight w:val="none"/>
        </w:rPr>
      </w:pPr>
      <w:r>
        <w:rPr>
          <w:rFonts w:hint="eastAsia" w:ascii="宋体"/>
          <w:b/>
          <w:sz w:val="24"/>
          <w:highlight w:val="none"/>
        </w:rPr>
        <w:t>（</w:t>
      </w:r>
      <w:r>
        <w:rPr>
          <w:rFonts w:hint="eastAsia" w:ascii="宋体" w:hAnsi="宋体"/>
          <w:b/>
          <w:highlight w:val="none"/>
        </w:rPr>
        <w:t>一）投标文件的组成</w:t>
      </w:r>
    </w:p>
    <w:p w14:paraId="62D92CBC">
      <w:pPr>
        <w:snapToGrid w:val="0"/>
        <w:spacing w:line="360" w:lineRule="auto"/>
        <w:ind w:right="55" w:firstLine="411" w:firstLineChars="196"/>
        <w:jc w:val="left"/>
        <w:outlineLvl w:val="0"/>
        <w:rPr>
          <w:rFonts w:ascii="Times New Roman" w:hAnsi="Times New Roman"/>
          <w:highlight w:val="none"/>
        </w:rPr>
      </w:pPr>
      <w:r>
        <w:rPr>
          <w:rFonts w:hint="eastAsia" w:ascii="Times New Roman" w:hAnsi="Times New Roman"/>
          <w:highlight w:val="none"/>
        </w:rPr>
        <w:t>投标文件由资格响应文件、商务及技术响应文件、报价文件</w:t>
      </w:r>
      <w:r>
        <w:rPr>
          <w:rFonts w:hint="eastAsia" w:ascii="Times New Roman" w:hAnsi="Times New Roman"/>
          <w:highlight w:val="none"/>
          <w:lang w:eastAsia="zh-CN"/>
        </w:rPr>
        <w:t>三部分组成</w:t>
      </w:r>
      <w:r>
        <w:rPr>
          <w:rFonts w:hint="eastAsia" w:ascii="Times New Roman" w:hAnsi="Times New Roman"/>
          <w:highlight w:val="none"/>
        </w:rPr>
        <w:t>。</w:t>
      </w:r>
      <w:r>
        <w:rPr>
          <w:rFonts w:hint="eastAsia" w:ascii="Times New Roman" w:hAnsi="Times New Roman"/>
          <w:highlight w:val="none"/>
          <w:u w:val="single"/>
        </w:rPr>
        <w:t>电子投标文件中所须加盖公章部分均采用CA签章</w:t>
      </w:r>
      <w:r>
        <w:rPr>
          <w:rFonts w:hint="eastAsia" w:ascii="Times New Roman" w:hAnsi="Times New Roman"/>
          <w:highlight w:val="none"/>
        </w:rPr>
        <w:t>。（投标文件的组成和格式见本采购文件第六章）</w:t>
      </w:r>
    </w:p>
    <w:p w14:paraId="78949FEB">
      <w:pPr>
        <w:snapToGrid w:val="0"/>
        <w:spacing w:line="360" w:lineRule="auto"/>
        <w:ind w:right="55" w:firstLine="413" w:firstLineChars="196"/>
        <w:jc w:val="left"/>
        <w:outlineLvl w:val="0"/>
        <w:rPr>
          <w:rFonts w:ascii="宋体" w:hAnsi="宋体"/>
          <w:b/>
          <w:highlight w:val="none"/>
        </w:rPr>
      </w:pPr>
      <w:r>
        <w:rPr>
          <w:rFonts w:hint="eastAsia" w:ascii="宋体" w:hAnsi="宋体"/>
          <w:b/>
          <w:highlight w:val="none"/>
        </w:rPr>
        <w:t>（二）投标文件的编制</w:t>
      </w:r>
    </w:p>
    <w:p w14:paraId="3304E994">
      <w:pPr>
        <w:snapToGrid w:val="0"/>
        <w:spacing w:line="360" w:lineRule="auto"/>
        <w:ind w:right="55" w:firstLine="411" w:firstLineChars="196"/>
        <w:jc w:val="left"/>
        <w:outlineLvl w:val="0"/>
        <w:rPr>
          <w:rFonts w:ascii="Times New Roman" w:hAnsi="Times New Roman"/>
          <w:highlight w:val="none"/>
        </w:rPr>
      </w:pPr>
      <w:r>
        <w:rPr>
          <w:rFonts w:hint="eastAsia" w:ascii="Times New Roman" w:hAnsi="Times New Roman"/>
          <w:highlight w:val="none"/>
        </w:rPr>
        <w:t>投标人应根据“政采云供应商项目采购</w:t>
      </w:r>
      <w:r>
        <w:rPr>
          <w:rFonts w:hint="eastAsia" w:ascii="Times New Roman" w:hAnsi="Times New Roman"/>
          <w:highlight w:val="none"/>
          <w:lang w:eastAsia="zh-CN"/>
        </w:rPr>
        <w:t>－</w:t>
      </w:r>
      <w:r>
        <w:rPr>
          <w:rFonts w:hint="eastAsia" w:ascii="Times New Roman" w:hAnsi="Times New Roman"/>
          <w:highlight w:val="none"/>
        </w:rPr>
        <w:t>电子交易操作指南”及本采购文件规定的格式和顺序编制电子投标文件并进行关联定位。</w:t>
      </w:r>
    </w:p>
    <w:p w14:paraId="08ADA6CC">
      <w:pPr>
        <w:snapToGrid w:val="0"/>
        <w:spacing w:line="360" w:lineRule="auto"/>
        <w:ind w:right="55" w:firstLine="411" w:firstLineChars="196"/>
        <w:jc w:val="left"/>
        <w:outlineLvl w:val="0"/>
        <w:rPr>
          <w:rFonts w:ascii="宋体"/>
          <w:b/>
          <w:sz w:val="24"/>
          <w:highlight w:val="none"/>
        </w:rPr>
      </w:pPr>
      <w:r>
        <w:rPr>
          <w:rFonts w:hint="eastAsia" w:ascii="宋体" w:hAnsi="宋体"/>
          <w:highlight w:val="none"/>
        </w:rPr>
        <w:t>（三）</w:t>
      </w:r>
      <w:r>
        <w:rPr>
          <w:rFonts w:hint="eastAsia" w:ascii="宋体" w:hAnsi="宋体"/>
          <w:b/>
          <w:highlight w:val="none"/>
        </w:rPr>
        <w:t>投标文件的语言及计量</w:t>
      </w:r>
    </w:p>
    <w:p w14:paraId="723E7953">
      <w:pPr>
        <w:snapToGrid w:val="0"/>
        <w:spacing w:line="360" w:lineRule="auto"/>
        <w:ind w:firstLine="420" w:firstLineChars="200"/>
        <w:jc w:val="left"/>
        <w:rPr>
          <w:rFonts w:ascii="宋体" w:cs="宋体"/>
          <w:highlight w:val="none"/>
        </w:rPr>
      </w:pPr>
      <w:r>
        <w:rPr>
          <w:rFonts w:ascii="宋体" w:hAnsi="宋体" w:cs="宋体"/>
          <w:highlight w:val="none"/>
        </w:rPr>
        <w:t>1.</w:t>
      </w:r>
      <w:r>
        <w:rPr>
          <w:rFonts w:hint="eastAsia" w:ascii="宋体" w:hAnsi="宋体" w:cs="宋体"/>
          <w:highlight w:val="none"/>
        </w:rPr>
        <w:t>投标文件以及投标人与采购人就有关投标事宜的所有来往函电，均应以中文汉语书写。除签名、盖章、专用名称等特殊情形外，以中文汉语以外的文字表述的投标文件视同未提供。</w:t>
      </w:r>
    </w:p>
    <w:p w14:paraId="5E86F704">
      <w:pPr>
        <w:snapToGrid w:val="0"/>
        <w:spacing w:line="360" w:lineRule="auto"/>
        <w:ind w:firstLine="420" w:firstLineChars="200"/>
        <w:jc w:val="left"/>
        <w:rPr>
          <w:rFonts w:ascii="宋体" w:cs="宋体"/>
          <w:highlight w:val="none"/>
        </w:rPr>
      </w:pPr>
      <w:r>
        <w:rPr>
          <w:rFonts w:ascii="宋体" w:hAnsi="宋体" w:cs="宋体"/>
          <w:highlight w:val="none"/>
        </w:rPr>
        <w:t>2.</w:t>
      </w:r>
      <w:r>
        <w:rPr>
          <w:rFonts w:hint="eastAsia" w:ascii="宋体" w:hAnsi="宋体" w:cs="宋体"/>
          <w:highlight w:val="none"/>
        </w:rPr>
        <w:t>投标计量单位，采购文件已有明确规定的，使用采购文件规定的计量单位；采购文件没有规定的，应采用中华人民共和国法定计量单位（货币单位：人民币元），否则视同未响应。</w:t>
      </w:r>
    </w:p>
    <w:p w14:paraId="3C4C73A6">
      <w:pPr>
        <w:tabs>
          <w:tab w:val="left" w:pos="0"/>
        </w:tabs>
        <w:spacing w:line="360" w:lineRule="auto"/>
        <w:ind w:firstLine="422" w:firstLineChars="200"/>
        <w:rPr>
          <w:rFonts w:ascii="宋体"/>
          <w:b/>
          <w:highlight w:val="none"/>
        </w:rPr>
      </w:pPr>
      <w:r>
        <w:rPr>
          <w:rFonts w:hint="eastAsia" w:ascii="宋体" w:hAnsi="宋体"/>
          <w:b/>
          <w:highlight w:val="none"/>
        </w:rPr>
        <w:t>（四）响应报价</w:t>
      </w:r>
    </w:p>
    <w:p w14:paraId="1B0099C9">
      <w:pPr>
        <w:numPr>
          <w:ilvl w:val="0"/>
          <w:numId w:val="0"/>
        </w:numPr>
        <w:spacing w:before="100" w:beforeAutospacing="1" w:after="100" w:afterAutospacing="1" w:line="360" w:lineRule="auto"/>
        <w:ind w:firstLine="420" w:firstLineChars="200"/>
        <w:jc w:val="left"/>
        <w:rPr>
          <w:rFonts w:hint="eastAsia" w:ascii="Times New Roman" w:hAnsi="Times New Roman" w:cs="Times New Roman"/>
          <w:bCs/>
          <w:color w:val="000000" w:themeColor="text1"/>
          <w:highlight w:val="none"/>
        </w:rPr>
      </w:pPr>
      <w:r>
        <w:rPr>
          <w:rFonts w:hint="eastAsia" w:ascii="Times New Roman" w:hAnsi="Times New Roman" w:cs="Times New Roman"/>
          <w:bCs/>
          <w:color w:val="000000" w:themeColor="text1"/>
          <w:highlight w:val="none"/>
        </w:rPr>
        <w:t>1. 投标报价应以人民币报价，投标人报价应是包括为采购人指定服务范围内的全部价格，至少包括：服务的价格（包括人工、材料、设备等）；必要的保险费用和各项税金；</w:t>
      </w:r>
      <w:r>
        <w:rPr>
          <w:rFonts w:hint="eastAsia" w:ascii="Times New Roman" w:hAnsi="Times New Roman" w:cs="Times New Roman"/>
          <w:bCs/>
          <w:color w:val="000000" w:themeColor="text1"/>
          <w:highlight w:val="none"/>
          <w:lang w:val="en-US" w:eastAsia="zh-CN"/>
        </w:rPr>
        <w:t>代理服务费及</w:t>
      </w:r>
      <w:r>
        <w:rPr>
          <w:rFonts w:hint="eastAsia" w:ascii="Times New Roman" w:hAnsi="Times New Roman" w:cs="Times New Roman"/>
          <w:bCs/>
          <w:color w:val="000000" w:themeColor="text1"/>
          <w:highlight w:val="none"/>
        </w:rPr>
        <w:t>与本项目有关的其他一切费用。不论投标结果如何，供应商均应自行承担所有与投标有关的全部费用。</w:t>
      </w:r>
    </w:p>
    <w:p w14:paraId="3E7B9598">
      <w:pPr>
        <w:numPr>
          <w:ilvl w:val="0"/>
          <w:numId w:val="0"/>
        </w:numPr>
        <w:spacing w:before="100" w:beforeAutospacing="1" w:after="100" w:afterAutospacing="1" w:line="360" w:lineRule="auto"/>
        <w:ind w:firstLine="420" w:firstLineChars="200"/>
        <w:jc w:val="left"/>
        <w:rPr>
          <w:rFonts w:hint="eastAsia" w:ascii="Times New Roman" w:hAnsi="Times New Roman" w:cs="Times New Roman"/>
          <w:bCs/>
          <w:color w:val="000000" w:themeColor="text1"/>
          <w:highlight w:val="none"/>
        </w:rPr>
      </w:pPr>
      <w:r>
        <w:rPr>
          <w:rFonts w:hint="eastAsia" w:ascii="Times New Roman" w:hAnsi="Times New Roman" w:cs="Times New Roman"/>
          <w:bCs/>
          <w:color w:val="000000" w:themeColor="text1"/>
          <w:highlight w:val="none"/>
        </w:rPr>
        <w:t>2.投标文件针对同一内容只允许有一个报价，有选择的或有条件的报价将不予接受。</w:t>
      </w:r>
    </w:p>
    <w:p w14:paraId="24D01F85">
      <w:pPr>
        <w:snapToGrid w:val="0"/>
        <w:spacing w:line="360" w:lineRule="auto"/>
        <w:ind w:firstLine="413" w:firstLineChars="196"/>
        <w:jc w:val="left"/>
        <w:outlineLvl w:val="0"/>
        <w:rPr>
          <w:rFonts w:ascii="宋体"/>
          <w:b/>
          <w:highlight w:val="none"/>
        </w:rPr>
      </w:pPr>
      <w:r>
        <w:rPr>
          <w:rFonts w:hint="eastAsia" w:ascii="宋体" w:hAnsi="宋体"/>
          <w:b/>
          <w:highlight w:val="none"/>
        </w:rPr>
        <w:t>（五）投标文件的有效期</w:t>
      </w:r>
    </w:p>
    <w:p w14:paraId="0447CD26">
      <w:pPr>
        <w:pStyle w:val="8"/>
        <w:numPr>
          <w:ilvl w:val="0"/>
          <w:numId w:val="0"/>
        </w:numPr>
        <w:tabs>
          <w:tab w:val="left" w:pos="454"/>
          <w:tab w:val="left" w:pos="720"/>
          <w:tab w:val="left" w:pos="900"/>
        </w:tabs>
        <w:snapToGrid w:val="0"/>
        <w:spacing w:line="360" w:lineRule="auto"/>
        <w:ind w:right="-506" w:rightChars="-241" w:firstLine="420" w:firstLineChars="200"/>
        <w:rPr>
          <w:rFonts w:ascii="宋体"/>
          <w:highlight w:val="none"/>
        </w:rPr>
      </w:pPr>
      <w:r>
        <w:rPr>
          <w:rFonts w:ascii="宋体" w:hAnsi="宋体"/>
          <w:highlight w:val="none"/>
        </w:rPr>
        <w:t>1.</w:t>
      </w:r>
      <w:r>
        <w:rPr>
          <w:rFonts w:hint="eastAsia" w:ascii="宋体" w:hAnsi="宋体"/>
          <w:highlight w:val="none"/>
        </w:rPr>
        <w:t>自投标截止日起</w:t>
      </w:r>
      <w:r>
        <w:rPr>
          <w:rFonts w:ascii="宋体" w:hAnsi="宋体"/>
          <w:b/>
          <w:highlight w:val="none"/>
          <w:u w:val="single"/>
        </w:rPr>
        <w:t xml:space="preserve">90 </w:t>
      </w:r>
      <w:r>
        <w:rPr>
          <w:rFonts w:hint="eastAsia" w:ascii="宋体" w:hAnsi="宋体"/>
          <w:b/>
          <w:highlight w:val="none"/>
        </w:rPr>
        <w:t>天</w:t>
      </w:r>
      <w:r>
        <w:rPr>
          <w:rFonts w:hint="eastAsia" w:ascii="宋体" w:hAnsi="宋体"/>
          <w:highlight w:val="none"/>
        </w:rPr>
        <w:t>投标文件应保持有效。有效期不足的投标文件将被拒绝。</w:t>
      </w:r>
    </w:p>
    <w:p w14:paraId="72B5D4B1">
      <w:pPr>
        <w:snapToGrid w:val="0"/>
        <w:spacing w:line="360" w:lineRule="auto"/>
        <w:ind w:right="-86" w:rightChars="-41" w:firstLine="420" w:firstLineChars="200"/>
        <w:jc w:val="left"/>
        <w:outlineLvl w:val="0"/>
        <w:rPr>
          <w:rFonts w:ascii="宋体"/>
          <w:highlight w:val="none"/>
        </w:rPr>
      </w:pPr>
      <w:r>
        <w:rPr>
          <w:rFonts w:ascii="宋体" w:hAnsi="宋体"/>
          <w:highlight w:val="none"/>
        </w:rPr>
        <w:t>2.</w:t>
      </w:r>
      <w:r>
        <w:rPr>
          <w:rFonts w:hint="eastAsia" w:ascii="宋体" w:hAnsi="宋体"/>
          <w:highlight w:val="none"/>
        </w:rPr>
        <w:t>在特殊情况下，采购人可与投标人协商延长投标书的有效期，这种要求和答复均以书面形式进行。</w:t>
      </w:r>
    </w:p>
    <w:p w14:paraId="00B4F4F2">
      <w:pPr>
        <w:snapToGrid w:val="0"/>
        <w:spacing w:line="360" w:lineRule="auto"/>
        <w:ind w:right="55" w:firstLine="420" w:firstLineChars="200"/>
        <w:jc w:val="left"/>
        <w:outlineLvl w:val="0"/>
        <w:rPr>
          <w:rFonts w:ascii="宋体"/>
          <w:highlight w:val="none"/>
        </w:rPr>
      </w:pPr>
      <w:r>
        <w:rPr>
          <w:rFonts w:ascii="宋体" w:hAnsi="宋体"/>
          <w:highlight w:val="none"/>
        </w:rPr>
        <w:t>3.</w:t>
      </w:r>
      <w:r>
        <w:rPr>
          <w:rFonts w:hint="eastAsia" w:ascii="宋体" w:hAnsi="宋体"/>
          <w:highlight w:val="none"/>
        </w:rPr>
        <w:t>中标人的投标文件自开标之日起至合同履行完毕止均应保持有效。</w:t>
      </w:r>
    </w:p>
    <w:p w14:paraId="717AEDB4">
      <w:pPr>
        <w:snapToGrid w:val="0"/>
        <w:spacing w:line="360" w:lineRule="auto"/>
        <w:ind w:firstLine="413" w:firstLineChars="196"/>
        <w:jc w:val="left"/>
        <w:rPr>
          <w:rFonts w:ascii="宋体"/>
          <w:b/>
          <w:highlight w:val="none"/>
        </w:rPr>
      </w:pPr>
      <w:r>
        <w:rPr>
          <w:rFonts w:hint="eastAsia" w:ascii="宋体" w:hAnsi="宋体"/>
          <w:b/>
          <w:highlight w:val="none"/>
        </w:rPr>
        <w:t>（六）投标文件的包装、递交、修改和撤回</w:t>
      </w:r>
    </w:p>
    <w:p w14:paraId="126D9CEC">
      <w:pPr>
        <w:snapToGrid w:val="0"/>
        <w:spacing w:line="360" w:lineRule="auto"/>
        <w:ind w:right="-86" w:rightChars="-41" w:firstLine="420" w:firstLineChars="200"/>
        <w:jc w:val="left"/>
        <w:rPr>
          <w:rFonts w:ascii="宋体"/>
          <w:highlight w:val="none"/>
        </w:rPr>
      </w:pPr>
      <w:r>
        <w:rPr>
          <w:rFonts w:ascii="宋体" w:hAnsi="宋体"/>
          <w:highlight w:val="none"/>
        </w:rPr>
        <w:t>1</w:t>
      </w:r>
      <w:r>
        <w:rPr>
          <w:rFonts w:hint="eastAsia" w:ascii="宋体" w:hAnsi="宋体"/>
          <w:highlight w:val="none"/>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38F58129">
      <w:pPr>
        <w:snapToGrid w:val="0"/>
        <w:spacing w:line="360" w:lineRule="auto"/>
        <w:ind w:right="-86" w:rightChars="-41" w:firstLine="420" w:firstLineChars="200"/>
        <w:jc w:val="left"/>
        <w:rPr>
          <w:rFonts w:ascii="宋体"/>
          <w:highlight w:val="none"/>
        </w:rPr>
      </w:pPr>
      <w:r>
        <w:rPr>
          <w:rFonts w:ascii="宋体" w:hAnsi="宋体"/>
          <w:highlight w:val="none"/>
        </w:rPr>
        <w:t>2</w:t>
      </w:r>
      <w:r>
        <w:rPr>
          <w:rFonts w:hint="eastAsia" w:ascii="宋体" w:hAnsi="宋体"/>
          <w:highlight w:val="none"/>
        </w:rPr>
        <w:t>、投标人除按规定时间在政采云系统中上传经加密的电子投标文件外，同时还可按采购文件要求邮寄到指定地点。</w:t>
      </w:r>
    </w:p>
    <w:p w14:paraId="1D572A92">
      <w:pPr>
        <w:snapToGrid w:val="0"/>
        <w:spacing w:line="360" w:lineRule="auto"/>
        <w:ind w:right="-86" w:rightChars="-41" w:firstLine="420" w:firstLineChars="200"/>
        <w:jc w:val="left"/>
        <w:rPr>
          <w:rFonts w:ascii="宋体"/>
          <w:highlight w:val="none"/>
        </w:rPr>
      </w:pPr>
      <w:r>
        <w:rPr>
          <w:rFonts w:ascii="宋体" w:hAnsi="宋体"/>
          <w:highlight w:val="none"/>
        </w:rPr>
        <w:t>3</w:t>
      </w:r>
      <w:r>
        <w:rPr>
          <w:rFonts w:hint="eastAsia" w:ascii="宋体" w:hAnsi="宋体"/>
          <w:highlight w:val="none"/>
        </w:rPr>
        <w:t>、响应文件未按时解密，投标人提供了备份响应文件的，以备份响应文件作为依据，否则视为响应文件撤回。响应文件已按时解密的，备份响应文件自动失效。</w:t>
      </w:r>
    </w:p>
    <w:p w14:paraId="7109CD38">
      <w:pPr>
        <w:snapToGrid w:val="0"/>
        <w:spacing w:line="360" w:lineRule="auto"/>
        <w:ind w:firstLine="420" w:firstLineChars="200"/>
        <w:outlineLvl w:val="2"/>
        <w:rPr>
          <w:rFonts w:ascii="宋体"/>
          <w:highlight w:val="none"/>
        </w:rPr>
      </w:pPr>
      <w:r>
        <w:rPr>
          <w:rFonts w:ascii="宋体" w:hAnsi="宋体"/>
          <w:highlight w:val="none"/>
        </w:rPr>
        <w:t>4</w:t>
      </w:r>
      <w:r>
        <w:rPr>
          <w:rFonts w:hint="eastAsia" w:ascii="宋体" w:hAnsi="宋体"/>
          <w:highlight w:val="none"/>
        </w:rPr>
        <w:t>、备份投标文件须密封封装。包装封面上应注明投标人名称，封口处加盖投标人公章。</w:t>
      </w:r>
    </w:p>
    <w:p w14:paraId="2B4510E2">
      <w:pPr>
        <w:spacing w:line="360" w:lineRule="auto"/>
        <w:ind w:firstLine="420"/>
        <w:rPr>
          <w:rFonts w:ascii="宋体"/>
          <w:highlight w:val="none"/>
        </w:rPr>
      </w:pPr>
      <w:r>
        <w:rPr>
          <w:rFonts w:hint="eastAsia" w:ascii="宋体" w:hAnsi="宋体"/>
          <w:b/>
          <w:highlight w:val="none"/>
        </w:rPr>
        <w:t>（七）投标无效的情形</w:t>
      </w:r>
    </w:p>
    <w:p w14:paraId="0F2188F8">
      <w:pPr>
        <w:pStyle w:val="57"/>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在不影响公平竞争的前提下，采购文件中参与同一标段（包）的供应商存在以下情形的，其投标文件相应无效：MAC地址相同、计算机硬盘序列号相同、采购文件细节错误一致且无合理解释的等情形。投标人修改、补正投标文件后，不影响评标委员会对其投标文件所作的评价和评分结果。</w:t>
      </w:r>
    </w:p>
    <w:p w14:paraId="197F7705">
      <w:pPr>
        <w:pStyle w:val="57"/>
        <w:numPr>
          <w:ilvl w:val="0"/>
          <w:numId w:val="8"/>
        </w:numPr>
        <w:snapToGrid w:val="0"/>
        <w:spacing w:beforeLines="0" w:afterLines="0" w:line="360" w:lineRule="auto"/>
        <w:ind w:left="840" w:leftChars="400" w:firstLine="417" w:firstLineChars="198"/>
        <w:rPr>
          <w:rFonts w:hAnsi="宋体" w:eastAsia="宋体"/>
          <w:b/>
          <w:bCs/>
          <w:sz w:val="21"/>
          <w:szCs w:val="21"/>
        </w:rPr>
      </w:pPr>
      <w:r>
        <w:rPr>
          <w:rFonts w:hint="eastAsia" w:hAnsi="宋体" w:eastAsia="宋体"/>
          <w:b/>
          <w:bCs/>
          <w:sz w:val="21"/>
          <w:szCs w:val="21"/>
        </w:rPr>
        <w:t>符合性审查</w:t>
      </w:r>
    </w:p>
    <w:p w14:paraId="0401CF1F">
      <w:pPr>
        <w:pStyle w:val="57"/>
        <w:snapToGrid w:val="0"/>
        <w:spacing w:beforeLines="0" w:afterLines="0" w:line="360" w:lineRule="auto"/>
        <w:ind w:firstLine="422" w:firstLineChars="200"/>
        <w:rPr>
          <w:rFonts w:hAnsi="宋体" w:eastAsia="宋体"/>
          <w:b/>
          <w:color w:val="FF0000"/>
          <w:sz w:val="21"/>
          <w:szCs w:val="21"/>
        </w:rPr>
      </w:pPr>
      <w:r>
        <w:rPr>
          <w:rFonts w:hint="eastAsia" w:hAnsi="宋体" w:eastAsia="宋体" w:cs="Calibri"/>
          <w:b/>
          <w:color w:val="FF0000"/>
          <w:sz w:val="21"/>
          <w:szCs w:val="21"/>
        </w:rPr>
        <w:t>1.1商务评审时，如发现下列情形之一的，投标文件将被视为无效投标：</w:t>
      </w:r>
    </w:p>
    <w:p w14:paraId="35F5F43F">
      <w:pPr>
        <w:pStyle w:val="17"/>
        <w:spacing w:line="360" w:lineRule="auto"/>
        <w:ind w:firstLine="415" w:firstLineChars="198"/>
        <w:rPr>
          <w:rFonts w:hAnsi="宋体"/>
          <w:bCs/>
          <w:sz w:val="21"/>
          <w:szCs w:val="21"/>
        </w:rPr>
      </w:pPr>
      <w:r>
        <w:rPr>
          <w:rFonts w:hint="eastAsia" w:hAnsi="宋体"/>
          <w:bCs/>
          <w:sz w:val="21"/>
          <w:szCs w:val="21"/>
        </w:rPr>
        <w:t>1.1.1投标响应文件未按采购文件要求签字、盖章的；</w:t>
      </w:r>
    </w:p>
    <w:p w14:paraId="12DF2445">
      <w:pPr>
        <w:pStyle w:val="17"/>
        <w:spacing w:line="360" w:lineRule="auto"/>
        <w:ind w:firstLine="415" w:firstLineChars="198"/>
        <w:rPr>
          <w:rFonts w:hAnsi="宋体"/>
          <w:bCs/>
          <w:sz w:val="21"/>
          <w:szCs w:val="21"/>
        </w:rPr>
      </w:pPr>
      <w:r>
        <w:rPr>
          <w:rFonts w:hint="eastAsia" w:hAnsi="宋体"/>
          <w:bCs/>
          <w:sz w:val="21"/>
          <w:szCs w:val="21"/>
        </w:rPr>
        <w:t>1.1.2投标文件组成内容不齐全的；</w:t>
      </w:r>
    </w:p>
    <w:p w14:paraId="478B4B9D">
      <w:pPr>
        <w:pStyle w:val="17"/>
        <w:spacing w:line="360" w:lineRule="auto"/>
        <w:ind w:firstLine="415" w:firstLineChars="198"/>
        <w:rPr>
          <w:rFonts w:hAnsi="宋体"/>
          <w:bCs/>
          <w:sz w:val="21"/>
          <w:szCs w:val="21"/>
        </w:rPr>
      </w:pPr>
      <w:r>
        <w:rPr>
          <w:rFonts w:hint="eastAsia" w:hAnsi="宋体"/>
          <w:bCs/>
          <w:sz w:val="21"/>
          <w:szCs w:val="21"/>
        </w:rPr>
        <w:t>1.1.3投标响应文件的实质性内容未使用中文表述、意思表述不明确、前后矛盾或者使用计量单位不符合采购文件要求的；（经评审小组认定并符合本采购文件规定的情形除外）</w:t>
      </w:r>
    </w:p>
    <w:p w14:paraId="2520AF57">
      <w:pPr>
        <w:pStyle w:val="17"/>
        <w:spacing w:line="360" w:lineRule="auto"/>
        <w:ind w:firstLine="415" w:firstLineChars="198"/>
        <w:rPr>
          <w:rFonts w:hAnsi="宋体"/>
          <w:bCs/>
          <w:sz w:val="21"/>
          <w:szCs w:val="21"/>
        </w:rPr>
      </w:pPr>
      <w:r>
        <w:rPr>
          <w:rFonts w:hint="eastAsia" w:hAnsi="宋体"/>
          <w:bCs/>
          <w:sz w:val="21"/>
          <w:szCs w:val="21"/>
        </w:rPr>
        <w:t>1.1.4投标响应文件的关键内容字迹模糊、无法辨认的，或者投标响应文件中经修正的内容字迹模糊难以辨认或者修改处未按规定签名盖章的；</w:t>
      </w:r>
    </w:p>
    <w:p w14:paraId="07D480EC">
      <w:pPr>
        <w:pStyle w:val="17"/>
        <w:spacing w:line="360" w:lineRule="auto"/>
        <w:ind w:firstLine="415" w:firstLineChars="198"/>
        <w:rPr>
          <w:rFonts w:hAnsi="宋体"/>
          <w:bCs/>
          <w:sz w:val="21"/>
          <w:szCs w:val="21"/>
        </w:rPr>
      </w:pPr>
      <w:r>
        <w:rPr>
          <w:rFonts w:hint="eastAsia" w:hAnsi="宋体"/>
          <w:bCs/>
          <w:sz w:val="21"/>
          <w:szCs w:val="21"/>
        </w:rPr>
        <w:t>1.1.5服务期、投标有效期等商务条款不能满足采购文件要求的；</w:t>
      </w:r>
    </w:p>
    <w:p w14:paraId="12CB12D5">
      <w:pPr>
        <w:pStyle w:val="17"/>
        <w:spacing w:line="360" w:lineRule="auto"/>
        <w:ind w:firstLine="415" w:firstLineChars="198"/>
        <w:rPr>
          <w:rFonts w:hAnsi="宋体"/>
          <w:bCs/>
          <w:sz w:val="21"/>
          <w:szCs w:val="21"/>
        </w:rPr>
      </w:pPr>
      <w:r>
        <w:rPr>
          <w:rFonts w:hint="eastAsia" w:hAnsi="宋体"/>
          <w:bCs/>
          <w:sz w:val="21"/>
          <w:szCs w:val="21"/>
        </w:rPr>
        <w:t>1.1.6在资格、商务技术部分中出现投投标报价信息的；</w:t>
      </w:r>
    </w:p>
    <w:p w14:paraId="6D24FA7A">
      <w:pPr>
        <w:pStyle w:val="17"/>
        <w:spacing w:line="360" w:lineRule="auto"/>
        <w:ind w:firstLine="415" w:firstLineChars="198"/>
        <w:rPr>
          <w:rFonts w:hAnsi="宋体"/>
          <w:bCs/>
          <w:sz w:val="21"/>
          <w:szCs w:val="21"/>
        </w:rPr>
      </w:pPr>
      <w:r>
        <w:rPr>
          <w:rFonts w:hint="eastAsia" w:hAnsi="宋体"/>
          <w:bCs/>
          <w:sz w:val="21"/>
          <w:szCs w:val="21"/>
        </w:rPr>
        <w:t>1.1.7不响应采购文件实质性要求或者投标响应文件有</w:t>
      </w:r>
      <w:r>
        <w:rPr>
          <w:rFonts w:hint="eastAsia" w:hAnsi="宋体"/>
          <w:bCs/>
          <w:sz w:val="21"/>
          <w:szCs w:val="21"/>
          <w:lang w:eastAsia="zh-CN"/>
        </w:rPr>
        <w:t>采购人</w:t>
      </w:r>
      <w:r>
        <w:rPr>
          <w:rFonts w:hint="eastAsia" w:hAnsi="宋体"/>
          <w:bCs/>
          <w:sz w:val="21"/>
          <w:szCs w:val="21"/>
        </w:rPr>
        <w:t>不能接受的附加条件的；</w:t>
      </w:r>
    </w:p>
    <w:p w14:paraId="4F7F3AA7">
      <w:pPr>
        <w:pStyle w:val="17"/>
        <w:spacing w:line="360" w:lineRule="auto"/>
        <w:ind w:firstLine="415" w:firstLineChars="198"/>
        <w:rPr>
          <w:rFonts w:hAnsi="宋体"/>
          <w:bCs/>
          <w:sz w:val="21"/>
          <w:szCs w:val="21"/>
        </w:rPr>
      </w:pPr>
      <w:r>
        <w:rPr>
          <w:rFonts w:hint="eastAsia" w:hAnsi="宋体"/>
          <w:bCs/>
          <w:sz w:val="21"/>
          <w:szCs w:val="21"/>
        </w:rPr>
        <w:t>1.1.8投标文件没有按采购文件要求响应有标“▲”的条款的资料和材料的；</w:t>
      </w:r>
    </w:p>
    <w:p w14:paraId="613F62F7">
      <w:pPr>
        <w:ind w:firstLine="420" w:firstLineChars="200"/>
        <w:rPr>
          <w:rFonts w:ascii="宋体" w:hAnsi="宋体" w:cs="宋体"/>
          <w:bCs/>
        </w:rPr>
      </w:pPr>
      <w:r>
        <w:rPr>
          <w:rFonts w:hint="eastAsia" w:ascii="宋体" w:hAnsi="宋体" w:cs="宋体"/>
          <w:bCs/>
        </w:rPr>
        <w:t>1.1.9</w:t>
      </w:r>
      <w:r>
        <w:rPr>
          <w:rFonts w:hint="eastAsia" w:hAnsi="宋体" w:cs="宋体"/>
          <w:bCs/>
        </w:rPr>
        <w:t>发生采购文件规定的其他无效响应条款的。</w:t>
      </w:r>
    </w:p>
    <w:p w14:paraId="0EF0345E">
      <w:pPr>
        <w:spacing w:line="360" w:lineRule="auto"/>
        <w:ind w:firstLine="420"/>
        <w:rPr>
          <w:rFonts w:ascii="宋体"/>
          <w:b/>
          <w:color w:val="FF0000"/>
        </w:rPr>
      </w:pPr>
      <w:r>
        <w:rPr>
          <w:rFonts w:hint="eastAsia" w:ascii="宋体" w:hAnsi="宋体"/>
          <w:b/>
          <w:color w:val="FF0000"/>
        </w:rPr>
        <w:t>1.</w:t>
      </w:r>
      <w:r>
        <w:rPr>
          <w:rFonts w:ascii="宋体" w:hAnsi="宋体"/>
          <w:b/>
          <w:color w:val="FF0000"/>
        </w:rPr>
        <w:t>2</w:t>
      </w:r>
      <w:r>
        <w:rPr>
          <w:rFonts w:hint="eastAsia" w:ascii="宋体" w:hAnsi="宋体"/>
          <w:b/>
          <w:color w:val="FF0000"/>
        </w:rPr>
        <w:t>、在技术评审时，如发现下列情形之一的，</w:t>
      </w:r>
      <w:r>
        <w:rPr>
          <w:rFonts w:hint="eastAsia" w:ascii="宋体" w:hAnsi="宋体"/>
          <w:b/>
          <w:bCs/>
          <w:color w:val="FF0000"/>
        </w:rPr>
        <w:t>投标文件将被视为无效响应：</w:t>
      </w:r>
    </w:p>
    <w:p w14:paraId="05A79305">
      <w:pPr>
        <w:spacing w:line="360" w:lineRule="auto"/>
        <w:ind w:firstLine="420"/>
        <w:rPr>
          <w:rFonts w:ascii="宋体"/>
        </w:rPr>
      </w:pPr>
      <w:r>
        <w:rPr>
          <w:rFonts w:hint="eastAsia" w:ascii="宋体" w:hAnsi="宋体"/>
        </w:rPr>
        <w:t>1.</w:t>
      </w:r>
      <w:r>
        <w:rPr>
          <w:rFonts w:ascii="宋体" w:hAnsi="宋体"/>
        </w:rPr>
        <w:t>2.1</w:t>
      </w:r>
      <w:r>
        <w:rPr>
          <w:rFonts w:hint="eastAsia" w:hAnsi="宋体" w:cs="宋体"/>
        </w:rPr>
        <w:t>投标文件标明的响应或偏离与事实不符或虚假投标的</w:t>
      </w:r>
      <w:r>
        <w:rPr>
          <w:rFonts w:hint="eastAsia" w:ascii="宋体" w:hAnsi="宋体"/>
        </w:rPr>
        <w:t>；</w:t>
      </w:r>
    </w:p>
    <w:p w14:paraId="279C1851">
      <w:pPr>
        <w:spacing w:line="360" w:lineRule="auto"/>
        <w:ind w:firstLine="420" w:firstLineChars="200"/>
        <w:rPr>
          <w:rFonts w:ascii="宋体"/>
        </w:rPr>
      </w:pPr>
      <w:r>
        <w:rPr>
          <w:rFonts w:hint="eastAsia" w:ascii="宋体" w:hAnsi="宋体"/>
          <w:bCs/>
        </w:rPr>
        <w:t>1.</w:t>
      </w:r>
      <w:r>
        <w:rPr>
          <w:rFonts w:ascii="宋体" w:hAnsi="宋体"/>
          <w:bCs/>
        </w:rPr>
        <w:t>2.2</w:t>
      </w:r>
      <w:r>
        <w:rPr>
          <w:rFonts w:hint="eastAsia" w:ascii="宋体" w:hAnsi="宋体"/>
          <w:bCs/>
        </w:rPr>
        <w:t>明显不符合采购文件标明的质量标准，或者采购文件中标“</w:t>
      </w:r>
      <w:r>
        <w:rPr>
          <w:rFonts w:hint="eastAsia" w:ascii="宋体" w:hAnsi="宋体"/>
          <w:b/>
        </w:rPr>
        <w:t>▲</w:t>
      </w:r>
      <w:r>
        <w:rPr>
          <w:rFonts w:hint="eastAsia" w:ascii="宋体" w:hAnsi="宋体"/>
          <w:bCs/>
        </w:rPr>
        <w:t>”的技术参数、条款（如有）发生实质性偏离的；</w:t>
      </w:r>
    </w:p>
    <w:p w14:paraId="5189B5F0">
      <w:pPr>
        <w:spacing w:line="360" w:lineRule="auto"/>
        <w:ind w:firstLine="420"/>
        <w:rPr>
          <w:rFonts w:ascii="宋体" w:hAnsi="宋体"/>
        </w:rPr>
      </w:pPr>
      <w:r>
        <w:rPr>
          <w:rFonts w:hint="eastAsia" w:ascii="宋体" w:hAnsi="宋体"/>
        </w:rPr>
        <w:t>1.</w:t>
      </w:r>
      <w:r>
        <w:rPr>
          <w:rFonts w:ascii="宋体" w:hAnsi="宋体"/>
        </w:rPr>
        <w:t>2.3</w:t>
      </w:r>
      <w:r>
        <w:rPr>
          <w:rFonts w:hint="eastAsia" w:ascii="宋体" w:hAnsi="宋体"/>
        </w:rPr>
        <w:t>投标技术方案不明确，存在一个或一个以上备选（替代）投标方案的；</w:t>
      </w:r>
    </w:p>
    <w:p w14:paraId="1F404E4B">
      <w:pPr>
        <w:spacing w:line="360" w:lineRule="auto"/>
        <w:ind w:firstLine="420"/>
        <w:rPr>
          <w:rFonts w:ascii="宋体"/>
          <w:b/>
          <w:bCs/>
          <w:color w:val="FF0000"/>
        </w:rPr>
      </w:pPr>
      <w:r>
        <w:rPr>
          <w:rFonts w:hint="eastAsia" w:ascii="宋体" w:hAnsi="宋体"/>
          <w:b/>
          <w:bCs/>
          <w:color w:val="FF0000"/>
        </w:rPr>
        <w:t>1.3、在投标报价文件评审时，如发现下列情形之一的，投标文件将被视为无效响应：</w:t>
      </w:r>
    </w:p>
    <w:p w14:paraId="49228A89">
      <w:pPr>
        <w:spacing w:line="360" w:lineRule="auto"/>
        <w:ind w:firstLine="420" w:firstLineChars="200"/>
        <w:rPr>
          <w:rFonts w:hAnsi="宋体" w:cs="宋体"/>
          <w:bCs/>
        </w:rPr>
      </w:pPr>
      <w:r>
        <w:rPr>
          <w:rFonts w:hint="eastAsia" w:ascii="宋体" w:hAnsi="宋体"/>
          <w:bCs/>
        </w:rPr>
        <w:t>1.3.1</w:t>
      </w:r>
      <w:r>
        <w:rPr>
          <w:rFonts w:hint="eastAsia" w:hAnsi="宋体" w:cs="宋体"/>
          <w:bCs/>
        </w:rPr>
        <w:t>未按采购文件要求签字、盖章的；</w:t>
      </w:r>
    </w:p>
    <w:p w14:paraId="1921C57E">
      <w:pPr>
        <w:pStyle w:val="17"/>
        <w:spacing w:line="360" w:lineRule="auto"/>
        <w:ind w:firstLine="415" w:firstLineChars="198"/>
      </w:pPr>
      <w:r>
        <w:rPr>
          <w:rFonts w:hint="eastAsia" w:hAnsi="宋体"/>
          <w:bCs/>
          <w:sz w:val="21"/>
          <w:szCs w:val="21"/>
        </w:rPr>
        <w:t>1.3.2没有按采购文件要求响应有标“▲”的条款的资料和材料的。</w:t>
      </w:r>
    </w:p>
    <w:p w14:paraId="00E2BA58">
      <w:pPr>
        <w:spacing w:line="360" w:lineRule="auto"/>
        <w:ind w:firstLine="420" w:firstLineChars="200"/>
        <w:rPr>
          <w:rFonts w:ascii="宋体" w:hAnsi="宋体"/>
          <w:bCs/>
        </w:rPr>
      </w:pPr>
      <w:r>
        <w:rPr>
          <w:rFonts w:hint="eastAsia" w:ascii="宋体" w:hAnsi="宋体"/>
          <w:bCs/>
        </w:rPr>
        <w:t>1.3.3未采用人民币报价或者未按照采购文件标明的币种报价的；</w:t>
      </w:r>
    </w:p>
    <w:p w14:paraId="24ABFA16">
      <w:pPr>
        <w:spacing w:line="360" w:lineRule="auto"/>
        <w:ind w:firstLine="420" w:firstLineChars="200"/>
        <w:rPr>
          <w:rFonts w:ascii="宋体" w:hAnsi="宋体"/>
          <w:bCs/>
        </w:rPr>
      </w:pPr>
      <w:r>
        <w:rPr>
          <w:rFonts w:hint="eastAsia" w:ascii="宋体" w:hAnsi="宋体"/>
          <w:bCs/>
        </w:rPr>
        <w:t>1.3.4报价超出最高限价，或者超出采购预算金额，采购人不能支付的；投标人的投标报价出现明显低于其他符合性通过投标人的报价，且不能提供其报价合理性的证明。</w:t>
      </w:r>
    </w:p>
    <w:p w14:paraId="1E1C94A1">
      <w:pPr>
        <w:spacing w:line="360" w:lineRule="auto"/>
        <w:ind w:firstLine="420" w:firstLineChars="200"/>
        <w:rPr>
          <w:rFonts w:hAnsi="宋体" w:cs="宋体"/>
        </w:rPr>
      </w:pPr>
      <w:r>
        <w:rPr>
          <w:rFonts w:hint="eastAsia" w:ascii="宋体" w:hAnsi="宋体"/>
          <w:bCs/>
        </w:rPr>
        <w:t>1.3.5投标报价具</w:t>
      </w:r>
      <w:r>
        <w:rPr>
          <w:rFonts w:hint="eastAsia" w:hAnsi="宋体" w:cs="宋体"/>
        </w:rPr>
        <w:t>有选择性，或者开标价格与投标文件承诺的优惠（折扣）价格不一致的；</w:t>
      </w:r>
    </w:p>
    <w:p w14:paraId="44AF70FE">
      <w:pPr>
        <w:spacing w:line="360" w:lineRule="auto"/>
        <w:ind w:firstLine="420"/>
        <w:rPr>
          <w:rFonts w:hAnsi="宋体" w:cs="宋体"/>
          <w:color w:val="FF0000"/>
        </w:rPr>
      </w:pPr>
      <w:r>
        <w:rPr>
          <w:rFonts w:hint="eastAsia" w:hAnsi="宋体" w:cs="宋体"/>
          <w:color w:val="FF0000"/>
        </w:rPr>
        <w:t>2、</w:t>
      </w:r>
      <w:r>
        <w:rPr>
          <w:rFonts w:hint="eastAsia" w:ascii="宋体" w:hAnsi="宋体"/>
          <w:b/>
          <w:bCs/>
          <w:color w:val="FF0000"/>
        </w:rPr>
        <w:t>以下情形视为未提交有效投标文件被视为无效响应：</w:t>
      </w:r>
    </w:p>
    <w:p w14:paraId="22D752B1">
      <w:pPr>
        <w:spacing w:line="360" w:lineRule="auto"/>
        <w:ind w:firstLine="420"/>
        <w:rPr>
          <w:rFonts w:hAnsi="宋体" w:cs="宋体"/>
        </w:rPr>
      </w:pPr>
      <w:r>
        <w:rPr>
          <w:rFonts w:hint="eastAsia" w:hAnsi="宋体" w:cs="宋体"/>
        </w:rPr>
        <w:t>2.1仅提交备份投标文件的；</w:t>
      </w:r>
    </w:p>
    <w:p w14:paraId="667AA6B7">
      <w:pPr>
        <w:spacing w:line="360" w:lineRule="auto"/>
        <w:ind w:firstLine="420"/>
        <w:rPr>
          <w:rFonts w:hAnsi="宋体" w:cs="宋体"/>
        </w:rPr>
      </w:pPr>
      <w:r>
        <w:rPr>
          <w:rFonts w:hint="eastAsia" w:hAnsi="宋体" w:cs="宋体"/>
        </w:rPr>
        <w:t>2.2投标人未按时解密，且提交备份投标文件无效的；</w:t>
      </w:r>
    </w:p>
    <w:p w14:paraId="0E3A923C">
      <w:pPr>
        <w:spacing w:line="360" w:lineRule="auto"/>
        <w:ind w:firstLine="420"/>
        <w:rPr>
          <w:rFonts w:hAnsi="宋体" w:cs="宋体"/>
        </w:rPr>
      </w:pPr>
      <w:r>
        <w:rPr>
          <w:rFonts w:hint="eastAsia" w:hAnsi="宋体" w:cs="宋体"/>
        </w:rPr>
        <w:t>2.3投标人未按时解密，且提交的备份投标文件不明确，存在一个或一个以上备选（替代）备份投标文件。</w:t>
      </w:r>
    </w:p>
    <w:p w14:paraId="4CEC3958">
      <w:pPr>
        <w:spacing w:line="360" w:lineRule="auto"/>
        <w:ind w:firstLine="420"/>
        <w:rPr>
          <w:rFonts w:ascii="宋体" w:hAnsi="宋体"/>
          <w:b/>
          <w:bCs/>
          <w:color w:val="FF0000"/>
        </w:rPr>
      </w:pPr>
      <w:r>
        <w:rPr>
          <w:rFonts w:hint="eastAsia" w:ascii="宋体" w:hAnsi="宋体"/>
          <w:b/>
          <w:bCs/>
          <w:color w:val="FF0000"/>
        </w:rPr>
        <w:t>3、除政府采购法律法规规章规定的属于恶意串通、视为串通投标情形外，在不影响公平竞争的前提下，采购文件中参与同一标段(包)的供应商存在以下情形之一且无法合理解释的，其投标（响应）文件无效：</w:t>
      </w:r>
    </w:p>
    <w:p w14:paraId="264379C1">
      <w:pPr>
        <w:spacing w:line="360" w:lineRule="auto"/>
        <w:ind w:firstLine="420"/>
        <w:rPr>
          <w:rFonts w:hAnsi="宋体" w:cs="宋体"/>
          <w:highlight w:val="yellow"/>
        </w:rPr>
      </w:pPr>
      <w:r>
        <w:rPr>
          <w:rFonts w:hint="eastAsia" w:hAnsi="宋体" w:cs="宋体"/>
          <w:highlight w:val="yellow"/>
        </w:rPr>
        <w:t>3.1不同投标人的电子投标（响应）文件上传计算机的网卡MAC地址或硬盘序列号等硬件信息相同的；</w:t>
      </w:r>
    </w:p>
    <w:p w14:paraId="69F1F07D">
      <w:pPr>
        <w:spacing w:line="360" w:lineRule="auto"/>
        <w:ind w:firstLine="420"/>
        <w:rPr>
          <w:rFonts w:hAnsi="宋体" w:cs="宋体"/>
          <w:highlight w:val="yellow"/>
        </w:rPr>
      </w:pPr>
      <w:r>
        <w:rPr>
          <w:rFonts w:hint="eastAsia" w:hAnsi="宋体" w:cs="宋体"/>
          <w:highlight w:val="yellow"/>
        </w:rPr>
        <w:t>3.2.上传的电子投标（响应）文件若出现使用本项目其他投标（响应）投标人的数字证书加密的，或者加盖本项目其他投标（响应）投标人的电子印章的；</w:t>
      </w:r>
    </w:p>
    <w:p w14:paraId="7323B107">
      <w:pPr>
        <w:spacing w:line="360" w:lineRule="auto"/>
        <w:ind w:firstLine="420"/>
        <w:rPr>
          <w:rFonts w:hAnsi="宋体" w:cs="宋体"/>
          <w:highlight w:val="yellow"/>
        </w:rPr>
      </w:pPr>
      <w:r>
        <w:rPr>
          <w:rFonts w:hint="eastAsia" w:hAnsi="宋体" w:cs="宋体"/>
          <w:highlight w:val="yellow"/>
        </w:rPr>
        <w:t>3.3不同投标人的投标（响应）文件的内容存在3处（含）以上错误一致的；</w:t>
      </w:r>
    </w:p>
    <w:p w14:paraId="0CBB467B">
      <w:pPr>
        <w:spacing w:line="360" w:lineRule="auto"/>
        <w:ind w:firstLine="420"/>
        <w:rPr>
          <w:rFonts w:hAnsi="宋体" w:cs="宋体"/>
        </w:rPr>
      </w:pPr>
      <w:r>
        <w:rPr>
          <w:rFonts w:hint="eastAsia" w:hAnsi="宋体" w:cs="宋体"/>
          <w:highlight w:val="yellow"/>
        </w:rPr>
        <w:t>3.4不同投标人联系人为同一人或不同联系人的联系电话一致的。</w:t>
      </w:r>
    </w:p>
    <w:p w14:paraId="57F78A8B">
      <w:pPr>
        <w:pStyle w:val="66"/>
        <w:snapToGrid w:val="0"/>
        <w:spacing w:line="360" w:lineRule="auto"/>
        <w:ind w:right="-86" w:rightChars="-41" w:firstLine="438" w:firstLineChars="209"/>
        <w:rPr>
          <w:rFonts w:hAnsi="宋体"/>
          <w:highlight w:val="none"/>
        </w:rPr>
      </w:pPr>
      <w:r>
        <w:rPr>
          <w:rFonts w:hint="eastAsia" w:hAnsi="宋体"/>
          <w:highlight w:val="none"/>
          <w:lang w:val="en-US" w:eastAsia="zh-CN"/>
        </w:rPr>
        <w:t>4</w:t>
      </w:r>
      <w:r>
        <w:rPr>
          <w:rFonts w:hint="eastAsia" w:hAnsi="宋体"/>
          <w:highlight w:val="none"/>
        </w:rPr>
        <w:t>、</w:t>
      </w:r>
      <w:r>
        <w:rPr>
          <w:rFonts w:hint="eastAsia" w:hAnsi="宋体"/>
          <w:highlight w:val="none"/>
          <w:lang w:eastAsia="zh-CN"/>
        </w:rPr>
        <w:t>法律法规</w:t>
      </w:r>
      <w:r>
        <w:rPr>
          <w:rFonts w:hint="eastAsia" w:hAnsi="宋体"/>
          <w:highlight w:val="none"/>
        </w:rPr>
        <w:t>和采购文件规定的其他无效情形。</w:t>
      </w:r>
    </w:p>
    <w:p w14:paraId="2CCA0378">
      <w:pPr>
        <w:pStyle w:val="66"/>
        <w:snapToGrid w:val="0"/>
        <w:spacing w:line="360" w:lineRule="auto"/>
        <w:ind w:right="-86" w:rightChars="-41" w:firstLine="441" w:firstLineChars="209"/>
        <w:rPr>
          <w:rFonts w:hAnsi="宋体"/>
          <w:highlight w:val="none"/>
        </w:rPr>
      </w:pPr>
      <w:r>
        <w:rPr>
          <w:rFonts w:hint="eastAsia" w:ascii="宋体" w:hAnsi="宋体"/>
          <w:b/>
          <w:highlight w:val="none"/>
        </w:rPr>
        <w:t>（八）</w:t>
      </w:r>
      <w:r>
        <w:rPr>
          <w:rFonts w:hint="eastAsia" w:hAnsi="宋体"/>
          <w:b/>
          <w:highlight w:val="none"/>
        </w:rPr>
        <w:t>出现以下情形，导致电子交易平台无法正常运行，或者无法保证电子交易的公平、公正和安全时，中止电子交易活动：</w:t>
      </w:r>
    </w:p>
    <w:p w14:paraId="7CF11DBC">
      <w:pPr>
        <w:pStyle w:val="66"/>
        <w:snapToGrid w:val="0"/>
        <w:spacing w:line="360" w:lineRule="auto"/>
        <w:ind w:right="-86" w:rightChars="-41" w:firstLine="438" w:firstLineChars="209"/>
        <w:rPr>
          <w:rFonts w:hAnsi="宋体"/>
          <w:highlight w:val="none"/>
        </w:rPr>
      </w:pPr>
      <w:r>
        <w:rPr>
          <w:rFonts w:hint="eastAsia" w:hAnsi="宋体"/>
          <w:highlight w:val="none"/>
        </w:rPr>
        <w:t>（</w:t>
      </w:r>
      <w:r>
        <w:rPr>
          <w:rFonts w:hAnsi="宋体"/>
          <w:highlight w:val="none"/>
        </w:rPr>
        <w:t>1</w:t>
      </w:r>
      <w:r>
        <w:rPr>
          <w:rFonts w:hint="eastAsia" w:hAnsi="宋体"/>
          <w:highlight w:val="none"/>
        </w:rPr>
        <w:t>）电子交易平台发生故障而无法登录访问的；</w:t>
      </w:r>
    </w:p>
    <w:p w14:paraId="1BF44E75">
      <w:pPr>
        <w:pStyle w:val="66"/>
        <w:snapToGrid w:val="0"/>
        <w:spacing w:line="360" w:lineRule="auto"/>
        <w:ind w:right="-86" w:rightChars="-41" w:firstLine="438" w:firstLineChars="209"/>
        <w:rPr>
          <w:rFonts w:hAnsi="宋体"/>
          <w:highlight w:val="none"/>
        </w:rPr>
      </w:pPr>
      <w:r>
        <w:rPr>
          <w:rFonts w:hint="eastAsia" w:hAnsi="宋体"/>
          <w:highlight w:val="none"/>
        </w:rPr>
        <w:t>（</w:t>
      </w:r>
      <w:r>
        <w:rPr>
          <w:rFonts w:hAnsi="宋体"/>
          <w:highlight w:val="none"/>
        </w:rPr>
        <w:t>2</w:t>
      </w:r>
      <w:r>
        <w:rPr>
          <w:rFonts w:hint="eastAsia" w:hAnsi="宋体"/>
          <w:highlight w:val="none"/>
        </w:rPr>
        <w:t>）电子交易平台应用或数据库出现错误，不能进行正常操作的；</w:t>
      </w:r>
    </w:p>
    <w:p w14:paraId="4289A763">
      <w:pPr>
        <w:pStyle w:val="66"/>
        <w:snapToGrid w:val="0"/>
        <w:spacing w:line="360" w:lineRule="auto"/>
        <w:ind w:right="-86" w:rightChars="-41" w:firstLine="438" w:firstLineChars="209"/>
        <w:rPr>
          <w:rFonts w:hAnsi="宋体"/>
          <w:highlight w:val="none"/>
        </w:rPr>
      </w:pPr>
      <w:r>
        <w:rPr>
          <w:rFonts w:hint="eastAsia" w:hAnsi="宋体"/>
          <w:highlight w:val="none"/>
        </w:rPr>
        <w:t>（</w:t>
      </w:r>
      <w:r>
        <w:rPr>
          <w:rFonts w:hAnsi="宋体"/>
          <w:highlight w:val="none"/>
        </w:rPr>
        <w:t>3</w:t>
      </w:r>
      <w:r>
        <w:rPr>
          <w:rFonts w:hint="eastAsia" w:hAnsi="宋体"/>
          <w:highlight w:val="none"/>
        </w:rPr>
        <w:t>）电子交易平台发现严重安全漏洞，有潜在泄密危险的；</w:t>
      </w:r>
    </w:p>
    <w:p w14:paraId="0CC25242">
      <w:pPr>
        <w:pStyle w:val="66"/>
        <w:snapToGrid w:val="0"/>
        <w:spacing w:line="360" w:lineRule="auto"/>
        <w:ind w:right="-86" w:rightChars="-41" w:firstLine="438" w:firstLineChars="209"/>
        <w:rPr>
          <w:rFonts w:hAnsi="宋体"/>
          <w:highlight w:val="none"/>
        </w:rPr>
      </w:pPr>
      <w:r>
        <w:rPr>
          <w:rFonts w:hint="eastAsia" w:hAnsi="宋体"/>
          <w:highlight w:val="none"/>
        </w:rPr>
        <w:t>（</w:t>
      </w:r>
      <w:r>
        <w:rPr>
          <w:rFonts w:hAnsi="宋体"/>
          <w:highlight w:val="none"/>
        </w:rPr>
        <w:t>4</w:t>
      </w:r>
      <w:r>
        <w:rPr>
          <w:rFonts w:hint="eastAsia" w:hAnsi="宋体"/>
          <w:highlight w:val="none"/>
        </w:rPr>
        <w:t>）病毒发作导致不能进行正常操作的；</w:t>
      </w:r>
    </w:p>
    <w:p w14:paraId="55FFAF0E">
      <w:pPr>
        <w:pStyle w:val="66"/>
        <w:snapToGrid w:val="0"/>
        <w:spacing w:line="360" w:lineRule="auto"/>
        <w:ind w:right="-86" w:rightChars="-41" w:firstLine="438" w:firstLineChars="209"/>
        <w:rPr>
          <w:rFonts w:hAnsi="宋体"/>
          <w:highlight w:val="none"/>
        </w:rPr>
      </w:pPr>
      <w:r>
        <w:rPr>
          <w:rFonts w:hint="eastAsia" w:hAnsi="宋体"/>
          <w:highlight w:val="none"/>
        </w:rPr>
        <w:t>（</w:t>
      </w:r>
      <w:r>
        <w:rPr>
          <w:rFonts w:hAnsi="宋体"/>
          <w:highlight w:val="none"/>
        </w:rPr>
        <w:t>5</w:t>
      </w:r>
      <w:r>
        <w:rPr>
          <w:rFonts w:hint="eastAsia" w:hAnsi="宋体"/>
          <w:highlight w:val="none"/>
        </w:rPr>
        <w:t>）其他无法保证电子交易的公平、公正和安全的情况。</w:t>
      </w:r>
    </w:p>
    <w:p w14:paraId="7429F41A">
      <w:pPr>
        <w:pStyle w:val="66"/>
        <w:snapToGrid w:val="0"/>
        <w:spacing w:line="360" w:lineRule="auto"/>
        <w:ind w:right="-86" w:rightChars="-41" w:firstLine="438" w:firstLineChars="209"/>
        <w:rPr>
          <w:rFonts w:hAnsi="宋体"/>
          <w:highlight w:val="none"/>
        </w:rPr>
      </w:pPr>
      <w:r>
        <w:rPr>
          <w:rFonts w:hint="eastAsia" w:hAnsi="宋体"/>
          <w:highlight w:val="none"/>
        </w:rPr>
        <w:t>出现前款规定情形，不影响采购公平、公正性的，代理机构可以待上述情形消除后继续组织电子交易活动，也可以决定某些环节以纸质形式进行；影响或可能影响采购公平、公正性的，重新采购。</w:t>
      </w:r>
    </w:p>
    <w:p w14:paraId="2DDE4711">
      <w:pPr>
        <w:pStyle w:val="66"/>
        <w:snapToGrid w:val="0"/>
        <w:spacing w:line="360" w:lineRule="auto"/>
        <w:ind w:right="-86" w:rightChars="-41" w:firstLine="441" w:firstLineChars="209"/>
        <w:rPr>
          <w:rFonts w:ascii="宋体" w:hAnsi="宋体"/>
          <w:b/>
          <w:highlight w:val="none"/>
        </w:rPr>
      </w:pPr>
      <w:r>
        <w:rPr>
          <w:rFonts w:hint="eastAsia" w:ascii="宋体" w:hAnsi="宋体"/>
          <w:b/>
          <w:highlight w:val="none"/>
        </w:rPr>
        <w:t>（九）有效投标文件不足三家时，重新组织招标。</w:t>
      </w:r>
    </w:p>
    <w:p w14:paraId="163F05DA">
      <w:pPr>
        <w:pStyle w:val="66"/>
        <w:spacing w:line="360" w:lineRule="auto"/>
        <w:ind w:right="-86" w:rightChars="-41" w:firstLine="587" w:firstLineChars="209"/>
        <w:contextualSpacing/>
        <w:rPr>
          <w:rFonts w:ascii="Times New Roman" w:hAnsi="Times New Roman" w:cs="Times New Roman"/>
          <w:b/>
          <w:bCs/>
          <w:color w:val="000000" w:themeColor="text1"/>
          <w:sz w:val="28"/>
          <w:szCs w:val="28"/>
          <w:highlight w:val="none"/>
        </w:rPr>
      </w:pPr>
    </w:p>
    <w:p w14:paraId="12A440EC">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highlight w:val="none"/>
        </w:rPr>
      </w:pPr>
      <w:r>
        <w:rPr>
          <w:rFonts w:ascii="Times New Roman" w:hAnsi="Times New Roman" w:eastAsia="宋体" w:cs="Times New Roman"/>
          <w:b/>
          <w:bCs/>
          <w:color w:val="000000" w:themeColor="text1"/>
          <w:highlight w:val="none"/>
        </w:rPr>
        <w:t>四、开标</w:t>
      </w:r>
    </w:p>
    <w:p w14:paraId="46640BAE">
      <w:pPr>
        <w:pStyle w:val="66"/>
        <w:spacing w:line="360" w:lineRule="auto"/>
        <w:ind w:right="-86" w:rightChars="-41" w:firstLine="441" w:firstLineChars="209"/>
        <w:contextualSpacing/>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电子招投标开标及评审程序</w:t>
      </w:r>
    </w:p>
    <w:p w14:paraId="066F3481">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1、采购组织机构按照规定的时间通过政采云系统组织开标、开启响应文件，所有投标人均应当准时在线参加。</w:t>
      </w:r>
    </w:p>
    <w:p w14:paraId="54BC5740">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2、投标截止时间后，投标人登录政采云平台，用“项目采购</w:t>
      </w:r>
      <w:r>
        <w:rPr>
          <w:rFonts w:hint="eastAsia" w:ascii="Times New Roman" w:hAnsi="Times New Roman" w:cs="Times New Roman"/>
          <w:color w:val="000000" w:themeColor="text1"/>
          <w:highlight w:val="none"/>
          <w:lang w:eastAsia="zh-CN"/>
        </w:rPr>
        <w:t>－</w:t>
      </w:r>
      <w:r>
        <w:rPr>
          <w:rFonts w:ascii="Times New Roman" w:hAnsi="Times New Roman" w:cs="Times New Roman"/>
          <w:color w:val="000000" w:themeColor="text1"/>
          <w:highlight w:val="none"/>
        </w:rPr>
        <w:t>开标评标”功能对电子投标文件进行</w:t>
      </w:r>
      <w:r>
        <w:rPr>
          <w:rFonts w:ascii="Times New Roman" w:hAnsi="Times New Roman" w:cs="Times New Roman"/>
          <w:b/>
          <w:bCs/>
          <w:color w:val="000000" w:themeColor="text1"/>
          <w:highlight w:val="none"/>
        </w:rPr>
        <w:t>在线解密。</w:t>
      </w:r>
      <w:r>
        <w:rPr>
          <w:rFonts w:ascii="Times New Roman" w:hAnsi="Times New Roman" w:cs="Times New Roman"/>
          <w:color w:val="000000" w:themeColor="text1"/>
          <w:highlight w:val="none"/>
        </w:rPr>
        <w:t>在线解密电子投标文件时间</w:t>
      </w:r>
      <w:r>
        <w:rPr>
          <w:rFonts w:ascii="Times New Roman" w:hAnsi="Times New Roman" w:cs="Times New Roman"/>
          <w:b/>
          <w:bCs/>
          <w:color w:val="000000" w:themeColor="text1"/>
          <w:highlight w:val="none"/>
        </w:rPr>
        <w:t>为开标时间起半个小时内；</w:t>
      </w:r>
    </w:p>
    <w:p w14:paraId="3FD52888">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3、采购人或代理机构对资格响应文件进行评审，评标委员会对商务技术响应文件进行评审；</w:t>
      </w:r>
    </w:p>
    <w:p w14:paraId="659891F7">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4、在系统上公开报价开标情况；</w:t>
      </w:r>
    </w:p>
    <w:p w14:paraId="1979E0EC">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5、评标委员会对报价情况进行评审；</w:t>
      </w:r>
    </w:p>
    <w:p w14:paraId="3D6641E7">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6、在系统上公布评审结果。</w:t>
      </w:r>
    </w:p>
    <w:p w14:paraId="3D0135DF">
      <w:pPr>
        <w:spacing w:line="360" w:lineRule="auto"/>
        <w:ind w:firstLine="420" w:firstLineChars="200"/>
        <w:contextualSpacing/>
        <w:jc w:val="left"/>
        <w:rPr>
          <w:rFonts w:ascii="Times New Roman" w:hAnsi="Times New Roman" w:cs="Times New Roman"/>
          <w:b/>
          <w:bCs/>
          <w:color w:val="000000" w:themeColor="text1"/>
          <w:sz w:val="28"/>
          <w:szCs w:val="28"/>
          <w:highlight w:val="none"/>
        </w:rPr>
      </w:pPr>
      <w:r>
        <w:rPr>
          <w:rFonts w:ascii="Times New Roman" w:hAnsi="Times New Roman" w:cs="Times New Roman"/>
          <w:color w:val="000000" w:themeColor="text1"/>
          <w:highlight w:val="none"/>
        </w:rPr>
        <w:t>特别说明：政采云公司如对电子化开标及评审程序有调整的，按调整后的程序操作。</w:t>
      </w:r>
    </w:p>
    <w:p w14:paraId="4231A20E">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highlight w:val="none"/>
        </w:rPr>
      </w:pPr>
      <w:r>
        <w:rPr>
          <w:rFonts w:ascii="Times New Roman" w:hAnsi="Times New Roman" w:eastAsia="宋体" w:cs="Times New Roman"/>
          <w:b/>
          <w:bCs/>
          <w:color w:val="000000" w:themeColor="text1"/>
          <w:highlight w:val="none"/>
        </w:rPr>
        <w:t>五、评标</w:t>
      </w:r>
    </w:p>
    <w:p w14:paraId="30895B38">
      <w:pPr>
        <w:pStyle w:val="66"/>
        <w:spacing w:line="360" w:lineRule="auto"/>
        <w:ind w:firstLine="422" w:firstLineChars="200"/>
        <w:contextualSpacing/>
        <w:outlineLvl w:val="1"/>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（一）组建评标委员会</w:t>
      </w:r>
    </w:p>
    <w:p w14:paraId="64EE57BA">
      <w:pPr>
        <w:pStyle w:val="57"/>
        <w:spacing w:beforeLines="0" w:afterLines="0" w:line="360" w:lineRule="auto"/>
        <w:ind w:right="-87" w:firstLine="420" w:firstLineChars="200"/>
        <w:contextualSpacing/>
        <w:rPr>
          <w:rFonts w:ascii="Times New Roman" w:hAnsi="Times New Roman" w:eastAsia="宋体" w:cs="Times New Roman"/>
          <w:color w:val="000000" w:themeColor="text1"/>
          <w:sz w:val="21"/>
          <w:szCs w:val="21"/>
          <w:highlight w:val="none"/>
        </w:rPr>
      </w:pPr>
      <w:r>
        <w:rPr>
          <w:rFonts w:ascii="Times New Roman" w:hAnsi="Times New Roman" w:eastAsia="宋体" w:cs="Times New Roman"/>
          <w:color w:val="000000" w:themeColor="text1"/>
          <w:sz w:val="21"/>
          <w:szCs w:val="21"/>
          <w:highlight w:val="none"/>
        </w:rPr>
        <w:t>本项目评标委员会由</w:t>
      </w:r>
      <w:r>
        <w:rPr>
          <w:rFonts w:ascii="Times New Roman" w:hAnsi="Times New Roman" w:eastAsia="宋体" w:cs="Times New Roman"/>
          <w:color w:val="000000" w:themeColor="text1"/>
          <w:sz w:val="21"/>
          <w:szCs w:val="21"/>
          <w:highlight w:val="none"/>
          <w:u w:val="single"/>
        </w:rPr>
        <w:t>5</w:t>
      </w:r>
      <w:r>
        <w:rPr>
          <w:rFonts w:ascii="Times New Roman" w:hAnsi="Times New Roman" w:eastAsia="宋体" w:cs="Times New Roman"/>
          <w:color w:val="000000" w:themeColor="text1"/>
          <w:sz w:val="21"/>
          <w:szCs w:val="21"/>
          <w:highlight w:val="none"/>
        </w:rPr>
        <w:t>人组成。</w:t>
      </w:r>
    </w:p>
    <w:p w14:paraId="08509CD0">
      <w:pPr>
        <w:pStyle w:val="66"/>
        <w:spacing w:line="360" w:lineRule="auto"/>
        <w:ind w:firstLine="422" w:firstLineChars="200"/>
        <w:contextualSpacing/>
        <w:outlineLvl w:val="1"/>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（二）评标程序</w:t>
      </w:r>
    </w:p>
    <w:p w14:paraId="0736C89C">
      <w:pPr>
        <w:spacing w:line="360" w:lineRule="auto"/>
        <w:ind w:right="-87" w:firstLine="413" w:firstLineChars="196"/>
        <w:contextualSpacing/>
        <w:rPr>
          <w:rFonts w:ascii="Times New Roman" w:hAnsi="Times New Roman" w:cs="Times New Roman"/>
          <w:color w:val="000000" w:themeColor="text1"/>
          <w:highlight w:val="none"/>
        </w:rPr>
      </w:pPr>
      <w:r>
        <w:rPr>
          <w:rFonts w:ascii="Times New Roman" w:hAnsi="Times New Roman" w:cs="Times New Roman"/>
          <w:b/>
          <w:bCs/>
          <w:color w:val="000000" w:themeColor="text1"/>
          <w:highlight w:val="none"/>
        </w:rPr>
        <w:t>1.投标文件初审。</w:t>
      </w:r>
    </w:p>
    <w:p w14:paraId="1465DDE3">
      <w:pPr>
        <w:spacing w:line="360" w:lineRule="auto"/>
        <w:ind w:right="-87" w:firstLine="420" w:firstLineChars="200"/>
        <w:contextualSpacing/>
        <w:rPr>
          <w:rFonts w:ascii="Times New Roman" w:hAnsi="Times New Roman" w:cs="Times New Roman"/>
          <w:b/>
          <w:bCs/>
          <w:color w:val="000000" w:themeColor="text1"/>
          <w:highlight w:val="none"/>
        </w:rPr>
      </w:pPr>
      <w:r>
        <w:rPr>
          <w:rFonts w:ascii="Times New Roman" w:hAnsi="Times New Roman" w:cs="Times New Roman"/>
          <w:color w:val="000000" w:themeColor="text1"/>
          <w:highlight w:val="none"/>
        </w:rPr>
        <w:t>初审分为资格性检查和符合性检查。</w:t>
      </w:r>
    </w:p>
    <w:p w14:paraId="74868B1A">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1.1资格性检查。依据法律法规和采购文件的规定，对投标文件中的资格证明等进行审查，以确定</w:t>
      </w:r>
      <w:r>
        <w:rPr>
          <w:rFonts w:hint="eastAsia" w:ascii="Times New Roman" w:hAnsi="Times New Roman" w:cs="Times New Roman"/>
          <w:color w:val="000000" w:themeColor="text1"/>
          <w:highlight w:val="none"/>
          <w:lang w:eastAsia="zh-CN"/>
        </w:rPr>
        <w:t>投标</w:t>
      </w:r>
      <w:r>
        <w:rPr>
          <w:rFonts w:ascii="Times New Roman" w:hAnsi="Times New Roman" w:cs="Times New Roman"/>
          <w:color w:val="000000" w:themeColor="text1"/>
          <w:highlight w:val="none"/>
        </w:rPr>
        <w:t>人是否具备投标资格。</w:t>
      </w:r>
    </w:p>
    <w:p w14:paraId="431663C4">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1.2符合性检查。依据采购文件的规定，从投标文件的有效性、完整性和对采购文件的响应程度进行审查，以确定是否对采购文件的实质性要求</w:t>
      </w:r>
      <w:r>
        <w:rPr>
          <w:rFonts w:hint="eastAsia" w:ascii="Times New Roman" w:hAnsi="Times New Roman" w:cs="Times New Roman"/>
          <w:color w:val="000000" w:themeColor="text1"/>
          <w:highlight w:val="none"/>
          <w:lang w:eastAsia="zh-CN"/>
        </w:rPr>
        <w:t>作出</w:t>
      </w:r>
      <w:r>
        <w:rPr>
          <w:rFonts w:ascii="Times New Roman" w:hAnsi="Times New Roman" w:cs="Times New Roman"/>
          <w:color w:val="000000" w:themeColor="text1"/>
          <w:highlight w:val="none"/>
        </w:rPr>
        <w:t>响应。</w:t>
      </w:r>
    </w:p>
    <w:p w14:paraId="7551011A">
      <w:pPr>
        <w:spacing w:line="360" w:lineRule="auto"/>
        <w:ind w:right="-87" w:firstLine="413" w:firstLineChars="196"/>
        <w:contextualSpacing/>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2.实质审查</w:t>
      </w:r>
    </w:p>
    <w:p w14:paraId="6CE42D1A">
      <w:pPr>
        <w:spacing w:line="360" w:lineRule="auto"/>
        <w:ind w:firstLine="420" w:firstLineChars="200"/>
        <w:contextualSpacing/>
        <w:rPr>
          <w:rFonts w:ascii="Times New Roman" w:hAnsi="Times New Roman" w:cs="Times New Roman"/>
          <w:color w:val="000000" w:themeColor="text1"/>
          <w:kern w:val="0"/>
          <w:highlight w:val="none"/>
        </w:rPr>
      </w:pPr>
      <w:r>
        <w:rPr>
          <w:rFonts w:ascii="Times New Roman" w:hAnsi="Times New Roman" w:cs="Times New Roman"/>
          <w:color w:val="000000" w:themeColor="text1"/>
          <w:kern w:val="0"/>
          <w:highlight w:val="none"/>
        </w:rPr>
        <w:t>（1）评标委员会审查投标文件的实质性内容是否符合采购文件的实质性要求。</w:t>
      </w:r>
    </w:p>
    <w:p w14:paraId="25EEA04A">
      <w:pPr>
        <w:spacing w:line="360" w:lineRule="auto"/>
        <w:ind w:firstLine="420" w:firstLineChars="200"/>
        <w:contextualSpacing/>
        <w:rPr>
          <w:rFonts w:ascii="Times New Roman" w:hAnsi="Times New Roman" w:cs="Times New Roman"/>
          <w:color w:val="000000" w:themeColor="text1"/>
          <w:kern w:val="0"/>
          <w:highlight w:val="none"/>
        </w:rPr>
      </w:pPr>
      <w:r>
        <w:rPr>
          <w:rFonts w:ascii="Times New Roman" w:hAnsi="Times New Roman" w:cs="Times New Roman"/>
          <w:color w:val="000000" w:themeColor="text1"/>
          <w:kern w:val="0"/>
          <w:highlight w:val="none"/>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9FC2423">
      <w:pPr>
        <w:spacing w:line="360" w:lineRule="auto"/>
        <w:ind w:firstLine="420" w:firstLineChars="200"/>
        <w:contextualSpacing/>
        <w:rPr>
          <w:rFonts w:ascii="Times New Roman" w:hAnsi="Times New Roman" w:cs="Times New Roman"/>
          <w:color w:val="000000" w:themeColor="text1"/>
          <w:kern w:val="0"/>
          <w:highlight w:val="none"/>
        </w:rPr>
      </w:pPr>
      <w:r>
        <w:rPr>
          <w:rFonts w:ascii="Times New Roman" w:hAnsi="Times New Roman" w:cs="Times New Roman"/>
          <w:color w:val="000000" w:themeColor="text1"/>
          <w:kern w:val="0"/>
          <w:highlight w:val="none"/>
        </w:rPr>
        <w:t>（3）评审小组商务、技术方案响应性评定；</w:t>
      </w:r>
    </w:p>
    <w:p w14:paraId="075BE20B">
      <w:pPr>
        <w:spacing w:line="360" w:lineRule="auto"/>
        <w:ind w:firstLine="420" w:firstLineChars="200"/>
        <w:contextualSpacing/>
        <w:rPr>
          <w:rFonts w:ascii="Times New Roman" w:hAnsi="Times New Roman" w:cs="Times New Roman"/>
          <w:color w:val="000000" w:themeColor="text1"/>
          <w:kern w:val="0"/>
          <w:highlight w:val="none"/>
        </w:rPr>
      </w:pPr>
      <w:r>
        <w:rPr>
          <w:rFonts w:ascii="Times New Roman" w:hAnsi="Times New Roman" w:cs="Times New Roman"/>
          <w:color w:val="000000" w:themeColor="text1"/>
          <w:kern w:val="0"/>
          <w:highlight w:val="none"/>
        </w:rPr>
        <w:t>（4）各投标人的技术得分为所有评委的有效评分的算术平均数。</w:t>
      </w:r>
    </w:p>
    <w:p w14:paraId="14E9D6F3">
      <w:pPr>
        <w:spacing w:line="360" w:lineRule="auto"/>
        <w:ind w:firstLine="420" w:firstLineChars="200"/>
        <w:contextualSpacing/>
        <w:rPr>
          <w:rFonts w:ascii="Times New Roman" w:hAnsi="Times New Roman" w:cs="Times New Roman"/>
          <w:b/>
          <w:bCs/>
          <w:color w:val="000000" w:themeColor="text1"/>
          <w:highlight w:val="none"/>
        </w:rPr>
      </w:pPr>
      <w:r>
        <w:rPr>
          <w:rFonts w:ascii="Times New Roman" w:hAnsi="Times New Roman" w:cs="Times New Roman"/>
          <w:color w:val="000000" w:themeColor="text1"/>
          <w:kern w:val="0"/>
          <w:highlight w:val="none"/>
        </w:rPr>
        <w:t>（5）评标委员会完成评标后，系统对各部分得分汇总，计算出本项目综合评估分。评标委员会按</w:t>
      </w:r>
      <w:r>
        <w:rPr>
          <w:rFonts w:ascii="Times New Roman" w:hAnsi="Times New Roman" w:cs="Times New Roman"/>
          <w:color w:val="000000" w:themeColor="text1"/>
          <w:highlight w:val="none"/>
        </w:rPr>
        <w:t>评标原则通过电子系统向采购人及采购代理机构提交评审报告。</w:t>
      </w:r>
    </w:p>
    <w:p w14:paraId="6D0A99BB">
      <w:pPr>
        <w:spacing w:line="360" w:lineRule="auto"/>
        <w:ind w:firstLine="422" w:firstLineChars="200"/>
        <w:contextualSpacing/>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（三）澄清问题的形式</w:t>
      </w:r>
    </w:p>
    <w:p w14:paraId="14CFD6E7">
      <w:pPr>
        <w:spacing w:line="360" w:lineRule="auto"/>
        <w:ind w:right="-87"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38C48A78">
      <w:pPr>
        <w:spacing w:line="360" w:lineRule="auto"/>
        <w:ind w:firstLine="422" w:firstLineChars="200"/>
        <w:contextualSpacing/>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（四）错误修正</w:t>
      </w:r>
    </w:p>
    <w:p w14:paraId="2BEEEB3A">
      <w:pPr>
        <w:pStyle w:val="17"/>
        <w:spacing w:line="360" w:lineRule="auto"/>
        <w:ind w:firstLine="420" w:firstLineChars="200"/>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投标文件如果出现计算或表达上的错误，修正错误的原则如下：</w:t>
      </w:r>
    </w:p>
    <w:p w14:paraId="7EDA69B0">
      <w:pPr>
        <w:pStyle w:val="17"/>
        <w:spacing w:line="360" w:lineRule="auto"/>
        <w:ind w:right="-85" w:firstLine="420" w:firstLineChars="200"/>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（1）投标文件中开标一览表（报价表）内容与投标文件中相应内容不一致的，以开标一览表（报价表）为准；</w:t>
      </w:r>
    </w:p>
    <w:p w14:paraId="1D60D44C">
      <w:pPr>
        <w:pStyle w:val="17"/>
        <w:spacing w:line="360" w:lineRule="auto"/>
        <w:ind w:right="-85" w:firstLine="420" w:firstLineChars="200"/>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（2）大写金额和小写金额不一致的，以大写金额为准；</w:t>
      </w:r>
    </w:p>
    <w:p w14:paraId="4E7B6FA3">
      <w:pPr>
        <w:pStyle w:val="17"/>
        <w:spacing w:line="360" w:lineRule="auto"/>
        <w:ind w:right="-85"/>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（3）单价金额小数点或者百分比有明显错位的，以开标一览表的总价为准，并修改单价；</w:t>
      </w:r>
    </w:p>
    <w:p w14:paraId="32B6A866">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（4）总价金额与按单价汇总金额不一致的，以单价金额计算结果为准。</w:t>
      </w:r>
    </w:p>
    <w:p w14:paraId="476BFB44">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555AA05A">
      <w:pPr>
        <w:pStyle w:val="17"/>
        <w:spacing w:line="360" w:lineRule="auto"/>
        <w:ind w:firstLine="417"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b/>
          <w:bCs/>
          <w:color w:val="000000" w:themeColor="text1"/>
          <w:sz w:val="21"/>
          <w:szCs w:val="21"/>
          <w:highlight w:val="none"/>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302FBB9">
      <w:pPr>
        <w:pStyle w:val="57"/>
        <w:spacing w:beforeLines="0" w:afterLines="0" w:line="360" w:lineRule="auto"/>
        <w:ind w:right="-87" w:firstLine="422" w:firstLineChars="200"/>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（五）评标原则和评标办法</w:t>
      </w:r>
    </w:p>
    <w:p w14:paraId="67EB246C">
      <w:pPr>
        <w:pStyle w:val="17"/>
        <w:spacing w:line="360" w:lineRule="auto"/>
        <w:ind w:firstLine="420" w:firstLineChars="200"/>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07590B9">
      <w:pPr>
        <w:pStyle w:val="17"/>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sz w:val="21"/>
          <w:szCs w:val="21"/>
          <w:highlight w:val="none"/>
        </w:rPr>
        <w:t>2、评标办法。本项目评标办法是</w:t>
      </w:r>
      <w:r>
        <w:rPr>
          <w:rFonts w:ascii="Times New Roman" w:hAnsi="Times New Roman" w:cs="Times New Roman"/>
          <w:color w:val="000000" w:themeColor="text1"/>
          <w:sz w:val="21"/>
          <w:szCs w:val="21"/>
          <w:highlight w:val="none"/>
          <w:u w:val="single"/>
        </w:rPr>
        <w:t>综合评分法</w:t>
      </w:r>
      <w:r>
        <w:rPr>
          <w:rFonts w:ascii="Times New Roman" w:hAnsi="Times New Roman" w:cs="Times New Roman"/>
          <w:color w:val="000000" w:themeColor="text1"/>
          <w:sz w:val="21"/>
          <w:szCs w:val="21"/>
          <w:highlight w:val="none"/>
        </w:rPr>
        <w:t>，具体评标内容及评分标准等详见《第四章：评标办法及评分标准》。</w:t>
      </w:r>
    </w:p>
    <w:p w14:paraId="432A6E33">
      <w:pPr>
        <w:widowControl/>
        <w:spacing w:line="360" w:lineRule="auto"/>
        <w:ind w:right="-87" w:firstLine="422" w:firstLineChars="200"/>
        <w:contextualSpacing/>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（六）评标过程的监控</w:t>
      </w:r>
    </w:p>
    <w:p w14:paraId="559959FB">
      <w:pPr>
        <w:pStyle w:val="57"/>
        <w:spacing w:beforeLines="0" w:afterLines="0" w:line="360" w:lineRule="auto"/>
        <w:ind w:right="-87" w:firstLine="420" w:firstLineChars="200"/>
        <w:contextualSpacing/>
        <w:rPr>
          <w:rFonts w:ascii="Times New Roman" w:hAnsi="Times New Roman" w:eastAsia="宋体" w:cs="Times New Roman"/>
          <w:b/>
          <w:bCs/>
          <w:color w:val="000000" w:themeColor="text1"/>
          <w:sz w:val="28"/>
          <w:szCs w:val="28"/>
          <w:highlight w:val="none"/>
        </w:rPr>
      </w:pPr>
      <w:r>
        <w:rPr>
          <w:rFonts w:ascii="Times New Roman" w:hAnsi="Times New Roman" w:eastAsia="宋体" w:cs="Times New Roman"/>
          <w:color w:val="000000" w:themeColor="text1"/>
          <w:sz w:val="21"/>
          <w:szCs w:val="21"/>
          <w:highlight w:val="none"/>
        </w:rPr>
        <w:t>本项目评标过程实行全程录音、录像监控。</w:t>
      </w:r>
    </w:p>
    <w:p w14:paraId="04889794">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highlight w:val="none"/>
        </w:rPr>
      </w:pPr>
      <w:r>
        <w:rPr>
          <w:rFonts w:ascii="Times New Roman" w:hAnsi="Times New Roman" w:eastAsia="宋体" w:cs="Times New Roman"/>
          <w:b/>
          <w:bCs/>
          <w:color w:val="000000" w:themeColor="text1"/>
          <w:highlight w:val="none"/>
        </w:rPr>
        <w:t>六、定标</w:t>
      </w:r>
    </w:p>
    <w:p w14:paraId="3DB95F5B">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（一）确定中标人。本项目由采购人事先授权评审小组确定中标候选人3名。推荐第一名中标候选人为中标人，经采购人确认后，确定项目中标人，同时发布采购结果公告，发出中标通知书。</w:t>
      </w:r>
    </w:p>
    <w:p w14:paraId="5EE63F24">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1.采购代理机构在评标结束后在2个工作日内将评审报告交采购人确认。</w:t>
      </w:r>
    </w:p>
    <w:p w14:paraId="77ED4419">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2.投标人对评审结果无异议的，采购人应在收到评审报告后5个工作日内对评审结果进行确认。如有投标人对评审结果提出质疑的，采购人可在质疑处理完毕后确定中标人。</w:t>
      </w:r>
    </w:p>
    <w:p w14:paraId="4F5BA001">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3.采购人依法确定中标人后2个工作日内，采购代理机构以书面形式发出《中标通知书》,并同时在相关网站上发布中标公告。</w:t>
      </w:r>
    </w:p>
    <w:p w14:paraId="5AF079A9">
      <w:pPr>
        <w:pStyle w:val="17"/>
        <w:spacing w:line="360" w:lineRule="auto"/>
        <w:ind w:firstLine="415" w:firstLineChars="198"/>
        <w:contextualSpacing/>
        <w:rPr>
          <w:rFonts w:ascii="Times New Roman" w:hAnsi="Times New Roman" w:cs="Times New Roman"/>
          <w:b/>
          <w:bCs/>
          <w:color w:val="000000" w:themeColor="text1"/>
          <w:sz w:val="28"/>
          <w:szCs w:val="28"/>
          <w:highlight w:val="none"/>
        </w:rPr>
      </w:pPr>
      <w:r>
        <w:rPr>
          <w:rFonts w:ascii="Times New Roman" w:hAnsi="Times New Roman" w:cs="Times New Roman"/>
          <w:color w:val="000000" w:themeColor="text1"/>
          <w:sz w:val="21"/>
          <w:szCs w:val="21"/>
          <w:highlight w:val="none"/>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45720B31">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highlight w:val="none"/>
        </w:rPr>
      </w:pPr>
      <w:r>
        <w:rPr>
          <w:rFonts w:ascii="Times New Roman" w:hAnsi="Times New Roman" w:eastAsia="宋体" w:cs="Times New Roman"/>
          <w:b/>
          <w:bCs/>
          <w:color w:val="000000" w:themeColor="text1"/>
          <w:highlight w:val="none"/>
        </w:rPr>
        <w:t>七、合同授予</w:t>
      </w:r>
    </w:p>
    <w:p w14:paraId="797DBB02">
      <w:pPr>
        <w:pStyle w:val="17"/>
        <w:spacing w:line="360" w:lineRule="auto"/>
        <w:ind w:firstLine="417" w:firstLineChars="198"/>
        <w:contextualSpacing/>
        <w:rPr>
          <w:rFonts w:ascii="Times New Roman" w:hAnsi="Times New Roman" w:cs="Times New Roman"/>
          <w:b/>
          <w:bCs/>
          <w:color w:val="000000" w:themeColor="text1"/>
          <w:sz w:val="21"/>
          <w:szCs w:val="21"/>
          <w:highlight w:val="none"/>
        </w:rPr>
      </w:pPr>
      <w:r>
        <w:rPr>
          <w:rFonts w:ascii="Times New Roman" w:hAnsi="Times New Roman" w:cs="Times New Roman"/>
          <w:b/>
          <w:bCs/>
          <w:color w:val="000000" w:themeColor="text1"/>
          <w:sz w:val="21"/>
          <w:szCs w:val="21"/>
          <w:highlight w:val="none"/>
        </w:rPr>
        <w:t>（一）签订合同</w:t>
      </w:r>
    </w:p>
    <w:p w14:paraId="2F01BB94">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1、中标人应自接到中标通知书后30日内与采购人</w:t>
      </w:r>
      <w:r>
        <w:rPr>
          <w:rFonts w:hint="eastAsia" w:ascii="Times New Roman" w:hAnsi="Times New Roman" w:cs="Times New Roman"/>
          <w:color w:val="000000" w:themeColor="text1"/>
          <w:sz w:val="21"/>
          <w:szCs w:val="21"/>
          <w:highlight w:val="none"/>
          <w:lang w:eastAsia="zh-CN"/>
        </w:rPr>
        <w:t>签订合同</w:t>
      </w:r>
      <w:r>
        <w:rPr>
          <w:rFonts w:ascii="Times New Roman" w:hAnsi="Times New Roman" w:cs="Times New Roman"/>
          <w:color w:val="000000" w:themeColor="text1"/>
          <w:sz w:val="21"/>
          <w:szCs w:val="21"/>
          <w:highlight w:val="none"/>
        </w:rPr>
        <w:t>。同时，采购代理机构对合同内容进行审查，如发现与采购结果和投标承诺内容不一致的，应予以纠正。</w:t>
      </w:r>
    </w:p>
    <w:p w14:paraId="52562529">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2、中标人拖延、拒签合同的，将上报监管部门并取消中标资格。</w:t>
      </w:r>
    </w:p>
    <w:p w14:paraId="3D9F7424">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3、中标人和采购人签订合同，按合同规定的服务期限履行合同。</w:t>
      </w:r>
    </w:p>
    <w:p w14:paraId="212E8F61">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5A8100B">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（二）合同公告</w:t>
      </w:r>
    </w:p>
    <w:p w14:paraId="56214ACC">
      <w:pPr>
        <w:pStyle w:val="17"/>
        <w:spacing w:line="360" w:lineRule="auto"/>
        <w:ind w:firstLine="415" w:firstLineChars="198"/>
        <w:contextualSpacing/>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采购人应当自政府采购合同签订之日起2个工作日内，将政府采购合同在省级以上人民政府财政部门指定的媒体上公告，但政府采购合同中涉及国家秘密、商业秘密的内容除外。</w:t>
      </w:r>
    </w:p>
    <w:p w14:paraId="64D3A54A">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highlight w:val="none"/>
        </w:rPr>
      </w:pPr>
      <w:r>
        <w:rPr>
          <w:rFonts w:ascii="Times New Roman" w:hAnsi="Times New Roman" w:eastAsia="宋体" w:cs="Times New Roman"/>
          <w:b/>
          <w:bCs/>
          <w:color w:val="000000" w:themeColor="text1"/>
          <w:highlight w:val="none"/>
        </w:rPr>
        <w:t>八、招标代理费</w:t>
      </w:r>
    </w:p>
    <w:p w14:paraId="1DBF588D">
      <w:pPr>
        <w:pStyle w:val="57"/>
        <w:spacing w:beforeLines="0" w:afterLines="0" w:line="360" w:lineRule="auto"/>
        <w:ind w:firstLine="413" w:firstLineChars="196"/>
        <w:contextualSpacing/>
        <w:rPr>
          <w:rFonts w:ascii="Times New Roman" w:hAnsi="Times New Roman" w:eastAsia="宋体" w:cs="Times New Roman"/>
          <w:b/>
          <w:bCs/>
          <w:color w:val="000000" w:themeColor="text1"/>
          <w:sz w:val="21"/>
          <w:szCs w:val="21"/>
          <w:highlight w:val="none"/>
        </w:rPr>
      </w:pPr>
      <w:r>
        <w:rPr>
          <w:rFonts w:ascii="Times New Roman" w:hAnsi="Times New Roman" w:eastAsia="宋体" w:cs="Times New Roman"/>
          <w:b/>
          <w:bCs/>
          <w:color w:val="000000" w:themeColor="text1"/>
          <w:sz w:val="21"/>
          <w:szCs w:val="21"/>
          <w:highlight w:val="none"/>
        </w:rPr>
        <w:t>（一）招标代理服务费</w:t>
      </w:r>
    </w:p>
    <w:p w14:paraId="3D152EB0">
      <w:pPr>
        <w:spacing w:line="360" w:lineRule="auto"/>
        <w:ind w:firstLine="420" w:firstLineChars="200"/>
        <w:contextualSpacing/>
        <w:rPr>
          <w:rFonts w:ascii="Times New Roman" w:hAnsi="Times New Roman" w:cs="Times New Roman"/>
          <w:b/>
          <w:bCs/>
          <w:color w:val="000000" w:themeColor="text1"/>
          <w:sz w:val="28"/>
          <w:szCs w:val="28"/>
          <w:highlight w:val="none"/>
        </w:rPr>
      </w:pPr>
      <w:r>
        <w:rPr>
          <w:rFonts w:ascii="Times New Roman" w:hAnsi="Times New Roman" w:cs="Times New Roman"/>
          <w:snapToGrid w:val="0"/>
          <w:color w:val="000000" w:themeColor="text1"/>
          <w:kern w:val="0"/>
          <w:highlight w:val="none"/>
        </w:rPr>
        <w:t>本项目的招标代理费由</w:t>
      </w:r>
      <w:r>
        <w:rPr>
          <w:rFonts w:hint="eastAsia" w:ascii="Times New Roman" w:hAnsi="Times New Roman" w:cs="Times New Roman"/>
          <w:b/>
          <w:bCs/>
          <w:snapToGrid w:val="0"/>
          <w:color w:val="000000" w:themeColor="text1"/>
          <w:kern w:val="0"/>
          <w:highlight w:val="none"/>
          <w:lang w:val="en-US" w:eastAsia="zh-CN"/>
        </w:rPr>
        <w:t>中标人</w:t>
      </w:r>
      <w:r>
        <w:rPr>
          <w:rFonts w:ascii="Times New Roman" w:hAnsi="Times New Roman" w:cs="Times New Roman"/>
          <w:snapToGrid w:val="0"/>
          <w:color w:val="000000" w:themeColor="text1"/>
          <w:kern w:val="0"/>
          <w:highlight w:val="none"/>
        </w:rPr>
        <w:t>支付。</w:t>
      </w:r>
      <w:bookmarkStart w:id="6" w:name="_Toc480187579"/>
    </w:p>
    <w:p w14:paraId="58D5944D">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highlight w:val="none"/>
        </w:rPr>
      </w:pPr>
      <w:r>
        <w:rPr>
          <w:rFonts w:ascii="Times New Roman" w:hAnsi="Times New Roman" w:eastAsia="宋体" w:cs="Times New Roman"/>
          <w:b/>
          <w:bCs/>
          <w:color w:val="000000" w:themeColor="text1"/>
          <w:highlight w:val="none"/>
        </w:rPr>
        <w:t>九、政府采购政策</w:t>
      </w:r>
    </w:p>
    <w:bookmarkEnd w:id="6"/>
    <w:p w14:paraId="317FDE46">
      <w:pPr>
        <w:spacing w:line="360" w:lineRule="auto"/>
        <w:ind w:firstLine="420" w:firstLineChars="200"/>
        <w:rPr>
          <w:rFonts w:ascii="宋体" w:hAnsi="宋体" w:cs="宋体"/>
          <w:highlight w:val="none"/>
        </w:rPr>
      </w:pPr>
      <w:r>
        <w:rPr>
          <w:rFonts w:hint="eastAsia" w:ascii="宋体" w:hAnsi="宋体" w:cs="宋体"/>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689659B5">
      <w:pPr>
        <w:spacing w:line="360" w:lineRule="auto"/>
        <w:ind w:firstLine="42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14:paraId="7DBE3894">
      <w:pPr>
        <w:spacing w:line="360" w:lineRule="auto"/>
        <w:ind w:firstLine="420" w:firstLineChars="200"/>
        <w:rPr>
          <w:rFonts w:ascii="宋体" w:hAnsi="宋体" w:cs="宋体"/>
          <w:highlight w:val="none"/>
        </w:rPr>
      </w:pPr>
      <w:r>
        <w:rPr>
          <w:rFonts w:hint="eastAsia" w:ascii="宋体" w:hAnsi="宋体" w:cs="宋体"/>
          <w:highlight w:val="none"/>
        </w:rPr>
        <w:t>1.1在政府采购活动中，投标人提供的货物、工程或者服务符合下列情形的，享受中小企业扶持政策：</w:t>
      </w:r>
    </w:p>
    <w:p w14:paraId="1DB7DD88">
      <w:pPr>
        <w:spacing w:line="360" w:lineRule="auto"/>
        <w:ind w:firstLine="420" w:firstLineChars="200"/>
        <w:rPr>
          <w:rFonts w:ascii="宋体" w:hAnsi="宋体" w:cs="宋体"/>
          <w:highlight w:val="none"/>
        </w:rPr>
      </w:pPr>
      <w:r>
        <w:rPr>
          <w:rFonts w:hint="eastAsia" w:ascii="宋体" w:hAnsi="宋体" w:cs="宋体"/>
          <w:highlight w:val="none"/>
        </w:rPr>
        <w:t>1.1.1在货物采购项目中，货物由中小企业制造，即货物由中小企业生产且使用该中小企业商号或者注册商标；</w:t>
      </w:r>
    </w:p>
    <w:p w14:paraId="593E241A">
      <w:pPr>
        <w:spacing w:line="360" w:lineRule="auto"/>
        <w:ind w:firstLine="420" w:firstLineChars="200"/>
        <w:rPr>
          <w:rFonts w:ascii="宋体" w:hAnsi="宋体" w:cs="宋体"/>
          <w:highlight w:val="none"/>
        </w:rPr>
      </w:pPr>
      <w:r>
        <w:rPr>
          <w:rFonts w:hint="eastAsia" w:ascii="宋体" w:hAnsi="宋体" w:cs="宋体"/>
          <w:highlight w:val="none"/>
        </w:rPr>
        <w:t>1.1.2在工程采购项目中，工程由中小企业承建，即工程施工单位为中小企业；</w:t>
      </w:r>
    </w:p>
    <w:p w14:paraId="49E95B92">
      <w:pPr>
        <w:spacing w:line="360" w:lineRule="auto"/>
        <w:ind w:firstLine="420" w:firstLineChars="200"/>
        <w:rPr>
          <w:rFonts w:ascii="宋体" w:hAnsi="宋体" w:cs="宋体"/>
          <w:highlight w:val="none"/>
        </w:rPr>
      </w:pPr>
      <w:r>
        <w:rPr>
          <w:rFonts w:hint="eastAsia" w:ascii="宋体" w:hAnsi="宋体" w:cs="宋体"/>
          <w:highlight w:val="none"/>
        </w:rPr>
        <w:t>1.1.3在服务采购项目中，服务由中小企业承接，即提供服务的人员为中小企业依照《中华人民共和国劳动合同法》订立劳动合同的从业人员。</w:t>
      </w:r>
    </w:p>
    <w:p w14:paraId="61937008">
      <w:pPr>
        <w:spacing w:line="360" w:lineRule="auto"/>
        <w:ind w:firstLine="420" w:firstLineChars="200"/>
        <w:rPr>
          <w:rFonts w:ascii="宋体" w:hAnsi="宋体" w:cs="宋体"/>
          <w:highlight w:val="none"/>
        </w:rPr>
      </w:pPr>
      <w:r>
        <w:rPr>
          <w:rFonts w:hint="eastAsia" w:ascii="宋体" w:hAnsi="宋体" w:cs="宋体"/>
          <w:highlight w:val="none"/>
        </w:rPr>
        <w:t>在货物采购项目中，投标人提供的货物既有中小企业制造货物，也有大型企业制造货物的，不享受中小企业扶持政策。</w:t>
      </w:r>
    </w:p>
    <w:p w14:paraId="1734D08C">
      <w:pPr>
        <w:spacing w:line="360" w:lineRule="auto"/>
        <w:ind w:firstLine="420" w:firstLineChars="200"/>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56F64ECD">
      <w:pPr>
        <w:spacing w:line="360" w:lineRule="auto"/>
        <w:ind w:firstLine="420" w:firstLineChars="200"/>
        <w:rPr>
          <w:rFonts w:ascii="宋体" w:hAnsi="宋体" w:cs="宋体"/>
          <w:highlight w:val="none"/>
        </w:rPr>
      </w:pPr>
      <w:r>
        <w:rPr>
          <w:rFonts w:hint="eastAsia" w:ascii="宋体" w:hAnsi="宋体" w:cs="宋体"/>
          <w:highlight w:val="none"/>
        </w:rPr>
        <w:t>1.2对于未预留份额专门面向中小企业的政府采购货物或服务项目，以及预留份额政府采购货物或服务项目中的非预留部分标项，对小型和微型企业的投标报价给予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B0F0"/>
          <w:highlight w:val="none"/>
        </w:rPr>
        <w:t>10%</w:t>
      </w:r>
      <w:r>
        <w:rPr>
          <w:rFonts w:hint="eastAsia" w:ascii="宋体" w:hAnsi="宋体" w:cs="宋体"/>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B0F0"/>
          <w:highlight w:val="none"/>
        </w:rPr>
        <w:t>6%</w:t>
      </w:r>
      <w:r>
        <w:rPr>
          <w:rFonts w:hint="eastAsia" w:ascii="宋体" w:hAnsi="宋体" w:cs="宋体"/>
          <w:highlight w:val="none"/>
        </w:rPr>
        <w:t>的扣除，用扣除后的价格参加评审。组成联合体或者接受分包的小微企业与联合体内其他企业、分包企业之间存在直接控股、管理关系的，不享受价格扣除优惠政策。</w:t>
      </w:r>
    </w:p>
    <w:p w14:paraId="27A232EB">
      <w:pPr>
        <w:spacing w:line="360" w:lineRule="auto"/>
        <w:ind w:firstLine="420" w:firstLineChars="200"/>
        <w:rPr>
          <w:rFonts w:ascii="宋体" w:hAnsi="宋体" w:cs="宋体"/>
          <w:highlight w:val="none"/>
        </w:rPr>
      </w:pPr>
      <w:r>
        <w:rPr>
          <w:rFonts w:hint="eastAsia" w:ascii="宋体" w:hAnsi="宋体" w:cs="宋体"/>
          <w:highlight w:val="none"/>
        </w:rPr>
        <w:t>1.3符合《关于促进残疾人就业政府采购政策的通知》（财库〔2017〕141号）规定的条件并提供《残疾人福利性单位声明函》的残疾人福利性单位视同小型、微型企业；</w:t>
      </w:r>
    </w:p>
    <w:p w14:paraId="487F408E">
      <w:pPr>
        <w:spacing w:line="360" w:lineRule="auto"/>
        <w:ind w:firstLine="420" w:firstLineChars="200"/>
        <w:rPr>
          <w:rFonts w:ascii="宋体" w:hAnsi="宋体" w:cs="宋体"/>
          <w:highlight w:val="none"/>
        </w:rPr>
      </w:pPr>
      <w:r>
        <w:rPr>
          <w:rFonts w:hint="eastAsia" w:ascii="宋体" w:hAnsi="宋体" w:cs="宋体"/>
          <w:highlight w:val="none"/>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3956CCB6">
      <w:pPr>
        <w:spacing w:line="360" w:lineRule="auto"/>
        <w:ind w:firstLine="420" w:firstLineChars="200"/>
        <w:rPr>
          <w:rFonts w:ascii="宋体" w:hAnsi="宋体" w:cs="宋体"/>
          <w:highlight w:val="none"/>
        </w:rPr>
      </w:pPr>
      <w:r>
        <w:rPr>
          <w:rFonts w:hint="eastAsia" w:ascii="宋体" w:hAnsi="宋体" w:cs="宋体"/>
          <w:highlight w:val="none"/>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BA043F">
      <w:pPr>
        <w:spacing w:line="360" w:lineRule="auto"/>
        <w:ind w:firstLine="420" w:firstLineChars="200"/>
        <w:rPr>
          <w:rFonts w:ascii="宋体" w:hAnsi="宋体" w:cs="宋体"/>
          <w:highlight w:val="none"/>
        </w:rPr>
      </w:pPr>
      <w:r>
        <w:rPr>
          <w:rFonts w:hint="eastAsia" w:ascii="宋体" w:hAnsi="宋体" w:cs="宋体"/>
          <w:highlight w:val="none"/>
        </w:rPr>
        <w:t>1.6中小企业享受扶持政策获得政府采购合同的，小微企业不得将合同分包给大中型企业，中型企业不得将合同分包给大型企业。</w:t>
      </w:r>
    </w:p>
    <w:p w14:paraId="78C6C19A">
      <w:pPr>
        <w:spacing w:line="360" w:lineRule="auto"/>
        <w:ind w:firstLine="210" w:firstLineChars="100"/>
        <w:contextualSpacing/>
        <w:rPr>
          <w:rFonts w:hAnsi="宋体" w:cs="宋体"/>
          <w:b/>
          <w:spacing w:val="-4"/>
          <w:sz w:val="28"/>
          <w:szCs w:val="28"/>
          <w:highlight w:val="none"/>
        </w:rPr>
      </w:pPr>
      <w:r>
        <w:rPr>
          <w:rFonts w:hint="eastAsia" w:ascii="Times New Roman" w:hAnsi="Times New Roman"/>
          <w:highlight w:val="none"/>
        </w:rPr>
        <w:t>2</w:t>
      </w:r>
      <w:r>
        <w:rPr>
          <w:rFonts w:ascii="Times New Roman" w:hAnsi="Times New Roman"/>
          <w:highlight w:val="none"/>
        </w:rPr>
        <w:t>、信贷政策</w:t>
      </w:r>
    </w:p>
    <w:p w14:paraId="2F54E923">
      <w:pPr>
        <w:spacing w:line="360" w:lineRule="auto"/>
        <w:ind w:firstLine="420" w:firstLineChars="200"/>
        <w:rPr>
          <w:rFonts w:ascii="Times New Roman" w:hAnsi="Times New Roman"/>
          <w:highlight w:val="none"/>
        </w:rPr>
      </w:pPr>
      <w:r>
        <w:rPr>
          <w:rFonts w:hint="eastAsia" w:ascii="Times New Roman" w:hAnsi="Times New Roman"/>
          <w:highlight w:val="none"/>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66"/>
        <w:gridCol w:w="1529"/>
        <w:gridCol w:w="1908"/>
      </w:tblGrid>
      <w:tr w14:paraId="59DC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ign w:val="center"/>
          </w:tcPr>
          <w:p w14:paraId="0D8ECECD">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舟山市政府采购信用融资合作银行</w:t>
            </w:r>
          </w:p>
        </w:tc>
      </w:tr>
      <w:tr w14:paraId="5852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ign w:val="center"/>
          </w:tcPr>
          <w:p w14:paraId="0F033A55">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银行名称</w:t>
            </w:r>
          </w:p>
        </w:tc>
        <w:tc>
          <w:tcPr>
            <w:tcW w:w="4666" w:type="dxa"/>
            <w:noWrap/>
            <w:vAlign w:val="center"/>
          </w:tcPr>
          <w:p w14:paraId="4C8F52DE">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各银行介绍的产品特点</w:t>
            </w:r>
          </w:p>
        </w:tc>
        <w:tc>
          <w:tcPr>
            <w:tcW w:w="1529" w:type="dxa"/>
            <w:noWrap/>
            <w:vAlign w:val="center"/>
          </w:tcPr>
          <w:p w14:paraId="2FDFBA6A">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经办人</w:t>
            </w:r>
          </w:p>
        </w:tc>
        <w:tc>
          <w:tcPr>
            <w:tcW w:w="1908" w:type="dxa"/>
            <w:noWrap/>
            <w:vAlign w:val="center"/>
          </w:tcPr>
          <w:p w14:paraId="6B5E2E4B">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联系方式</w:t>
            </w:r>
          </w:p>
        </w:tc>
      </w:tr>
      <w:tr w14:paraId="757A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1190710D">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中国工商银行股份有限公司舟山分行</w:t>
            </w:r>
          </w:p>
        </w:tc>
        <w:tc>
          <w:tcPr>
            <w:tcW w:w="4666" w:type="dxa"/>
            <w:noWrap/>
          </w:tcPr>
          <w:p w14:paraId="4551033C">
            <w:pPr>
              <w:numPr>
                <w:ilvl w:val="0"/>
                <w:numId w:val="9"/>
              </w:numPr>
              <w:spacing w:line="400" w:lineRule="exact"/>
              <w:contextualSpacing/>
              <w:rPr>
                <w:rFonts w:ascii="仿宋_GB2312" w:hAnsi="仿宋_GB2312" w:eastAsia="仿宋_GB2312" w:cs="仿宋_GB2312"/>
                <w:color w:val="000000" w:themeColor="text1"/>
                <w:sz w:val="22"/>
                <w:szCs w:val="22"/>
                <w:highlight w:val="none"/>
              </w:rPr>
            </w:pPr>
            <w:r>
              <w:rPr>
                <w:rFonts w:hint="eastAsia" w:ascii="仿宋_GB2312" w:hAnsi="仿宋_GB2312" w:eastAsia="仿宋_GB2312" w:cs="仿宋_GB2312"/>
                <w:color w:val="000000" w:themeColor="text1"/>
                <w:sz w:val="22"/>
                <w:szCs w:val="22"/>
                <w:highlight w:val="none"/>
              </w:rPr>
              <w:t>融资额度高，融资金额最高可至订单金额70%，线上申请，随借随还。2.融资利率低，最低可至当期LPR利率。</w:t>
            </w:r>
          </w:p>
          <w:p w14:paraId="11CC11A4">
            <w:pPr>
              <w:spacing w:line="400" w:lineRule="exact"/>
              <w:contextualSpacing/>
              <w:rPr>
                <w:rFonts w:ascii="仿宋_GB2312" w:eastAsia="仿宋_GB2312"/>
                <w:color w:val="000000" w:themeColor="text1"/>
                <w:sz w:val="22"/>
                <w:szCs w:val="22"/>
                <w:highlight w:val="none"/>
              </w:rPr>
            </w:pPr>
            <w:r>
              <w:rPr>
                <w:rFonts w:hint="eastAsia" w:ascii="仿宋_GB2312" w:hAnsi="仿宋_GB2312" w:eastAsia="仿宋_GB2312" w:cs="仿宋_GB2312"/>
                <w:color w:val="000000" w:themeColor="text1"/>
                <w:sz w:val="22"/>
                <w:szCs w:val="22"/>
                <w:highlight w:val="none"/>
              </w:rPr>
              <w:t>3.担保方式灵活，以政府采购合同进行融资，无需另外抵押。</w:t>
            </w:r>
          </w:p>
        </w:tc>
        <w:tc>
          <w:tcPr>
            <w:tcW w:w="1529" w:type="dxa"/>
            <w:noWrap/>
            <w:vAlign w:val="center"/>
          </w:tcPr>
          <w:p w14:paraId="1B3B951A">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柳超颖</w:t>
            </w:r>
          </w:p>
        </w:tc>
        <w:tc>
          <w:tcPr>
            <w:tcW w:w="1908" w:type="dxa"/>
            <w:noWrap/>
            <w:vAlign w:val="center"/>
          </w:tcPr>
          <w:p w14:paraId="620C6075">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0580-2166242, 15858076468</w:t>
            </w:r>
          </w:p>
        </w:tc>
      </w:tr>
      <w:tr w14:paraId="3D8E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ign w:val="center"/>
          </w:tcPr>
          <w:p w14:paraId="1626265A">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中国建设银行股份有限公司舟山分行</w:t>
            </w:r>
          </w:p>
        </w:tc>
        <w:tc>
          <w:tcPr>
            <w:tcW w:w="4666" w:type="dxa"/>
            <w:noWrap/>
          </w:tcPr>
          <w:p w14:paraId="70641E5C">
            <w:pPr>
              <w:numPr>
                <w:ilvl w:val="0"/>
                <w:numId w:val="10"/>
              </w:num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快速便捷：全流程线上操作，通过浙江省政府采购网数据审核信用额度，建行供应链平台快速放款。</w:t>
            </w:r>
          </w:p>
          <w:p w14:paraId="5AE6E212">
            <w:pPr>
              <w:numPr>
                <w:ilvl w:val="0"/>
                <w:numId w:val="10"/>
              </w:num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申请额度高：单笔融资额度最高可达政府采购合同金额的90%，单户额度最高可达3000万。</w:t>
            </w:r>
          </w:p>
          <w:p w14:paraId="0E8080FB">
            <w:pPr>
              <w:numPr>
                <w:ilvl w:val="0"/>
                <w:numId w:val="10"/>
              </w:num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无需额外抵押：以浙江省政府采购网备案公示的政府采购合同进行融资，无需额外抵押担保。</w:t>
            </w:r>
          </w:p>
          <w:p w14:paraId="6B7D1E57">
            <w:pPr>
              <w:numPr>
                <w:ilvl w:val="0"/>
                <w:numId w:val="10"/>
              </w:num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利率优惠：给予流动资金贷款最优惠利率。</w:t>
            </w:r>
          </w:p>
        </w:tc>
        <w:tc>
          <w:tcPr>
            <w:tcW w:w="1529" w:type="dxa"/>
            <w:noWrap/>
            <w:vAlign w:val="center"/>
          </w:tcPr>
          <w:p w14:paraId="538D18F9">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普陀片区：蔡妮妮</w:t>
            </w:r>
          </w:p>
          <w:p w14:paraId="488A978D">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定海片区：杨莹</w:t>
            </w:r>
          </w:p>
          <w:p w14:paraId="5F662833">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自贸区片区：方晓</w:t>
            </w:r>
          </w:p>
        </w:tc>
        <w:tc>
          <w:tcPr>
            <w:tcW w:w="1908" w:type="dxa"/>
            <w:noWrap/>
            <w:vAlign w:val="center"/>
          </w:tcPr>
          <w:p w14:paraId="6B921ECC">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普陀片区：13957201791</w:t>
            </w:r>
          </w:p>
          <w:p w14:paraId="7FBB8EE6">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定海片区：13655803997</w:t>
            </w:r>
          </w:p>
          <w:p w14:paraId="0A100897">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自贸区片区：13587086324</w:t>
            </w:r>
          </w:p>
        </w:tc>
      </w:tr>
      <w:tr w14:paraId="23BA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3D4DC4F5">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杭州银行股份有限公司舟山市分行</w:t>
            </w:r>
          </w:p>
        </w:tc>
        <w:tc>
          <w:tcPr>
            <w:tcW w:w="4666" w:type="dxa"/>
            <w:noWrap/>
          </w:tcPr>
          <w:p w14:paraId="26B29510">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29" w:type="dxa"/>
            <w:noWrap/>
            <w:vAlign w:val="center"/>
          </w:tcPr>
          <w:p w14:paraId="13AA8B97">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方经理</w:t>
            </w:r>
          </w:p>
        </w:tc>
        <w:tc>
          <w:tcPr>
            <w:tcW w:w="1908" w:type="dxa"/>
            <w:noWrap/>
            <w:vAlign w:val="center"/>
          </w:tcPr>
          <w:p w14:paraId="4A389AAC">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0580-2185201，18205800451</w:t>
            </w:r>
          </w:p>
        </w:tc>
      </w:tr>
      <w:tr w14:paraId="096D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78722133">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招商银行股份有限公司浙江自贸试验区舟山分行</w:t>
            </w:r>
          </w:p>
        </w:tc>
        <w:tc>
          <w:tcPr>
            <w:tcW w:w="4666" w:type="dxa"/>
            <w:noWrap/>
          </w:tcPr>
          <w:p w14:paraId="3955B039">
            <w:pPr>
              <w:spacing w:line="400" w:lineRule="exact"/>
              <w:rPr>
                <w:sz w:val="20"/>
                <w:szCs w:val="22"/>
                <w:highlight w:val="none"/>
              </w:rPr>
            </w:pPr>
            <w:r>
              <w:rPr>
                <w:rFonts w:hint="eastAsia" w:ascii="仿宋_GB2312" w:hAnsi="仿宋_GB2312" w:eastAsia="仿宋_GB2312" w:cs="仿宋_GB2312"/>
                <w:sz w:val="22"/>
                <w:szCs w:val="22"/>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529" w:type="dxa"/>
            <w:noWrap/>
            <w:vAlign w:val="center"/>
          </w:tcPr>
          <w:p w14:paraId="79DE77D0">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李玲</w:t>
            </w:r>
          </w:p>
        </w:tc>
        <w:tc>
          <w:tcPr>
            <w:tcW w:w="1908" w:type="dxa"/>
            <w:noWrap/>
            <w:vAlign w:val="center"/>
          </w:tcPr>
          <w:p w14:paraId="22736645">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0580-2061710，13957227971</w:t>
            </w:r>
          </w:p>
        </w:tc>
      </w:tr>
      <w:tr w14:paraId="2B26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ign w:val="center"/>
          </w:tcPr>
          <w:p w14:paraId="7418F581">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温州银行股份有限公司舟山市分行</w:t>
            </w:r>
          </w:p>
        </w:tc>
        <w:tc>
          <w:tcPr>
            <w:tcW w:w="4666" w:type="dxa"/>
            <w:noWrap/>
          </w:tcPr>
          <w:p w14:paraId="2DD847AA">
            <w:pPr>
              <w:numPr>
                <w:ilvl w:val="0"/>
                <w:numId w:val="11"/>
              </w:num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单户授信敞口最高不超过1000万元，且最高额度核定一般不超过借款人（含实际控制人控制的其他经营实体）最近13个月合计有效中标合同金额的70%。</w:t>
            </w:r>
          </w:p>
          <w:p w14:paraId="132975B0">
            <w:pPr>
              <w:numPr>
                <w:ilvl w:val="0"/>
                <w:numId w:val="11"/>
              </w:num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2E7098D4">
            <w:pPr>
              <w:numPr>
                <w:ilvl w:val="0"/>
                <w:numId w:val="11"/>
              </w:num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借款人中标采购人自行采购项目并向我行发起授信申请的，单笔业务授信敞口不超500万元，且不超过借款人中标通知书承载的中标金额或本次申请授信提供的采购合同的80%。</w:t>
            </w:r>
          </w:p>
          <w:p w14:paraId="4EBEE941">
            <w:pPr>
              <w:numPr>
                <w:ilvl w:val="0"/>
                <w:numId w:val="11"/>
              </w:num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符合我行采购人资质的，且负债率不超75%，配合应收账款质押登记确认的，并可出具确认函，单笔借款额度可按不超过采购合同的90%办理。</w:t>
            </w:r>
          </w:p>
        </w:tc>
        <w:tc>
          <w:tcPr>
            <w:tcW w:w="1529" w:type="dxa"/>
            <w:noWrap/>
            <w:vAlign w:val="center"/>
          </w:tcPr>
          <w:p w14:paraId="7ECF2A44">
            <w:pPr>
              <w:spacing w:line="400" w:lineRule="exact"/>
              <w:contextualSpacing/>
              <w:jc w:val="center"/>
              <w:rPr>
                <w:rFonts w:ascii="仿宋_GB2312" w:hAnsi="Times New Roman" w:eastAsia="仿宋_GB2312" w:cs="Times New Roman"/>
                <w:color w:val="000000" w:themeColor="text1"/>
                <w:sz w:val="22"/>
                <w:szCs w:val="22"/>
                <w:highlight w:val="none"/>
              </w:rPr>
            </w:pPr>
            <w:r>
              <w:rPr>
                <w:rFonts w:hint="eastAsia" w:ascii="仿宋_GB2312" w:eastAsia="仿宋_GB2312"/>
                <w:color w:val="000000" w:themeColor="text1"/>
                <w:sz w:val="22"/>
                <w:szCs w:val="22"/>
                <w:highlight w:val="none"/>
              </w:rPr>
              <w:t>郑贤栋</w:t>
            </w:r>
          </w:p>
        </w:tc>
        <w:tc>
          <w:tcPr>
            <w:tcW w:w="1908" w:type="dxa"/>
            <w:noWrap/>
            <w:vAlign w:val="center"/>
          </w:tcPr>
          <w:p w14:paraId="28D76ECF">
            <w:pPr>
              <w:spacing w:line="400" w:lineRule="exact"/>
              <w:contextualSpacing/>
              <w:rPr>
                <w:rFonts w:ascii="仿宋_GB2312" w:hAnsi="Times New Roman" w:eastAsia="仿宋_GB2312" w:cs="Times New Roman"/>
                <w:color w:val="000000" w:themeColor="text1"/>
                <w:sz w:val="22"/>
                <w:szCs w:val="22"/>
                <w:highlight w:val="none"/>
              </w:rPr>
            </w:pPr>
            <w:r>
              <w:rPr>
                <w:rFonts w:hint="eastAsia" w:ascii="仿宋_GB2312" w:eastAsia="仿宋_GB2312"/>
                <w:color w:val="000000" w:themeColor="text1"/>
                <w:sz w:val="22"/>
                <w:szCs w:val="22"/>
                <w:highlight w:val="none"/>
              </w:rPr>
              <w:t>058—8866086</w:t>
            </w:r>
          </w:p>
        </w:tc>
      </w:tr>
      <w:tr w14:paraId="5F44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708BD8F9">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交通银行股份有限公司舟山分行</w:t>
            </w:r>
          </w:p>
        </w:tc>
        <w:tc>
          <w:tcPr>
            <w:tcW w:w="4666" w:type="dxa"/>
            <w:noWrap/>
          </w:tcPr>
          <w:p w14:paraId="1FF6D28C">
            <w:pPr>
              <w:spacing w:line="400" w:lineRule="exact"/>
              <w:contextualSpacing/>
              <w:rPr>
                <w:rFonts w:ascii="仿宋_GB2312" w:eastAsia="仿宋_GB2312"/>
                <w:color w:val="000000" w:themeColor="text1"/>
                <w:sz w:val="22"/>
                <w:szCs w:val="22"/>
                <w:highlight w:val="none"/>
              </w:rPr>
            </w:pPr>
            <w:r>
              <w:rPr>
                <w:rFonts w:hint="eastAsia" w:ascii="仿宋_GB2312" w:hAnsi="仿宋_GB2312" w:eastAsia="仿宋_GB2312" w:cs="仿宋_GB2312"/>
                <w:sz w:val="22"/>
                <w:szCs w:val="22"/>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sz w:val="20"/>
                <w:szCs w:val="22"/>
                <w:highlight w:val="none"/>
              </w:rPr>
              <w:t>PR</w:t>
            </w:r>
            <w:r>
              <w:rPr>
                <w:sz w:val="20"/>
                <w:szCs w:val="22"/>
                <w:highlight w:val="none"/>
              </w:rPr>
              <w:t>。</w:t>
            </w:r>
          </w:p>
        </w:tc>
        <w:tc>
          <w:tcPr>
            <w:tcW w:w="1529" w:type="dxa"/>
            <w:noWrap/>
            <w:vAlign w:val="center"/>
          </w:tcPr>
          <w:p w14:paraId="1CB747A9">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赵争艳</w:t>
            </w:r>
          </w:p>
        </w:tc>
        <w:tc>
          <w:tcPr>
            <w:tcW w:w="1908" w:type="dxa"/>
            <w:noWrap/>
            <w:vAlign w:val="center"/>
          </w:tcPr>
          <w:p w14:paraId="3F1EEA66">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0580-2260728</w:t>
            </w:r>
          </w:p>
          <w:p w14:paraId="2C0E5A3D">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13758007280</w:t>
            </w:r>
          </w:p>
        </w:tc>
      </w:tr>
      <w:tr w14:paraId="0733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52495E3B">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中信银行股份有限公司舟山分行</w:t>
            </w:r>
          </w:p>
        </w:tc>
        <w:tc>
          <w:tcPr>
            <w:tcW w:w="4666" w:type="dxa"/>
            <w:noWrap/>
          </w:tcPr>
          <w:p w14:paraId="33B95B72">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529" w:type="dxa"/>
            <w:noWrap/>
            <w:vAlign w:val="center"/>
          </w:tcPr>
          <w:p w14:paraId="3013D679">
            <w:pPr>
              <w:spacing w:line="400" w:lineRule="exact"/>
              <w:contextualSpacing/>
              <w:jc w:val="center"/>
              <w:rPr>
                <w:rFonts w:ascii="仿宋_GB2312" w:hAnsi="Times New Roman" w:eastAsia="仿宋_GB2312" w:cs="Times New Roman"/>
                <w:color w:val="000000" w:themeColor="text1"/>
                <w:sz w:val="22"/>
                <w:szCs w:val="22"/>
                <w:highlight w:val="none"/>
              </w:rPr>
            </w:pPr>
            <w:r>
              <w:rPr>
                <w:rFonts w:ascii="仿宋_GB2312" w:eastAsia="仿宋_GB2312"/>
                <w:color w:val="000000" w:themeColor="text1"/>
                <w:sz w:val="22"/>
                <w:szCs w:val="22"/>
                <w:highlight w:val="none"/>
              </w:rPr>
              <w:t>黄丽</w:t>
            </w:r>
          </w:p>
        </w:tc>
        <w:tc>
          <w:tcPr>
            <w:tcW w:w="1908" w:type="dxa"/>
            <w:noWrap/>
            <w:vAlign w:val="center"/>
          </w:tcPr>
          <w:p w14:paraId="7A8C4920">
            <w:pPr>
              <w:spacing w:line="400" w:lineRule="exact"/>
              <w:contextualSpacing/>
              <w:rPr>
                <w:rFonts w:ascii="仿宋_GB2312" w:hAnsi="Times New Roman" w:eastAsia="仿宋_GB2312" w:cs="Times New Roman"/>
                <w:color w:val="000000" w:themeColor="text1"/>
                <w:sz w:val="22"/>
                <w:szCs w:val="22"/>
                <w:highlight w:val="none"/>
              </w:rPr>
            </w:pPr>
            <w:r>
              <w:rPr>
                <w:rFonts w:ascii="仿宋_GB2312" w:eastAsia="仿宋_GB2312"/>
                <w:color w:val="000000" w:themeColor="text1"/>
                <w:sz w:val="22"/>
                <w:szCs w:val="22"/>
                <w:highlight w:val="none"/>
              </w:rPr>
              <w:t>13905808032</w:t>
            </w:r>
          </w:p>
        </w:tc>
      </w:tr>
      <w:tr w14:paraId="76DB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47715DA9">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泰隆银行舟山市分行</w:t>
            </w:r>
          </w:p>
        </w:tc>
        <w:tc>
          <w:tcPr>
            <w:tcW w:w="4666" w:type="dxa"/>
            <w:noWrap/>
          </w:tcPr>
          <w:p w14:paraId="0D3C4226">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529" w:type="dxa"/>
            <w:noWrap/>
            <w:vAlign w:val="center"/>
          </w:tcPr>
          <w:p w14:paraId="282868FF">
            <w:pPr>
              <w:spacing w:line="400" w:lineRule="exact"/>
              <w:contextualSpacing/>
              <w:jc w:val="center"/>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胡亢宇</w:t>
            </w:r>
          </w:p>
        </w:tc>
        <w:tc>
          <w:tcPr>
            <w:tcW w:w="1908" w:type="dxa"/>
            <w:noWrap/>
            <w:vAlign w:val="center"/>
          </w:tcPr>
          <w:p w14:paraId="1330F1FB">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17605868703</w:t>
            </w:r>
          </w:p>
        </w:tc>
      </w:tr>
      <w:tr w14:paraId="5BD6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36A7A92">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中国农业银行股份有限公司舟山分行</w:t>
            </w:r>
          </w:p>
        </w:tc>
        <w:tc>
          <w:tcPr>
            <w:tcW w:w="4666" w:type="dxa"/>
            <w:noWrap/>
          </w:tcPr>
          <w:p w14:paraId="06359D96">
            <w:pPr>
              <w:spacing w:line="400" w:lineRule="exact"/>
              <w:contextualSpacing/>
              <w:rPr>
                <w:rFonts w:ascii="仿宋_GB2312" w:hAnsi="Times New Roman" w:eastAsia="仿宋_GB2312" w:cs="Times New Roman"/>
                <w:color w:val="000000" w:themeColor="text1"/>
                <w:sz w:val="22"/>
                <w:szCs w:val="22"/>
                <w:highlight w:val="none"/>
              </w:rPr>
            </w:pPr>
            <w:r>
              <w:rPr>
                <w:rFonts w:hint="eastAsia" w:ascii="仿宋_GB2312" w:eastAsia="仿宋_GB2312"/>
                <w:color w:val="000000" w:themeColor="text1"/>
                <w:sz w:val="22"/>
                <w:szCs w:val="22"/>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529" w:type="dxa"/>
            <w:noWrap/>
            <w:vAlign w:val="center"/>
          </w:tcPr>
          <w:p w14:paraId="0AEA2A2B">
            <w:pPr>
              <w:spacing w:line="400" w:lineRule="exact"/>
              <w:contextualSpacing/>
              <w:jc w:val="center"/>
              <w:rPr>
                <w:rFonts w:ascii="仿宋_GB2312" w:hAnsi="Times New Roman" w:eastAsia="仿宋_GB2312" w:cs="Times New Roman"/>
                <w:color w:val="000000" w:themeColor="text1"/>
                <w:sz w:val="22"/>
                <w:szCs w:val="22"/>
                <w:highlight w:val="none"/>
              </w:rPr>
            </w:pPr>
            <w:r>
              <w:rPr>
                <w:rFonts w:hint="eastAsia" w:ascii="仿宋_GB2312" w:eastAsia="仿宋_GB2312"/>
                <w:color w:val="000000" w:themeColor="text1"/>
                <w:sz w:val="22"/>
                <w:szCs w:val="22"/>
                <w:highlight w:val="none"/>
              </w:rPr>
              <w:t>苏华瞻</w:t>
            </w:r>
          </w:p>
        </w:tc>
        <w:tc>
          <w:tcPr>
            <w:tcW w:w="1908" w:type="dxa"/>
            <w:noWrap/>
            <w:vAlign w:val="center"/>
          </w:tcPr>
          <w:p w14:paraId="6B857402">
            <w:pPr>
              <w:spacing w:line="400" w:lineRule="exact"/>
              <w:contextualSpacing/>
              <w:jc w:val="center"/>
              <w:rPr>
                <w:rFonts w:ascii="仿宋_GB2312" w:hAnsi="Times New Roman" w:eastAsia="仿宋_GB2312" w:cs="Times New Roman"/>
                <w:color w:val="000000" w:themeColor="text1"/>
                <w:sz w:val="22"/>
                <w:szCs w:val="22"/>
                <w:highlight w:val="none"/>
              </w:rPr>
            </w:pPr>
            <w:r>
              <w:rPr>
                <w:rFonts w:hint="eastAsia" w:ascii="仿宋_GB2312" w:eastAsia="仿宋_GB2312"/>
                <w:color w:val="000000" w:themeColor="text1"/>
                <w:sz w:val="22"/>
                <w:szCs w:val="22"/>
                <w:highlight w:val="none"/>
              </w:rPr>
              <w:t>13967228926</w:t>
            </w:r>
          </w:p>
        </w:tc>
      </w:tr>
      <w:tr w14:paraId="2EF0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7EC560B3">
            <w:pPr>
              <w:spacing w:line="400" w:lineRule="exact"/>
              <w:contextualSpacing/>
              <w:rPr>
                <w:rFonts w:ascii="仿宋_GB2312" w:eastAsia="仿宋_GB2312"/>
                <w:color w:val="000000" w:themeColor="text1"/>
                <w:sz w:val="22"/>
                <w:szCs w:val="22"/>
                <w:highlight w:val="none"/>
              </w:rPr>
            </w:pPr>
            <w:r>
              <w:rPr>
                <w:rFonts w:hint="eastAsia" w:ascii="仿宋_GB2312" w:eastAsia="仿宋_GB2312"/>
                <w:color w:val="000000" w:themeColor="text1"/>
                <w:sz w:val="22"/>
                <w:szCs w:val="22"/>
                <w:highlight w:val="none"/>
              </w:rPr>
              <w:t>中国邮政储蓄银行股份有限公司舟山市分行</w:t>
            </w:r>
          </w:p>
        </w:tc>
        <w:tc>
          <w:tcPr>
            <w:tcW w:w="4666" w:type="dxa"/>
            <w:noWrap/>
          </w:tcPr>
          <w:p w14:paraId="0F78E9B2">
            <w:pPr>
              <w:tabs>
                <w:tab w:val="left" w:pos="0"/>
              </w:tabs>
              <w:spacing w:line="400" w:lineRule="exact"/>
              <w:rPr>
                <w:rFonts w:ascii="仿宋_GB2312" w:hAnsi="Times New Roman" w:eastAsia="仿宋_GB2312" w:cs="Times New Roman"/>
                <w:color w:val="000000" w:themeColor="text1"/>
                <w:sz w:val="22"/>
                <w:szCs w:val="22"/>
                <w:highlight w:val="none"/>
              </w:rPr>
            </w:pPr>
            <w:r>
              <w:rPr>
                <w:rFonts w:hint="eastAsia" w:ascii="仿宋_GB2312" w:hAnsi="Times New Roman" w:eastAsia="仿宋_GB2312" w:cs="Times New Roman"/>
                <w:color w:val="000000" w:themeColor="text1"/>
                <w:sz w:val="22"/>
                <w:szCs w:val="22"/>
                <w:highlight w:val="none"/>
              </w:rPr>
              <w:t>符合我行基本准入，授信额度使用期最高为2年，单户授信最高为500万，担保方式</w:t>
            </w:r>
            <w:r>
              <w:rPr>
                <w:rFonts w:hint="eastAsia" w:ascii="仿宋_GB2312" w:eastAsia="仿宋_GB2312"/>
                <w:color w:val="000000" w:themeColor="text1"/>
                <w:sz w:val="22"/>
                <w:szCs w:val="22"/>
                <w:highlight w:val="none"/>
              </w:rPr>
              <w:t>享受信用贷款执行</w:t>
            </w:r>
            <w:r>
              <w:rPr>
                <w:rFonts w:hint="eastAsia" w:ascii="仿宋_GB2312" w:hAnsi="Times New Roman" w:eastAsia="仿宋_GB2312" w:cs="Times New Roman"/>
                <w:color w:val="000000" w:themeColor="text1"/>
                <w:sz w:val="22"/>
                <w:szCs w:val="22"/>
                <w:highlight w:val="none"/>
              </w:rPr>
              <w:t>，利率最低可至当期LPR ，有无还本续贷，12月份线上产品可以自主自贷。</w:t>
            </w:r>
          </w:p>
        </w:tc>
        <w:tc>
          <w:tcPr>
            <w:tcW w:w="1529" w:type="dxa"/>
            <w:noWrap/>
            <w:vAlign w:val="center"/>
          </w:tcPr>
          <w:p w14:paraId="4F9D6699">
            <w:pPr>
              <w:spacing w:line="400" w:lineRule="exact"/>
              <w:contextualSpacing/>
              <w:jc w:val="center"/>
              <w:rPr>
                <w:rFonts w:ascii="仿宋_GB2312" w:hAnsi="Times New Roman" w:eastAsia="仿宋_GB2312" w:cs="Times New Roman"/>
                <w:color w:val="000000" w:themeColor="text1"/>
                <w:sz w:val="22"/>
                <w:szCs w:val="22"/>
                <w:highlight w:val="none"/>
              </w:rPr>
            </w:pPr>
            <w:r>
              <w:rPr>
                <w:rFonts w:hint="eastAsia" w:ascii="仿宋_GB2312" w:eastAsia="仿宋_GB2312"/>
                <w:color w:val="000000" w:themeColor="text1"/>
                <w:sz w:val="22"/>
                <w:szCs w:val="22"/>
                <w:highlight w:val="none"/>
              </w:rPr>
              <w:t>蒋志燕</w:t>
            </w:r>
          </w:p>
        </w:tc>
        <w:tc>
          <w:tcPr>
            <w:tcW w:w="1908" w:type="dxa"/>
            <w:noWrap/>
            <w:vAlign w:val="center"/>
          </w:tcPr>
          <w:p w14:paraId="589D6FFD">
            <w:pPr>
              <w:spacing w:line="400" w:lineRule="exact"/>
              <w:contextualSpacing/>
              <w:rPr>
                <w:rFonts w:ascii="仿宋_GB2312" w:hAnsi="Times New Roman" w:eastAsia="仿宋_GB2312" w:cs="Times New Roman"/>
                <w:color w:val="000000" w:themeColor="text1"/>
                <w:sz w:val="22"/>
                <w:szCs w:val="22"/>
                <w:highlight w:val="none"/>
              </w:rPr>
            </w:pPr>
            <w:r>
              <w:rPr>
                <w:rFonts w:hint="eastAsia" w:ascii="仿宋_GB2312" w:eastAsia="仿宋_GB2312"/>
                <w:color w:val="000000" w:themeColor="text1"/>
                <w:sz w:val="22"/>
                <w:szCs w:val="22"/>
                <w:highlight w:val="none"/>
              </w:rPr>
              <w:t>13732527321</w:t>
            </w:r>
          </w:p>
        </w:tc>
      </w:tr>
    </w:tbl>
    <w:p w14:paraId="17317247">
      <w:pPr>
        <w:rPr>
          <w:rFonts w:ascii="Times New Roman" w:hAnsi="Times New Roman"/>
          <w:bCs/>
          <w:highlight w:val="none"/>
        </w:rPr>
      </w:pPr>
      <w:r>
        <w:rPr>
          <w:rFonts w:hint="eastAsia" w:ascii="Times New Roman" w:hAnsi="Times New Roman"/>
          <w:bCs/>
          <w:highlight w:val="none"/>
        </w:rPr>
        <w:t>2.2一般步骤</w:t>
      </w:r>
    </w:p>
    <w:p w14:paraId="0999A856">
      <w:pPr>
        <w:rPr>
          <w:rFonts w:ascii="Times New Roman" w:hAnsi="Times New Roman"/>
          <w:bCs/>
          <w:highlight w:val="none"/>
        </w:rPr>
      </w:pPr>
      <w:r>
        <w:rPr>
          <w:rFonts w:hint="eastAsia" w:ascii="Times New Roman" w:hAnsi="Times New Roman"/>
          <w:bCs/>
          <w:highlight w:val="none"/>
        </w:rPr>
        <w:t>（1）供应商先与银行对接，办理融资前期手续；</w:t>
      </w:r>
    </w:p>
    <w:p w14:paraId="7B795CF3">
      <w:pPr>
        <w:rPr>
          <w:rFonts w:ascii="Times New Roman" w:hAnsi="Times New Roman"/>
          <w:bCs/>
          <w:highlight w:val="none"/>
        </w:rPr>
      </w:pPr>
      <w:r>
        <w:rPr>
          <w:rFonts w:hint="eastAsia" w:ascii="Times New Roman" w:hAnsi="Times New Roman"/>
          <w:bCs/>
          <w:highlight w:val="none"/>
        </w:rPr>
        <w:t>（2）供应商中标后，凭中标通知书等材料，向相关合作银行发出融资申请；</w:t>
      </w:r>
    </w:p>
    <w:p w14:paraId="02C3F2F8">
      <w:pPr>
        <w:rPr>
          <w:rFonts w:ascii="Times New Roman" w:hAnsi="Times New Roman"/>
          <w:bCs/>
          <w:highlight w:val="none"/>
        </w:rPr>
      </w:pPr>
      <w:r>
        <w:rPr>
          <w:rFonts w:hint="eastAsia" w:ascii="Times New Roman" w:hAnsi="Times New Roman"/>
          <w:bCs/>
          <w:highlight w:val="none"/>
        </w:rPr>
        <w:t>（3）银行、供应商线上办理审批、放贷事宜。</w:t>
      </w:r>
    </w:p>
    <w:p w14:paraId="34FCF2B3">
      <w:pPr>
        <w:rPr>
          <w:rFonts w:ascii="Times New Roman" w:hAnsi="Times New Roman"/>
          <w:bCs/>
          <w:highlight w:val="none"/>
        </w:rPr>
      </w:pPr>
      <w:r>
        <w:rPr>
          <w:rFonts w:hint="eastAsia" w:ascii="Times New Roman" w:hAnsi="Times New Roman"/>
          <w:bCs/>
          <w:highlight w:val="none"/>
        </w:rPr>
        <w:t>2.3注意事项</w:t>
      </w:r>
    </w:p>
    <w:p w14:paraId="305BBD1D">
      <w:pPr>
        <w:rPr>
          <w:rFonts w:ascii="Times New Roman" w:hAnsi="Times New Roman"/>
          <w:bCs/>
          <w:highlight w:val="none"/>
        </w:rPr>
      </w:pPr>
      <w:r>
        <w:rPr>
          <w:rFonts w:hint="eastAsia" w:ascii="Times New Roman" w:hAnsi="Times New Roman"/>
          <w:bCs/>
          <w:highlight w:val="none"/>
        </w:rPr>
        <w:t>（1）中标供应商需确保政府采购合同的收款账户与融资银行开户账户一致。</w:t>
      </w:r>
    </w:p>
    <w:p w14:paraId="631F27EF">
      <w:pPr>
        <w:rPr>
          <w:rFonts w:ascii="Times New Roman" w:hAnsi="Times New Roman"/>
          <w:bCs/>
          <w:highlight w:val="none"/>
        </w:rPr>
      </w:pPr>
      <w:r>
        <w:rPr>
          <w:rFonts w:hint="eastAsia" w:ascii="Times New Roman" w:hAnsi="Times New Roman"/>
          <w:bCs/>
          <w:highlight w:val="none"/>
        </w:rPr>
        <w:t>（2）用于政府采购信用融资的政府采购合同，应当包含如下条款：“第条：政府采购合同贷款</w:t>
      </w:r>
    </w:p>
    <w:p w14:paraId="3F80C8A9">
      <w:pPr>
        <w:ind w:firstLine="420" w:firstLineChars="200"/>
        <w:rPr>
          <w:rFonts w:ascii="Times New Roman" w:hAnsi="Times New Roman"/>
          <w:bCs/>
          <w:highlight w:val="none"/>
        </w:rPr>
      </w:pPr>
      <w:r>
        <w:rPr>
          <w:rFonts w:hint="eastAsia" w:ascii="Times New Roman" w:hAnsi="Times New Roman"/>
          <w:bCs/>
          <w:highlight w:val="none"/>
        </w:rPr>
        <w:t>本合同同时用于乙方向银行（金融机构）申请政府采购信用贷款。</w:t>
      </w:r>
    </w:p>
    <w:p w14:paraId="0C3A02F5">
      <w:pPr>
        <w:ind w:firstLine="420" w:firstLineChars="200"/>
        <w:rPr>
          <w:rFonts w:ascii="Times New Roman" w:hAnsi="Times New Roman"/>
          <w:bCs/>
          <w:highlight w:val="none"/>
        </w:rPr>
      </w:pPr>
      <w:r>
        <w:rPr>
          <w:rFonts w:hint="eastAsia" w:ascii="Times New Roman" w:hAnsi="Times New Roman"/>
          <w:bCs/>
          <w:highlight w:val="none"/>
        </w:rPr>
        <w:t>本合同一经签订，原则上不得更改乙方收款账户信息。</w:t>
      </w:r>
      <w:r>
        <w:rPr>
          <w:rFonts w:hint="eastAsia" w:ascii="Times New Roman" w:hAnsi="Times New Roman"/>
          <w:bCs/>
          <w:highlight w:val="none"/>
          <w:lang w:eastAsia="zh-CN"/>
        </w:rPr>
        <w:t>确需</w:t>
      </w:r>
      <w:r>
        <w:rPr>
          <w:rFonts w:hint="eastAsia" w:ascii="Times New Roman" w:hAnsi="Times New Roman"/>
          <w:bCs/>
          <w:highlight w:val="none"/>
        </w:rPr>
        <w:t>更改的，乙方应取得原合同收款账户开户银行书面同意，否则修改后的合同不予备案，采购资金不予支付。”</w:t>
      </w:r>
    </w:p>
    <w:p w14:paraId="58C42366">
      <w:pPr>
        <w:pStyle w:val="57"/>
        <w:snapToGrid w:val="0"/>
        <w:spacing w:before="159" w:after="159" w:line="360" w:lineRule="auto"/>
        <w:ind w:right="-87"/>
        <w:rPr>
          <w:rFonts w:ascii="Times New Roman" w:hAnsi="Times New Roman" w:cs="Times New Roman"/>
          <w:highlight w:val="none"/>
        </w:rPr>
        <w:sectPr>
          <w:footerReference r:id="rId4" w:type="first"/>
          <w:footerReference r:id="rId3" w:type="default"/>
          <w:pgSz w:w="11906" w:h="16838"/>
          <w:pgMar w:top="1531" w:right="1230" w:bottom="1531" w:left="1230" w:header="850" w:footer="584" w:gutter="0"/>
          <w:cols w:space="0" w:num="1"/>
          <w:titlePg/>
          <w:docGrid w:type="lines" w:linePitch="318" w:charSpace="0"/>
        </w:sectPr>
      </w:pPr>
    </w:p>
    <w:p w14:paraId="25C453DE">
      <w:pPr>
        <w:spacing w:line="360" w:lineRule="auto"/>
        <w:contextualSpacing/>
        <w:jc w:val="center"/>
        <w:rPr>
          <w:rFonts w:ascii="Times New Roman" w:hAnsi="Times New Roman" w:cs="Times New Roman"/>
          <w:b/>
          <w:bCs/>
          <w:color w:val="000000" w:themeColor="text1"/>
          <w:sz w:val="30"/>
          <w:szCs w:val="30"/>
          <w:highlight w:val="none"/>
        </w:rPr>
      </w:pPr>
      <w:r>
        <w:rPr>
          <w:rFonts w:ascii="Times New Roman" w:hAnsi="Times New Roman" w:cs="Times New Roman"/>
          <w:b/>
          <w:bCs/>
          <w:color w:val="000000" w:themeColor="text1"/>
          <w:sz w:val="30"/>
          <w:szCs w:val="30"/>
          <w:highlight w:val="none"/>
        </w:rPr>
        <w:t>第四章评标办法及评分标准</w:t>
      </w:r>
    </w:p>
    <w:p w14:paraId="68BA8AEA">
      <w:pPr>
        <w:spacing w:line="360" w:lineRule="auto"/>
        <w:ind w:firstLine="420" w:firstLineChars="200"/>
        <w:contextualSpacing/>
        <w:rPr>
          <w:rFonts w:ascii="Times New Roman" w:hAnsi="Times New Roman" w:cs="Times New Roman"/>
          <w:b/>
          <w:bCs/>
          <w:color w:val="000000"/>
        </w:rPr>
      </w:pPr>
      <w:r>
        <w:rPr>
          <w:rFonts w:ascii="Times New Roman" w:hAnsi="Times New Roman" w:cs="Times New Roman"/>
          <w:color w:val="000000"/>
        </w:rPr>
        <w:t>为公正、公平、科学地选择成交人，根据《中华人民共和国政府采购法》等有关法律法规的规定，并结合本项目的实际，制定本办法，本办法适用本项目的评标。</w:t>
      </w:r>
    </w:p>
    <w:p w14:paraId="6C79F90D">
      <w:pPr>
        <w:autoSpaceDE w:val="0"/>
        <w:autoSpaceDN w:val="0"/>
        <w:spacing w:line="360" w:lineRule="auto"/>
        <w:contextualSpacing/>
        <w:rPr>
          <w:rFonts w:ascii="Times New Roman" w:hAnsi="Times New Roman" w:cs="Times New Roman"/>
          <w:b/>
          <w:bCs/>
          <w:color w:val="000000"/>
        </w:rPr>
      </w:pPr>
      <w:r>
        <w:rPr>
          <w:rFonts w:ascii="Times New Roman" w:hAnsi="Times New Roman" w:cs="Times New Roman"/>
          <w:b/>
          <w:bCs/>
          <w:color w:val="000000"/>
        </w:rPr>
        <w:t>一、中标候选人的选取</w:t>
      </w:r>
    </w:p>
    <w:p w14:paraId="3B54BF4F">
      <w:pPr>
        <w:spacing w:line="360" w:lineRule="auto"/>
        <w:ind w:firstLine="420" w:firstLineChars="200"/>
        <w:contextualSpacing/>
        <w:rPr>
          <w:rFonts w:ascii="Times New Roman" w:hAnsi="Times New Roman" w:cs="Times New Roman"/>
          <w:b/>
          <w:bCs/>
          <w:color w:val="000000"/>
          <w:lang w:val="zh-CN"/>
        </w:rPr>
      </w:pPr>
      <w:r>
        <w:rPr>
          <w:rFonts w:ascii="Times New Roman" w:hAnsi="Times New Roman" w:cs="Times New Roman"/>
          <w:color w:val="000000"/>
        </w:rPr>
        <w:t>将综合评估分从高到低排序，得出参投标人名次,按照综合评估分名次推荐中标候选人3名。得分相同时，按投标报价由低到高顺序排列，得分且投标报价相同的，按技术指标优劣顺序排列。</w:t>
      </w:r>
    </w:p>
    <w:p w14:paraId="69199F88">
      <w:pPr>
        <w:spacing w:line="360" w:lineRule="auto"/>
        <w:contextualSpacing/>
        <w:rPr>
          <w:rFonts w:ascii="Times New Roman" w:hAnsi="Times New Roman" w:cs="Times New Roman"/>
          <w:b/>
          <w:bCs/>
          <w:color w:val="000000"/>
        </w:rPr>
      </w:pPr>
      <w:r>
        <w:rPr>
          <w:rFonts w:ascii="Times New Roman" w:hAnsi="Times New Roman" w:cs="Times New Roman"/>
          <w:b/>
          <w:bCs/>
          <w:color w:val="000000"/>
        </w:rPr>
        <w:t>二、成交人选取依据</w:t>
      </w:r>
    </w:p>
    <w:p w14:paraId="5EDBA804">
      <w:pPr>
        <w:spacing w:line="360" w:lineRule="auto"/>
        <w:ind w:firstLine="420" w:firstLineChars="200"/>
        <w:contextualSpacing/>
        <w:rPr>
          <w:rFonts w:ascii="Times New Roman" w:hAnsi="Times New Roman" w:cs="Times New Roman"/>
          <w:color w:val="000000"/>
        </w:rPr>
      </w:pPr>
      <w:r>
        <w:rPr>
          <w:rFonts w:ascii="Times New Roman" w:hAnsi="Times New Roman" w:cs="Times New Roman"/>
          <w:color w:val="000000"/>
        </w:rPr>
        <w:t>评审小组根据综合评估分得分排序，推荐第一名中标候选人为中标人，经采购人确认后，确定项目中标人，同时发布采购结果公告，发出中标通知书。</w:t>
      </w:r>
    </w:p>
    <w:p w14:paraId="431F3310">
      <w:pPr>
        <w:spacing w:line="360" w:lineRule="auto"/>
        <w:contextualSpacing/>
        <w:rPr>
          <w:rFonts w:ascii="Times New Roman" w:hAnsi="Times New Roman" w:cs="Times New Roman"/>
          <w:b/>
          <w:bCs/>
          <w:color w:val="000000"/>
        </w:rPr>
      </w:pPr>
      <w:r>
        <w:rPr>
          <w:rFonts w:ascii="Times New Roman" w:hAnsi="Times New Roman" w:cs="Times New Roman"/>
          <w:b/>
          <w:bCs/>
          <w:color w:val="000000"/>
        </w:rPr>
        <w:t>三、综合评估分计分方法</w:t>
      </w:r>
    </w:p>
    <w:p w14:paraId="4A2C2905">
      <w:pPr>
        <w:autoSpaceDE w:val="0"/>
        <w:autoSpaceDN w:val="0"/>
        <w:spacing w:line="360" w:lineRule="auto"/>
        <w:ind w:firstLine="420" w:firstLineChars="200"/>
        <w:contextualSpacing/>
        <w:rPr>
          <w:rFonts w:ascii="Times New Roman" w:hAnsi="Times New Roman" w:cs="Times New Roman"/>
          <w:color w:val="000000"/>
          <w:lang w:val="zh-CN"/>
        </w:rPr>
      </w:pPr>
      <w:r>
        <w:rPr>
          <w:rFonts w:ascii="Times New Roman" w:hAnsi="Times New Roman" w:cs="Times New Roman"/>
          <w:color w:val="000000"/>
          <w:lang w:val="zh-CN"/>
        </w:rPr>
        <w:t>满足采购文件要求且投标价格最低的投标报价为评标基准价，其价格分为满分，其他投标人的价格分按下列公式计算：投标报价得分＝（评标基准价/投标报价）×价格权重×100。</w:t>
      </w:r>
    </w:p>
    <w:p w14:paraId="5695B0F4">
      <w:pPr>
        <w:autoSpaceDE w:val="0"/>
        <w:autoSpaceDN w:val="0"/>
        <w:spacing w:line="360" w:lineRule="auto"/>
        <w:ind w:firstLine="420" w:firstLineChars="200"/>
        <w:contextualSpacing/>
        <w:rPr>
          <w:rFonts w:ascii="Times New Roman" w:hAnsi="Times New Roman" w:cs="Times New Roman"/>
          <w:color w:val="000000"/>
          <w:highlight w:val="none"/>
        </w:rPr>
      </w:pPr>
      <w:r>
        <w:rPr>
          <w:rFonts w:ascii="Times New Roman" w:hAnsi="Times New Roman" w:cs="Times New Roman"/>
          <w:color w:val="000000"/>
          <w:highlight w:val="none"/>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tbl>
      <w:tblPr>
        <w:tblStyle w:val="2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478F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75840FA4">
            <w:pPr>
              <w:spacing w:line="360" w:lineRule="auto"/>
              <w:ind w:firstLine="630" w:firstLineChars="300"/>
              <w:rPr>
                <w:rFonts w:ascii="Times New Roman" w:hAnsi="Times New Roman" w:cs="Times New Roman"/>
                <w:color w:val="000000" w:themeColor="text1"/>
                <w:highlight w:val="none"/>
              </w:rPr>
            </w:pPr>
            <w:r>
              <w:rPr>
                <w:rFonts w:ascii="Times New Roman" w:hAnsi="Times New Roman" w:cs="Times New Roman"/>
                <w:color w:val="000000" w:themeColor="text1"/>
                <w:highlight w:val="none"/>
                <w:lang w:val="zh-CN"/>
              </w:rPr>
              <w:t>评价指标和各评价权重指标：</w:t>
            </w:r>
            <w:r>
              <w:rPr>
                <w:rFonts w:ascii="Times New Roman" w:hAnsi="Times New Roman" w:cs="Times New Roman"/>
                <w:color w:val="000000" w:themeColor="text1"/>
                <w:highlight w:val="none"/>
              </w:rPr>
              <w:t>评标指标</w:t>
            </w:r>
          </w:p>
        </w:tc>
        <w:tc>
          <w:tcPr>
            <w:tcW w:w="2693" w:type="dxa"/>
            <w:vAlign w:val="center"/>
          </w:tcPr>
          <w:p w14:paraId="24C9746F">
            <w:pPr>
              <w:spacing w:line="360" w:lineRule="auto"/>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权重（％）</w:t>
            </w:r>
          </w:p>
        </w:tc>
      </w:tr>
      <w:tr w14:paraId="1A6F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2BC28863">
            <w:pPr>
              <w:spacing w:line="360" w:lineRule="auto"/>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投标报价</w:t>
            </w:r>
          </w:p>
        </w:tc>
        <w:tc>
          <w:tcPr>
            <w:tcW w:w="2693" w:type="dxa"/>
            <w:vAlign w:val="center"/>
          </w:tcPr>
          <w:p w14:paraId="13AC1DE9">
            <w:pPr>
              <w:spacing w:line="360" w:lineRule="auto"/>
              <w:jc w:val="center"/>
              <w:rPr>
                <w:rFonts w:hint="default" w:ascii="Times New Roman" w:hAnsi="Times New Roman" w:eastAsia="宋体" w:cs="Times New Roman"/>
                <w:color w:val="000000" w:themeColor="text1"/>
                <w:highlight w:val="none"/>
                <w:lang w:val="en-US" w:eastAsia="zh-CN"/>
              </w:rPr>
            </w:pPr>
            <w:r>
              <w:rPr>
                <w:rFonts w:hint="eastAsia" w:ascii="Times New Roman" w:hAnsi="Times New Roman" w:cs="Times New Roman"/>
                <w:color w:val="000000" w:themeColor="text1"/>
                <w:highlight w:val="none"/>
                <w:lang w:val="en-US" w:eastAsia="zh-CN"/>
              </w:rPr>
              <w:t>20</w:t>
            </w:r>
          </w:p>
        </w:tc>
      </w:tr>
      <w:tr w14:paraId="236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612C38FE">
            <w:pPr>
              <w:spacing w:line="360" w:lineRule="auto"/>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商务</w:t>
            </w:r>
            <w:r>
              <w:rPr>
                <w:rFonts w:hint="eastAsia" w:ascii="Times New Roman" w:hAnsi="Times New Roman" w:cs="Times New Roman"/>
                <w:color w:val="000000" w:themeColor="text1"/>
                <w:highlight w:val="none"/>
              </w:rPr>
              <w:t>资信</w:t>
            </w:r>
            <w:r>
              <w:rPr>
                <w:rFonts w:ascii="Times New Roman" w:hAnsi="Times New Roman" w:cs="Times New Roman"/>
                <w:color w:val="000000" w:themeColor="text1"/>
                <w:highlight w:val="none"/>
              </w:rPr>
              <w:t>部分</w:t>
            </w:r>
          </w:p>
        </w:tc>
        <w:tc>
          <w:tcPr>
            <w:tcW w:w="2693" w:type="dxa"/>
            <w:vAlign w:val="center"/>
          </w:tcPr>
          <w:p w14:paraId="57D3A377">
            <w:pPr>
              <w:spacing w:line="360" w:lineRule="auto"/>
              <w:jc w:val="center"/>
              <w:rPr>
                <w:rFonts w:hint="default" w:ascii="Times New Roman" w:hAnsi="Times New Roman" w:eastAsia="宋体" w:cs="Times New Roman"/>
                <w:color w:val="000000" w:themeColor="text1"/>
                <w:highlight w:val="none"/>
                <w:lang w:val="en-US" w:eastAsia="zh-CN"/>
              </w:rPr>
            </w:pPr>
            <w:r>
              <w:rPr>
                <w:rFonts w:hint="eastAsia" w:ascii="Times New Roman" w:hAnsi="Times New Roman" w:cs="Times New Roman"/>
                <w:color w:val="000000" w:themeColor="text1"/>
                <w:highlight w:val="none"/>
                <w:lang w:val="en-US" w:eastAsia="zh-CN"/>
              </w:rPr>
              <w:t>22</w:t>
            </w:r>
          </w:p>
        </w:tc>
      </w:tr>
      <w:tr w14:paraId="58AC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0FB63731">
            <w:pPr>
              <w:spacing w:line="360" w:lineRule="auto"/>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技术部分</w:t>
            </w:r>
          </w:p>
        </w:tc>
        <w:tc>
          <w:tcPr>
            <w:tcW w:w="2693" w:type="dxa"/>
            <w:vAlign w:val="center"/>
          </w:tcPr>
          <w:p w14:paraId="38B7E970">
            <w:pPr>
              <w:spacing w:line="360" w:lineRule="auto"/>
              <w:jc w:val="center"/>
              <w:rPr>
                <w:rFonts w:hint="default" w:ascii="Times New Roman" w:hAnsi="Times New Roman" w:eastAsia="宋体" w:cs="Times New Roman"/>
                <w:color w:val="000000" w:themeColor="text1"/>
                <w:highlight w:val="none"/>
                <w:lang w:val="en-US" w:eastAsia="zh-CN"/>
              </w:rPr>
            </w:pPr>
            <w:r>
              <w:rPr>
                <w:rFonts w:hint="eastAsia" w:ascii="Times New Roman" w:hAnsi="Times New Roman" w:cs="Times New Roman"/>
                <w:color w:val="000000" w:themeColor="text1"/>
                <w:highlight w:val="none"/>
                <w:lang w:val="en-US" w:eastAsia="zh-CN"/>
              </w:rPr>
              <w:t>58</w:t>
            </w:r>
          </w:p>
        </w:tc>
      </w:tr>
      <w:tr w14:paraId="2027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7EB059A5">
            <w:pPr>
              <w:spacing w:line="360" w:lineRule="auto"/>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合计</w:t>
            </w:r>
          </w:p>
        </w:tc>
        <w:tc>
          <w:tcPr>
            <w:tcW w:w="2693" w:type="dxa"/>
            <w:vAlign w:val="center"/>
          </w:tcPr>
          <w:p w14:paraId="16EDF0CB">
            <w:pPr>
              <w:spacing w:line="360" w:lineRule="auto"/>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100</w:t>
            </w:r>
          </w:p>
        </w:tc>
      </w:tr>
    </w:tbl>
    <w:p w14:paraId="4C4E3BEC">
      <w:pPr>
        <w:rPr>
          <w:rFonts w:ascii="Times New Roman" w:hAnsi="Times New Roman" w:cs="Times New Roman"/>
          <w:b/>
          <w:bCs/>
          <w:color w:val="000000" w:themeColor="text1"/>
          <w:sz w:val="22"/>
          <w:szCs w:val="22"/>
          <w:highlight w:val="none"/>
        </w:rPr>
      </w:pPr>
    </w:p>
    <w:p w14:paraId="5029BC0E">
      <w:pPr>
        <w:pStyle w:val="17"/>
        <w:numPr>
          <w:ilvl w:val="0"/>
          <w:numId w:val="12"/>
        </w:numPr>
        <w:snapToGrid w:val="0"/>
        <w:spacing w:line="360" w:lineRule="auto"/>
        <w:rPr>
          <w:rFonts w:ascii="Times New Roman" w:hAnsi="Times New Roman" w:cs="Times New Roman"/>
          <w:b/>
          <w:bCs/>
          <w:color w:val="000000" w:themeColor="text1"/>
          <w:sz w:val="22"/>
          <w:szCs w:val="22"/>
          <w:highlight w:val="none"/>
        </w:rPr>
      </w:pPr>
      <w:r>
        <w:rPr>
          <w:rFonts w:ascii="Times New Roman" w:hAnsi="Times New Roman" w:cs="Times New Roman"/>
          <w:b/>
          <w:bCs/>
          <w:color w:val="000000" w:themeColor="text1"/>
          <w:sz w:val="22"/>
          <w:szCs w:val="22"/>
          <w:highlight w:val="none"/>
        </w:rPr>
        <w:t>评标内容及标准</w:t>
      </w:r>
    </w:p>
    <w:tbl>
      <w:tblPr>
        <w:tblStyle w:val="24"/>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6420"/>
        <w:gridCol w:w="934"/>
      </w:tblGrid>
      <w:tr w14:paraId="74F3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290AC76F">
            <w:pPr>
              <w:adjustRightInd w:val="0"/>
              <w:snapToGrid w:val="0"/>
              <w:spacing w:line="400" w:lineRule="exact"/>
              <w:jc w:val="center"/>
              <w:rPr>
                <w:rFonts w:ascii="宋体" w:hAnsi="宋体" w:cs="宋体"/>
                <w:color w:val="000000"/>
              </w:rPr>
            </w:pPr>
            <w:r>
              <w:rPr>
                <w:rFonts w:hint="eastAsia" w:ascii="宋体" w:hAnsi="宋体" w:cs="宋体"/>
                <w:color w:val="000000"/>
              </w:rPr>
              <w:t>内容</w:t>
            </w:r>
          </w:p>
        </w:tc>
        <w:tc>
          <w:tcPr>
            <w:tcW w:w="6420" w:type="dxa"/>
            <w:tcBorders>
              <w:top w:val="single" w:color="auto" w:sz="4" w:space="0"/>
              <w:left w:val="single" w:color="auto" w:sz="4" w:space="0"/>
              <w:bottom w:val="single" w:color="auto" w:sz="4" w:space="0"/>
              <w:right w:val="single" w:color="auto" w:sz="4" w:space="0"/>
            </w:tcBorders>
            <w:noWrap/>
            <w:vAlign w:val="center"/>
          </w:tcPr>
          <w:p w14:paraId="120FE4D1">
            <w:pPr>
              <w:adjustRightInd w:val="0"/>
              <w:snapToGrid w:val="0"/>
              <w:spacing w:line="400" w:lineRule="exact"/>
              <w:jc w:val="center"/>
              <w:rPr>
                <w:rFonts w:ascii="宋体" w:hAnsi="宋体" w:cs="宋体"/>
                <w:color w:val="000000"/>
              </w:rPr>
            </w:pPr>
            <w:r>
              <w:rPr>
                <w:rFonts w:hint="eastAsia" w:ascii="宋体" w:hAnsi="宋体" w:cs="宋体"/>
                <w:color w:val="000000"/>
              </w:rPr>
              <w:t>评分项目</w:t>
            </w:r>
          </w:p>
        </w:tc>
        <w:tc>
          <w:tcPr>
            <w:tcW w:w="934" w:type="dxa"/>
            <w:tcBorders>
              <w:top w:val="single" w:color="auto" w:sz="4" w:space="0"/>
              <w:left w:val="single" w:color="auto" w:sz="4" w:space="0"/>
              <w:bottom w:val="single" w:color="auto" w:sz="4" w:space="0"/>
              <w:right w:val="single" w:color="auto" w:sz="4" w:space="0"/>
            </w:tcBorders>
            <w:noWrap/>
            <w:vAlign w:val="center"/>
          </w:tcPr>
          <w:p w14:paraId="52119A33">
            <w:pPr>
              <w:adjustRightInd w:val="0"/>
              <w:snapToGrid w:val="0"/>
              <w:spacing w:line="400" w:lineRule="exact"/>
              <w:jc w:val="center"/>
              <w:rPr>
                <w:rFonts w:ascii="宋体" w:hAnsi="宋体" w:cs="宋体"/>
                <w:color w:val="000000"/>
              </w:rPr>
            </w:pPr>
            <w:r>
              <w:rPr>
                <w:rFonts w:hint="eastAsia" w:ascii="宋体" w:hAnsi="宋体" w:cs="宋体"/>
                <w:color w:val="000000"/>
              </w:rPr>
              <w:t>分值</w:t>
            </w:r>
          </w:p>
        </w:tc>
      </w:tr>
      <w:tr w14:paraId="0304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538C2922">
            <w:pPr>
              <w:adjustRightInd w:val="0"/>
              <w:snapToGrid w:val="0"/>
              <w:spacing w:line="400" w:lineRule="exact"/>
              <w:jc w:val="center"/>
              <w:rPr>
                <w:rFonts w:ascii="宋体" w:hAnsi="宋体" w:cs="宋体"/>
                <w:b/>
                <w:bCs/>
                <w:color w:val="000000"/>
              </w:rPr>
            </w:pPr>
            <w:r>
              <w:rPr>
                <w:rFonts w:hint="eastAsia" w:ascii="宋体" w:hAnsi="宋体" w:cs="宋体"/>
                <w:b/>
                <w:bCs/>
                <w:color w:val="000000"/>
              </w:rPr>
              <w:t>报价部分</w:t>
            </w:r>
          </w:p>
          <w:p w14:paraId="3C9E33BD">
            <w:pPr>
              <w:adjustRightInd w:val="0"/>
              <w:snapToGrid w:val="0"/>
              <w:spacing w:line="400" w:lineRule="exact"/>
              <w:jc w:val="center"/>
              <w:rPr>
                <w:rFonts w:ascii="宋体" w:hAnsi="宋体" w:cs="宋体"/>
                <w:color w:val="000000"/>
              </w:rPr>
            </w:pPr>
            <w:r>
              <w:rPr>
                <w:rFonts w:hint="eastAsia" w:ascii="宋体" w:hAnsi="宋体" w:cs="宋体"/>
                <w:b/>
                <w:bCs/>
                <w:color w:val="000000"/>
              </w:rPr>
              <w:t>（20分）</w:t>
            </w:r>
          </w:p>
        </w:tc>
        <w:tc>
          <w:tcPr>
            <w:tcW w:w="6420" w:type="dxa"/>
            <w:tcBorders>
              <w:top w:val="single" w:color="auto" w:sz="4" w:space="0"/>
              <w:left w:val="single" w:color="auto" w:sz="4" w:space="0"/>
              <w:bottom w:val="single" w:color="auto" w:sz="4" w:space="0"/>
              <w:right w:val="single" w:color="auto" w:sz="4" w:space="0"/>
            </w:tcBorders>
            <w:noWrap/>
            <w:vAlign w:val="center"/>
          </w:tcPr>
          <w:p w14:paraId="6584B1B2">
            <w:pPr>
              <w:pStyle w:val="9"/>
              <w:widowControl/>
              <w:ind w:left="0" w:leftChars="0" w:firstLine="0" w:firstLineChars="0"/>
              <w:rPr>
                <w:rFonts w:ascii="宋体" w:hAnsi="宋体" w:cs="宋体"/>
                <w:color w:val="000000"/>
              </w:rPr>
            </w:pP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lang w:val="zh-CN" w:eastAsia="zh-CN"/>
              </w:rPr>
              <w:t>满足采购文件要求且投标价格最低的投标报价为评标基准价，其价格分为满分，其他投标人的价格分按下列公式计算：投标报价得分＝（评标基准价/投标报价）×价格权重×100。</w:t>
            </w:r>
          </w:p>
        </w:tc>
        <w:tc>
          <w:tcPr>
            <w:tcW w:w="934" w:type="dxa"/>
            <w:tcBorders>
              <w:top w:val="single" w:color="auto" w:sz="4" w:space="0"/>
              <w:left w:val="single" w:color="auto" w:sz="4" w:space="0"/>
              <w:bottom w:val="single" w:color="auto" w:sz="4" w:space="0"/>
              <w:right w:val="single" w:color="auto" w:sz="4" w:space="0"/>
            </w:tcBorders>
            <w:noWrap/>
            <w:vAlign w:val="center"/>
          </w:tcPr>
          <w:p w14:paraId="4D396695">
            <w:pPr>
              <w:adjustRightInd w:val="0"/>
              <w:snapToGrid w:val="0"/>
              <w:spacing w:line="400" w:lineRule="exact"/>
              <w:jc w:val="center"/>
              <w:rPr>
                <w:rFonts w:ascii="宋体" w:hAnsi="宋体" w:cs="宋体"/>
                <w:color w:val="000000"/>
              </w:rPr>
            </w:pPr>
            <w:r>
              <w:rPr>
                <w:rFonts w:hint="eastAsia" w:ascii="宋体" w:hAnsi="宋体" w:cs="宋体"/>
                <w:color w:val="000000"/>
              </w:rPr>
              <w:t>20分</w:t>
            </w:r>
          </w:p>
        </w:tc>
      </w:tr>
      <w:tr w14:paraId="5573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80" w:type="dxa"/>
            <w:gridSpan w:val="3"/>
            <w:tcBorders>
              <w:top w:val="single" w:color="auto" w:sz="4" w:space="0"/>
              <w:left w:val="single" w:color="auto" w:sz="4" w:space="0"/>
              <w:bottom w:val="single" w:color="auto" w:sz="4" w:space="0"/>
              <w:right w:val="single" w:color="auto" w:sz="4" w:space="0"/>
            </w:tcBorders>
            <w:noWrap/>
            <w:vAlign w:val="center"/>
          </w:tcPr>
          <w:p w14:paraId="61AC84F1">
            <w:pPr>
              <w:adjustRightInd w:val="0"/>
              <w:snapToGrid w:val="0"/>
              <w:spacing w:line="400" w:lineRule="exact"/>
              <w:jc w:val="left"/>
              <w:rPr>
                <w:rFonts w:ascii="宋体" w:hAnsi="宋体" w:cs="宋体"/>
                <w:b/>
                <w:bCs/>
                <w:color w:val="000000"/>
              </w:rPr>
            </w:pPr>
            <w:r>
              <w:rPr>
                <w:rFonts w:hint="eastAsia" w:ascii="宋体" w:hAnsi="宋体" w:cs="宋体"/>
                <w:b/>
                <w:bCs/>
                <w:color w:val="000000"/>
                <w:highlight w:val="none"/>
              </w:rPr>
              <w:t>商务部分（2</w:t>
            </w:r>
            <w:r>
              <w:rPr>
                <w:rFonts w:hint="eastAsia" w:ascii="宋体" w:hAnsi="宋体" w:cs="宋体"/>
                <w:b/>
                <w:bCs/>
                <w:color w:val="000000"/>
                <w:highlight w:val="none"/>
                <w:lang w:val="en-US" w:eastAsia="zh-CN"/>
              </w:rPr>
              <w:t>2</w:t>
            </w:r>
            <w:r>
              <w:rPr>
                <w:rFonts w:hint="eastAsia" w:ascii="宋体" w:hAnsi="宋体" w:cs="宋体"/>
                <w:b/>
                <w:bCs/>
                <w:color w:val="000000"/>
                <w:highlight w:val="none"/>
              </w:rPr>
              <w:t>分）</w:t>
            </w:r>
          </w:p>
        </w:tc>
      </w:tr>
      <w:tr w14:paraId="7FCD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40263434">
            <w:pPr>
              <w:adjustRightInd w:val="0"/>
              <w:snapToGrid w:val="0"/>
              <w:spacing w:line="400" w:lineRule="exact"/>
              <w:jc w:val="left"/>
              <w:rPr>
                <w:rFonts w:hint="eastAsia" w:ascii="宋体" w:hAnsi="宋体" w:cs="宋体"/>
                <w:color w:val="000000"/>
              </w:rPr>
            </w:pPr>
            <w:r>
              <w:rPr>
                <w:rFonts w:hint="eastAsia" w:ascii="宋体" w:hAnsi="宋体" w:cs="宋体"/>
                <w:color w:val="000000"/>
              </w:rPr>
              <w:t>体系认证</w:t>
            </w:r>
          </w:p>
        </w:tc>
        <w:tc>
          <w:tcPr>
            <w:tcW w:w="6420" w:type="dxa"/>
            <w:tcBorders>
              <w:top w:val="single" w:color="auto" w:sz="4" w:space="0"/>
              <w:left w:val="single" w:color="auto" w:sz="4" w:space="0"/>
              <w:bottom w:val="single" w:color="auto" w:sz="4" w:space="0"/>
              <w:right w:val="single" w:color="auto" w:sz="4" w:space="0"/>
            </w:tcBorders>
            <w:noWrap/>
            <w:vAlign w:val="center"/>
          </w:tcPr>
          <w:p w14:paraId="14BFD52E">
            <w:pPr>
              <w:adjustRightInd w:val="0"/>
              <w:snapToGrid w:val="0"/>
              <w:spacing w:line="400" w:lineRule="exact"/>
              <w:jc w:val="left"/>
              <w:rPr>
                <w:rFonts w:hint="eastAsia" w:ascii="宋体" w:hAnsi="宋体" w:cs="宋体"/>
                <w:color w:val="000000"/>
              </w:rPr>
            </w:pPr>
            <w:r>
              <w:rPr>
                <w:rFonts w:hint="eastAsia" w:ascii="宋体" w:hAnsi="宋体" w:cs="宋体"/>
                <w:color w:val="000000"/>
              </w:rPr>
              <w:t>投标人具有ISO9001质量管理体系认证；ISO9001环境管理体系认证；ISO9001职业健康安全管理体系认证。以上每项得1分，</w:t>
            </w:r>
            <w:r>
              <w:rPr>
                <w:rFonts w:hint="eastAsia" w:ascii="宋体" w:hAnsi="宋体" w:cs="宋体"/>
                <w:color w:val="000000"/>
                <w:lang w:val="en-US" w:eastAsia="zh-CN"/>
              </w:rPr>
              <w:t>最高</w:t>
            </w:r>
            <w:r>
              <w:rPr>
                <w:rFonts w:hint="eastAsia" w:ascii="宋体" w:hAnsi="宋体" w:cs="宋体"/>
                <w:color w:val="000000"/>
              </w:rPr>
              <w:t>得</w:t>
            </w:r>
            <w:r>
              <w:rPr>
                <w:rFonts w:hint="eastAsia" w:ascii="宋体" w:hAnsi="宋体" w:cs="宋体"/>
                <w:color w:val="000000"/>
                <w:lang w:val="en-US" w:eastAsia="zh-CN"/>
              </w:rPr>
              <w:t>3</w:t>
            </w:r>
            <w:r>
              <w:rPr>
                <w:rFonts w:hint="eastAsia" w:ascii="宋体" w:hAnsi="宋体" w:cs="宋体"/>
                <w:color w:val="000000"/>
              </w:rPr>
              <w:t>分。（0-3分）</w:t>
            </w:r>
          </w:p>
          <w:p w14:paraId="74F2ACC1">
            <w:pPr>
              <w:adjustRightInd w:val="0"/>
              <w:snapToGrid w:val="0"/>
              <w:spacing w:line="400" w:lineRule="exact"/>
              <w:jc w:val="left"/>
              <w:rPr>
                <w:rFonts w:hint="eastAsia" w:ascii="宋体" w:hAnsi="宋体" w:cs="宋体"/>
                <w:color w:val="000000"/>
              </w:rPr>
            </w:pPr>
            <w:r>
              <w:rPr>
                <w:rFonts w:hint="eastAsia" w:ascii="宋体" w:hAnsi="宋体" w:cs="宋体"/>
                <w:color w:val="000000"/>
              </w:rPr>
              <w:t>注：（需提供证书原件的扫描件并加盖公章，不提供不得分）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6024EE91">
            <w:pPr>
              <w:adjustRightInd w:val="0"/>
              <w:snapToGrid w:val="0"/>
              <w:spacing w:line="400" w:lineRule="exact"/>
              <w:jc w:val="center"/>
              <w:rPr>
                <w:rFonts w:ascii="宋体" w:hAnsi="宋体" w:cs="宋体"/>
                <w:color w:val="000000"/>
              </w:rPr>
            </w:pPr>
            <w:r>
              <w:rPr>
                <w:rFonts w:hint="eastAsia" w:ascii="宋体" w:hAnsi="宋体" w:cs="宋体"/>
                <w:color w:val="000000"/>
              </w:rPr>
              <w:t>3分</w:t>
            </w:r>
          </w:p>
        </w:tc>
      </w:tr>
      <w:tr w14:paraId="4025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6A0ECF9B">
            <w:pPr>
              <w:pStyle w:val="12"/>
              <w:spacing w:after="0" w:line="400" w:lineRule="exact"/>
              <w:jc w:val="center"/>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en-US" w:eastAsia="zh-CN" w:bidi="ar-SA"/>
              </w:rPr>
              <w:t>业绩</w:t>
            </w:r>
          </w:p>
        </w:tc>
        <w:tc>
          <w:tcPr>
            <w:tcW w:w="6420" w:type="dxa"/>
            <w:tcBorders>
              <w:top w:val="single" w:color="auto" w:sz="4" w:space="0"/>
              <w:left w:val="single" w:color="auto" w:sz="4" w:space="0"/>
              <w:bottom w:val="single" w:color="auto" w:sz="4" w:space="0"/>
              <w:right w:val="single" w:color="auto" w:sz="4" w:space="0"/>
            </w:tcBorders>
            <w:noWrap/>
            <w:vAlign w:val="center"/>
          </w:tcPr>
          <w:p w14:paraId="029D6DF3">
            <w:pPr>
              <w:pStyle w:val="12"/>
              <w:spacing w:after="0" w:line="400" w:lineRule="exact"/>
              <w:jc w:val="left"/>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en-US" w:eastAsia="zh-CN" w:bidi="ar-SA"/>
              </w:rPr>
              <w:t>2022年1月1日至今投标人具有同类滨海湿地调查业绩。每提供1份合同得1分，最高得2分。</w:t>
            </w:r>
          </w:p>
          <w:p w14:paraId="1AB8EB36">
            <w:pPr>
              <w:pStyle w:val="12"/>
              <w:spacing w:after="0" w:line="400" w:lineRule="exact"/>
              <w:jc w:val="left"/>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en-US" w:eastAsia="zh-CN" w:bidi="ar-SA"/>
              </w:rPr>
              <w:t>注：投标人须提供加盖公章的合同扫描件，时间以合同签订时间为准，不提供不得分。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53E5F037">
            <w:pPr>
              <w:adjustRightInd w:val="0"/>
              <w:snapToGrid w:val="0"/>
              <w:spacing w:line="400" w:lineRule="exact"/>
              <w:jc w:val="center"/>
              <w:rPr>
                <w:rFonts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分</w:t>
            </w:r>
          </w:p>
        </w:tc>
      </w:tr>
      <w:tr w14:paraId="6CE2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1C57F2ED">
            <w:pPr>
              <w:pStyle w:val="12"/>
              <w:spacing w:after="0" w:line="400" w:lineRule="exact"/>
              <w:jc w:val="center"/>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en-US" w:eastAsia="zh-CN" w:bidi="ar-SA"/>
              </w:rPr>
              <w:t>投标人实力</w:t>
            </w:r>
          </w:p>
        </w:tc>
        <w:tc>
          <w:tcPr>
            <w:tcW w:w="6420" w:type="dxa"/>
            <w:tcBorders>
              <w:top w:val="single" w:color="auto" w:sz="4" w:space="0"/>
              <w:left w:val="single" w:color="auto" w:sz="4" w:space="0"/>
              <w:bottom w:val="single" w:color="auto" w:sz="4" w:space="0"/>
              <w:right w:val="single" w:color="auto" w:sz="4" w:space="0"/>
            </w:tcBorders>
            <w:noWrap/>
            <w:vAlign w:val="center"/>
          </w:tcPr>
          <w:p w14:paraId="32FE835E">
            <w:pPr>
              <w:pStyle w:val="12"/>
              <w:spacing w:after="0" w:line="400" w:lineRule="exact"/>
              <w:jc w:val="left"/>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eastAsiaTheme="minorEastAsia"/>
                <w:color w:val="000000"/>
                <w:kern w:val="2"/>
                <w:sz w:val="21"/>
                <w:szCs w:val="24"/>
                <w:highlight w:val="none"/>
                <w:lang w:val="en-US" w:eastAsia="zh-CN" w:bidi="ar-SA"/>
              </w:rPr>
              <w:t>2022年1月1日至今投标人具有地形测绘、外业核查、国土空间规划或土地整治相关自主知识产权。每个得1分，最高得2分。</w:t>
            </w:r>
          </w:p>
          <w:p w14:paraId="37A07482">
            <w:pPr>
              <w:pStyle w:val="12"/>
              <w:spacing w:after="0" w:line="400" w:lineRule="exact"/>
              <w:jc w:val="left"/>
              <w:rPr>
                <w:rFonts w:hint="eastAsia" w:ascii="宋体" w:hAnsi="宋体" w:cs="宋体" w:eastAsiaTheme="minorEastAsia"/>
                <w:color w:val="000000"/>
                <w:kern w:val="2"/>
                <w:sz w:val="21"/>
                <w:szCs w:val="24"/>
                <w:highlight w:val="yellow"/>
                <w:lang w:val="en-US" w:eastAsia="zh-CN" w:bidi="ar-SA"/>
              </w:rPr>
            </w:pPr>
            <w:r>
              <w:rPr>
                <w:rFonts w:hint="eastAsia" w:ascii="宋体" w:hAnsi="宋体" w:cs="宋体" w:eastAsiaTheme="minorEastAsia"/>
                <w:color w:val="000000"/>
                <w:kern w:val="2"/>
                <w:sz w:val="21"/>
                <w:szCs w:val="24"/>
                <w:highlight w:val="none"/>
                <w:lang w:val="en-US" w:eastAsia="zh-CN" w:bidi="ar-SA"/>
              </w:rPr>
              <w:t>注：投标人须提供知识产权证书扫描件等证明材料并加盖公章，不提供不得分。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330DBF97">
            <w:pPr>
              <w:adjustRightInd w:val="0"/>
              <w:snapToGrid w:val="0"/>
              <w:spacing w:line="400" w:lineRule="exact"/>
              <w:jc w:val="center"/>
              <w:rPr>
                <w:rFonts w:hint="default" w:ascii="宋体" w:hAnsi="宋体" w:cs="宋体"/>
                <w:color w:val="000000"/>
                <w:highlight w:val="yellow"/>
                <w:lang w:val="en-US" w:eastAsia="zh-CN"/>
              </w:rPr>
            </w:pPr>
            <w:r>
              <w:rPr>
                <w:rFonts w:hint="eastAsia" w:ascii="宋体" w:hAnsi="宋体" w:cs="宋体"/>
                <w:color w:val="000000"/>
                <w:highlight w:val="none"/>
                <w:lang w:val="en-US" w:eastAsia="zh-CN"/>
              </w:rPr>
              <w:t>2分</w:t>
            </w:r>
          </w:p>
        </w:tc>
      </w:tr>
      <w:tr w14:paraId="642D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172E673F">
            <w:pPr>
              <w:pStyle w:val="12"/>
              <w:spacing w:after="0" w:line="400" w:lineRule="exact"/>
              <w:jc w:val="center"/>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en-US" w:eastAsia="zh-CN" w:bidi="ar-SA"/>
              </w:rPr>
              <w:t>项目人员配置</w:t>
            </w:r>
          </w:p>
        </w:tc>
        <w:tc>
          <w:tcPr>
            <w:tcW w:w="6420" w:type="dxa"/>
            <w:tcBorders>
              <w:top w:val="single" w:color="auto" w:sz="4" w:space="0"/>
              <w:left w:val="single" w:color="auto" w:sz="4" w:space="0"/>
              <w:bottom w:val="single" w:color="auto" w:sz="4" w:space="0"/>
              <w:right w:val="single" w:color="auto" w:sz="4" w:space="0"/>
            </w:tcBorders>
            <w:noWrap/>
            <w:vAlign w:val="center"/>
          </w:tcPr>
          <w:p w14:paraId="360D4EB1">
            <w:pPr>
              <w:pStyle w:val="12"/>
              <w:numPr>
                <w:ilvl w:val="0"/>
                <w:numId w:val="13"/>
              </w:numPr>
              <w:spacing w:after="0" w:line="400" w:lineRule="exact"/>
              <w:jc w:val="left"/>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zh-CN" w:eastAsia="zh-CN" w:bidi="ar-SA"/>
              </w:rPr>
              <w:t>项目负责人具有遥感或地理方向高级</w:t>
            </w:r>
            <w:r>
              <w:rPr>
                <w:rFonts w:hint="eastAsia" w:ascii="宋体" w:hAnsi="宋体" w:cs="宋体" w:eastAsiaTheme="minorEastAsia"/>
                <w:color w:val="000000"/>
                <w:kern w:val="2"/>
                <w:sz w:val="21"/>
                <w:szCs w:val="24"/>
                <w:lang w:val="en-US" w:eastAsia="zh-CN" w:bidi="ar-SA"/>
              </w:rPr>
              <w:t>职称的</w:t>
            </w:r>
            <w:r>
              <w:rPr>
                <w:rFonts w:hint="eastAsia" w:ascii="宋体" w:hAnsi="宋体" w:cs="宋体" w:eastAsiaTheme="minorEastAsia"/>
                <w:color w:val="000000"/>
                <w:kern w:val="2"/>
                <w:sz w:val="21"/>
                <w:szCs w:val="24"/>
                <w:lang w:val="zh-CN" w:eastAsia="zh-CN" w:bidi="ar-SA"/>
              </w:rPr>
              <w:t>得</w:t>
            </w:r>
            <w:r>
              <w:rPr>
                <w:rFonts w:hint="eastAsia" w:ascii="宋体" w:hAnsi="宋体" w:cs="宋体" w:eastAsiaTheme="minorEastAsia"/>
                <w:color w:val="000000"/>
                <w:kern w:val="2"/>
                <w:sz w:val="21"/>
                <w:szCs w:val="24"/>
                <w:lang w:val="en-US" w:eastAsia="zh-CN" w:bidi="ar-SA"/>
              </w:rPr>
              <w:t>2</w:t>
            </w:r>
            <w:r>
              <w:rPr>
                <w:rFonts w:hint="eastAsia" w:ascii="宋体" w:hAnsi="宋体" w:cs="宋体" w:eastAsiaTheme="minorEastAsia"/>
                <w:color w:val="000000"/>
                <w:kern w:val="2"/>
                <w:sz w:val="21"/>
                <w:szCs w:val="24"/>
                <w:lang w:val="zh-CN" w:eastAsia="zh-CN" w:bidi="ar-SA"/>
              </w:rPr>
              <w:t>分；</w:t>
            </w:r>
          </w:p>
          <w:p w14:paraId="7E73CBAB">
            <w:pPr>
              <w:pStyle w:val="12"/>
              <w:spacing w:after="0" w:line="400" w:lineRule="exact"/>
              <w:jc w:val="left"/>
              <w:rPr>
                <w:rFonts w:hint="eastAsia" w:ascii="宋体" w:hAnsi="宋体" w:cs="宋体" w:eastAsiaTheme="minorEastAsia"/>
                <w:color w:val="000000"/>
                <w:kern w:val="2"/>
                <w:sz w:val="21"/>
                <w:szCs w:val="24"/>
                <w:lang w:val="zh-CN" w:eastAsia="zh-CN" w:bidi="ar-SA"/>
              </w:rPr>
            </w:pPr>
            <w:r>
              <w:rPr>
                <w:rFonts w:hint="eastAsia" w:ascii="宋体" w:hAnsi="宋体" w:cs="宋体" w:eastAsiaTheme="minorEastAsia"/>
                <w:color w:val="000000"/>
                <w:kern w:val="2"/>
                <w:sz w:val="21"/>
                <w:szCs w:val="24"/>
                <w:lang w:val="en-US" w:eastAsia="zh-CN" w:bidi="ar-SA"/>
              </w:rPr>
              <w:t>注：</w:t>
            </w:r>
            <w:r>
              <w:rPr>
                <w:rFonts w:hint="eastAsia" w:ascii="宋体" w:hAnsi="宋体" w:cs="宋体" w:eastAsiaTheme="minorEastAsia"/>
                <w:color w:val="000000"/>
                <w:kern w:val="2"/>
                <w:sz w:val="21"/>
                <w:szCs w:val="24"/>
                <w:lang w:val="zh-CN" w:eastAsia="zh-CN" w:bidi="ar-SA"/>
              </w:rPr>
              <w:t>需提供职称证书扫描件，不提供不得分。</w:t>
            </w:r>
          </w:p>
          <w:p w14:paraId="120AA621">
            <w:pPr>
              <w:pStyle w:val="12"/>
              <w:numPr>
                <w:ilvl w:val="0"/>
                <w:numId w:val="13"/>
              </w:numPr>
              <w:spacing w:after="0" w:line="400" w:lineRule="exact"/>
              <w:jc w:val="left"/>
              <w:rPr>
                <w:rFonts w:hint="eastAsia" w:ascii="宋体" w:hAnsi="宋体" w:cs="宋体" w:eastAsiaTheme="minorEastAsia"/>
                <w:color w:val="000000"/>
                <w:kern w:val="2"/>
                <w:sz w:val="21"/>
                <w:szCs w:val="24"/>
                <w:lang w:val="zh-CN" w:eastAsia="zh-CN" w:bidi="ar-SA"/>
              </w:rPr>
            </w:pPr>
            <w:r>
              <w:rPr>
                <w:rFonts w:hint="eastAsia" w:ascii="宋体" w:hAnsi="宋体" w:cs="宋体" w:eastAsiaTheme="minorEastAsia"/>
                <w:color w:val="000000"/>
                <w:kern w:val="2"/>
                <w:sz w:val="21"/>
                <w:szCs w:val="24"/>
                <w:lang w:val="zh-CN" w:eastAsia="zh-CN" w:bidi="ar-SA"/>
              </w:rPr>
              <w:t>投入的其他项目组成员中（项目负责人除外）：具备海洋类、遥感类、测绘类、土地管理或土地规划工程师中级及以上职称一名得1分，最高得5分；</w:t>
            </w:r>
          </w:p>
          <w:p w14:paraId="72378B67">
            <w:pPr>
              <w:pStyle w:val="12"/>
              <w:spacing w:after="0" w:line="400" w:lineRule="exact"/>
              <w:jc w:val="left"/>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en-US" w:eastAsia="zh-CN" w:bidi="ar-SA"/>
              </w:rPr>
              <w:t>注：</w:t>
            </w:r>
            <w:r>
              <w:rPr>
                <w:rFonts w:hint="eastAsia" w:ascii="宋体" w:hAnsi="宋体" w:cs="宋体" w:eastAsiaTheme="minorEastAsia"/>
                <w:color w:val="000000"/>
                <w:kern w:val="2"/>
                <w:sz w:val="21"/>
                <w:szCs w:val="24"/>
                <w:lang w:val="zh-CN" w:eastAsia="zh-CN" w:bidi="ar-SA"/>
              </w:rPr>
              <w:t>一人一证，需提供</w:t>
            </w:r>
            <w:r>
              <w:rPr>
                <w:rFonts w:hint="eastAsia" w:ascii="宋体" w:hAnsi="宋体" w:cs="宋体" w:eastAsiaTheme="minorEastAsia"/>
                <w:color w:val="000000"/>
                <w:kern w:val="2"/>
                <w:sz w:val="21"/>
                <w:szCs w:val="24"/>
                <w:lang w:val="en-US" w:eastAsia="zh-CN" w:bidi="ar-SA"/>
              </w:rPr>
              <w:t>相关证书</w:t>
            </w:r>
            <w:r>
              <w:rPr>
                <w:rFonts w:hint="eastAsia" w:ascii="宋体" w:hAnsi="宋体" w:cs="宋体" w:eastAsiaTheme="minorEastAsia"/>
                <w:color w:val="000000"/>
                <w:kern w:val="2"/>
                <w:sz w:val="21"/>
                <w:szCs w:val="24"/>
                <w:lang w:val="zh-CN" w:eastAsia="zh-CN" w:bidi="ar-SA"/>
              </w:rPr>
              <w:t>扫描件并加盖公章，项目负责人及其他项目组成员须为本单位在职职工（不包括离、退休返聘人员），须提供最近连续6个月缴费期限的投标单位所属社保机构养老保险缴纳清单或证明（缴费单位和投标单位名称必须一致），不提供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2DFB6BFD">
            <w:pPr>
              <w:adjustRightInd w:val="0"/>
              <w:snapToGrid w:val="0"/>
              <w:spacing w:line="400" w:lineRule="exact"/>
              <w:jc w:val="center"/>
              <w:rPr>
                <w:rFonts w:ascii="宋体" w:hAnsi="宋体" w:cs="宋体"/>
                <w:color w:val="000000"/>
              </w:rPr>
            </w:pPr>
            <w:r>
              <w:rPr>
                <w:rFonts w:hint="eastAsia" w:ascii="宋体" w:hAnsi="宋体" w:cs="宋体"/>
                <w:color w:val="000000"/>
                <w:lang w:val="en-US" w:eastAsia="zh-CN"/>
              </w:rPr>
              <w:t>7</w:t>
            </w:r>
            <w:r>
              <w:rPr>
                <w:rFonts w:hint="eastAsia" w:ascii="宋体" w:hAnsi="宋体" w:cs="宋体"/>
                <w:color w:val="000000"/>
              </w:rPr>
              <w:t>分</w:t>
            </w:r>
          </w:p>
        </w:tc>
      </w:tr>
      <w:tr w14:paraId="07D0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498AA98A">
            <w:pPr>
              <w:pStyle w:val="12"/>
              <w:spacing w:after="0" w:line="400" w:lineRule="exact"/>
              <w:jc w:val="center"/>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en-US" w:eastAsia="zh-CN" w:bidi="ar-SA"/>
              </w:rPr>
              <w:t>设备配置情况</w:t>
            </w:r>
          </w:p>
        </w:tc>
        <w:tc>
          <w:tcPr>
            <w:tcW w:w="6420" w:type="dxa"/>
            <w:tcBorders>
              <w:top w:val="single" w:color="auto" w:sz="4" w:space="0"/>
              <w:left w:val="single" w:color="auto" w:sz="4" w:space="0"/>
              <w:bottom w:val="single" w:color="auto" w:sz="4" w:space="0"/>
              <w:right w:val="single" w:color="auto" w:sz="4" w:space="0"/>
            </w:tcBorders>
            <w:noWrap/>
            <w:vAlign w:val="center"/>
          </w:tcPr>
          <w:p w14:paraId="493117D3">
            <w:pPr>
              <w:pStyle w:val="12"/>
              <w:numPr>
                <w:ilvl w:val="0"/>
                <w:numId w:val="14"/>
              </w:numPr>
              <w:spacing w:after="0" w:line="400" w:lineRule="exact"/>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en-US" w:eastAsia="zh-CN" w:bidi="ar-SA"/>
              </w:rPr>
              <w:t>投标人具有与本项目相关专业市级重点实验室平台的得2分，省级以上重点实验室平台得4分，最高4分；</w:t>
            </w:r>
          </w:p>
          <w:p w14:paraId="11A7EF47">
            <w:pPr>
              <w:pStyle w:val="12"/>
              <w:spacing w:after="0" w:line="400" w:lineRule="exact"/>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en-US" w:eastAsia="zh-CN" w:bidi="ar-SA"/>
              </w:rPr>
              <w:t>（2）投标人对本项目所投入的无人机及挂载（激光雷达、高分辨率相机）每提供一架得2分，最高得4分；</w:t>
            </w:r>
          </w:p>
          <w:p w14:paraId="477F228F">
            <w:pPr>
              <w:pStyle w:val="12"/>
              <w:spacing w:after="0" w:line="400" w:lineRule="exact"/>
              <w:jc w:val="left"/>
              <w:rPr>
                <w:rFonts w:hint="eastAsia" w:ascii="宋体" w:hAnsi="宋体" w:cs="宋体" w:eastAsiaTheme="minorEastAsia"/>
                <w:color w:val="000000"/>
                <w:kern w:val="2"/>
                <w:sz w:val="21"/>
                <w:szCs w:val="24"/>
                <w:lang w:val="en-US" w:eastAsia="zh-CN" w:bidi="ar-SA"/>
              </w:rPr>
            </w:pPr>
            <w:r>
              <w:rPr>
                <w:rFonts w:hint="eastAsia" w:ascii="宋体" w:hAnsi="宋体" w:cs="宋体" w:eastAsiaTheme="minorEastAsia"/>
                <w:color w:val="000000"/>
                <w:kern w:val="2"/>
                <w:sz w:val="21"/>
                <w:szCs w:val="24"/>
                <w:lang w:val="en-US" w:eastAsia="zh-CN" w:bidi="ar-SA"/>
              </w:rPr>
              <w:t>注：提供有效的证书扫描件及购买发票或租赁合同原件扫描件并加盖公章（无人机必须经过国家民航局实名认证），不提供不得分。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65348F96">
            <w:pPr>
              <w:adjustRightInd w:val="0"/>
              <w:snapToGrid w:val="0"/>
              <w:spacing w:line="400" w:lineRule="exact"/>
              <w:jc w:val="center"/>
              <w:rPr>
                <w:rFonts w:ascii="宋体" w:hAnsi="宋体" w:cs="宋体"/>
                <w:color w:val="000000"/>
              </w:rPr>
            </w:pPr>
            <w:r>
              <w:rPr>
                <w:rFonts w:hint="eastAsia" w:ascii="宋体" w:hAnsi="宋体" w:cs="宋体"/>
                <w:color w:val="000000"/>
              </w:rPr>
              <w:t>8分</w:t>
            </w:r>
          </w:p>
        </w:tc>
      </w:tr>
      <w:tr w14:paraId="721D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580" w:type="dxa"/>
            <w:gridSpan w:val="3"/>
            <w:tcBorders>
              <w:top w:val="single" w:color="auto" w:sz="4" w:space="0"/>
              <w:left w:val="single" w:color="auto" w:sz="4" w:space="0"/>
              <w:bottom w:val="single" w:color="auto" w:sz="4" w:space="0"/>
              <w:right w:val="single" w:color="auto" w:sz="4" w:space="0"/>
            </w:tcBorders>
            <w:noWrap/>
            <w:vAlign w:val="center"/>
          </w:tcPr>
          <w:p w14:paraId="61AAE923">
            <w:pPr>
              <w:adjustRightInd w:val="0"/>
              <w:snapToGrid w:val="0"/>
              <w:spacing w:line="400" w:lineRule="exact"/>
              <w:jc w:val="left"/>
              <w:rPr>
                <w:rFonts w:ascii="宋体" w:hAnsi="宋体" w:cs="宋体"/>
                <w:b/>
                <w:bCs/>
                <w:color w:val="000000"/>
              </w:rPr>
            </w:pPr>
            <w:r>
              <w:rPr>
                <w:rFonts w:hint="eastAsia" w:ascii="宋体" w:hAnsi="宋体" w:cs="宋体"/>
                <w:b/>
                <w:bCs/>
                <w:color w:val="000000"/>
                <w:highlight w:val="none"/>
              </w:rPr>
              <w:t>技术部分（5</w:t>
            </w:r>
            <w:r>
              <w:rPr>
                <w:rFonts w:hint="eastAsia" w:ascii="宋体" w:hAnsi="宋体" w:cs="宋体"/>
                <w:b/>
                <w:bCs/>
                <w:color w:val="000000"/>
                <w:highlight w:val="none"/>
                <w:lang w:val="en-US" w:eastAsia="zh-CN"/>
              </w:rPr>
              <w:t>8</w:t>
            </w:r>
            <w:r>
              <w:rPr>
                <w:rFonts w:hint="eastAsia" w:ascii="宋体" w:hAnsi="宋体" w:cs="宋体"/>
                <w:b/>
                <w:bCs/>
                <w:color w:val="000000"/>
                <w:highlight w:val="none"/>
              </w:rPr>
              <w:t>分）</w:t>
            </w:r>
          </w:p>
        </w:tc>
      </w:tr>
      <w:tr w14:paraId="396D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right w:val="single" w:color="auto" w:sz="4" w:space="0"/>
            </w:tcBorders>
            <w:noWrap/>
            <w:vAlign w:val="center"/>
          </w:tcPr>
          <w:p w14:paraId="5940DB54">
            <w:pPr>
              <w:adjustRightInd w:val="0"/>
              <w:snapToGrid w:val="0"/>
              <w:spacing w:line="400" w:lineRule="exact"/>
              <w:jc w:val="center"/>
              <w:rPr>
                <w:rFonts w:hint="eastAsia" w:ascii="宋体" w:hAnsi="宋体" w:cs="宋体" w:eastAsiaTheme="minorEastAsia"/>
                <w:color w:val="000000"/>
                <w:kern w:val="2"/>
                <w:sz w:val="21"/>
                <w:szCs w:val="24"/>
                <w:lang w:val="en-US" w:eastAsia="zh-CN" w:bidi="ar-SA"/>
              </w:rPr>
            </w:pPr>
            <w:r>
              <w:rPr>
                <w:rFonts w:hint="eastAsia" w:ascii="宋体" w:hAnsi="宋体" w:cs="宋体"/>
                <w:color w:val="000000"/>
              </w:rPr>
              <w:t>调查实施方案</w:t>
            </w:r>
          </w:p>
        </w:tc>
        <w:tc>
          <w:tcPr>
            <w:tcW w:w="6420" w:type="dxa"/>
            <w:tcBorders>
              <w:top w:val="single" w:color="auto" w:sz="4" w:space="0"/>
              <w:left w:val="single" w:color="auto" w:sz="4" w:space="0"/>
              <w:bottom w:val="single" w:color="auto" w:sz="4" w:space="0"/>
              <w:right w:val="single" w:color="auto" w:sz="4" w:space="0"/>
            </w:tcBorders>
            <w:noWrap/>
            <w:vAlign w:val="center"/>
          </w:tcPr>
          <w:p w14:paraId="58B4DFC1">
            <w:pPr>
              <w:widowControl/>
              <w:spacing w:line="400" w:lineRule="exact"/>
              <w:jc w:val="left"/>
              <w:rPr>
                <w:rFonts w:ascii="宋体" w:hAnsi="宋体" w:cs="宋体"/>
                <w:color w:val="000000"/>
              </w:rPr>
            </w:pPr>
            <w:r>
              <w:rPr>
                <w:rFonts w:hint="eastAsia" w:ascii="宋体" w:hAnsi="宋体" w:cs="宋体"/>
                <w:b/>
                <w:bCs/>
                <w:color w:val="000000"/>
              </w:rPr>
              <w:t>总体方案</w:t>
            </w:r>
            <w:r>
              <w:rPr>
                <w:rFonts w:hint="eastAsia" w:ascii="宋体" w:hAnsi="宋体" w:cs="宋体"/>
                <w:color w:val="000000"/>
              </w:rPr>
              <w:t>：</w:t>
            </w:r>
            <w:r>
              <w:rPr>
                <w:rFonts w:hint="eastAsia" w:ascii="宋体" w:hAnsi="宋体" w:eastAsia="宋体" w:cs="宋体"/>
                <w:color w:val="000000"/>
                <w:sz w:val="21"/>
                <w:szCs w:val="21"/>
              </w:rPr>
              <w:t>包括不限于方案实施步骤、 实施方法、实施手段、工作时间进度表、工作程序和步骤、管理和协调方法、关键步骤的思路和要点等</w:t>
            </w:r>
            <w:r>
              <w:rPr>
                <w:rFonts w:hint="eastAsia" w:ascii="宋体" w:hAnsi="宋体" w:cs="宋体"/>
                <w:color w:val="000000"/>
              </w:rPr>
              <w:t>。</w:t>
            </w:r>
          </w:p>
          <w:p w14:paraId="48C90A81">
            <w:pPr>
              <w:widowControl/>
              <w:numPr>
                <w:ilvl w:val="0"/>
                <w:numId w:val="0"/>
              </w:numPr>
              <w:spacing w:line="400" w:lineRule="exact"/>
              <w:ind w:leftChars="0"/>
              <w:jc w:val="left"/>
              <w:rPr>
                <w:rFonts w:ascii="宋体" w:hAnsi="宋体" w:cs="宋体"/>
                <w:color w:val="000000"/>
              </w:rPr>
            </w:pPr>
            <w:r>
              <w:rPr>
                <w:rFonts w:hint="eastAsia" w:ascii="宋体" w:hAnsi="宋体" w:cs="宋体"/>
                <w:b/>
                <w:bCs/>
                <w:color w:val="000000"/>
              </w:rPr>
              <w:t>实地调查方案（0-</w:t>
            </w:r>
            <w:r>
              <w:rPr>
                <w:rFonts w:hint="eastAsia" w:ascii="宋体" w:hAnsi="宋体" w:cs="宋体"/>
                <w:b/>
                <w:bCs/>
                <w:color w:val="000000"/>
                <w:lang w:val="en-US" w:eastAsia="zh-CN"/>
              </w:rPr>
              <w:t>7</w:t>
            </w:r>
            <w:r>
              <w:rPr>
                <w:rFonts w:hint="eastAsia" w:ascii="宋体" w:hAnsi="宋体" w:cs="宋体"/>
                <w:b/>
                <w:bCs/>
                <w:color w:val="000000"/>
              </w:rPr>
              <w:t>分）</w:t>
            </w:r>
            <w:r>
              <w:rPr>
                <w:rFonts w:hint="eastAsia" w:ascii="宋体" w:hAnsi="宋体" w:cs="宋体"/>
                <w:color w:val="000000"/>
              </w:rPr>
              <w:t>：</w:t>
            </w:r>
          </w:p>
          <w:p w14:paraId="3E51E5B4">
            <w:pPr>
              <w:widowControl/>
              <w:spacing w:line="400" w:lineRule="exact"/>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方案完整全面合理、具有可操作性的得</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p w14:paraId="260A6286">
            <w:pPr>
              <w:widowControl/>
              <w:spacing w:line="400" w:lineRule="exact"/>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方案基本完整、具有一定可操作性的得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p w14:paraId="48B7FC4F">
            <w:pPr>
              <w:widowControl/>
              <w:spacing w:line="400" w:lineRule="exact"/>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方案不够完整、内容欠缺、缺乏可操作性的得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p w14:paraId="2C661206">
            <w:pPr>
              <w:widowControl/>
              <w:spacing w:line="400" w:lineRule="exact"/>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方案简单敷衍的得1分；</w:t>
            </w:r>
          </w:p>
          <w:p w14:paraId="33F648E8">
            <w:pPr>
              <w:widowControl/>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未提供不得分</w:t>
            </w:r>
            <w:r>
              <w:rPr>
                <w:rFonts w:hint="eastAsia" w:ascii="宋体" w:hAnsi="宋体" w:eastAsia="宋体" w:cs="宋体"/>
                <w:color w:val="000000"/>
                <w:sz w:val="21"/>
                <w:szCs w:val="21"/>
              </w:rPr>
              <w:t>。</w:t>
            </w:r>
          </w:p>
          <w:p w14:paraId="7EF8A52D">
            <w:pPr>
              <w:widowControl/>
              <w:numPr>
                <w:ilvl w:val="0"/>
                <w:numId w:val="0"/>
              </w:numPr>
              <w:spacing w:line="400" w:lineRule="exact"/>
              <w:ind w:leftChars="0"/>
              <w:jc w:val="left"/>
              <w:rPr>
                <w:rFonts w:hint="eastAsia" w:ascii="宋体" w:hAnsi="宋体" w:cs="宋体"/>
                <w:color w:val="000000"/>
              </w:rPr>
            </w:pPr>
            <w:r>
              <w:rPr>
                <w:rFonts w:hint="eastAsia" w:ascii="宋体" w:hAnsi="宋体" w:cs="宋体"/>
                <w:b/>
                <w:bCs/>
                <w:color w:val="000000"/>
              </w:rPr>
              <w:t>遥感监测方案（0-</w:t>
            </w:r>
            <w:r>
              <w:rPr>
                <w:rFonts w:hint="eastAsia" w:ascii="宋体" w:hAnsi="宋体" w:cs="宋体"/>
                <w:b/>
                <w:bCs/>
                <w:color w:val="000000"/>
                <w:lang w:val="en-US" w:eastAsia="zh-CN"/>
              </w:rPr>
              <w:t>7</w:t>
            </w:r>
            <w:r>
              <w:rPr>
                <w:rFonts w:hint="eastAsia" w:ascii="宋体" w:hAnsi="宋体" w:cs="宋体"/>
                <w:b/>
                <w:bCs/>
                <w:color w:val="000000"/>
              </w:rPr>
              <w:t>分）</w:t>
            </w:r>
            <w:r>
              <w:rPr>
                <w:rFonts w:hint="eastAsia" w:ascii="宋体" w:hAnsi="宋体" w:cs="宋体"/>
                <w:color w:val="000000"/>
              </w:rPr>
              <w:t>：</w:t>
            </w:r>
          </w:p>
          <w:p w14:paraId="31A7AF2F">
            <w:pPr>
              <w:widowControl/>
              <w:numPr>
                <w:ilvl w:val="0"/>
                <w:numId w:val="0"/>
              </w:numPr>
              <w:spacing w:line="400" w:lineRule="exact"/>
              <w:ind w:leftChars="0"/>
              <w:jc w:val="left"/>
              <w:rPr>
                <w:rFonts w:hint="eastAsia" w:ascii="宋体" w:hAnsi="宋体" w:cs="宋体"/>
                <w:color w:val="000000"/>
                <w:lang w:eastAsia="zh-CN"/>
              </w:rPr>
            </w:pPr>
            <w:r>
              <w:rPr>
                <w:rFonts w:hint="eastAsia" w:ascii="宋体" w:hAnsi="宋体" w:cs="宋体"/>
                <w:color w:val="000000"/>
              </w:rPr>
              <w:t>方案完整全面合理、具有可操作性的得</w:t>
            </w:r>
            <w:r>
              <w:rPr>
                <w:rFonts w:hint="eastAsia" w:ascii="宋体" w:hAnsi="宋体" w:cs="宋体"/>
                <w:color w:val="000000"/>
                <w:lang w:val="en-US" w:eastAsia="zh-CN"/>
              </w:rPr>
              <w:t>7</w:t>
            </w:r>
            <w:r>
              <w:rPr>
                <w:rFonts w:hint="eastAsia" w:ascii="宋体" w:hAnsi="宋体" w:cs="宋体"/>
                <w:color w:val="000000"/>
              </w:rPr>
              <w:t>分</w:t>
            </w:r>
            <w:r>
              <w:rPr>
                <w:rFonts w:hint="eastAsia" w:ascii="宋体" w:hAnsi="宋体" w:cs="宋体"/>
                <w:color w:val="000000"/>
                <w:lang w:eastAsia="zh-CN"/>
              </w:rPr>
              <w:t>；</w:t>
            </w:r>
          </w:p>
          <w:p w14:paraId="745E3F7B">
            <w:pPr>
              <w:widowControl/>
              <w:numPr>
                <w:ilvl w:val="0"/>
                <w:numId w:val="0"/>
              </w:numPr>
              <w:spacing w:line="400" w:lineRule="exact"/>
              <w:ind w:leftChars="0"/>
              <w:jc w:val="left"/>
              <w:rPr>
                <w:rFonts w:hint="eastAsia" w:ascii="宋体" w:hAnsi="宋体" w:cs="宋体"/>
                <w:color w:val="000000"/>
                <w:lang w:eastAsia="zh-CN"/>
              </w:rPr>
            </w:pPr>
            <w:r>
              <w:rPr>
                <w:rFonts w:hint="eastAsia" w:ascii="宋体" w:hAnsi="宋体" w:cs="宋体"/>
                <w:color w:val="000000"/>
              </w:rPr>
              <w:t>方案基本完整、具有一定可操作性的得</w:t>
            </w:r>
            <w:r>
              <w:rPr>
                <w:rFonts w:hint="eastAsia" w:ascii="宋体" w:hAnsi="宋体" w:cs="宋体"/>
                <w:color w:val="000000"/>
                <w:lang w:val="en-US" w:eastAsia="zh-CN"/>
              </w:rPr>
              <w:t>5</w:t>
            </w:r>
            <w:r>
              <w:rPr>
                <w:rFonts w:hint="eastAsia" w:ascii="宋体" w:hAnsi="宋体" w:cs="宋体"/>
                <w:color w:val="000000"/>
              </w:rPr>
              <w:t>分</w:t>
            </w:r>
            <w:r>
              <w:rPr>
                <w:rFonts w:hint="eastAsia" w:ascii="宋体" w:hAnsi="宋体" w:cs="宋体"/>
                <w:color w:val="000000"/>
                <w:lang w:eastAsia="zh-CN"/>
              </w:rPr>
              <w:t>；</w:t>
            </w:r>
          </w:p>
          <w:p w14:paraId="5D962277">
            <w:pPr>
              <w:widowControl/>
              <w:numPr>
                <w:ilvl w:val="0"/>
                <w:numId w:val="0"/>
              </w:numPr>
              <w:spacing w:line="400" w:lineRule="exact"/>
              <w:ind w:leftChars="0"/>
              <w:jc w:val="left"/>
              <w:rPr>
                <w:rFonts w:hint="eastAsia" w:ascii="宋体" w:hAnsi="宋体" w:cs="宋体"/>
                <w:color w:val="000000"/>
                <w:lang w:eastAsia="zh-CN"/>
              </w:rPr>
            </w:pPr>
            <w:r>
              <w:rPr>
                <w:rFonts w:hint="eastAsia" w:ascii="宋体" w:hAnsi="宋体" w:cs="宋体"/>
                <w:color w:val="000000"/>
              </w:rPr>
              <w:t>方案不够完整、内容欠缺、缺乏可操作性的得</w:t>
            </w:r>
            <w:r>
              <w:rPr>
                <w:rFonts w:hint="eastAsia" w:ascii="宋体" w:hAnsi="宋体" w:cs="宋体"/>
                <w:color w:val="000000"/>
                <w:lang w:val="en-US" w:eastAsia="zh-CN"/>
              </w:rPr>
              <w:t>3</w:t>
            </w:r>
            <w:r>
              <w:rPr>
                <w:rFonts w:hint="eastAsia" w:ascii="宋体" w:hAnsi="宋体" w:cs="宋体"/>
                <w:color w:val="000000"/>
              </w:rPr>
              <w:t>分</w:t>
            </w:r>
            <w:r>
              <w:rPr>
                <w:rFonts w:hint="eastAsia" w:ascii="宋体" w:hAnsi="宋体" w:cs="宋体"/>
                <w:color w:val="000000"/>
                <w:lang w:eastAsia="zh-CN"/>
              </w:rPr>
              <w:t>；</w:t>
            </w:r>
          </w:p>
          <w:p w14:paraId="2C1E3D96">
            <w:pPr>
              <w:widowControl/>
              <w:numPr>
                <w:ilvl w:val="0"/>
                <w:numId w:val="0"/>
              </w:numPr>
              <w:spacing w:line="400" w:lineRule="exact"/>
              <w:ind w:leftChars="0"/>
              <w:jc w:val="left"/>
              <w:rPr>
                <w:rFonts w:hint="eastAsia" w:ascii="宋体" w:hAnsi="宋体" w:cs="宋体"/>
                <w:color w:val="000000"/>
                <w:lang w:eastAsia="zh-CN"/>
              </w:rPr>
            </w:pPr>
            <w:r>
              <w:rPr>
                <w:rFonts w:hint="eastAsia" w:ascii="宋体" w:hAnsi="宋体" w:cs="宋体"/>
                <w:color w:val="000000"/>
                <w:lang w:val="en-US" w:eastAsia="zh-CN"/>
              </w:rPr>
              <w:t>方案简单敷衍的得1分；</w:t>
            </w:r>
          </w:p>
          <w:p w14:paraId="23AE706E">
            <w:pPr>
              <w:widowControl/>
              <w:numPr>
                <w:ilvl w:val="0"/>
                <w:numId w:val="0"/>
              </w:numPr>
              <w:spacing w:line="400" w:lineRule="exact"/>
              <w:ind w:leftChars="0"/>
              <w:jc w:val="left"/>
              <w:rPr>
                <w:rFonts w:ascii="宋体" w:hAnsi="宋体" w:cs="宋体"/>
                <w:color w:val="000000"/>
              </w:rPr>
            </w:pPr>
            <w:r>
              <w:rPr>
                <w:rFonts w:hint="eastAsia" w:ascii="宋体" w:hAnsi="宋体" w:cs="宋体"/>
                <w:color w:val="000000"/>
                <w:lang w:val="en-US" w:eastAsia="zh-CN"/>
              </w:rPr>
              <w:t>未提供不得分</w:t>
            </w:r>
            <w:r>
              <w:rPr>
                <w:rFonts w:hint="eastAsia" w:ascii="宋体" w:hAnsi="宋体" w:cs="宋体"/>
                <w:color w:val="000000"/>
              </w:rPr>
              <w:t>。</w:t>
            </w:r>
          </w:p>
          <w:p w14:paraId="525D2CB7">
            <w:pPr>
              <w:numPr>
                <w:ilvl w:val="0"/>
                <w:numId w:val="0"/>
              </w:numPr>
              <w:autoSpaceDE w:val="0"/>
              <w:autoSpaceDN w:val="0"/>
              <w:spacing w:line="400" w:lineRule="exact"/>
              <w:ind w:leftChars="0"/>
              <w:rPr>
                <w:rFonts w:hint="eastAsia" w:ascii="宋体" w:hAnsi="宋体" w:cs="宋体"/>
                <w:b/>
                <w:bCs/>
                <w:color w:val="000000"/>
                <w:lang w:val="en-US" w:eastAsia="zh-CN"/>
              </w:rPr>
            </w:pPr>
            <w:r>
              <w:rPr>
                <w:rFonts w:hint="eastAsia" w:ascii="宋体" w:hAnsi="宋体" w:cs="宋体"/>
                <w:b/>
                <w:bCs/>
                <w:color w:val="000000"/>
                <w:lang w:val="en-US" w:eastAsia="zh-CN"/>
              </w:rPr>
              <w:t>工作进度方案（0-7）：</w:t>
            </w:r>
          </w:p>
          <w:p w14:paraId="41916B2B">
            <w:pPr>
              <w:numPr>
                <w:ilvl w:val="0"/>
                <w:numId w:val="0"/>
              </w:numPr>
              <w:autoSpaceDE w:val="0"/>
              <w:autoSpaceDN w:val="0"/>
              <w:spacing w:line="400" w:lineRule="exact"/>
              <w:ind w:leftChars="0"/>
              <w:rPr>
                <w:rFonts w:hint="eastAsia"/>
                <w:highlight w:val="none"/>
                <w:lang w:val="zh-Hans"/>
              </w:rPr>
            </w:pPr>
            <w:r>
              <w:rPr>
                <w:rFonts w:hint="eastAsia"/>
                <w:highlight w:val="none"/>
                <w:lang w:val="zh-Hans"/>
              </w:rPr>
              <w:t>工作计划安排内容非常充实，能结合项目实际，表述清晰，合理可行的，得</w:t>
            </w:r>
            <w:r>
              <w:rPr>
                <w:rFonts w:hint="eastAsia"/>
                <w:highlight w:val="none"/>
                <w:lang w:val="en-US" w:eastAsia="zh-CN"/>
              </w:rPr>
              <w:t>7</w:t>
            </w:r>
            <w:r>
              <w:rPr>
                <w:rFonts w:hint="eastAsia"/>
                <w:highlight w:val="none"/>
                <w:lang w:val="zh-Hans"/>
              </w:rPr>
              <w:t>分；</w:t>
            </w:r>
          </w:p>
          <w:p w14:paraId="57E45B2B">
            <w:pPr>
              <w:numPr>
                <w:ilvl w:val="0"/>
                <w:numId w:val="0"/>
              </w:numPr>
              <w:autoSpaceDE w:val="0"/>
              <w:autoSpaceDN w:val="0"/>
              <w:spacing w:line="400" w:lineRule="exact"/>
              <w:ind w:leftChars="0"/>
              <w:rPr>
                <w:rFonts w:hint="eastAsia"/>
                <w:highlight w:val="none"/>
                <w:lang w:val="zh-Hans"/>
              </w:rPr>
            </w:pPr>
            <w:r>
              <w:rPr>
                <w:rFonts w:hint="eastAsia"/>
                <w:highlight w:val="none"/>
                <w:lang w:val="zh-Hans"/>
              </w:rPr>
              <w:t>工作计划安排内容较充实，较为合理可行的，得</w:t>
            </w:r>
            <w:r>
              <w:rPr>
                <w:rFonts w:hint="eastAsia"/>
                <w:highlight w:val="none"/>
                <w:lang w:val="en-US" w:eastAsia="zh-CN"/>
              </w:rPr>
              <w:t>5分</w:t>
            </w:r>
            <w:r>
              <w:rPr>
                <w:rFonts w:hint="eastAsia"/>
                <w:highlight w:val="none"/>
                <w:lang w:val="zh-Hans"/>
              </w:rPr>
              <w:t>；</w:t>
            </w:r>
          </w:p>
          <w:p w14:paraId="59E63701">
            <w:pPr>
              <w:numPr>
                <w:ilvl w:val="0"/>
                <w:numId w:val="0"/>
              </w:numPr>
              <w:autoSpaceDE w:val="0"/>
              <w:autoSpaceDN w:val="0"/>
              <w:spacing w:line="400" w:lineRule="exact"/>
              <w:ind w:leftChars="0"/>
              <w:rPr>
                <w:rFonts w:hint="eastAsia"/>
                <w:highlight w:val="none"/>
                <w:lang w:val="zh-Hans"/>
              </w:rPr>
            </w:pPr>
            <w:r>
              <w:rPr>
                <w:rFonts w:hint="eastAsia"/>
                <w:highlight w:val="none"/>
                <w:lang w:val="zh-Hans"/>
              </w:rPr>
              <w:t>工作计划安排内容一般，表述含糊的，得</w:t>
            </w:r>
            <w:r>
              <w:rPr>
                <w:rFonts w:hint="eastAsia"/>
                <w:highlight w:val="none"/>
                <w:lang w:val="en-US" w:eastAsia="zh-CN"/>
              </w:rPr>
              <w:t>3</w:t>
            </w:r>
            <w:r>
              <w:rPr>
                <w:rFonts w:hint="eastAsia"/>
                <w:highlight w:val="none"/>
                <w:lang w:val="zh-Hans"/>
              </w:rPr>
              <w:t>分；</w:t>
            </w:r>
          </w:p>
          <w:p w14:paraId="2F7AEB98">
            <w:pPr>
              <w:widowControl/>
              <w:numPr>
                <w:ilvl w:val="0"/>
                <w:numId w:val="0"/>
              </w:numPr>
              <w:spacing w:line="400" w:lineRule="exact"/>
              <w:ind w:leftChars="0"/>
              <w:jc w:val="left"/>
              <w:rPr>
                <w:rFonts w:hint="eastAsia"/>
                <w:highlight w:val="none"/>
                <w:lang w:val="zh-Hans"/>
              </w:rPr>
            </w:pPr>
            <w:r>
              <w:rPr>
                <w:rFonts w:hint="eastAsia" w:ascii="宋体" w:hAnsi="宋体" w:cs="宋体"/>
                <w:color w:val="000000"/>
                <w:lang w:val="en-US" w:eastAsia="zh-CN"/>
              </w:rPr>
              <w:t>工作计划简单敷衍的得1分；</w:t>
            </w:r>
          </w:p>
          <w:p w14:paraId="3F7D6F0C">
            <w:pPr>
              <w:numPr>
                <w:ilvl w:val="0"/>
                <w:numId w:val="0"/>
              </w:numPr>
              <w:autoSpaceDE w:val="0"/>
              <w:autoSpaceDN w:val="0"/>
              <w:spacing w:line="400" w:lineRule="exact"/>
              <w:ind w:leftChars="0"/>
              <w:rPr>
                <w:rFonts w:hint="eastAsia"/>
                <w:highlight w:val="none"/>
                <w:lang w:val="zh-Hans"/>
              </w:rPr>
            </w:pPr>
            <w:r>
              <w:rPr>
                <w:rFonts w:hint="eastAsia"/>
                <w:highlight w:val="none"/>
                <w:lang w:val="zh-Hans" w:eastAsia="zh-CN"/>
              </w:rPr>
              <w:t>未提供不得分</w:t>
            </w:r>
            <w:r>
              <w:rPr>
                <w:rFonts w:hint="eastAsia"/>
                <w:highlight w:val="none"/>
                <w:lang w:val="zh-Hans"/>
              </w:rPr>
              <w:t>。</w:t>
            </w:r>
          </w:p>
          <w:p w14:paraId="2A21568E">
            <w:pPr>
              <w:numPr>
                <w:ilvl w:val="0"/>
                <w:numId w:val="0"/>
              </w:numPr>
              <w:autoSpaceDE w:val="0"/>
              <w:autoSpaceDN w:val="0"/>
              <w:spacing w:line="400" w:lineRule="exact"/>
              <w:ind w:leftChars="0"/>
              <w:rPr>
                <w:rFonts w:hint="eastAsia" w:ascii="宋体" w:hAnsi="宋体" w:cs="宋体"/>
                <w:b/>
                <w:bCs/>
                <w:color w:val="000000"/>
                <w:highlight w:val="none"/>
              </w:rPr>
            </w:pPr>
            <w:r>
              <w:rPr>
                <w:rFonts w:hint="eastAsia" w:ascii="宋体" w:hAnsi="宋体" w:cs="宋体"/>
                <w:b/>
                <w:bCs/>
                <w:color w:val="000000"/>
                <w:highlight w:val="none"/>
              </w:rPr>
              <w:t>档案管理方案和安全生产措施（0-</w:t>
            </w:r>
            <w:r>
              <w:rPr>
                <w:rFonts w:hint="eastAsia" w:ascii="宋体" w:hAnsi="宋体" w:cs="宋体"/>
                <w:b/>
                <w:bCs/>
                <w:color w:val="000000"/>
                <w:highlight w:val="none"/>
                <w:lang w:val="en-US" w:eastAsia="zh-CN"/>
              </w:rPr>
              <w:t>4</w:t>
            </w:r>
            <w:r>
              <w:rPr>
                <w:rFonts w:hint="eastAsia" w:ascii="宋体" w:hAnsi="宋体" w:cs="宋体"/>
                <w:b/>
                <w:bCs/>
                <w:color w:val="000000"/>
                <w:highlight w:val="none"/>
              </w:rPr>
              <w:t>分）：</w:t>
            </w:r>
          </w:p>
          <w:p w14:paraId="33138818">
            <w:pPr>
              <w:numPr>
                <w:ilvl w:val="0"/>
                <w:numId w:val="0"/>
              </w:numPr>
              <w:autoSpaceDE w:val="0"/>
              <w:autoSpaceDN w:val="0"/>
              <w:spacing w:line="400" w:lineRule="exact"/>
              <w:ind w:leftChars="0"/>
              <w:rPr>
                <w:rFonts w:hint="eastAsia" w:ascii="宋体" w:hAnsi="宋体" w:cs="宋体"/>
                <w:color w:val="000000"/>
                <w:highlight w:val="none"/>
                <w:lang w:eastAsia="zh-CN"/>
              </w:rPr>
            </w:pPr>
            <w:r>
              <w:rPr>
                <w:rFonts w:hint="eastAsia" w:ascii="宋体" w:hAnsi="宋体" w:cs="宋体"/>
                <w:color w:val="000000"/>
                <w:highlight w:val="none"/>
              </w:rPr>
              <w:t>方案完整全面合理、具有可操作性的得</w:t>
            </w:r>
            <w:r>
              <w:rPr>
                <w:rFonts w:hint="eastAsia" w:ascii="宋体" w:hAnsi="宋体" w:cs="宋体"/>
                <w:color w:val="000000"/>
                <w:highlight w:val="none"/>
                <w:lang w:val="en-US" w:eastAsia="zh-CN"/>
              </w:rPr>
              <w:t>4</w:t>
            </w:r>
            <w:r>
              <w:rPr>
                <w:rFonts w:hint="eastAsia" w:ascii="宋体" w:hAnsi="宋体" w:cs="宋体"/>
                <w:color w:val="000000"/>
                <w:highlight w:val="none"/>
              </w:rPr>
              <w:t>分</w:t>
            </w:r>
            <w:r>
              <w:rPr>
                <w:rFonts w:hint="eastAsia" w:ascii="宋体" w:hAnsi="宋体" w:cs="宋体"/>
                <w:color w:val="000000"/>
                <w:highlight w:val="none"/>
                <w:lang w:eastAsia="zh-CN"/>
              </w:rPr>
              <w:t>；</w:t>
            </w:r>
          </w:p>
          <w:p w14:paraId="0D0304D6">
            <w:pPr>
              <w:numPr>
                <w:ilvl w:val="0"/>
                <w:numId w:val="0"/>
              </w:numPr>
              <w:autoSpaceDE w:val="0"/>
              <w:autoSpaceDN w:val="0"/>
              <w:spacing w:line="400" w:lineRule="exact"/>
              <w:ind w:leftChars="0"/>
              <w:rPr>
                <w:rFonts w:hint="eastAsia" w:ascii="宋体" w:hAnsi="宋体" w:cs="宋体"/>
                <w:color w:val="000000"/>
                <w:highlight w:val="none"/>
                <w:lang w:eastAsia="zh-CN"/>
              </w:rPr>
            </w:pPr>
            <w:r>
              <w:rPr>
                <w:rFonts w:hint="eastAsia" w:ascii="宋体" w:hAnsi="宋体" w:cs="宋体"/>
                <w:color w:val="000000"/>
                <w:highlight w:val="none"/>
              </w:rPr>
              <w:t>方案基本完整、具有一定可操作性的得2分</w:t>
            </w:r>
            <w:r>
              <w:rPr>
                <w:rFonts w:hint="eastAsia" w:ascii="宋体" w:hAnsi="宋体" w:cs="宋体"/>
                <w:color w:val="000000"/>
                <w:highlight w:val="none"/>
                <w:lang w:eastAsia="zh-CN"/>
              </w:rPr>
              <w:t>；</w:t>
            </w:r>
          </w:p>
          <w:p w14:paraId="2CEC9175">
            <w:pPr>
              <w:numPr>
                <w:ilvl w:val="0"/>
                <w:numId w:val="0"/>
              </w:numPr>
              <w:autoSpaceDE w:val="0"/>
              <w:autoSpaceDN w:val="0"/>
              <w:spacing w:line="400" w:lineRule="exact"/>
              <w:ind w:leftChars="0"/>
              <w:rPr>
                <w:rFonts w:hint="eastAsia" w:ascii="宋体" w:hAnsi="宋体" w:cs="宋体"/>
                <w:color w:val="000000"/>
                <w:highlight w:val="none"/>
                <w:lang w:eastAsia="zh-CN"/>
              </w:rPr>
            </w:pPr>
            <w:r>
              <w:rPr>
                <w:rFonts w:hint="eastAsia" w:ascii="宋体" w:hAnsi="宋体" w:cs="宋体"/>
                <w:color w:val="000000"/>
                <w:highlight w:val="none"/>
              </w:rPr>
              <w:t>方案不够完整、内容欠缺、缺乏可操作性的得</w:t>
            </w:r>
            <w:r>
              <w:rPr>
                <w:rFonts w:hint="eastAsia" w:ascii="宋体" w:hAnsi="宋体" w:cs="宋体"/>
                <w:color w:val="000000"/>
                <w:highlight w:val="none"/>
                <w:lang w:val="en-US" w:eastAsia="zh-CN"/>
              </w:rPr>
              <w:t>1</w:t>
            </w:r>
            <w:r>
              <w:rPr>
                <w:rFonts w:hint="eastAsia" w:ascii="宋体" w:hAnsi="宋体" w:cs="宋体"/>
                <w:color w:val="000000"/>
                <w:highlight w:val="none"/>
              </w:rPr>
              <w:t>分</w:t>
            </w:r>
            <w:r>
              <w:rPr>
                <w:rFonts w:hint="eastAsia" w:ascii="宋体" w:hAnsi="宋体" w:cs="宋体"/>
                <w:color w:val="000000"/>
                <w:highlight w:val="none"/>
                <w:lang w:eastAsia="zh-CN"/>
              </w:rPr>
              <w:t>；</w:t>
            </w:r>
          </w:p>
          <w:p w14:paraId="79391468">
            <w:pPr>
              <w:numPr>
                <w:ilvl w:val="0"/>
                <w:numId w:val="0"/>
              </w:numPr>
              <w:autoSpaceDE w:val="0"/>
              <w:autoSpaceDN w:val="0"/>
              <w:spacing w:line="400" w:lineRule="exact"/>
              <w:ind w:leftChars="0"/>
              <w:rPr>
                <w:rFonts w:hint="eastAsia" w:ascii="宋体" w:hAnsi="宋体" w:cs="宋体"/>
                <w:color w:val="000000"/>
                <w:highlight w:val="yellow"/>
                <w:lang w:val="en-US" w:eastAsia="zh-CN"/>
              </w:rPr>
            </w:pPr>
            <w:r>
              <w:rPr>
                <w:rFonts w:hint="eastAsia"/>
                <w:highlight w:val="none"/>
                <w:lang w:val="zh-Hans" w:eastAsia="zh-CN"/>
              </w:rPr>
              <w:t>未提供不得分</w:t>
            </w:r>
            <w:r>
              <w:rPr>
                <w:rFonts w:hint="eastAsia"/>
                <w:highlight w:val="none"/>
                <w:lang w:val="zh-Hans"/>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5FD9C4E5">
            <w:pPr>
              <w:adjustRightInd w:val="0"/>
              <w:snapToGrid w:val="0"/>
              <w:spacing w:line="400" w:lineRule="exact"/>
              <w:jc w:val="center"/>
              <w:rPr>
                <w:rFonts w:hint="eastAsia" w:ascii="宋体" w:hAnsi="宋体" w:cs="宋体" w:eastAsiaTheme="minorEastAsia"/>
                <w:color w:val="000000"/>
                <w:kern w:val="2"/>
                <w:sz w:val="21"/>
                <w:szCs w:val="24"/>
                <w:lang w:val="en-US" w:eastAsia="zh-CN" w:bidi="ar-SA"/>
              </w:rPr>
            </w:pPr>
            <w:r>
              <w:rPr>
                <w:rFonts w:hint="eastAsia" w:ascii="宋体" w:hAnsi="宋体" w:cs="宋体"/>
                <w:color w:val="000000"/>
                <w:lang w:val="en-US" w:eastAsia="zh-CN"/>
              </w:rPr>
              <w:t>25</w:t>
            </w:r>
            <w:r>
              <w:rPr>
                <w:rFonts w:hint="eastAsia" w:ascii="宋体" w:hAnsi="宋体" w:cs="宋体"/>
                <w:color w:val="000000"/>
              </w:rPr>
              <w:t>分</w:t>
            </w:r>
          </w:p>
        </w:tc>
      </w:tr>
      <w:tr w14:paraId="0DD1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vMerge w:val="restart"/>
            <w:tcBorders>
              <w:top w:val="single" w:color="auto" w:sz="4" w:space="0"/>
              <w:left w:val="single" w:color="auto" w:sz="4" w:space="0"/>
              <w:right w:val="single" w:color="auto" w:sz="4" w:space="0"/>
            </w:tcBorders>
            <w:noWrap/>
            <w:vAlign w:val="center"/>
          </w:tcPr>
          <w:p w14:paraId="0E34E793">
            <w:pPr>
              <w:adjustRightInd w:val="0"/>
              <w:snapToGrid w:val="0"/>
              <w:spacing w:line="400" w:lineRule="exact"/>
              <w:jc w:val="center"/>
              <w:rPr>
                <w:rFonts w:hint="default" w:ascii="宋体" w:hAnsi="宋体" w:cs="宋体" w:eastAsiaTheme="minorEastAsia"/>
                <w:color w:val="000000"/>
                <w:lang w:val="en-US" w:eastAsia="zh-CN"/>
              </w:rPr>
            </w:pPr>
            <w:r>
              <w:rPr>
                <w:rFonts w:hint="eastAsia" w:ascii="宋体" w:hAnsi="宋体" w:cs="宋体"/>
                <w:color w:val="000000"/>
              </w:rPr>
              <w:t>采购需求响应情况</w:t>
            </w:r>
          </w:p>
        </w:tc>
        <w:tc>
          <w:tcPr>
            <w:tcW w:w="6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6E681">
            <w:pPr>
              <w:numPr>
                <w:ilvl w:val="0"/>
                <w:numId w:val="0"/>
              </w:numPr>
              <w:adjustRightInd w:val="0"/>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lang w:val="en-US" w:eastAsia="zh-CN"/>
              </w:rPr>
              <w:t>根据投标人的</w:t>
            </w:r>
            <w:r>
              <w:rPr>
                <w:rFonts w:hint="eastAsia" w:ascii="宋体" w:hAnsi="宋体" w:cs="宋体"/>
                <w:color w:val="000000"/>
                <w:kern w:val="0"/>
              </w:rPr>
              <w:t>准备工作方案</w:t>
            </w:r>
            <w:r>
              <w:rPr>
                <w:rFonts w:hint="eastAsia" w:ascii="宋体" w:hAnsi="宋体" w:cs="宋体"/>
                <w:color w:val="000000"/>
                <w:kern w:val="0"/>
                <w:lang w:val="en-US" w:eastAsia="zh-CN"/>
              </w:rPr>
              <w:t>进行评审（</w:t>
            </w:r>
            <w:r>
              <w:rPr>
                <w:rFonts w:hint="eastAsia" w:ascii="宋体" w:hAnsi="宋体" w:cs="宋体"/>
                <w:color w:val="000000"/>
                <w:kern w:val="0"/>
              </w:rPr>
              <w:t>可根据采购人需要进行外业实地核对以及补充调查</w:t>
            </w:r>
            <w:r>
              <w:rPr>
                <w:rFonts w:hint="eastAsia" w:ascii="宋体" w:hAnsi="宋体" w:cs="宋体"/>
                <w:color w:val="000000"/>
                <w:kern w:val="0"/>
                <w:lang w:val="en-US" w:eastAsia="zh-CN"/>
              </w:rPr>
              <w:t>）。</w:t>
            </w:r>
          </w:p>
          <w:p w14:paraId="711463FD">
            <w:pPr>
              <w:numPr>
                <w:ilvl w:val="0"/>
                <w:numId w:val="0"/>
              </w:numPr>
              <w:adjustRightInd w:val="0"/>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rPr>
              <w:t>方案完整且切实可行、合理，考虑充分安排有效得</w:t>
            </w:r>
            <w:r>
              <w:rPr>
                <w:rFonts w:hint="eastAsia" w:ascii="宋体" w:hAnsi="宋体" w:cs="宋体"/>
                <w:color w:val="000000"/>
                <w:kern w:val="0"/>
                <w:lang w:val="en-US" w:eastAsia="zh-CN"/>
              </w:rPr>
              <w:t>6</w:t>
            </w:r>
            <w:r>
              <w:rPr>
                <w:rFonts w:hint="eastAsia" w:ascii="宋体" w:hAnsi="宋体" w:cs="宋体"/>
                <w:color w:val="000000"/>
                <w:kern w:val="0"/>
              </w:rPr>
              <w:t>分</w:t>
            </w:r>
            <w:r>
              <w:rPr>
                <w:rFonts w:hint="eastAsia" w:ascii="宋体" w:hAnsi="宋体" w:cs="宋体"/>
                <w:color w:val="000000"/>
                <w:kern w:val="0"/>
                <w:lang w:eastAsia="zh-CN"/>
              </w:rPr>
              <w:t>；</w:t>
            </w:r>
          </w:p>
          <w:p w14:paraId="68FC063F">
            <w:pPr>
              <w:numPr>
                <w:ilvl w:val="0"/>
                <w:numId w:val="0"/>
              </w:numPr>
              <w:adjustRightInd w:val="0"/>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rPr>
              <w:t>方案合理安排较充分有效的得3分</w:t>
            </w:r>
            <w:r>
              <w:rPr>
                <w:rFonts w:hint="eastAsia" w:ascii="宋体" w:hAnsi="宋体" w:cs="宋体"/>
                <w:color w:val="000000"/>
                <w:kern w:val="0"/>
                <w:lang w:eastAsia="zh-CN"/>
              </w:rPr>
              <w:t>；</w:t>
            </w:r>
          </w:p>
          <w:p w14:paraId="3B73CA6D">
            <w:pPr>
              <w:numPr>
                <w:ilvl w:val="0"/>
                <w:numId w:val="0"/>
              </w:numPr>
              <w:adjustRightInd w:val="0"/>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rPr>
              <w:t>方案内容简单，安排不充分</w:t>
            </w:r>
            <w:r>
              <w:rPr>
                <w:rFonts w:hint="eastAsia" w:ascii="宋体" w:hAnsi="宋体" w:cs="宋体"/>
                <w:color w:val="000000"/>
                <w:kern w:val="0"/>
                <w:lang w:eastAsia="zh-CN"/>
              </w:rPr>
              <w:t>的</w:t>
            </w:r>
            <w:r>
              <w:rPr>
                <w:rFonts w:hint="eastAsia" w:ascii="宋体" w:hAnsi="宋体" w:cs="宋体"/>
                <w:color w:val="000000"/>
                <w:kern w:val="0"/>
                <w:lang w:val="en-US" w:eastAsia="zh-CN"/>
              </w:rPr>
              <w:t>得1分</w:t>
            </w:r>
            <w:r>
              <w:rPr>
                <w:rFonts w:hint="eastAsia" w:ascii="宋体" w:hAnsi="宋体" w:cs="宋体"/>
                <w:color w:val="000000"/>
                <w:kern w:val="0"/>
                <w:lang w:eastAsia="zh-CN"/>
              </w:rPr>
              <w:t>；</w:t>
            </w:r>
          </w:p>
          <w:p w14:paraId="5C51F0FC">
            <w:pPr>
              <w:numPr>
                <w:ilvl w:val="0"/>
                <w:numId w:val="0"/>
              </w:numPr>
              <w:adjustRightInd w:val="0"/>
              <w:spacing w:line="360" w:lineRule="auto"/>
              <w:rPr>
                <w:rFonts w:hint="eastAsia" w:ascii="宋体" w:hAnsi="宋体" w:eastAsia="宋体" w:cs="宋体"/>
                <w:color w:val="000000"/>
                <w:kern w:val="0"/>
                <w:sz w:val="21"/>
                <w:szCs w:val="21"/>
                <w:lang w:val="en-US" w:eastAsia="zh-CN" w:bidi="ar-SA"/>
              </w:rPr>
            </w:pPr>
            <w:r>
              <w:rPr>
                <w:rFonts w:hint="eastAsia"/>
                <w:highlight w:val="none"/>
                <w:lang w:val="zh-Hans" w:eastAsia="zh-CN"/>
              </w:rPr>
              <w:t>未提供不得分</w:t>
            </w:r>
            <w:r>
              <w:rPr>
                <w:rFonts w:hint="eastAsia"/>
                <w:highlight w:val="none"/>
                <w:lang w:val="zh-Hans"/>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61252BD3">
            <w:pPr>
              <w:adjustRightInd w:val="0"/>
              <w:snapToGrid w:val="0"/>
              <w:spacing w:line="400" w:lineRule="exact"/>
              <w:jc w:val="center"/>
              <w:rPr>
                <w:rFonts w:hint="default" w:ascii="宋体" w:hAnsi="宋体" w:cs="宋体"/>
                <w:color w:val="000000"/>
                <w:lang w:val="en-US" w:eastAsia="zh-CN"/>
              </w:rPr>
            </w:pPr>
            <w:r>
              <w:rPr>
                <w:rFonts w:hint="eastAsia" w:ascii="宋体" w:hAnsi="宋体" w:cs="宋体"/>
                <w:color w:val="000000"/>
                <w:lang w:val="en-US" w:eastAsia="zh-CN"/>
              </w:rPr>
              <w:t>6分</w:t>
            </w:r>
          </w:p>
        </w:tc>
      </w:tr>
      <w:tr w14:paraId="78C6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vMerge w:val="continue"/>
            <w:tcBorders>
              <w:left w:val="single" w:color="auto" w:sz="4" w:space="0"/>
              <w:right w:val="single" w:color="auto" w:sz="4" w:space="0"/>
            </w:tcBorders>
            <w:noWrap/>
            <w:vAlign w:val="center"/>
          </w:tcPr>
          <w:p w14:paraId="419182E4">
            <w:pPr>
              <w:adjustRightInd w:val="0"/>
              <w:snapToGrid w:val="0"/>
              <w:spacing w:line="400" w:lineRule="exact"/>
              <w:jc w:val="center"/>
              <w:rPr>
                <w:rFonts w:hint="default" w:ascii="宋体" w:hAnsi="宋体" w:cs="宋体" w:eastAsiaTheme="minorEastAsia"/>
                <w:color w:val="000000"/>
                <w:lang w:val="en-US" w:eastAsia="zh-CN"/>
              </w:rPr>
            </w:pPr>
          </w:p>
        </w:tc>
        <w:tc>
          <w:tcPr>
            <w:tcW w:w="6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B22A8">
            <w:pPr>
              <w:adjustRightInd w:val="0"/>
              <w:spacing w:line="360" w:lineRule="auto"/>
              <w:rPr>
                <w:rFonts w:hint="eastAsia" w:ascii="宋体" w:hAnsi="宋体" w:cs="宋体"/>
                <w:color w:val="000000"/>
                <w:kern w:val="0"/>
              </w:rPr>
            </w:pPr>
            <w:r>
              <w:rPr>
                <w:rFonts w:hint="eastAsia" w:ascii="宋体" w:hAnsi="宋体" w:cs="宋体"/>
                <w:color w:val="000000"/>
                <w:kern w:val="0"/>
                <w:lang w:val="en-US" w:eastAsia="zh-CN"/>
              </w:rPr>
              <w:t>根据投标人提供的</w:t>
            </w:r>
            <w:r>
              <w:rPr>
                <w:rFonts w:hint="eastAsia" w:ascii="宋体" w:hAnsi="宋体" w:cs="宋体"/>
                <w:color w:val="000000"/>
                <w:kern w:val="0"/>
              </w:rPr>
              <w:t>规范化整理方案</w:t>
            </w:r>
            <w:r>
              <w:rPr>
                <w:rFonts w:hint="eastAsia" w:ascii="宋体" w:hAnsi="宋体" w:cs="宋体"/>
                <w:color w:val="000000"/>
                <w:kern w:val="0"/>
                <w:lang w:val="en-US" w:eastAsia="zh-CN"/>
              </w:rPr>
              <w:t>进行评审（</w:t>
            </w:r>
            <w:r>
              <w:rPr>
                <w:rFonts w:hint="eastAsia" w:ascii="宋体" w:hAnsi="宋体" w:cs="宋体"/>
                <w:color w:val="000000"/>
                <w:kern w:val="0"/>
              </w:rPr>
              <w:t>可根据采购人需要对缺漏的信息进行补充完善</w:t>
            </w:r>
            <w:r>
              <w:rPr>
                <w:rFonts w:hint="eastAsia" w:ascii="宋体" w:hAnsi="宋体" w:cs="宋体"/>
                <w:color w:val="000000"/>
                <w:kern w:val="0"/>
                <w:lang w:val="en-US" w:eastAsia="zh-CN"/>
              </w:rPr>
              <w:t>）</w:t>
            </w:r>
            <w:r>
              <w:rPr>
                <w:rFonts w:hint="eastAsia" w:ascii="宋体" w:hAnsi="宋体" w:cs="宋体"/>
                <w:color w:val="000000"/>
                <w:kern w:val="0"/>
              </w:rPr>
              <w:t>。</w:t>
            </w:r>
          </w:p>
          <w:p w14:paraId="309A3E2E">
            <w:pPr>
              <w:adjustRightInd w:val="0"/>
              <w:spacing w:line="360" w:lineRule="auto"/>
              <w:rPr>
                <w:rFonts w:hint="eastAsia" w:ascii="宋体" w:hAnsi="宋体" w:cs="宋体"/>
                <w:color w:val="000000"/>
                <w:kern w:val="0"/>
              </w:rPr>
            </w:pPr>
            <w:r>
              <w:rPr>
                <w:rFonts w:hint="eastAsia" w:ascii="宋体" w:hAnsi="宋体" w:cs="宋体"/>
                <w:color w:val="000000"/>
                <w:kern w:val="0"/>
              </w:rPr>
              <w:t>方案切实可行、合理，考虑充分安排有效得</w:t>
            </w:r>
            <w:r>
              <w:rPr>
                <w:rFonts w:hint="eastAsia" w:ascii="宋体" w:hAnsi="宋体" w:cs="宋体"/>
                <w:color w:val="000000"/>
                <w:kern w:val="0"/>
                <w:lang w:val="en-US" w:eastAsia="zh-CN"/>
              </w:rPr>
              <w:t>6</w:t>
            </w:r>
            <w:r>
              <w:rPr>
                <w:rFonts w:hint="eastAsia" w:ascii="宋体" w:hAnsi="宋体" w:cs="宋体"/>
                <w:color w:val="000000"/>
                <w:kern w:val="0"/>
              </w:rPr>
              <w:t>分，</w:t>
            </w:r>
          </w:p>
          <w:p w14:paraId="59BCAA96">
            <w:pPr>
              <w:adjustRightInd w:val="0"/>
              <w:spacing w:line="360" w:lineRule="auto"/>
              <w:rPr>
                <w:rFonts w:hint="eastAsia" w:ascii="宋体" w:hAnsi="宋体" w:cs="宋体"/>
                <w:color w:val="000000"/>
                <w:kern w:val="0"/>
              </w:rPr>
            </w:pPr>
            <w:r>
              <w:rPr>
                <w:rFonts w:hint="eastAsia" w:ascii="宋体" w:hAnsi="宋体" w:cs="宋体"/>
                <w:color w:val="000000"/>
                <w:kern w:val="0"/>
              </w:rPr>
              <w:t>方案合理安排较充分有效的得3分，</w:t>
            </w:r>
          </w:p>
          <w:p w14:paraId="02F06D11">
            <w:pPr>
              <w:adjustRightInd w:val="0"/>
              <w:spacing w:line="360" w:lineRule="auto"/>
              <w:rPr>
                <w:rFonts w:hint="eastAsia" w:ascii="宋体" w:hAnsi="宋体" w:cs="宋体"/>
                <w:color w:val="000000"/>
                <w:kern w:val="0"/>
              </w:rPr>
            </w:pPr>
            <w:r>
              <w:rPr>
                <w:rFonts w:hint="eastAsia" w:ascii="宋体" w:hAnsi="宋体" w:cs="宋体"/>
                <w:color w:val="000000"/>
                <w:kern w:val="0"/>
              </w:rPr>
              <w:t>方案内容简单，安排不充分得1。</w:t>
            </w:r>
          </w:p>
          <w:p w14:paraId="5D339BFD">
            <w:pPr>
              <w:adjustRightInd w:val="0"/>
              <w:spacing w:line="360" w:lineRule="auto"/>
              <w:rPr>
                <w:rFonts w:hint="eastAsia" w:ascii="宋体" w:hAnsi="宋体" w:cs="宋体"/>
                <w:color w:val="000000"/>
                <w:kern w:val="0"/>
                <w:lang w:val="zh-CN" w:eastAsia="zh-CN"/>
              </w:rPr>
            </w:pPr>
            <w:r>
              <w:rPr>
                <w:rFonts w:hint="eastAsia"/>
                <w:highlight w:val="none"/>
                <w:lang w:val="zh-Hans" w:eastAsia="zh-CN"/>
              </w:rPr>
              <w:t>未提供不得分</w:t>
            </w:r>
            <w:r>
              <w:rPr>
                <w:rFonts w:hint="eastAsia"/>
                <w:highlight w:val="none"/>
                <w:lang w:val="zh-Hans"/>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415E7492">
            <w:pPr>
              <w:adjustRightInd w:val="0"/>
              <w:snapToGrid w:val="0"/>
              <w:spacing w:line="400" w:lineRule="exact"/>
              <w:jc w:val="center"/>
              <w:rPr>
                <w:rFonts w:hint="default" w:ascii="宋体" w:hAnsi="宋体" w:cs="宋体" w:eastAsiaTheme="minorEastAsia"/>
                <w:color w:val="000000"/>
                <w:lang w:val="en-US" w:eastAsia="zh-CN"/>
              </w:rPr>
            </w:pPr>
            <w:r>
              <w:rPr>
                <w:rFonts w:hint="eastAsia" w:ascii="宋体" w:hAnsi="宋体" w:cs="宋体" w:eastAsiaTheme="minorEastAsia"/>
                <w:color w:val="000000"/>
                <w:lang w:val="en-US" w:eastAsia="zh-CN"/>
              </w:rPr>
              <w:t>6分</w:t>
            </w:r>
          </w:p>
        </w:tc>
      </w:tr>
      <w:tr w14:paraId="70D7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1226" w:type="dxa"/>
            <w:vMerge w:val="continue"/>
            <w:tcBorders>
              <w:left w:val="single" w:color="auto" w:sz="4" w:space="0"/>
              <w:right w:val="single" w:color="auto" w:sz="4" w:space="0"/>
            </w:tcBorders>
            <w:noWrap/>
            <w:vAlign w:val="center"/>
          </w:tcPr>
          <w:p w14:paraId="1A653BE1">
            <w:pPr>
              <w:adjustRightInd w:val="0"/>
              <w:snapToGrid w:val="0"/>
              <w:spacing w:line="400" w:lineRule="exact"/>
              <w:jc w:val="center"/>
              <w:rPr>
                <w:rFonts w:hint="default" w:ascii="宋体" w:hAnsi="宋体" w:cs="宋体" w:eastAsiaTheme="minorEastAsia"/>
                <w:color w:val="000000"/>
                <w:lang w:val="en-US" w:eastAsia="zh-CN"/>
              </w:rPr>
            </w:pPr>
          </w:p>
        </w:tc>
        <w:tc>
          <w:tcPr>
            <w:tcW w:w="6420" w:type="dxa"/>
            <w:tcBorders>
              <w:top w:val="single" w:color="auto" w:sz="4" w:space="0"/>
              <w:left w:val="single" w:color="auto" w:sz="4" w:space="0"/>
              <w:bottom w:val="single" w:color="auto" w:sz="4" w:space="0"/>
              <w:right w:val="single" w:color="auto" w:sz="4" w:space="0"/>
            </w:tcBorders>
            <w:noWrap/>
            <w:vAlign w:val="center"/>
          </w:tcPr>
          <w:p w14:paraId="70210ACE">
            <w:pPr>
              <w:adjustRightInd w:val="0"/>
              <w:spacing w:line="360" w:lineRule="auto"/>
              <w:rPr>
                <w:rFonts w:hint="eastAsia" w:ascii="宋体" w:hAnsi="宋体" w:cs="宋体"/>
                <w:color w:val="000000"/>
                <w:kern w:val="0"/>
              </w:rPr>
            </w:pPr>
            <w:r>
              <w:rPr>
                <w:rFonts w:hint="eastAsia" w:ascii="宋体" w:hAnsi="宋体" w:cs="宋体"/>
                <w:color w:val="000000"/>
                <w:kern w:val="0"/>
                <w:lang w:val="en-US" w:eastAsia="zh-CN"/>
              </w:rPr>
              <w:t>根据投标人的</w:t>
            </w:r>
            <w:r>
              <w:rPr>
                <w:rFonts w:hint="eastAsia" w:ascii="宋体" w:hAnsi="宋体" w:cs="宋体"/>
                <w:color w:val="000000"/>
                <w:kern w:val="0"/>
              </w:rPr>
              <w:t>数据整合、关联详细实施方案</w:t>
            </w:r>
            <w:r>
              <w:rPr>
                <w:rFonts w:hint="eastAsia" w:ascii="宋体" w:hAnsi="宋体" w:cs="宋体"/>
                <w:color w:val="000000"/>
                <w:kern w:val="0"/>
                <w:lang w:val="en-US" w:eastAsia="zh-CN"/>
              </w:rPr>
              <w:t>进行评审</w:t>
            </w:r>
            <w:r>
              <w:rPr>
                <w:rFonts w:hint="eastAsia" w:ascii="宋体" w:hAnsi="宋体" w:cs="宋体"/>
                <w:color w:val="000000"/>
                <w:kern w:val="0"/>
              </w:rPr>
              <w:t>。</w:t>
            </w:r>
          </w:p>
          <w:p w14:paraId="43632122">
            <w:pPr>
              <w:numPr>
                <w:ilvl w:val="0"/>
                <w:numId w:val="0"/>
              </w:numPr>
              <w:adjustRightInd w:val="0"/>
              <w:spacing w:line="360" w:lineRule="auto"/>
              <w:rPr>
                <w:rFonts w:ascii="宋体" w:hAnsi="宋体" w:cs="宋体"/>
                <w:color w:val="000000"/>
                <w:kern w:val="0"/>
                <w:lang w:val="zh-CN"/>
              </w:rPr>
            </w:pPr>
            <w:r>
              <w:rPr>
                <w:rFonts w:hint="eastAsia" w:ascii="宋体" w:hAnsi="宋体" w:cs="宋体"/>
                <w:color w:val="000000"/>
                <w:kern w:val="0"/>
              </w:rPr>
              <w:t>方案考虑充分安排有效得</w:t>
            </w:r>
            <w:r>
              <w:rPr>
                <w:rFonts w:hint="eastAsia" w:ascii="宋体" w:hAnsi="宋体" w:cs="宋体"/>
                <w:color w:val="000000"/>
                <w:kern w:val="0"/>
                <w:lang w:val="en-US" w:eastAsia="zh-CN"/>
              </w:rPr>
              <w:t>6</w:t>
            </w:r>
            <w:r>
              <w:rPr>
                <w:rFonts w:hint="eastAsia" w:ascii="宋体" w:hAnsi="宋体" w:cs="宋体"/>
                <w:color w:val="000000"/>
                <w:kern w:val="0"/>
              </w:rPr>
              <w:t>分</w:t>
            </w:r>
            <w:r>
              <w:rPr>
                <w:rFonts w:hint="eastAsia" w:ascii="宋体" w:hAnsi="宋体" w:cs="宋体"/>
                <w:color w:val="000000"/>
                <w:kern w:val="0"/>
                <w:lang w:eastAsia="zh-CN"/>
              </w:rPr>
              <w:t>；</w:t>
            </w:r>
          </w:p>
          <w:p w14:paraId="7FEF946A">
            <w:pPr>
              <w:numPr>
                <w:ilvl w:val="0"/>
                <w:numId w:val="0"/>
              </w:numPr>
              <w:adjustRightInd w:val="0"/>
              <w:spacing w:line="360" w:lineRule="auto"/>
              <w:rPr>
                <w:rFonts w:ascii="宋体" w:hAnsi="宋体" w:cs="宋体"/>
                <w:color w:val="000000"/>
                <w:kern w:val="0"/>
                <w:lang w:val="zh-CN"/>
              </w:rPr>
            </w:pPr>
            <w:r>
              <w:rPr>
                <w:rFonts w:hint="eastAsia" w:ascii="宋体" w:hAnsi="宋体" w:cs="宋体"/>
                <w:color w:val="000000"/>
                <w:kern w:val="0"/>
              </w:rPr>
              <w:t>方案合理安排较充分有效的得3分</w:t>
            </w:r>
            <w:r>
              <w:rPr>
                <w:rFonts w:hint="eastAsia" w:ascii="宋体" w:hAnsi="宋体" w:cs="宋体"/>
                <w:color w:val="000000"/>
                <w:kern w:val="0"/>
                <w:lang w:eastAsia="zh-CN"/>
              </w:rPr>
              <w:t>；</w:t>
            </w:r>
          </w:p>
          <w:p w14:paraId="77067F60">
            <w:pPr>
              <w:numPr>
                <w:ilvl w:val="0"/>
                <w:numId w:val="0"/>
              </w:numPr>
              <w:adjustRightInd w:val="0"/>
              <w:spacing w:line="360" w:lineRule="auto"/>
              <w:rPr>
                <w:rFonts w:ascii="宋体" w:hAnsi="宋体" w:cs="宋体"/>
                <w:color w:val="000000"/>
                <w:kern w:val="0"/>
                <w:lang w:val="zh-CN"/>
              </w:rPr>
            </w:pPr>
            <w:r>
              <w:rPr>
                <w:rFonts w:hint="eastAsia" w:ascii="宋体" w:hAnsi="宋体" w:cs="宋体"/>
                <w:color w:val="000000"/>
                <w:kern w:val="0"/>
              </w:rPr>
              <w:t>方案内容简单，安排不充分或无方案得1分</w:t>
            </w:r>
            <w:r>
              <w:rPr>
                <w:rFonts w:hint="eastAsia" w:ascii="宋体" w:hAnsi="宋体" w:cs="宋体"/>
                <w:color w:val="000000"/>
                <w:kern w:val="0"/>
                <w:lang w:eastAsia="zh-CN"/>
              </w:rPr>
              <w:t>；</w:t>
            </w:r>
          </w:p>
          <w:p w14:paraId="6B006D21">
            <w:pPr>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未提供不得分。</w:t>
            </w:r>
          </w:p>
        </w:tc>
        <w:tc>
          <w:tcPr>
            <w:tcW w:w="934" w:type="dxa"/>
            <w:vMerge w:val="restart"/>
            <w:tcBorders>
              <w:left w:val="single" w:color="auto" w:sz="4" w:space="0"/>
              <w:right w:val="single" w:color="auto" w:sz="4" w:space="0"/>
            </w:tcBorders>
            <w:noWrap/>
            <w:vAlign w:val="center"/>
          </w:tcPr>
          <w:p w14:paraId="4C5D6663">
            <w:pPr>
              <w:adjustRightInd w:val="0"/>
              <w:snapToGrid w:val="0"/>
              <w:spacing w:line="400" w:lineRule="exact"/>
              <w:jc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12分</w:t>
            </w:r>
          </w:p>
        </w:tc>
      </w:tr>
      <w:tr w14:paraId="51DD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26" w:type="dxa"/>
            <w:vMerge w:val="continue"/>
            <w:tcBorders>
              <w:left w:val="single" w:color="auto" w:sz="4" w:space="0"/>
              <w:bottom w:val="single" w:color="auto" w:sz="4" w:space="0"/>
              <w:right w:val="single" w:color="auto" w:sz="4" w:space="0"/>
            </w:tcBorders>
            <w:vAlign w:val="center"/>
          </w:tcPr>
          <w:p w14:paraId="0AB30643">
            <w:pPr>
              <w:widowControl/>
              <w:jc w:val="left"/>
              <w:rPr>
                <w:rFonts w:ascii="宋体" w:hAnsi="宋体" w:cs="宋体"/>
                <w:color w:val="000000"/>
              </w:rPr>
            </w:pPr>
          </w:p>
        </w:tc>
        <w:tc>
          <w:tcPr>
            <w:tcW w:w="6420" w:type="dxa"/>
            <w:tcBorders>
              <w:top w:val="single" w:color="auto" w:sz="4" w:space="0"/>
              <w:left w:val="single" w:color="auto" w:sz="4" w:space="0"/>
              <w:bottom w:val="single" w:color="auto" w:sz="4" w:space="0"/>
              <w:right w:val="single" w:color="auto" w:sz="4" w:space="0"/>
            </w:tcBorders>
            <w:noWrap/>
            <w:vAlign w:val="center"/>
          </w:tcPr>
          <w:p w14:paraId="5CCE1DEE">
            <w:pPr>
              <w:numPr>
                <w:ilvl w:val="0"/>
                <w:numId w:val="0"/>
              </w:numPr>
              <w:adjustRightInd w:val="0"/>
              <w:spacing w:line="360" w:lineRule="auto"/>
              <w:ind w:leftChars="0"/>
              <w:rPr>
                <w:rFonts w:hint="eastAsia" w:ascii="宋体" w:hAnsi="宋体" w:cs="宋体"/>
                <w:color w:val="000000"/>
                <w:kern w:val="0"/>
              </w:rPr>
            </w:pPr>
            <w:r>
              <w:rPr>
                <w:rFonts w:hint="eastAsia" w:ascii="宋体" w:hAnsi="宋体" w:cs="宋体"/>
                <w:color w:val="000000"/>
                <w:kern w:val="0"/>
                <w:lang w:val="en-US" w:eastAsia="zh-CN"/>
              </w:rPr>
              <w:t>根据投标人的</w:t>
            </w:r>
            <w:r>
              <w:rPr>
                <w:rFonts w:hint="eastAsia" w:ascii="宋体" w:hAnsi="宋体" w:cs="宋体"/>
                <w:color w:val="000000"/>
                <w:kern w:val="0"/>
              </w:rPr>
              <w:t>数据检查入库方案</w:t>
            </w:r>
            <w:r>
              <w:rPr>
                <w:rFonts w:hint="eastAsia" w:ascii="宋体" w:hAnsi="宋体" w:cs="宋体"/>
                <w:color w:val="000000"/>
                <w:kern w:val="0"/>
                <w:lang w:val="en-US" w:eastAsia="zh-CN"/>
              </w:rPr>
              <w:t>进行评审</w:t>
            </w:r>
            <w:r>
              <w:rPr>
                <w:rFonts w:hint="eastAsia" w:ascii="宋体" w:hAnsi="宋体" w:cs="宋体"/>
                <w:color w:val="000000"/>
                <w:kern w:val="0"/>
              </w:rPr>
              <w:t>。</w:t>
            </w:r>
          </w:p>
          <w:p w14:paraId="0D7124E7">
            <w:pPr>
              <w:numPr>
                <w:ilvl w:val="0"/>
                <w:numId w:val="0"/>
              </w:numPr>
              <w:adjustRightInd w:val="0"/>
              <w:spacing w:line="360" w:lineRule="auto"/>
              <w:ind w:leftChars="0"/>
              <w:rPr>
                <w:rFonts w:ascii="宋体" w:hAnsi="宋体" w:cs="宋体"/>
                <w:color w:val="000000"/>
                <w:kern w:val="0"/>
                <w:lang w:val="zh-CN"/>
              </w:rPr>
            </w:pPr>
            <w:r>
              <w:rPr>
                <w:rFonts w:hint="eastAsia" w:ascii="宋体" w:hAnsi="宋体" w:cs="宋体"/>
                <w:color w:val="000000"/>
                <w:kern w:val="0"/>
              </w:rPr>
              <w:t>方案考虑充分安排有效得</w:t>
            </w:r>
            <w:r>
              <w:rPr>
                <w:rFonts w:hint="eastAsia" w:ascii="宋体" w:hAnsi="宋体" w:cs="宋体"/>
                <w:color w:val="000000"/>
                <w:kern w:val="0"/>
                <w:lang w:val="en-US" w:eastAsia="zh-CN"/>
              </w:rPr>
              <w:t>6</w:t>
            </w:r>
            <w:r>
              <w:rPr>
                <w:rFonts w:hint="eastAsia" w:ascii="宋体" w:hAnsi="宋体" w:cs="宋体"/>
                <w:color w:val="000000"/>
                <w:kern w:val="0"/>
              </w:rPr>
              <w:t>分</w:t>
            </w:r>
            <w:r>
              <w:rPr>
                <w:rFonts w:hint="eastAsia" w:ascii="宋体" w:hAnsi="宋体" w:cs="宋体"/>
                <w:color w:val="000000"/>
                <w:kern w:val="0"/>
                <w:lang w:eastAsia="zh-CN"/>
              </w:rPr>
              <w:t>；</w:t>
            </w:r>
          </w:p>
          <w:p w14:paraId="1B0912AF">
            <w:pPr>
              <w:numPr>
                <w:ilvl w:val="0"/>
                <w:numId w:val="0"/>
              </w:numPr>
              <w:adjustRightInd w:val="0"/>
              <w:spacing w:line="360" w:lineRule="auto"/>
              <w:rPr>
                <w:rFonts w:ascii="宋体" w:hAnsi="宋体" w:cs="宋体"/>
                <w:color w:val="000000"/>
                <w:kern w:val="0"/>
                <w:lang w:val="zh-CN"/>
              </w:rPr>
            </w:pPr>
            <w:r>
              <w:rPr>
                <w:rFonts w:hint="eastAsia" w:ascii="宋体" w:hAnsi="宋体" w:cs="宋体"/>
                <w:color w:val="000000"/>
                <w:kern w:val="0"/>
              </w:rPr>
              <w:t>方案合理安排较充分有效的得3分</w:t>
            </w:r>
            <w:r>
              <w:rPr>
                <w:rFonts w:hint="eastAsia" w:ascii="宋体" w:hAnsi="宋体" w:cs="宋体"/>
                <w:color w:val="000000"/>
                <w:kern w:val="0"/>
                <w:lang w:eastAsia="zh-CN"/>
              </w:rPr>
              <w:t>；</w:t>
            </w:r>
          </w:p>
          <w:p w14:paraId="443B43A3">
            <w:pPr>
              <w:numPr>
                <w:ilvl w:val="0"/>
                <w:numId w:val="0"/>
              </w:numPr>
              <w:adjustRightInd w:val="0"/>
              <w:spacing w:line="360" w:lineRule="auto"/>
              <w:rPr>
                <w:rFonts w:ascii="宋体" w:hAnsi="宋体" w:cs="宋体"/>
                <w:color w:val="000000"/>
                <w:kern w:val="0"/>
                <w:lang w:val="zh-CN"/>
              </w:rPr>
            </w:pPr>
            <w:r>
              <w:rPr>
                <w:rFonts w:hint="eastAsia" w:ascii="宋体" w:hAnsi="宋体" w:cs="宋体"/>
                <w:color w:val="000000"/>
                <w:kern w:val="0"/>
              </w:rPr>
              <w:t>方案内容简单，安排不充分或无方案得1分</w:t>
            </w:r>
            <w:r>
              <w:rPr>
                <w:rFonts w:hint="eastAsia" w:ascii="宋体" w:hAnsi="宋体" w:cs="宋体"/>
                <w:color w:val="000000"/>
                <w:kern w:val="0"/>
                <w:lang w:eastAsia="zh-CN"/>
              </w:rPr>
              <w:t>；</w:t>
            </w:r>
          </w:p>
          <w:p w14:paraId="4C25799F">
            <w:pPr>
              <w:spacing w:line="360" w:lineRule="auto"/>
              <w:jc w:val="left"/>
              <w:rPr>
                <w:rFonts w:ascii="宋体" w:hAnsi="宋体" w:cs="宋体"/>
                <w:color w:val="000000"/>
                <w:kern w:val="0"/>
                <w:lang w:val="zh-CN"/>
              </w:rPr>
            </w:pPr>
            <w:r>
              <w:rPr>
                <w:rFonts w:hint="eastAsia" w:ascii="宋体" w:hAnsi="宋体" w:cs="宋体"/>
                <w:color w:val="000000"/>
                <w:kern w:val="0"/>
                <w:lang w:val="en-US" w:eastAsia="zh-CN"/>
              </w:rPr>
              <w:t>未提供不得分。</w:t>
            </w:r>
          </w:p>
        </w:tc>
        <w:tc>
          <w:tcPr>
            <w:tcW w:w="934" w:type="dxa"/>
            <w:vMerge w:val="continue"/>
            <w:tcBorders>
              <w:left w:val="single" w:color="auto" w:sz="4" w:space="0"/>
              <w:bottom w:val="single" w:color="auto" w:sz="4" w:space="0"/>
              <w:right w:val="single" w:color="auto" w:sz="4" w:space="0"/>
            </w:tcBorders>
            <w:vAlign w:val="center"/>
          </w:tcPr>
          <w:p w14:paraId="08E46A40">
            <w:pPr>
              <w:widowControl/>
              <w:jc w:val="left"/>
              <w:rPr>
                <w:rFonts w:ascii="宋体" w:hAnsi="宋体" w:cs="宋体"/>
                <w:color w:val="000000"/>
              </w:rPr>
            </w:pPr>
          </w:p>
        </w:tc>
      </w:tr>
      <w:tr w14:paraId="36BA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2A348B36">
            <w:pPr>
              <w:adjustRightInd w:val="0"/>
              <w:snapToGrid w:val="0"/>
              <w:spacing w:line="400" w:lineRule="exact"/>
              <w:jc w:val="center"/>
              <w:rPr>
                <w:rFonts w:ascii="宋体" w:hAnsi="宋体" w:cs="宋体"/>
                <w:color w:val="000000"/>
              </w:rPr>
            </w:pPr>
            <w:r>
              <w:rPr>
                <w:rFonts w:hint="eastAsia" w:ascii="宋体" w:hAnsi="宋体" w:cs="宋体"/>
                <w:color w:val="000000"/>
              </w:rPr>
              <w:t>保密安全</w:t>
            </w:r>
          </w:p>
        </w:tc>
        <w:tc>
          <w:tcPr>
            <w:tcW w:w="6420" w:type="dxa"/>
            <w:tcBorders>
              <w:top w:val="single" w:color="auto" w:sz="4" w:space="0"/>
              <w:left w:val="single" w:color="auto" w:sz="4" w:space="0"/>
              <w:bottom w:val="single" w:color="auto" w:sz="4" w:space="0"/>
              <w:right w:val="single" w:color="auto" w:sz="4" w:space="0"/>
            </w:tcBorders>
            <w:noWrap/>
            <w:vAlign w:val="center"/>
          </w:tcPr>
          <w:p w14:paraId="77329F41">
            <w:pPr>
              <w:spacing w:line="400" w:lineRule="exact"/>
              <w:rPr>
                <w:rFonts w:hint="eastAsia" w:ascii="Times New Roman" w:hAnsi="Times New Roman" w:eastAsia="宋体"/>
                <w:lang w:val="en-GB"/>
              </w:rPr>
            </w:pPr>
            <w:r>
              <w:rPr>
                <w:rFonts w:hint="eastAsia" w:ascii="Times New Roman" w:hAnsi="Times New Roman" w:eastAsia="宋体"/>
                <w:lang w:val="en-GB"/>
              </w:rPr>
              <w:t>投标人具有严格的保密管理制度，对涉密数据的管理、使用、生产、提供有明确的保障措施，进行综合评议。</w:t>
            </w:r>
          </w:p>
          <w:p w14:paraId="56F86000">
            <w:pPr>
              <w:spacing w:line="400" w:lineRule="exact"/>
              <w:rPr>
                <w:rFonts w:hint="eastAsia" w:ascii="Times New Roman" w:hAnsi="Times New Roman" w:eastAsia="宋体"/>
                <w:lang w:val="en-US" w:eastAsia="zh-CN"/>
              </w:rPr>
            </w:pPr>
            <w:r>
              <w:rPr>
                <w:rFonts w:hint="eastAsia" w:ascii="Times New Roman" w:hAnsi="Times New Roman" w:eastAsia="宋体"/>
                <w:lang w:val="en-US" w:eastAsia="zh-CN"/>
              </w:rPr>
              <w:t>方案内容完整、程序到位，制度严明的得4分；</w:t>
            </w:r>
          </w:p>
          <w:p w14:paraId="462AA03F">
            <w:pPr>
              <w:spacing w:line="400" w:lineRule="exact"/>
              <w:rPr>
                <w:rFonts w:hint="eastAsia" w:ascii="Times New Roman" w:hAnsi="Times New Roman" w:eastAsia="宋体"/>
                <w:lang w:val="en-US" w:eastAsia="zh-CN"/>
              </w:rPr>
            </w:pPr>
            <w:r>
              <w:rPr>
                <w:rFonts w:hint="eastAsia" w:ascii="Times New Roman" w:hAnsi="Times New Roman" w:eastAsia="宋体"/>
                <w:lang w:val="en-US" w:eastAsia="zh-CN"/>
              </w:rPr>
              <w:t>方案内容欠佳或制度不够清晰的得2分；</w:t>
            </w:r>
          </w:p>
          <w:p w14:paraId="45AA4FA4">
            <w:pPr>
              <w:spacing w:line="400" w:lineRule="exact"/>
              <w:rPr>
                <w:rFonts w:hint="eastAsia" w:ascii="Times New Roman" w:hAnsi="Times New Roman" w:eastAsia="宋体"/>
                <w:lang w:val="en-US" w:eastAsia="zh-CN"/>
              </w:rPr>
            </w:pPr>
            <w:r>
              <w:rPr>
                <w:rFonts w:hint="eastAsia" w:ascii="Times New Roman" w:hAnsi="Times New Roman" w:eastAsia="宋体"/>
                <w:lang w:val="en-US" w:eastAsia="zh-CN"/>
              </w:rPr>
              <w:t>方案存在明显缺陷的得1分；</w:t>
            </w:r>
          </w:p>
          <w:p w14:paraId="5B051273">
            <w:pPr>
              <w:spacing w:line="400" w:lineRule="exact"/>
              <w:rPr>
                <w:rFonts w:ascii="宋体" w:hAnsi="宋体" w:cs="宋体"/>
                <w:color w:val="000000"/>
              </w:rPr>
            </w:pPr>
            <w:r>
              <w:rPr>
                <w:rFonts w:hint="eastAsia" w:ascii="Times New Roman" w:hAnsi="Times New Roman" w:eastAsia="宋体"/>
                <w:lang w:val="en-US" w:eastAsia="zh-CN"/>
              </w:rPr>
              <w:t>未提供不得分。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7C6D7E9B">
            <w:pPr>
              <w:adjustRightInd w:val="0"/>
              <w:snapToGrid w:val="0"/>
              <w:spacing w:line="400" w:lineRule="exact"/>
              <w:jc w:val="center"/>
              <w:rPr>
                <w:rFonts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分</w:t>
            </w:r>
          </w:p>
        </w:tc>
      </w:tr>
      <w:tr w14:paraId="6802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7EFCEF0F">
            <w:pPr>
              <w:adjustRightInd w:val="0"/>
              <w:snapToGrid w:val="0"/>
              <w:spacing w:line="400" w:lineRule="exact"/>
              <w:jc w:val="center"/>
              <w:rPr>
                <w:rFonts w:ascii="宋体" w:hAnsi="宋体" w:cs="宋体"/>
                <w:color w:val="000000"/>
              </w:rPr>
            </w:pPr>
            <w:r>
              <w:rPr>
                <w:rFonts w:hint="eastAsia" w:ascii="宋体" w:hAnsi="宋体" w:cs="宋体"/>
                <w:color w:val="000000"/>
              </w:rPr>
              <w:t>服务响应能力</w:t>
            </w:r>
          </w:p>
        </w:tc>
        <w:tc>
          <w:tcPr>
            <w:tcW w:w="6420" w:type="dxa"/>
            <w:tcBorders>
              <w:top w:val="single" w:color="auto" w:sz="4" w:space="0"/>
              <w:left w:val="single" w:color="auto" w:sz="4" w:space="0"/>
              <w:bottom w:val="single" w:color="auto" w:sz="4" w:space="0"/>
              <w:right w:val="single" w:color="auto" w:sz="4" w:space="0"/>
            </w:tcBorders>
            <w:noWrap/>
            <w:vAlign w:val="center"/>
          </w:tcPr>
          <w:p w14:paraId="4DEABA38">
            <w:pPr>
              <w:numPr>
                <w:ilvl w:val="0"/>
                <w:numId w:val="0"/>
              </w:numPr>
              <w:adjustRightInd w:val="0"/>
              <w:snapToGrid w:val="0"/>
              <w:spacing w:line="360" w:lineRule="auto"/>
              <w:ind w:leftChars="0"/>
              <w:jc w:val="left"/>
              <w:rPr>
                <w:rFonts w:ascii="宋体" w:hAnsi="宋体" w:cs="宋体"/>
                <w:spacing w:val="4"/>
              </w:rPr>
            </w:pPr>
            <w:r>
              <w:rPr>
                <w:rFonts w:hint="eastAsia" w:ascii="宋体" w:hAnsi="宋体" w:cs="宋体"/>
                <w:spacing w:val="4"/>
              </w:rPr>
              <w:t>根据投标人售后服务的响应时间、到达时间、问题解决时间承诺等进行综合评议</w:t>
            </w:r>
            <w:r>
              <w:rPr>
                <w:rFonts w:hint="eastAsia" w:ascii="宋体" w:hAnsi="宋体" w:cs="宋体"/>
                <w:spacing w:val="4"/>
                <w:lang w:eastAsia="zh-CN"/>
              </w:rPr>
              <w:t>（</w:t>
            </w:r>
            <w:r>
              <w:rPr>
                <w:rFonts w:hint="eastAsia" w:ascii="宋体" w:hAnsi="宋体" w:cs="宋体"/>
                <w:spacing w:val="4"/>
                <w:lang w:val="en-US" w:eastAsia="zh-CN"/>
              </w:rPr>
              <w:t>0-5分</w:t>
            </w:r>
            <w:r>
              <w:rPr>
                <w:rFonts w:hint="eastAsia" w:ascii="宋体" w:hAnsi="宋体" w:cs="宋体"/>
                <w:spacing w:val="4"/>
                <w:lang w:eastAsia="zh-CN"/>
              </w:rPr>
              <w:t>）</w:t>
            </w:r>
            <w:r>
              <w:rPr>
                <w:rFonts w:hint="eastAsia" w:ascii="宋体" w:hAnsi="宋体" w:cs="宋体"/>
                <w:spacing w:val="4"/>
              </w:rPr>
              <w:t>。</w:t>
            </w:r>
          </w:p>
          <w:p w14:paraId="75AC319D">
            <w:pPr>
              <w:numPr>
                <w:ilvl w:val="0"/>
                <w:numId w:val="0"/>
              </w:numPr>
              <w:adjustRightInd w:val="0"/>
              <w:snapToGrid w:val="0"/>
              <w:spacing w:line="360" w:lineRule="auto"/>
              <w:ind w:leftChars="0"/>
              <w:jc w:val="left"/>
              <w:rPr>
                <w:rFonts w:hint="eastAsia" w:ascii="宋体" w:hAnsi="宋体" w:cs="宋体"/>
                <w:spacing w:val="4"/>
                <w:lang w:val="en-US" w:eastAsia="zh-CN"/>
              </w:rPr>
            </w:pPr>
            <w:r>
              <w:rPr>
                <w:rFonts w:hint="eastAsia" w:ascii="宋体" w:hAnsi="宋体" w:cs="宋体"/>
                <w:spacing w:val="4"/>
                <w:lang w:val="en-US" w:eastAsia="zh-CN"/>
              </w:rPr>
              <w:t>响应保障措施完善且可操作性强的得5分；</w:t>
            </w:r>
          </w:p>
          <w:p w14:paraId="2CAB8544">
            <w:pPr>
              <w:numPr>
                <w:ilvl w:val="0"/>
                <w:numId w:val="0"/>
              </w:numPr>
              <w:adjustRightInd w:val="0"/>
              <w:snapToGrid w:val="0"/>
              <w:spacing w:line="360" w:lineRule="auto"/>
              <w:ind w:leftChars="0"/>
              <w:jc w:val="left"/>
              <w:rPr>
                <w:rFonts w:hint="eastAsia" w:ascii="Times New Roman" w:hAnsi="Times New Roman"/>
                <w:lang w:val="en-US" w:eastAsia="zh-CN"/>
              </w:rPr>
            </w:pPr>
            <w:r>
              <w:rPr>
                <w:rFonts w:hint="eastAsia" w:ascii="宋体" w:hAnsi="宋体" w:cs="宋体"/>
                <w:spacing w:val="4"/>
                <w:lang w:val="en-US" w:eastAsia="zh-CN"/>
              </w:rPr>
              <w:t>响应</w:t>
            </w:r>
            <w:r>
              <w:rPr>
                <w:rFonts w:hint="eastAsia" w:ascii="Times New Roman" w:hAnsi="Times New Roman" w:eastAsia="宋体"/>
                <w:lang w:val="en-US" w:eastAsia="zh-CN"/>
              </w:rPr>
              <w:t>内容欠佳或不够</w:t>
            </w:r>
            <w:r>
              <w:rPr>
                <w:rFonts w:hint="eastAsia" w:ascii="Times New Roman" w:hAnsi="Times New Roman"/>
                <w:lang w:val="en-US" w:eastAsia="zh-CN"/>
              </w:rPr>
              <w:t>明确的得3分；</w:t>
            </w:r>
          </w:p>
          <w:p w14:paraId="6D3EA037">
            <w:pPr>
              <w:numPr>
                <w:ilvl w:val="0"/>
                <w:numId w:val="0"/>
              </w:numPr>
              <w:adjustRightInd w:val="0"/>
              <w:snapToGrid w:val="0"/>
              <w:spacing w:line="360" w:lineRule="auto"/>
              <w:ind w:leftChars="0"/>
              <w:jc w:val="left"/>
              <w:rPr>
                <w:rFonts w:hint="eastAsia" w:ascii="Times New Roman" w:hAnsi="Times New Roman"/>
                <w:lang w:val="en-US" w:eastAsia="zh-CN"/>
              </w:rPr>
            </w:pPr>
            <w:r>
              <w:rPr>
                <w:rFonts w:hint="eastAsia" w:ascii="Times New Roman" w:hAnsi="Times New Roman"/>
                <w:lang w:val="en-US" w:eastAsia="zh-CN"/>
              </w:rPr>
              <w:t>响应时间可操作性弱的得1分；</w:t>
            </w:r>
          </w:p>
          <w:p w14:paraId="0C0A25BB">
            <w:pPr>
              <w:numPr>
                <w:ilvl w:val="0"/>
                <w:numId w:val="0"/>
              </w:numPr>
              <w:adjustRightInd w:val="0"/>
              <w:snapToGrid w:val="0"/>
              <w:spacing w:line="360" w:lineRule="auto"/>
              <w:ind w:leftChars="0"/>
              <w:jc w:val="left"/>
              <w:rPr>
                <w:rFonts w:ascii="宋体" w:hAnsi="宋体" w:cs="宋体"/>
                <w:color w:val="000000"/>
              </w:rPr>
            </w:pPr>
            <w:r>
              <w:rPr>
                <w:rFonts w:hint="eastAsia" w:ascii="Times New Roman" w:hAnsi="Times New Roman"/>
                <w:lang w:val="en-US" w:eastAsia="zh-CN"/>
              </w:rPr>
              <w:t>响应时间明显不符合实际或不符合采购需求的不得分。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34B3094D">
            <w:pPr>
              <w:adjustRightInd w:val="0"/>
              <w:snapToGrid w:val="0"/>
              <w:spacing w:line="400" w:lineRule="exact"/>
              <w:jc w:val="center"/>
              <w:rPr>
                <w:rFonts w:ascii="宋体" w:hAnsi="宋体" w:cs="宋体"/>
                <w:color w:val="000000"/>
              </w:rPr>
            </w:pPr>
            <w:r>
              <w:rPr>
                <w:rFonts w:hint="eastAsia" w:ascii="宋体" w:hAnsi="宋体" w:cs="宋体"/>
                <w:color w:val="000000"/>
                <w:lang w:val="en-US" w:eastAsia="zh-CN"/>
              </w:rPr>
              <w:t>5</w:t>
            </w:r>
            <w:r>
              <w:rPr>
                <w:rFonts w:hint="eastAsia" w:ascii="宋体" w:hAnsi="宋体" w:cs="宋体"/>
                <w:color w:val="000000"/>
              </w:rPr>
              <w:t>分</w:t>
            </w:r>
          </w:p>
        </w:tc>
      </w:tr>
    </w:tbl>
    <w:p w14:paraId="1D950E55">
      <w:pPr>
        <w:rPr>
          <w:rFonts w:ascii="Times New Roman" w:hAnsi="Times New Roman" w:cs="Times New Roman"/>
          <w:b/>
          <w:bCs/>
          <w:color w:val="000000" w:themeColor="text1"/>
          <w:sz w:val="22"/>
          <w:szCs w:val="22"/>
          <w:highlight w:val="none"/>
        </w:rPr>
      </w:pPr>
    </w:p>
    <w:p w14:paraId="02DA50EE">
      <w:pPr>
        <w:rPr>
          <w:rFonts w:ascii="Times New Roman" w:hAnsi="Times New Roman" w:cs="Times New Roman"/>
          <w:b/>
          <w:bCs/>
          <w:color w:val="000000" w:themeColor="text1"/>
          <w:sz w:val="22"/>
          <w:szCs w:val="22"/>
          <w:highlight w:val="none"/>
        </w:rPr>
      </w:pPr>
    </w:p>
    <w:p w14:paraId="2EB75678">
      <w:pPr>
        <w:rPr>
          <w:rFonts w:ascii="Times New Roman" w:hAnsi="Times New Roman" w:cs="Times New Roman"/>
          <w:b/>
          <w:bCs/>
          <w:color w:val="000000" w:themeColor="text1"/>
          <w:sz w:val="22"/>
          <w:szCs w:val="22"/>
          <w:highlight w:val="none"/>
        </w:rPr>
      </w:pPr>
    </w:p>
    <w:p w14:paraId="5694510B">
      <w:pPr>
        <w:rPr>
          <w:rFonts w:ascii="Times New Roman" w:hAnsi="Times New Roman" w:cs="Times New Roman"/>
          <w:b/>
          <w:bCs/>
          <w:color w:val="000000" w:themeColor="text1"/>
          <w:sz w:val="22"/>
          <w:szCs w:val="22"/>
          <w:highlight w:val="none"/>
        </w:rPr>
      </w:pPr>
    </w:p>
    <w:p w14:paraId="3A63890C">
      <w:pPr>
        <w:jc w:val="center"/>
        <w:rPr>
          <w:rFonts w:ascii="Times New Roman" w:hAnsi="Times New Roman" w:cs="Times New Roman"/>
          <w:color w:val="000000" w:themeColor="text1"/>
          <w:sz w:val="32"/>
          <w:szCs w:val="32"/>
          <w:highlight w:val="none"/>
        </w:rPr>
      </w:pPr>
      <w:r>
        <w:rPr>
          <w:rFonts w:ascii="Times New Roman" w:hAnsi="Times New Roman" w:cs="Times New Roman"/>
          <w:b/>
          <w:bCs/>
          <w:color w:val="000000" w:themeColor="text1"/>
          <w:sz w:val="32"/>
          <w:szCs w:val="32"/>
          <w:highlight w:val="none"/>
        </w:rPr>
        <w:t>第五章合同主要条款</w:t>
      </w:r>
    </w:p>
    <w:p w14:paraId="1B0D6C84">
      <w:pPr>
        <w:pStyle w:val="17"/>
        <w:spacing w:line="360" w:lineRule="auto"/>
        <w:ind w:firstLine="436"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spacing w:val="4"/>
          <w:sz w:val="21"/>
          <w:szCs w:val="21"/>
        </w:rPr>
        <w:t>（此合同仅供参考,以最终双方签订的合同为准）</w:t>
      </w:r>
      <w:r>
        <w:rPr>
          <w:rFonts w:hint="eastAsia" w:ascii="宋体" w:hAnsi="宋体" w:eastAsia="宋体" w:cs="宋体"/>
          <w:spacing w:val="4"/>
          <w:sz w:val="21"/>
          <w:szCs w:val="21"/>
        </w:rPr>
        <w:cr/>
      </w:r>
      <w:r>
        <w:rPr>
          <w:rFonts w:hint="eastAsia" w:ascii="宋体" w:hAnsi="宋体" w:eastAsia="宋体" w:cs="宋体"/>
          <w:color w:val="000000"/>
          <w:kern w:val="2"/>
          <w:sz w:val="21"/>
          <w:szCs w:val="21"/>
          <w:lang w:val="zh-CN" w:eastAsia="zh-CN" w:bidi="ar-SA"/>
        </w:rPr>
        <w:t>项目名称：</w:t>
      </w:r>
    </w:p>
    <w:p w14:paraId="0C9F1C5D">
      <w:pPr>
        <w:pStyle w:val="17"/>
        <w:spacing w:line="360" w:lineRule="auto"/>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项目编号：</w:t>
      </w:r>
    </w:p>
    <w:p w14:paraId="33865D74">
      <w:pPr>
        <w:pStyle w:val="17"/>
        <w:spacing w:line="360" w:lineRule="auto"/>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甲方：</w:t>
      </w:r>
    </w:p>
    <w:p w14:paraId="76C411A8">
      <w:pPr>
        <w:pStyle w:val="17"/>
        <w:spacing w:line="360" w:lineRule="auto"/>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乙方：</w:t>
      </w:r>
    </w:p>
    <w:p w14:paraId="70A1A547">
      <w:pPr>
        <w:pStyle w:val="17"/>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甲、乙双方根据浙江省海洋生态环境监测中心关于</w:t>
      </w:r>
      <w:r>
        <w:rPr>
          <w:rFonts w:hint="eastAsia" w:hAnsi="宋体" w:cs="宋体"/>
          <w:color w:val="000000"/>
          <w:kern w:val="2"/>
          <w:sz w:val="21"/>
          <w:szCs w:val="21"/>
          <w:lang w:val="zh-CN" w:eastAsia="zh-CN" w:bidi="ar-SA"/>
        </w:rPr>
        <w:t>2025年杭州湾乐清湾滨海湿地变迁遥感调查项目</w:t>
      </w:r>
      <w:r>
        <w:rPr>
          <w:rFonts w:hint="eastAsia" w:ascii="宋体" w:hAnsi="宋体" w:eastAsia="宋体" w:cs="宋体"/>
          <w:color w:val="000000"/>
          <w:kern w:val="2"/>
          <w:sz w:val="21"/>
          <w:szCs w:val="21"/>
          <w:lang w:val="en-US" w:eastAsia="zh-CN" w:bidi="ar-SA"/>
        </w:rPr>
        <w:t>公开招标</w:t>
      </w:r>
      <w:r>
        <w:rPr>
          <w:rFonts w:hint="eastAsia" w:ascii="宋体" w:hAnsi="宋体" w:eastAsia="宋体" w:cs="宋体"/>
          <w:color w:val="000000"/>
          <w:kern w:val="2"/>
          <w:sz w:val="21"/>
          <w:szCs w:val="21"/>
          <w:lang w:val="zh-CN" w:eastAsia="zh-CN" w:bidi="ar-SA"/>
        </w:rPr>
        <w:t>成交的结果，签署本合同。</w:t>
      </w:r>
    </w:p>
    <w:p w14:paraId="082C25B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2"/>
          <w:sz w:val="21"/>
          <w:szCs w:val="21"/>
          <w:lang w:val="zh-CN" w:eastAsia="zh-CN" w:bidi="ar-SA"/>
        </w:rPr>
      </w:pPr>
      <w:r>
        <w:rPr>
          <w:rFonts w:hint="eastAsia" w:ascii="宋体" w:hAnsi="宋体" w:eastAsia="宋体" w:cs="宋体"/>
          <w:b/>
          <w:bCs/>
          <w:color w:val="000000"/>
          <w:kern w:val="2"/>
          <w:sz w:val="21"/>
          <w:szCs w:val="21"/>
          <w:lang w:val="zh-CN" w:eastAsia="zh-CN" w:bidi="ar-SA"/>
        </w:rPr>
        <w:t>一、项目</w:t>
      </w:r>
      <w:r>
        <w:rPr>
          <w:rFonts w:hint="eastAsia" w:ascii="宋体" w:hAnsi="宋体" w:eastAsia="宋体" w:cs="宋体"/>
          <w:b/>
          <w:bCs/>
          <w:color w:val="000000"/>
          <w:kern w:val="2"/>
          <w:sz w:val="21"/>
          <w:szCs w:val="21"/>
          <w:lang w:val="en-US" w:eastAsia="zh-CN" w:bidi="ar-SA"/>
        </w:rPr>
        <w:t>情况</w:t>
      </w:r>
    </w:p>
    <w:p w14:paraId="6BCC72D9">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2"/>
          <w:sz w:val="21"/>
          <w:szCs w:val="21"/>
          <w:lang w:val="zh-CN" w:eastAsia="zh-CN" w:bidi="ar-SA"/>
        </w:rPr>
        <w:t>为实现浙江省重要湾口杭州湾和乐清湾的大陆自然岸线保有率及生态环境状况有效监控，需要在2025年继续开展浙江省典型海湾湿地变迁监测。要求对杭州湾和乐清湾滨海湿地现状及历史情况，利用高分遥感影像进行解译反演，按近岸海洋生态健康评价指南要求完成两处海湾的栖息地生境调查。</w:t>
      </w:r>
    </w:p>
    <w:p w14:paraId="1C1EA78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2"/>
          <w:sz w:val="21"/>
          <w:szCs w:val="21"/>
          <w:lang w:val="zh-CN" w:eastAsia="zh-CN" w:bidi="ar-SA"/>
        </w:rPr>
      </w:pPr>
      <w:r>
        <w:rPr>
          <w:rFonts w:hint="eastAsia" w:ascii="宋体" w:hAnsi="宋体" w:eastAsia="宋体" w:cs="宋体"/>
          <w:b/>
          <w:bCs/>
          <w:color w:val="000000"/>
          <w:kern w:val="2"/>
          <w:sz w:val="21"/>
          <w:szCs w:val="21"/>
          <w:lang w:val="en-US" w:eastAsia="zh-CN" w:bidi="ar-SA"/>
        </w:rPr>
        <w:t>二、</w:t>
      </w:r>
      <w:r>
        <w:rPr>
          <w:rFonts w:hint="eastAsia" w:ascii="宋体" w:hAnsi="宋体" w:eastAsia="宋体" w:cs="宋体"/>
          <w:b/>
          <w:bCs/>
          <w:color w:val="000000"/>
          <w:kern w:val="2"/>
          <w:sz w:val="21"/>
          <w:szCs w:val="21"/>
          <w:lang w:val="zh-CN" w:eastAsia="zh-CN" w:bidi="ar-SA"/>
        </w:rPr>
        <w:t>监测需求</w:t>
      </w:r>
    </w:p>
    <w:p w14:paraId="110A247E">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项目时间为合同签订之日起至2025年11月30日。</w:t>
      </w:r>
    </w:p>
    <w:p w14:paraId="57FAD186">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项目监测内容主要包括：1）2000年和2025年两个时段的浙江省沿海各地市岸线及滨海湿地变化；2）2021年和2025年浙江省典型海湾（杭州湾和乐清湾）岸线及滨海湿地变化；3）2021年和2025年浙江省杭州湾滨海湿地植被覆盖（重点关注护花米草）及潮滩地形变化。具体如下表所示：</w:t>
      </w:r>
    </w:p>
    <w:tbl>
      <w:tblPr>
        <w:tblStyle w:val="24"/>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1"/>
        <w:gridCol w:w="4870"/>
      </w:tblGrid>
      <w:tr w14:paraId="7593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noWrap/>
            <w:vAlign w:val="center"/>
          </w:tcPr>
          <w:p w14:paraId="75D1A4D8">
            <w:pPr>
              <w:adjustRightInd w:val="0"/>
              <w:snapToGrid w:val="0"/>
              <w:spacing w:line="360" w:lineRule="auto"/>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监测内容</w:t>
            </w:r>
          </w:p>
        </w:tc>
        <w:tc>
          <w:tcPr>
            <w:tcW w:w="2551" w:type="dxa"/>
            <w:tcBorders>
              <w:top w:val="single" w:color="auto" w:sz="4" w:space="0"/>
              <w:left w:val="nil"/>
              <w:bottom w:val="single" w:color="auto" w:sz="4" w:space="0"/>
              <w:right w:val="single" w:color="auto" w:sz="4" w:space="0"/>
            </w:tcBorders>
            <w:noWrap/>
            <w:vAlign w:val="center"/>
          </w:tcPr>
          <w:p w14:paraId="37779C8B">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监测参数</w:t>
            </w:r>
          </w:p>
        </w:tc>
        <w:tc>
          <w:tcPr>
            <w:tcW w:w="4870" w:type="dxa"/>
            <w:tcBorders>
              <w:top w:val="single" w:color="auto" w:sz="4" w:space="0"/>
              <w:left w:val="nil"/>
              <w:bottom w:val="single" w:color="auto" w:sz="4" w:space="0"/>
              <w:right w:val="single" w:color="auto" w:sz="4" w:space="0"/>
            </w:tcBorders>
            <w:noWrap/>
            <w:vAlign w:val="center"/>
          </w:tcPr>
          <w:p w14:paraId="6262A636">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监测内容</w:t>
            </w:r>
          </w:p>
        </w:tc>
      </w:tr>
      <w:tr w14:paraId="0EBE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13" w:type="dxa"/>
            <w:tcBorders>
              <w:top w:val="single" w:color="auto" w:sz="4" w:space="0"/>
              <w:left w:val="single" w:color="auto" w:sz="4" w:space="0"/>
              <w:bottom w:val="single" w:color="auto" w:sz="4" w:space="0"/>
              <w:right w:val="single" w:color="auto" w:sz="4" w:space="0"/>
            </w:tcBorders>
            <w:noWrap/>
            <w:vAlign w:val="center"/>
          </w:tcPr>
          <w:p w14:paraId="173A4767">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全省沿海各地市岸线及滨海湿地（潮滩）</w:t>
            </w:r>
          </w:p>
        </w:tc>
        <w:tc>
          <w:tcPr>
            <w:tcW w:w="2551" w:type="dxa"/>
            <w:tcBorders>
              <w:top w:val="single" w:color="auto" w:sz="4" w:space="0"/>
              <w:left w:val="nil"/>
              <w:bottom w:val="single" w:color="auto" w:sz="4" w:space="0"/>
              <w:right w:val="single" w:color="auto" w:sz="4" w:space="0"/>
            </w:tcBorders>
            <w:noWrap/>
            <w:vAlign w:val="center"/>
          </w:tcPr>
          <w:p w14:paraId="0189EACF">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岸线类型、岸线长度、岸线类型转换率、岸线减少或增加速率、滨海湿地（潮滩）面积及变化率</w:t>
            </w:r>
          </w:p>
        </w:tc>
        <w:tc>
          <w:tcPr>
            <w:tcW w:w="4870" w:type="dxa"/>
            <w:tcBorders>
              <w:top w:val="single" w:color="auto" w:sz="4" w:space="0"/>
              <w:left w:val="nil"/>
              <w:bottom w:val="single" w:color="auto" w:sz="4" w:space="0"/>
              <w:right w:val="single" w:color="auto" w:sz="4" w:space="0"/>
            </w:tcBorders>
            <w:noWrap/>
            <w:vAlign w:val="center"/>
          </w:tcPr>
          <w:p w14:paraId="1410E74C">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1、利用中高分辨率卫星遥感影像，开展全省沿海各地市2000年与2025年两个年度的岸线及湿地变化调查。</w:t>
            </w:r>
          </w:p>
          <w:p w14:paraId="50D790BE">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2、监测各地市海岸线类型、长度及其变化情况（包括岸线类型转换、岸线减少或增加速率等）；</w:t>
            </w:r>
          </w:p>
          <w:p w14:paraId="07B73238">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3、监测滨海湿地，特别是潮滩分布范围及其变化情况。</w:t>
            </w:r>
          </w:p>
        </w:tc>
      </w:tr>
      <w:tr w14:paraId="4917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13" w:type="dxa"/>
            <w:tcBorders>
              <w:top w:val="single" w:color="auto" w:sz="4" w:space="0"/>
              <w:left w:val="single" w:color="auto" w:sz="4" w:space="0"/>
              <w:bottom w:val="single" w:color="auto" w:sz="4" w:space="0"/>
              <w:right w:val="single" w:color="auto" w:sz="4" w:space="0"/>
            </w:tcBorders>
            <w:noWrap/>
            <w:vAlign w:val="center"/>
          </w:tcPr>
          <w:p w14:paraId="7D38E02C">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典型海湾（杭州湾和乐清湾）岸线及滨海湿地变化</w:t>
            </w:r>
          </w:p>
        </w:tc>
        <w:tc>
          <w:tcPr>
            <w:tcW w:w="2551" w:type="dxa"/>
            <w:tcBorders>
              <w:top w:val="single" w:color="auto" w:sz="4" w:space="0"/>
              <w:left w:val="nil"/>
              <w:bottom w:val="single" w:color="auto" w:sz="4" w:space="0"/>
              <w:right w:val="single" w:color="auto" w:sz="4" w:space="0"/>
            </w:tcBorders>
            <w:noWrap/>
            <w:vAlign w:val="center"/>
          </w:tcPr>
          <w:p w14:paraId="61C72E90">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岸线类型、岸线长度、岸线类型转换率、岸线减少速率、岸线增加速率、滨海湿地分带界线及面积、潮滩地形及变化</w:t>
            </w:r>
          </w:p>
        </w:tc>
        <w:tc>
          <w:tcPr>
            <w:tcW w:w="4870" w:type="dxa"/>
            <w:tcBorders>
              <w:top w:val="single" w:color="auto" w:sz="4" w:space="0"/>
              <w:left w:val="nil"/>
              <w:bottom w:val="single" w:color="auto" w:sz="4" w:space="0"/>
              <w:right w:val="single" w:color="auto" w:sz="4" w:space="0"/>
            </w:tcBorders>
            <w:noWrap/>
            <w:vAlign w:val="center"/>
          </w:tcPr>
          <w:p w14:paraId="61FAE798">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1、利用高分辨率卫星遥感影像，对浙江省两个典型海湾（杭州湾和乐清湾）2021和2025两个年度的岸线及滨海湿地（潮滩）变化进行调查。</w:t>
            </w:r>
          </w:p>
          <w:p w14:paraId="252CB688">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2、监测海岸线类型、长度及其变化情况（包括岸线类型转换、岸线减少或增加速率等）；监测滨海湿地，包括但不限于潮上带、潮间带及潮下带的界线划分及变化；融合多时相多源卫星遥感数据，获取并分析潮滩区域的地表形态及变化。</w:t>
            </w:r>
          </w:p>
          <w:p w14:paraId="198CC03A">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3、部署低空无人机搭载激光雷达和高分辨率相机，针对关键区域或卫星数据不确定的地段进行详细勘查。</w:t>
            </w:r>
          </w:p>
        </w:tc>
      </w:tr>
      <w:tr w14:paraId="31C0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13" w:type="dxa"/>
            <w:tcBorders>
              <w:top w:val="single" w:color="auto" w:sz="4" w:space="0"/>
              <w:left w:val="single" w:color="auto" w:sz="4" w:space="0"/>
              <w:bottom w:val="single" w:color="auto" w:sz="4" w:space="0"/>
              <w:right w:val="single" w:color="auto" w:sz="4" w:space="0"/>
            </w:tcBorders>
            <w:noWrap/>
            <w:vAlign w:val="center"/>
          </w:tcPr>
          <w:p w14:paraId="6E1ADA77">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杭州湾滨海植被类型调查</w:t>
            </w:r>
          </w:p>
        </w:tc>
        <w:tc>
          <w:tcPr>
            <w:tcW w:w="2551" w:type="dxa"/>
            <w:tcBorders>
              <w:top w:val="single" w:color="auto" w:sz="4" w:space="0"/>
              <w:left w:val="nil"/>
              <w:bottom w:val="single" w:color="auto" w:sz="4" w:space="0"/>
              <w:right w:val="single" w:color="auto" w:sz="4" w:space="0"/>
            </w:tcBorders>
            <w:noWrap/>
            <w:vAlign w:val="center"/>
          </w:tcPr>
          <w:p w14:paraId="5BE0CE0F">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滨海湿地类型、分布范围、面积、变化及光谱特征</w:t>
            </w:r>
          </w:p>
        </w:tc>
        <w:tc>
          <w:tcPr>
            <w:tcW w:w="4870" w:type="dxa"/>
            <w:tcBorders>
              <w:top w:val="single" w:color="auto" w:sz="4" w:space="0"/>
              <w:left w:val="nil"/>
              <w:bottom w:val="single" w:color="auto" w:sz="4" w:space="0"/>
              <w:right w:val="single" w:color="auto" w:sz="4" w:space="0"/>
            </w:tcBorders>
            <w:noWrap/>
            <w:vAlign w:val="center"/>
          </w:tcPr>
          <w:p w14:paraId="4B08DCCA">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1、利用高分辨率卫星遥感影像，对杭州湾2021和2025两个年度的滨海湿地植被进行调查。</w:t>
            </w:r>
          </w:p>
          <w:p w14:paraId="0E8B5C4C">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2、监测滨海湿地植被类型，特别是护花米草的空间分布范围、面积及变化。</w:t>
            </w:r>
          </w:p>
          <w:p w14:paraId="0C1CDCDB">
            <w:pPr>
              <w:adjustRightInd w:val="0"/>
              <w:snapToGrid w:val="0"/>
              <w:spacing w:line="360" w:lineRule="auto"/>
              <w:ind w:firstLine="420" w:firstLineChars="20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3、部署低空无人机搭载高光谱相机，针对关键区域或卫星数据不确定的地段进行详细勘查，分析不同滨海湿地植被类型的反射光谱特征。</w:t>
            </w:r>
          </w:p>
        </w:tc>
      </w:tr>
    </w:tbl>
    <w:p w14:paraId="6AEE9F1F">
      <w:pPr>
        <w:adjustRightInd w:val="0"/>
        <w:snapToGrid w:val="0"/>
        <w:spacing w:line="360" w:lineRule="auto"/>
        <w:jc w:val="left"/>
        <w:rPr>
          <w:rFonts w:ascii="Times New Roman" w:hAnsi="Times New Roman" w:cs="Times New Roman"/>
          <w:color w:val="000000"/>
          <w:sz w:val="24"/>
        </w:rPr>
      </w:pPr>
    </w:p>
    <w:p w14:paraId="400B269E">
      <w:pPr>
        <w:numPr>
          <w:ilvl w:val="0"/>
          <w:numId w:val="0"/>
        </w:numPr>
        <w:adjustRightInd w:val="0"/>
        <w:snapToGrid w:val="0"/>
        <w:spacing w:line="36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三、</w:t>
      </w:r>
      <w:r>
        <w:rPr>
          <w:rFonts w:hint="eastAsia" w:ascii="宋体" w:hAnsi="宋体" w:eastAsia="宋体" w:cs="宋体"/>
          <w:b/>
          <w:bCs/>
          <w:color w:val="000000"/>
          <w:sz w:val="21"/>
          <w:szCs w:val="21"/>
        </w:rPr>
        <w:t>调查具体内容</w:t>
      </w:r>
    </w:p>
    <w:p w14:paraId="0D67BDD5">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cs="宋体"/>
          <w:color w:val="000000"/>
          <w:kern w:val="2"/>
          <w:sz w:val="21"/>
          <w:szCs w:val="21"/>
          <w:lang w:val="en-US" w:eastAsia="zh-CN" w:bidi="ar-SA"/>
        </w:rPr>
        <w:t>3</w:t>
      </w:r>
      <w:r>
        <w:rPr>
          <w:rFonts w:hint="eastAsia" w:ascii="宋体" w:hAnsi="宋体" w:eastAsia="宋体" w:cs="宋体"/>
          <w:color w:val="000000"/>
          <w:kern w:val="2"/>
          <w:sz w:val="21"/>
          <w:szCs w:val="21"/>
          <w:lang w:val="zh-CN" w:eastAsia="zh-CN" w:bidi="ar-SA"/>
        </w:rPr>
        <w:t>.1调查范围</w:t>
      </w:r>
    </w:p>
    <w:p w14:paraId="0D2B8C0E">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本次招标调查范围包括浙江全省沿海各地市，并重点关注杭州湾和乐清湾两大典型海湾。</w:t>
      </w:r>
    </w:p>
    <w:p w14:paraId="0CF19B5A">
      <w:pPr>
        <w:pStyle w:val="113"/>
        <w:adjustRightInd w:val="0"/>
        <w:snapToGrid w:val="0"/>
        <w:spacing w:line="360" w:lineRule="auto"/>
        <w:ind w:firstLineChars="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（1）全省沿海地市</w:t>
      </w:r>
    </w:p>
    <w:p w14:paraId="33A47F11">
      <w:pPr>
        <w:pStyle w:val="113"/>
        <w:adjustRightInd w:val="0"/>
        <w:snapToGrid w:val="0"/>
        <w:spacing w:line="360" w:lineRule="auto"/>
        <w:ind w:left="567"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包括嘉兴市、宁波市、舟山市、台州市、温州市５个地级市及所属平湖市、海盐县、海宁市、余姚市等28个县区。</w:t>
      </w:r>
    </w:p>
    <w:p w14:paraId="043FF8E6">
      <w:pPr>
        <w:pStyle w:val="113"/>
        <w:adjustRightInd w:val="0"/>
        <w:snapToGrid w:val="0"/>
        <w:spacing w:line="360" w:lineRule="auto"/>
        <w:ind w:firstLineChars="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（2）杭州湾</w:t>
      </w:r>
    </w:p>
    <w:p w14:paraId="694D4378">
      <w:pPr>
        <w:pStyle w:val="113"/>
        <w:adjustRightInd w:val="0"/>
        <w:snapToGrid w:val="0"/>
        <w:spacing w:line="360" w:lineRule="auto"/>
        <w:ind w:left="567"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浙江省东北部，既是海湾也是钱塘江的入海口，内界为钱塘江河口线， 外界为上海芦潮港闸与甬江口外长跳咀连线。</w:t>
      </w:r>
    </w:p>
    <w:p w14:paraId="3DAAEB1C">
      <w:pPr>
        <w:pStyle w:val="113"/>
        <w:adjustRightInd w:val="0"/>
        <w:snapToGrid w:val="0"/>
        <w:spacing w:line="360" w:lineRule="auto"/>
        <w:ind w:firstLineChars="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（3）乐清湾</w:t>
      </w:r>
    </w:p>
    <w:p w14:paraId="6581860F">
      <w:pPr>
        <w:pStyle w:val="113"/>
        <w:adjustRightInd w:val="0"/>
        <w:snapToGrid w:val="0"/>
        <w:spacing w:line="360" w:lineRule="auto"/>
        <w:ind w:left="567"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浙江南部瓯江入海口北侧，东侧玉环市，西岸乐清市，湾顶温岭市，湾口是洞头区各岛屿。</w:t>
      </w:r>
    </w:p>
    <w:p w14:paraId="1355E328">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cs="宋体"/>
          <w:color w:val="000000"/>
          <w:kern w:val="2"/>
          <w:sz w:val="21"/>
          <w:szCs w:val="21"/>
          <w:lang w:val="en-US" w:eastAsia="zh-CN" w:bidi="ar-SA"/>
        </w:rPr>
        <w:t>3</w:t>
      </w:r>
      <w:r>
        <w:rPr>
          <w:rFonts w:hint="eastAsia" w:ascii="宋体" w:hAnsi="宋体" w:eastAsia="宋体" w:cs="宋体"/>
          <w:color w:val="000000"/>
          <w:kern w:val="2"/>
          <w:sz w:val="21"/>
          <w:szCs w:val="21"/>
          <w:lang w:val="zh-CN" w:eastAsia="zh-CN" w:bidi="ar-SA"/>
        </w:rPr>
        <w:t>.2调查要求</w:t>
      </w:r>
    </w:p>
    <w:p w14:paraId="28C227E0">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以中高分辨率卫星影像数据为核心，综合运用多源多时相遥感技术进行监测制图，确保调查结果的系统性和完整性。充分融合无人机现场采集信息及历史档案资料，进行必要的补充验证，确保数据准确性。具体要求如下：</w:t>
      </w:r>
    </w:p>
    <w:p w14:paraId="75C28E61">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（1）严格遵循《海洋监测技术规程第七部分：卫星遥感技术方法（HY/T 147.7-2013）》、《海岛四项基本要素监视监测技术要求（试行）（国海发〔2016〕547号）》、《海岸带调查技术规程》《自然保护地人类活动遥感监测技术规范》（HJ 1156-2021）、《湿地分类》（GB/T 24708-2009）、《全国生态状况调查评估技术规范-生态系统格局评估》（HJ1171-2021）、《近岸海洋生态健康评价指南》（HY/T087-2005）、《自然保护区生态环境保护成效评估标准（试行）》（HJ 1203-2021）、《湿地生态质量评价技术规范》（HJ1339-2023）的相关规定，确保调查工作的科学性与规范性。</w:t>
      </w:r>
    </w:p>
    <w:p w14:paraId="4AFABE8C">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（2）依据滨海湿地的生态特征及地表覆盖变化规律，优选最利于湿地识别与区分的卫星成像和现场调查时间。</w:t>
      </w:r>
    </w:p>
    <w:p w14:paraId="049BB5E9">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（3）针对关键调查区域及难以直接通过卫星观测的地点，采用米级甚至更高分辨率的卫星或部署低空无人机进行精细监测与识别。</w:t>
      </w:r>
    </w:p>
    <w:p w14:paraId="15B21227">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（4）构建实地核查点网络，确保每两点之间最大距离不超过50公里。</w:t>
      </w:r>
    </w:p>
    <w:p w14:paraId="65E9468A">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（5）针对单幅影像无法完全覆盖的区域，需进行影像数据的精确拼接处理。</w:t>
      </w:r>
    </w:p>
    <w:p w14:paraId="39155EC6">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6）实现对岸线、滨海湿地、潮滩、植被类型等空间分布范围的精确定位，统计其长度、面积或地形特征，并进行多时相对比分析，量化岸线和滨海湿地的动态变化趋势，包括扩张、萎缩、类型转变等关键指标。</w:t>
      </w:r>
    </w:p>
    <w:p w14:paraId="13B99120">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p>
    <w:p w14:paraId="1B0060EF">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cs="宋体"/>
          <w:color w:val="000000"/>
          <w:kern w:val="2"/>
          <w:sz w:val="21"/>
          <w:szCs w:val="21"/>
          <w:lang w:val="en-US" w:eastAsia="zh-CN" w:bidi="ar-SA"/>
        </w:rPr>
        <w:t>3</w:t>
      </w:r>
      <w:r>
        <w:rPr>
          <w:rFonts w:hint="eastAsia" w:ascii="宋体" w:hAnsi="宋体" w:eastAsia="宋体" w:cs="宋体"/>
          <w:color w:val="000000"/>
          <w:kern w:val="2"/>
          <w:sz w:val="21"/>
          <w:szCs w:val="21"/>
          <w:lang w:val="zh-CN" w:eastAsia="zh-CN" w:bidi="ar-SA"/>
        </w:rPr>
        <w:t>.3质量控制要求</w:t>
      </w:r>
    </w:p>
    <w:p w14:paraId="28EA06D7">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中标方必须严格遵守以下质量控制措施，以确保本项目报告的精准度和可靠性：</w:t>
      </w:r>
    </w:p>
    <w:p w14:paraId="5A35BCA2">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1）中标方需深入分析调查区域海域特有的潮汐模式，确保精确同步潮位数据与遥感监测影像的获取时间，减少时间差异带来的影响。在此基础上，组织专业团队进行现场验证，对比遥感数据分析结果与实际水边线情况，采用先进的图像处理技术和算法，以确保提取的水边线精度符合项目既定标准。</w:t>
      </w:r>
    </w:p>
    <w:p w14:paraId="5C8AD739">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2）在进行潮滩湿地面积计算时，中标方应科学运用地球椭球面积计算理论，结合适宜的地图投影反解技术，精确校正由于地图投影引起的几何变形，减少面积估算误差。采用地理信息系统软件，对潮滩湿地边界进行细致勾勒，确保与岸线调查结果的高度吻合。</w:t>
      </w:r>
    </w:p>
    <w:p w14:paraId="21766E3B">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3）中标方需建立一套完善的调查结果精度评价机制，该机制应涵盖但不限于混淆矩阵分析、Kappa系数计算等统计学评估方法，以全面、客观地衡量项目调查数据的准确性和一致性。鼓励采用第三方独立验证，通过交叉比对不同数据源，进一步提升整体精度评估的可靠性和客观性。</w:t>
      </w:r>
    </w:p>
    <w:p w14:paraId="00449BDE">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4）中标方应设立动态质量监控流程，在项目执行过程中持续监控数据收集、处理及分析各阶段的精度状况，及时发现并纠正偏差。建立快速响应机制，对发现的任何精度问题实施即时修正措施，并记录修正过程及结果，确保最终报告的高质量完成。</w:t>
      </w:r>
    </w:p>
    <w:p w14:paraId="2ECE858B">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（5）所有参与项目的工作人员需接受专项培训，确保其熟悉最新的调查技术和质量控制标准。同时，对关键岗位人员的资质进行严格审核，确保团队成员具备实施高质量潮滩湿地调查的专业能力和经验。</w:t>
      </w:r>
    </w:p>
    <w:p w14:paraId="1189F3C1">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p>
    <w:p w14:paraId="4E9D3A28">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cs="宋体"/>
          <w:color w:val="000000"/>
          <w:kern w:val="2"/>
          <w:sz w:val="21"/>
          <w:szCs w:val="21"/>
          <w:lang w:val="en-US" w:eastAsia="zh-CN" w:bidi="ar-SA"/>
        </w:rPr>
        <w:t>3</w:t>
      </w:r>
      <w:r>
        <w:rPr>
          <w:rFonts w:hint="eastAsia" w:ascii="宋体" w:hAnsi="宋体" w:eastAsia="宋体" w:cs="宋体"/>
          <w:color w:val="000000"/>
          <w:kern w:val="2"/>
          <w:sz w:val="21"/>
          <w:szCs w:val="21"/>
          <w:lang w:val="zh-CN" w:eastAsia="zh-CN" w:bidi="ar-SA"/>
        </w:rPr>
        <w:t>.4</w:t>
      </w:r>
      <w:r>
        <w:rPr>
          <w:rFonts w:hint="eastAsia" w:ascii="宋体" w:hAnsi="宋体" w:cs="宋体"/>
          <w:color w:val="000000"/>
          <w:kern w:val="2"/>
          <w:sz w:val="21"/>
          <w:szCs w:val="21"/>
          <w:lang w:val="en-US" w:eastAsia="zh-CN" w:bidi="ar-SA"/>
        </w:rPr>
        <w:t>成果</w:t>
      </w:r>
      <w:r>
        <w:rPr>
          <w:rFonts w:hint="eastAsia" w:ascii="宋体" w:hAnsi="宋体" w:eastAsia="宋体" w:cs="宋体"/>
          <w:color w:val="000000"/>
          <w:kern w:val="2"/>
          <w:sz w:val="21"/>
          <w:szCs w:val="21"/>
          <w:lang w:val="zh-CN" w:eastAsia="zh-CN" w:bidi="ar-SA"/>
        </w:rPr>
        <w:t>要求</w:t>
      </w:r>
    </w:p>
    <w:p w14:paraId="4F534E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乙方须</w:t>
      </w:r>
      <w:r>
        <w:rPr>
          <w:rFonts w:hint="eastAsia" w:ascii="宋体" w:hAnsi="宋体" w:eastAsia="宋体" w:cs="宋体"/>
          <w:color w:val="000000"/>
          <w:kern w:val="2"/>
          <w:sz w:val="21"/>
          <w:szCs w:val="21"/>
          <w:highlight w:val="none"/>
          <w:lang w:val="en-US" w:eastAsia="zh-CN" w:bidi="ar-SA"/>
        </w:rPr>
        <w:t>确保在</w:t>
      </w:r>
      <w:r>
        <w:rPr>
          <w:rFonts w:hint="eastAsia" w:ascii="宋体" w:hAnsi="宋体" w:cs="宋体"/>
          <w:color w:val="000000"/>
          <w:kern w:val="2"/>
          <w:sz w:val="21"/>
          <w:szCs w:val="21"/>
          <w:highlight w:val="none"/>
          <w:lang w:val="en-US" w:eastAsia="zh-CN" w:bidi="ar-SA"/>
        </w:rPr>
        <w:t>2025年11月30日前</w:t>
      </w:r>
      <w:r>
        <w:rPr>
          <w:rFonts w:hint="eastAsia" w:ascii="宋体" w:hAnsi="宋体" w:eastAsia="宋体" w:cs="宋体"/>
          <w:color w:val="000000"/>
          <w:kern w:val="2"/>
          <w:sz w:val="21"/>
          <w:szCs w:val="21"/>
          <w:highlight w:val="none"/>
          <w:lang w:val="en-US" w:eastAsia="zh-CN" w:bidi="ar-SA"/>
        </w:rPr>
        <w:t>通过</w:t>
      </w:r>
      <w:r>
        <w:rPr>
          <w:rFonts w:hint="eastAsia" w:ascii="宋体" w:hAnsi="宋体" w:cs="宋体"/>
          <w:color w:val="000000"/>
          <w:kern w:val="2"/>
          <w:sz w:val="21"/>
          <w:szCs w:val="21"/>
          <w:highlight w:val="none"/>
          <w:lang w:val="en-US" w:eastAsia="zh-CN" w:bidi="ar-SA"/>
        </w:rPr>
        <w:t>招标人</w:t>
      </w:r>
      <w:r>
        <w:rPr>
          <w:rFonts w:hint="eastAsia" w:ascii="宋体" w:hAnsi="宋体" w:eastAsia="宋体" w:cs="宋体"/>
          <w:color w:val="000000"/>
          <w:kern w:val="2"/>
          <w:sz w:val="21"/>
          <w:szCs w:val="21"/>
          <w:highlight w:val="none"/>
          <w:lang w:val="en-US" w:eastAsia="zh-CN" w:bidi="ar-SA"/>
        </w:rPr>
        <w:t>组织的成果验收，并提交全面且详细的调查报告和相关资料，包括报告纸质盖章版</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份，电子版1份。数据和资料集电子版以光盘、U盘等固定介质存储方式提交1份。成果需涵盖以下关键要素：</w:t>
      </w:r>
    </w:p>
    <w:p w14:paraId="0433C5F0">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1）项目总体报告：应详尽阐述调查工作的实施过程、调查结果与结论。附件需包括但不限于项目要求调查范围与调查时段的岸线类型及空间分布图、岸线变化及新增围填海分布图、滨海湿地类型分布图、潮滩湿地变化图、潮滩地形特征图、潮上带潮间带植被类型分布图、实际调查采样点分布图等。</w:t>
      </w:r>
    </w:p>
    <w:p w14:paraId="50A7C219">
      <w:pPr>
        <w:pStyle w:val="113"/>
        <w:adjustRightInd w:val="0"/>
        <w:snapToGrid w:val="0"/>
        <w:spacing w:line="360" w:lineRule="auto"/>
        <w:ind w:firstLine="48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2）项目数据与资料集：提交所有与项目相关的原始数据、处理后的数据及分析文档，具体包括：购买的卫星遥感影像、生成的栅格及矢量结果数据、无人机航拍影像、实地核验照片（分辨率应满足不小于600dpi）、历史资料数据等。</w:t>
      </w:r>
    </w:p>
    <w:p w14:paraId="672417A9">
      <w:pPr>
        <w:pStyle w:val="113"/>
        <w:adjustRightInd w:val="0"/>
        <w:snapToGrid w:val="0"/>
        <w:spacing w:line="360" w:lineRule="auto"/>
        <w:ind w:left="480" w:firstLine="0" w:firstLineChars="0"/>
        <w:rPr>
          <w:rFonts w:hint="eastAsia" w:ascii="宋体" w:hAnsi="宋体" w:eastAsia="宋体" w:cs="宋体"/>
          <w:b/>
          <w:bCs/>
          <w:color w:val="000000"/>
          <w:kern w:val="2"/>
          <w:sz w:val="21"/>
          <w:szCs w:val="21"/>
          <w:lang w:val="zh-CN" w:eastAsia="zh-CN" w:bidi="ar-SA"/>
        </w:rPr>
      </w:pPr>
      <w:r>
        <w:rPr>
          <w:rFonts w:hint="eastAsia" w:ascii="宋体" w:hAnsi="宋体" w:cs="宋体"/>
          <w:b/>
          <w:bCs/>
          <w:color w:val="000000"/>
          <w:kern w:val="2"/>
          <w:sz w:val="21"/>
          <w:szCs w:val="21"/>
          <w:lang w:val="en-US" w:eastAsia="zh-CN" w:bidi="ar-SA"/>
        </w:rPr>
        <w:t>3</w:t>
      </w:r>
      <w:r>
        <w:rPr>
          <w:rFonts w:hint="eastAsia" w:ascii="宋体" w:hAnsi="宋体" w:eastAsia="宋体" w:cs="宋体"/>
          <w:b/>
          <w:bCs/>
          <w:color w:val="000000"/>
          <w:kern w:val="2"/>
          <w:sz w:val="21"/>
          <w:szCs w:val="21"/>
          <w:lang w:val="zh-CN" w:eastAsia="zh-CN" w:bidi="ar-SA"/>
        </w:rPr>
        <w:t>.5售后服务要求</w:t>
      </w:r>
    </w:p>
    <w:p w14:paraId="516B7E3A">
      <w:pPr>
        <w:adjustRightInd w:val="0"/>
        <w:snapToGrid w:val="0"/>
        <w:spacing w:line="360" w:lineRule="auto"/>
        <w:ind w:firstLine="422" w:firstLineChars="200"/>
        <w:rPr>
          <w:rFonts w:hint="default" w:ascii="宋体" w:hAnsi="宋体" w:eastAsia="宋体" w:cs="宋体"/>
          <w:b/>
          <w:bCs/>
          <w:color w:val="000000"/>
          <w:kern w:val="2"/>
          <w:sz w:val="21"/>
          <w:szCs w:val="21"/>
          <w:highlight w:val="none"/>
          <w:lang w:val="en-US" w:eastAsia="zh-CN" w:bidi="ar-SA"/>
        </w:rPr>
      </w:pPr>
      <w:bookmarkStart w:id="9" w:name="_GoBack"/>
      <w:r>
        <w:rPr>
          <w:rFonts w:hint="eastAsia" w:ascii="宋体" w:hAnsi="宋体" w:cs="宋体"/>
          <w:b/>
          <w:bCs/>
          <w:color w:val="000000"/>
          <w:kern w:val="2"/>
          <w:sz w:val="21"/>
          <w:szCs w:val="21"/>
          <w:highlight w:val="none"/>
          <w:lang w:val="en-US" w:eastAsia="zh-CN" w:bidi="ar-SA"/>
        </w:rPr>
        <w:t>本项目质保期为合同签订之日起一年</w:t>
      </w:r>
      <w:r>
        <w:rPr>
          <w:rFonts w:hint="eastAsia" w:ascii="宋体" w:hAnsi="宋体" w:eastAsia="宋体" w:cs="宋体"/>
          <w:b/>
          <w:bCs/>
          <w:color w:val="000000"/>
          <w:kern w:val="2"/>
          <w:sz w:val="21"/>
          <w:szCs w:val="21"/>
          <w:highlight w:val="none"/>
          <w:lang w:val="zh-CN" w:eastAsia="zh-CN" w:bidi="ar-SA"/>
        </w:rPr>
        <w:t>，</w:t>
      </w:r>
      <w:r>
        <w:rPr>
          <w:rFonts w:hint="eastAsia" w:ascii="宋体" w:hAnsi="宋体" w:cs="宋体"/>
          <w:b/>
          <w:bCs/>
          <w:color w:val="000000"/>
          <w:kern w:val="2"/>
          <w:sz w:val="21"/>
          <w:szCs w:val="21"/>
          <w:highlight w:val="none"/>
          <w:lang w:val="en-US" w:eastAsia="zh-CN" w:bidi="ar-SA"/>
        </w:rPr>
        <w:t>质保期内中标人须响应</w:t>
      </w:r>
      <w:r>
        <w:rPr>
          <w:rFonts w:hint="eastAsia" w:ascii="宋体" w:hAnsi="宋体" w:eastAsia="宋体" w:cs="宋体"/>
          <w:b/>
          <w:bCs/>
          <w:color w:val="000000"/>
          <w:kern w:val="2"/>
          <w:sz w:val="21"/>
          <w:szCs w:val="21"/>
          <w:highlight w:val="none"/>
          <w:lang w:val="zh-CN" w:eastAsia="zh-CN" w:bidi="ar-SA"/>
        </w:rPr>
        <w:t>招标人</w:t>
      </w:r>
      <w:r>
        <w:rPr>
          <w:rFonts w:hint="eastAsia" w:ascii="宋体" w:hAnsi="宋体" w:cs="宋体"/>
          <w:b/>
          <w:bCs/>
          <w:color w:val="000000"/>
          <w:kern w:val="2"/>
          <w:sz w:val="21"/>
          <w:szCs w:val="21"/>
          <w:highlight w:val="none"/>
          <w:lang w:val="en-US" w:eastAsia="zh-CN" w:bidi="ar-SA"/>
        </w:rPr>
        <w:t>关于</w:t>
      </w:r>
      <w:r>
        <w:rPr>
          <w:rFonts w:hint="eastAsia" w:ascii="宋体" w:hAnsi="宋体" w:eastAsia="宋体" w:cs="宋体"/>
          <w:b/>
          <w:bCs/>
          <w:color w:val="000000"/>
          <w:kern w:val="2"/>
          <w:sz w:val="21"/>
          <w:szCs w:val="21"/>
          <w:highlight w:val="none"/>
          <w:lang w:val="zh-CN" w:eastAsia="zh-CN" w:bidi="ar-SA"/>
        </w:rPr>
        <w:t>项目技术和报告内容方面质询与完善</w:t>
      </w:r>
      <w:r>
        <w:rPr>
          <w:rFonts w:hint="eastAsia" w:ascii="宋体" w:hAnsi="宋体" w:cs="宋体"/>
          <w:b/>
          <w:bCs/>
          <w:color w:val="000000"/>
          <w:kern w:val="2"/>
          <w:sz w:val="21"/>
          <w:szCs w:val="21"/>
          <w:highlight w:val="none"/>
          <w:lang w:val="en-US" w:eastAsia="zh-CN" w:bidi="ar-SA"/>
        </w:rPr>
        <w:t>需求</w:t>
      </w:r>
      <w:r>
        <w:rPr>
          <w:rFonts w:hint="eastAsia" w:ascii="宋体" w:hAnsi="宋体" w:cs="宋体"/>
          <w:b/>
          <w:bCs/>
          <w:color w:val="000000"/>
          <w:kern w:val="2"/>
          <w:sz w:val="21"/>
          <w:szCs w:val="21"/>
          <w:highlight w:val="none"/>
          <w:lang w:val="zh-CN" w:eastAsia="zh-CN" w:bidi="ar-SA"/>
        </w:rPr>
        <w:t>，</w:t>
      </w:r>
      <w:r>
        <w:rPr>
          <w:rFonts w:hint="eastAsia" w:ascii="宋体" w:hAnsi="宋体" w:eastAsia="宋体" w:cs="宋体"/>
          <w:b/>
          <w:bCs/>
          <w:color w:val="000000"/>
          <w:kern w:val="2"/>
          <w:sz w:val="21"/>
          <w:szCs w:val="21"/>
          <w:highlight w:val="none"/>
          <w:lang w:val="en-US" w:eastAsia="zh-CN" w:bidi="ar-SA"/>
        </w:rPr>
        <w:t>在接到招标人通知后三个工作日内响应</w:t>
      </w:r>
      <w:r>
        <w:rPr>
          <w:rFonts w:hint="eastAsia" w:ascii="宋体" w:hAnsi="宋体" w:cs="宋体"/>
          <w:b/>
          <w:bCs/>
          <w:color w:val="000000"/>
          <w:kern w:val="2"/>
          <w:sz w:val="21"/>
          <w:szCs w:val="21"/>
          <w:highlight w:val="none"/>
          <w:lang w:val="en-US" w:eastAsia="zh-CN" w:bidi="ar-SA"/>
        </w:rPr>
        <w:t>并尽快完成报告的解释与修订、图件补充制作等。</w:t>
      </w:r>
    </w:p>
    <w:bookmarkEnd w:id="9"/>
    <w:p w14:paraId="62808FAB">
      <w:pPr>
        <w:numPr>
          <w:ilvl w:val="0"/>
          <w:numId w:val="0"/>
        </w:numPr>
        <w:adjustRightInd w:val="0"/>
        <w:snapToGrid w:val="0"/>
        <w:spacing w:line="360" w:lineRule="auto"/>
        <w:jc w:val="left"/>
        <w:rPr>
          <w:rFonts w:hint="eastAsia" w:ascii="宋体" w:hAnsi="宋体" w:eastAsia="宋体" w:cs="宋体"/>
          <w:b/>
          <w:bCs/>
          <w:color w:val="000000"/>
          <w:kern w:val="2"/>
          <w:sz w:val="21"/>
          <w:szCs w:val="21"/>
          <w:lang w:val="zh-CN" w:eastAsia="zh-CN" w:bidi="ar-SA"/>
        </w:rPr>
      </w:pPr>
      <w:r>
        <w:rPr>
          <w:rFonts w:hint="eastAsia" w:ascii="宋体" w:hAnsi="宋体" w:eastAsia="宋体" w:cs="宋体"/>
          <w:b/>
          <w:bCs/>
          <w:color w:val="000000"/>
          <w:kern w:val="2"/>
          <w:sz w:val="21"/>
          <w:szCs w:val="21"/>
          <w:lang w:val="en-US" w:eastAsia="zh-CN" w:bidi="ar-SA"/>
        </w:rPr>
        <w:t>四、</w:t>
      </w:r>
      <w:r>
        <w:rPr>
          <w:rFonts w:hint="eastAsia" w:ascii="宋体" w:hAnsi="宋体" w:eastAsia="宋体" w:cs="宋体"/>
          <w:b/>
          <w:bCs/>
          <w:color w:val="000000"/>
          <w:kern w:val="2"/>
          <w:sz w:val="21"/>
          <w:szCs w:val="21"/>
          <w:lang w:val="zh-CN" w:eastAsia="zh-CN" w:bidi="ar-SA"/>
        </w:rPr>
        <w:t>保密要求</w:t>
      </w:r>
    </w:p>
    <w:p w14:paraId="0ADC01B0">
      <w:pPr>
        <w:pStyle w:val="165"/>
        <w:numPr>
          <w:ilvl w:val="0"/>
          <w:numId w:val="0"/>
        </w:numPr>
        <w:adjustRightInd w:val="0"/>
        <w:snapToGrid w:val="0"/>
        <w:spacing w:line="360" w:lineRule="auto"/>
        <w:ind w:left="480" w:leftChars="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zh-CN" w:eastAsia="zh-CN"/>
        </w:rPr>
        <w:t>建立严格的保密制度，</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zh-CN" w:eastAsia="zh-CN"/>
        </w:rPr>
        <w:t>应当加强对工作人员的保密管理及保密知识教育。</w:t>
      </w:r>
    </w:p>
    <w:p w14:paraId="09A4325C">
      <w:pPr>
        <w:pStyle w:val="165"/>
        <w:numPr>
          <w:ilvl w:val="0"/>
          <w:numId w:val="0"/>
        </w:numPr>
        <w:adjustRightInd w:val="0"/>
        <w:snapToGrid w:val="0"/>
        <w:spacing w:line="360" w:lineRule="auto"/>
        <w:ind w:left="480" w:leftChars="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2</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zh-CN" w:eastAsia="zh-CN"/>
        </w:rPr>
        <w:t>须承担与此有关的技术情报和数据资料的保密责任。与本项目有关的资料及数据成果中涉及国家秘密的内容，均要求按照《国家保密法》及相关法律法规执行。</w:t>
      </w:r>
    </w:p>
    <w:p w14:paraId="40AF1C92">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五、合同金额</w:t>
      </w:r>
    </w:p>
    <w:p w14:paraId="21F84BD4">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本合同金额为（大写）：              元（￥         元）人民币。</w:t>
      </w:r>
    </w:p>
    <w:p w14:paraId="5A03ADA2">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六、技术资料</w:t>
      </w:r>
    </w:p>
    <w:p w14:paraId="4464087B">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1.乙方应按采购文件规定的时间向甲方提供有关技术资料。</w:t>
      </w:r>
    </w:p>
    <w:p w14:paraId="7A2488D5">
      <w:pPr>
        <w:pStyle w:val="17"/>
        <w:spacing w:line="360" w:lineRule="auto"/>
        <w:ind w:firstLine="420" w:firstLineChars="200"/>
        <w:textAlignment w:val="baseline"/>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3135977">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七、知识产权</w:t>
      </w:r>
    </w:p>
    <w:p w14:paraId="5E6324E3">
      <w:pPr>
        <w:pStyle w:val="17"/>
        <w:spacing w:line="360" w:lineRule="auto"/>
        <w:ind w:firstLine="420" w:firstLineChars="200"/>
        <w:textAlignment w:val="baseline"/>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乙方应保证所提供的成果或任何一部分均不会侵犯任何第三方的知识产权。</w:t>
      </w:r>
    </w:p>
    <w:p w14:paraId="1ED7CD0E">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八、产权担保</w:t>
      </w:r>
    </w:p>
    <w:p w14:paraId="5DD4579A">
      <w:pPr>
        <w:pStyle w:val="17"/>
        <w:spacing w:line="360" w:lineRule="auto"/>
        <w:ind w:firstLine="420" w:firstLineChars="200"/>
        <w:textAlignment w:val="baseline"/>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乙方保证所交付的货物（或服务）的所有权完全属于乙方且无任何抵押、查封等产权瑕疵。</w:t>
      </w:r>
    </w:p>
    <w:p w14:paraId="029E0E10">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九、履约保证金</w:t>
      </w:r>
    </w:p>
    <w:p w14:paraId="563322F6">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本项目免收履约保证金。</w:t>
      </w:r>
    </w:p>
    <w:p w14:paraId="4655CA52">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十、转包或分包</w:t>
      </w:r>
    </w:p>
    <w:p w14:paraId="5A5BC6BE">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1.本合同范围的货物（或服务），应由乙方直接供应，不得转让他人供应；</w:t>
      </w:r>
    </w:p>
    <w:p w14:paraId="24269AEC">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2.除非得到甲方的书面同意，乙方不得将本合同范围的货物（或服务）全部或部分分包给他人供应；</w:t>
      </w:r>
    </w:p>
    <w:p w14:paraId="0EA08B7A">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3.如有转让和未经甲方同意的分包行为，甲方有权解除合同，并追究乙方的违约责任。</w:t>
      </w:r>
    </w:p>
    <w:p w14:paraId="034464E6">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十一、服务期</w:t>
      </w:r>
    </w:p>
    <w:p w14:paraId="1C096432">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themeColor="text1"/>
          <w:sz w:val="21"/>
          <w:szCs w:val="21"/>
          <w:lang w:eastAsia="zh-CN"/>
        </w:rPr>
        <w:t>合同签订之日起至</w:t>
      </w:r>
      <w:r>
        <w:rPr>
          <w:rFonts w:hint="eastAsia" w:hAnsi="宋体" w:cs="宋体"/>
          <w:color w:val="000000" w:themeColor="text1"/>
          <w:sz w:val="21"/>
          <w:szCs w:val="21"/>
          <w:u w:val="single"/>
          <w:lang w:val="en-US" w:eastAsia="zh-CN"/>
        </w:rPr>
        <w:t xml:space="preserve">     </w:t>
      </w:r>
      <w:r>
        <w:rPr>
          <w:rFonts w:hint="eastAsia" w:ascii="宋体" w:hAnsi="宋体" w:eastAsia="宋体" w:cs="宋体"/>
          <w:color w:val="000000" w:themeColor="text1"/>
          <w:sz w:val="21"/>
          <w:szCs w:val="21"/>
          <w:lang w:eastAsia="zh-CN"/>
        </w:rPr>
        <w:t>年</w:t>
      </w:r>
      <w:r>
        <w:rPr>
          <w:rFonts w:hint="eastAsia" w:hAnsi="宋体" w:cs="宋体"/>
          <w:color w:val="000000" w:themeColor="text1"/>
          <w:sz w:val="21"/>
          <w:szCs w:val="21"/>
          <w:u w:val="single"/>
          <w:lang w:val="en-US" w:eastAsia="zh-CN"/>
        </w:rPr>
        <w:t xml:space="preserve">     </w:t>
      </w:r>
      <w:r>
        <w:rPr>
          <w:rFonts w:hint="eastAsia" w:ascii="宋体" w:hAnsi="宋体" w:eastAsia="宋体" w:cs="宋体"/>
          <w:color w:val="000000" w:themeColor="text1"/>
          <w:sz w:val="21"/>
          <w:szCs w:val="21"/>
          <w:lang w:eastAsia="zh-CN"/>
        </w:rPr>
        <w:t>月</w:t>
      </w:r>
      <w:r>
        <w:rPr>
          <w:rFonts w:hint="eastAsia" w:hAnsi="宋体" w:cs="宋体"/>
          <w:color w:val="000000" w:themeColor="text1"/>
          <w:sz w:val="21"/>
          <w:szCs w:val="21"/>
          <w:u w:val="single"/>
          <w:lang w:val="en-US" w:eastAsia="zh-CN"/>
        </w:rPr>
        <w:t xml:space="preserve">      </w:t>
      </w:r>
      <w:r>
        <w:rPr>
          <w:rFonts w:hint="eastAsia" w:ascii="宋体" w:hAnsi="宋体" w:eastAsia="宋体" w:cs="宋体"/>
          <w:color w:val="000000" w:themeColor="text1"/>
          <w:sz w:val="21"/>
          <w:szCs w:val="21"/>
          <w:lang w:eastAsia="zh-CN"/>
        </w:rPr>
        <w:t>日</w:t>
      </w:r>
      <w:r>
        <w:rPr>
          <w:rFonts w:hint="eastAsia" w:ascii="宋体" w:hAnsi="宋体" w:eastAsia="宋体" w:cs="宋体"/>
          <w:color w:val="000000"/>
          <w:kern w:val="2"/>
          <w:sz w:val="21"/>
          <w:szCs w:val="21"/>
          <w:lang w:val="en-US" w:eastAsia="zh-CN" w:bidi="ar-SA"/>
        </w:rPr>
        <w:t>。</w:t>
      </w:r>
    </w:p>
    <w:p w14:paraId="3FC528AE">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十二、付款方式</w:t>
      </w:r>
    </w:p>
    <w:p w14:paraId="5B69F511">
      <w:pPr>
        <w:spacing w:line="360" w:lineRule="auto"/>
        <w:ind w:firstLine="422" w:firstLineChars="200"/>
        <w:rPr>
          <w:rFonts w:hint="eastAsia" w:ascii="宋体" w:hAnsi="宋体" w:eastAsia="宋体" w:cs="宋体"/>
          <w:b/>
          <w:bCs/>
          <w:color w:val="000000" w:themeColor="text1"/>
          <w:sz w:val="21"/>
          <w:szCs w:val="21"/>
          <w:highlight w:val="none"/>
          <w:lang w:eastAsia="zh-CN"/>
        </w:rPr>
      </w:pPr>
      <w:r>
        <w:rPr>
          <w:rFonts w:hint="eastAsia" w:ascii="宋体" w:hAnsi="宋体" w:eastAsia="宋体" w:cs="宋体"/>
          <w:b/>
          <w:bCs/>
          <w:color w:val="000000" w:themeColor="text1"/>
          <w:sz w:val="21"/>
          <w:szCs w:val="21"/>
          <w:highlight w:val="none"/>
          <w:lang w:eastAsia="zh-CN"/>
        </w:rPr>
        <w:t>合同签订之日起</w:t>
      </w:r>
      <w:r>
        <w:rPr>
          <w:rFonts w:hint="eastAsia" w:ascii="宋体" w:hAnsi="宋体" w:eastAsia="宋体" w:cs="宋体"/>
          <w:b/>
          <w:bCs/>
          <w:color w:val="000000" w:themeColor="text1"/>
          <w:sz w:val="21"/>
          <w:szCs w:val="21"/>
          <w:highlight w:val="none"/>
          <w:lang w:val="en-US" w:eastAsia="zh-CN"/>
        </w:rPr>
        <w:t>7</w:t>
      </w:r>
      <w:r>
        <w:rPr>
          <w:rFonts w:hint="eastAsia" w:ascii="宋体" w:hAnsi="宋体" w:eastAsia="宋体" w:cs="宋体"/>
          <w:b/>
          <w:bCs/>
          <w:color w:val="000000" w:themeColor="text1"/>
          <w:sz w:val="21"/>
          <w:szCs w:val="21"/>
          <w:highlight w:val="none"/>
          <w:lang w:eastAsia="zh-CN"/>
        </w:rPr>
        <w:t>个工作日内支付合同款的50%；通过采购人组织的成果验收后7个工作日内支付项目合同余款。付款前成交供应商先开具增值税发票给采购人。</w:t>
      </w:r>
    </w:p>
    <w:p w14:paraId="36288E69">
      <w:pPr>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十三、税费</w:t>
      </w:r>
    </w:p>
    <w:p w14:paraId="0B2B4284">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本合同执行中相关的一切税费均由乙方负担。</w:t>
      </w:r>
    </w:p>
    <w:p w14:paraId="16C02D24">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十四、质量保证及售后服务</w:t>
      </w:r>
    </w:p>
    <w:p w14:paraId="231383B4">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1.项目后续配合服务期，以项目最终成果通过采购人的审核验收为止，及提供后续服务技术支持。</w:t>
      </w:r>
    </w:p>
    <w:p w14:paraId="12EDF0EB">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2.响应时有其它服务承诺的，一并履行。</w:t>
      </w:r>
    </w:p>
    <w:p w14:paraId="449E1CBD">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十五、违约责任</w:t>
      </w:r>
    </w:p>
    <w:p w14:paraId="0D396165">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1.甲方无正当理由拒收服务的，甲方向乙方支付合同款项的百分之五作为违约金。</w:t>
      </w:r>
    </w:p>
    <w:p w14:paraId="4ECAA1DB">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2.甲方无故逾期验收和办理款项支付手续的，甲方应按逾期付款总额每日万分之五向乙方支付违约金。</w:t>
      </w:r>
    </w:p>
    <w:p w14:paraId="7A97A022">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3.乙方逾期提供服务的，乙方应按逾期天数合同总额每日千分之六向甲方支付违约金，由甲方从待付合同款中扣除。逾期超过约定日期10个工作日不能提供服务的，甲方可解除本合同。乙方因逾期提供服务或因其他违约行为导致甲方解除合同的，乙方应向甲方支付合同总金额5%的违约金，如造成甲方损失超过违约金的，超出部分由乙方继续承担赔偿责任。 </w:t>
      </w:r>
    </w:p>
    <w:p w14:paraId="05452859">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乙方所交的货物（或服务）品种、型号、规格、技术参数、质量不符合合同规定及采购文件规定的标准的，甲方有权拒收该货物（或服务），乙方愿意更新货物（或服务）但逾期交货的，按乙方逾期交货处理。乙方拒绝更新货物（或服务）的，甲方可单方面解除合同。</w:t>
      </w:r>
    </w:p>
    <w:p w14:paraId="743B778B">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5.乙方应保证服务设备区域内的其他有关设施、设备不受损坏，否则由此引起的责任和损失由乙方承担。</w:t>
      </w:r>
    </w:p>
    <w:p w14:paraId="2D63D411">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十六、不可抗力事件处理</w:t>
      </w:r>
    </w:p>
    <w:p w14:paraId="33A48396">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1.在合同有效期内，任何一方因不可抗力事件导致不能履行合同，则合同履行期可延长，其延长期与不可抗力影响期相同。</w:t>
      </w:r>
    </w:p>
    <w:p w14:paraId="31C24572">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2.不可抗力事件发生后，应立即通知对方，并寄送有关权威机构出具的证明。</w:t>
      </w:r>
    </w:p>
    <w:p w14:paraId="28D5F99A">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3.不可抗力事件延续120天以上，双方应通过友好协商，确定是否继续履行合同。</w:t>
      </w:r>
    </w:p>
    <w:p w14:paraId="77ACFB3E">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十七、诉讼</w:t>
      </w:r>
    </w:p>
    <w:p w14:paraId="605969BB">
      <w:pPr>
        <w:pStyle w:val="17"/>
        <w:spacing w:line="360" w:lineRule="auto"/>
        <w:ind w:left="420" w:hanging="420" w:hanging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双方在执行合同中所发生的一切争议，应通过协商解决。如协商不成，可向甲方所在地法院起诉。</w:t>
      </w:r>
    </w:p>
    <w:p w14:paraId="634AC294">
      <w:pPr>
        <w:pStyle w:val="17"/>
        <w:spacing w:line="360" w:lineRule="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十八、合同生效及其它</w:t>
      </w:r>
    </w:p>
    <w:p w14:paraId="4DA7FB71">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1．合同经双方法定代表人或授权代表签字并加盖单位公章后生效。</w:t>
      </w:r>
    </w:p>
    <w:p w14:paraId="6A696AF8">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2．合同执行中涉及采购资金和采购内容修改或补充的，须经财政部门审批，并签书面补充协议报政府采购监督管理部门备案，方可作为主合同不可分割的一部分。</w:t>
      </w:r>
    </w:p>
    <w:p w14:paraId="4DC37359">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3．本合同未尽事宜，遵照相关法律法规有关条文执行。</w:t>
      </w:r>
    </w:p>
    <w:p w14:paraId="5F35C16B">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4.本合同未涉及的部分以</w:t>
      </w:r>
      <w:r>
        <w:rPr>
          <w:rFonts w:hint="eastAsia" w:hAnsi="宋体" w:cs="宋体"/>
          <w:color w:val="000000"/>
          <w:kern w:val="2"/>
          <w:sz w:val="21"/>
          <w:szCs w:val="21"/>
          <w:lang w:val="en-US" w:eastAsia="zh-CN" w:bidi="ar-SA"/>
        </w:rPr>
        <w:t>2025年杭州湾乐清湾滨海湿地变迁遥感调查项目</w:t>
      </w:r>
      <w:r>
        <w:rPr>
          <w:rFonts w:hint="eastAsia" w:ascii="宋体" w:hAnsi="宋体" w:eastAsia="宋体" w:cs="宋体"/>
          <w:color w:val="000000"/>
          <w:kern w:val="2"/>
          <w:sz w:val="21"/>
          <w:szCs w:val="21"/>
          <w:lang w:val="en-US" w:eastAsia="zh-CN" w:bidi="ar-SA"/>
        </w:rPr>
        <w:t>（编号：</w:t>
      </w:r>
      <w:r>
        <w:rPr>
          <w:rFonts w:hint="eastAsia" w:hAnsi="宋体" w:cs="宋体"/>
          <w:color w:val="000000"/>
          <w:kern w:val="2"/>
          <w:sz w:val="21"/>
          <w:szCs w:val="21"/>
          <w:lang w:val="en-US" w:eastAsia="zh-CN" w:bidi="ar-SA"/>
        </w:rPr>
        <w:t>ZHCG2025-10</w:t>
      </w:r>
      <w:r>
        <w:rPr>
          <w:rFonts w:hint="eastAsia" w:ascii="宋体" w:hAnsi="宋体" w:eastAsia="宋体" w:cs="宋体"/>
          <w:color w:val="000000"/>
          <w:kern w:val="2"/>
          <w:sz w:val="21"/>
          <w:szCs w:val="21"/>
          <w:lang w:val="en-US" w:eastAsia="zh-CN" w:bidi="ar-SA"/>
        </w:rPr>
        <w:t>）采购文件及其补充、修改文件为准，上述文件和乙方针对本项目的采购响应文件及承诺是本合同的附件，与本合同具有同等法律效力，但附件与主合同的规定不一致时，以主合同为准。</w:t>
      </w:r>
    </w:p>
    <w:p w14:paraId="3BD1DAD7">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5.本合同正本一式</w:t>
      </w:r>
      <w:r>
        <w:rPr>
          <w:rFonts w:hint="eastAsia" w:hAnsi="宋体" w:cs="宋体"/>
          <w:color w:val="000000"/>
          <w:kern w:val="2"/>
          <w:sz w:val="21"/>
          <w:szCs w:val="21"/>
          <w:lang w:val="en-US" w:eastAsia="zh-CN" w:bidi="ar-SA"/>
        </w:rPr>
        <w:t xml:space="preserve"> </w:t>
      </w:r>
      <w:r>
        <w:rPr>
          <w:rFonts w:hint="eastAsia" w:hAnsi="宋体" w:cs="宋体"/>
          <w:color w:val="000000"/>
          <w:kern w:val="2"/>
          <w:sz w:val="21"/>
          <w:szCs w:val="21"/>
          <w:u w:val="single"/>
          <w:lang w:val="en-US" w:eastAsia="zh-CN" w:bidi="ar-SA"/>
        </w:rPr>
        <w:t xml:space="preserve">  X  </w:t>
      </w:r>
      <w:r>
        <w:rPr>
          <w:rFonts w:hint="eastAsia" w:ascii="宋体" w:hAnsi="宋体" w:eastAsia="宋体" w:cs="宋体"/>
          <w:color w:val="000000"/>
          <w:kern w:val="2"/>
          <w:sz w:val="21"/>
          <w:szCs w:val="21"/>
          <w:lang w:val="en-US" w:eastAsia="zh-CN" w:bidi="ar-SA"/>
        </w:rPr>
        <w:t>份，具有同等法律效力，甲乙双方各执</w:t>
      </w:r>
      <w:r>
        <w:rPr>
          <w:rFonts w:hint="eastAsia" w:hAnsi="宋体" w:cs="宋体"/>
          <w:color w:val="000000"/>
          <w:kern w:val="2"/>
          <w:sz w:val="21"/>
          <w:szCs w:val="21"/>
          <w:lang w:val="en-US" w:eastAsia="zh-CN" w:bidi="ar-SA"/>
        </w:rPr>
        <w:t xml:space="preserve"> </w:t>
      </w:r>
      <w:r>
        <w:rPr>
          <w:rFonts w:hint="eastAsia" w:hAnsi="宋体" w:cs="宋体"/>
          <w:color w:val="000000"/>
          <w:kern w:val="2"/>
          <w:sz w:val="21"/>
          <w:szCs w:val="21"/>
          <w:u w:val="single"/>
          <w:lang w:val="en-US" w:eastAsia="zh-CN" w:bidi="ar-SA"/>
        </w:rPr>
        <w:t xml:space="preserve"> X  </w:t>
      </w:r>
      <w:r>
        <w:rPr>
          <w:rFonts w:hint="eastAsia" w:ascii="宋体" w:hAnsi="宋体" w:eastAsia="宋体" w:cs="宋体"/>
          <w:color w:val="000000"/>
          <w:kern w:val="2"/>
          <w:sz w:val="21"/>
          <w:szCs w:val="21"/>
          <w:lang w:val="en-US" w:eastAsia="zh-CN" w:bidi="ar-SA"/>
        </w:rPr>
        <w:t>份。</w:t>
      </w:r>
    </w:p>
    <w:p w14:paraId="64CC7E70">
      <w:pPr>
        <w:pStyle w:val="17"/>
        <w:spacing w:line="360" w:lineRule="auto"/>
        <w:rPr>
          <w:rFonts w:hint="eastAsia" w:ascii="宋体" w:hAnsi="宋体" w:eastAsia="宋体" w:cs="宋体"/>
          <w:color w:val="000000"/>
          <w:kern w:val="2"/>
          <w:sz w:val="21"/>
          <w:szCs w:val="21"/>
          <w:lang w:val="en-US" w:eastAsia="zh-CN" w:bidi="ar-SA"/>
        </w:rPr>
      </w:pPr>
    </w:p>
    <w:p w14:paraId="4BF9FABB">
      <w:pPr>
        <w:pStyle w:val="17"/>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甲方：                                    乙方：</w:t>
      </w:r>
    </w:p>
    <w:p w14:paraId="6D56D850">
      <w:pPr>
        <w:pStyle w:val="17"/>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（盖章）                                  （盖章） </w:t>
      </w:r>
    </w:p>
    <w:p w14:paraId="3B53DF04">
      <w:pPr>
        <w:pStyle w:val="17"/>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法人或授权代表签字：                      法人或授权代表签字：</w:t>
      </w:r>
    </w:p>
    <w:p w14:paraId="1CF67D67">
      <w:pPr>
        <w:pStyle w:val="17"/>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地址：                                    地址：</w:t>
      </w:r>
    </w:p>
    <w:p w14:paraId="172ACC0B">
      <w:pPr>
        <w:pStyle w:val="17"/>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邮编：                                    邮编：</w:t>
      </w:r>
    </w:p>
    <w:p w14:paraId="2EBCA29D">
      <w:pPr>
        <w:pStyle w:val="17"/>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电话：                                    电话：</w:t>
      </w:r>
    </w:p>
    <w:p w14:paraId="010888D6">
      <w:pPr>
        <w:pStyle w:val="17"/>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传真：                                    传真：</w:t>
      </w:r>
    </w:p>
    <w:p w14:paraId="74E4CE79">
      <w:pPr>
        <w:pStyle w:val="17"/>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签约时间：    年   月   日</w:t>
      </w:r>
      <w:r>
        <w:rPr>
          <w:rFonts w:hint="eastAsia" w:hAnsi="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en-US" w:eastAsia="zh-CN" w:bidi="ar-SA"/>
        </w:rPr>
        <w:t xml:space="preserve"> 签约地点： </w:t>
      </w:r>
    </w:p>
    <w:p w14:paraId="0D1DFB8F">
      <w:pPr>
        <w:spacing w:line="360" w:lineRule="auto"/>
        <w:ind w:left="645"/>
        <w:rPr>
          <w:rFonts w:ascii="Times New Roman" w:hAnsi="Times New Roman" w:cs="Times New Roman"/>
          <w:b/>
          <w:color w:val="000000" w:themeColor="text1"/>
        </w:rPr>
      </w:pPr>
      <w:r>
        <w:rPr>
          <w:rFonts w:ascii="Times New Roman" w:hAnsi="Times New Roman" w:cs="Times New Roman"/>
          <w:b/>
          <w:color w:val="000000" w:themeColor="text1"/>
        </w:rPr>
        <w:t>注：本合同为示范文本，具体以中标人与采购人所签定正式合同为准。</w:t>
      </w:r>
    </w:p>
    <w:p w14:paraId="5BA6B528">
      <w:pPr>
        <w:spacing w:line="360" w:lineRule="auto"/>
        <w:ind w:left="645"/>
        <w:rPr>
          <w:rFonts w:ascii="Times New Roman" w:hAnsi="Times New Roman" w:cs="Times New Roman"/>
          <w:b/>
          <w:color w:val="000000" w:themeColor="text1"/>
        </w:rPr>
      </w:pPr>
    </w:p>
    <w:p w14:paraId="2C2BBEAA">
      <w:pPr>
        <w:spacing w:line="360" w:lineRule="auto"/>
        <w:ind w:left="645"/>
        <w:rPr>
          <w:rFonts w:ascii="Times New Roman" w:hAnsi="Times New Roman" w:cs="Times New Roman"/>
          <w:b/>
          <w:color w:val="000000" w:themeColor="text1"/>
        </w:rPr>
      </w:pPr>
    </w:p>
    <w:p w14:paraId="6731AE62">
      <w:pPr>
        <w:spacing w:line="360" w:lineRule="auto"/>
        <w:ind w:left="645"/>
        <w:rPr>
          <w:rFonts w:ascii="Times New Roman" w:hAnsi="Times New Roman" w:cs="Times New Roman"/>
          <w:b/>
          <w:color w:val="000000" w:themeColor="text1"/>
        </w:rPr>
      </w:pPr>
    </w:p>
    <w:p w14:paraId="119CFD54">
      <w:pPr>
        <w:spacing w:line="360" w:lineRule="auto"/>
        <w:ind w:left="645"/>
        <w:rPr>
          <w:rFonts w:ascii="Times New Roman" w:hAnsi="Times New Roman" w:cs="Times New Roman"/>
          <w:b/>
          <w:color w:val="000000" w:themeColor="text1"/>
        </w:rPr>
      </w:pPr>
    </w:p>
    <w:p w14:paraId="377E63B0">
      <w:pPr>
        <w:spacing w:line="360" w:lineRule="auto"/>
        <w:ind w:left="645"/>
        <w:rPr>
          <w:rFonts w:ascii="Times New Roman" w:hAnsi="Times New Roman" w:cs="Times New Roman"/>
          <w:b/>
          <w:color w:val="000000" w:themeColor="text1"/>
        </w:rPr>
      </w:pPr>
    </w:p>
    <w:p w14:paraId="2B9B9F29">
      <w:pPr>
        <w:spacing w:line="360" w:lineRule="auto"/>
        <w:ind w:left="645"/>
        <w:rPr>
          <w:rFonts w:ascii="Times New Roman" w:hAnsi="Times New Roman" w:cs="Times New Roman"/>
          <w:b/>
          <w:color w:val="000000" w:themeColor="text1"/>
        </w:rPr>
      </w:pPr>
    </w:p>
    <w:p w14:paraId="0CF4A2D3">
      <w:pPr>
        <w:spacing w:line="360" w:lineRule="auto"/>
        <w:ind w:left="645"/>
        <w:rPr>
          <w:rFonts w:ascii="Times New Roman" w:hAnsi="Times New Roman" w:cs="Times New Roman"/>
          <w:b/>
          <w:color w:val="000000" w:themeColor="text1"/>
        </w:rPr>
      </w:pPr>
    </w:p>
    <w:p w14:paraId="35A18A6F">
      <w:pPr>
        <w:spacing w:line="360" w:lineRule="auto"/>
        <w:ind w:left="645"/>
        <w:rPr>
          <w:rFonts w:ascii="Times New Roman" w:hAnsi="Times New Roman" w:cs="Times New Roman"/>
          <w:b/>
          <w:color w:val="000000" w:themeColor="text1"/>
        </w:rPr>
      </w:pPr>
    </w:p>
    <w:p w14:paraId="272D77A0">
      <w:pPr>
        <w:spacing w:line="360" w:lineRule="auto"/>
        <w:ind w:left="645"/>
        <w:rPr>
          <w:rFonts w:ascii="Times New Roman" w:hAnsi="Times New Roman" w:cs="Times New Roman"/>
          <w:b/>
          <w:color w:val="000000" w:themeColor="text1"/>
        </w:rPr>
      </w:pPr>
    </w:p>
    <w:p w14:paraId="78CF4E34">
      <w:pPr>
        <w:spacing w:line="360" w:lineRule="auto"/>
        <w:ind w:left="645"/>
        <w:rPr>
          <w:rFonts w:ascii="Times New Roman" w:hAnsi="Times New Roman" w:cs="Times New Roman"/>
          <w:b/>
          <w:color w:val="000000" w:themeColor="text1"/>
        </w:rPr>
      </w:pPr>
    </w:p>
    <w:p w14:paraId="03FE4B8B">
      <w:pPr>
        <w:spacing w:line="360" w:lineRule="auto"/>
        <w:ind w:left="645"/>
        <w:rPr>
          <w:rFonts w:ascii="Times New Roman" w:hAnsi="Times New Roman" w:cs="Times New Roman"/>
          <w:b/>
          <w:color w:val="000000" w:themeColor="text1"/>
        </w:rPr>
      </w:pPr>
    </w:p>
    <w:p w14:paraId="63483F86">
      <w:pPr>
        <w:spacing w:line="360" w:lineRule="auto"/>
        <w:ind w:left="645"/>
        <w:rPr>
          <w:rFonts w:ascii="Times New Roman" w:hAnsi="Times New Roman" w:cs="Times New Roman"/>
          <w:b/>
          <w:color w:val="000000" w:themeColor="text1"/>
        </w:rPr>
      </w:pPr>
    </w:p>
    <w:p w14:paraId="0FAC7520">
      <w:pPr>
        <w:spacing w:line="360" w:lineRule="auto"/>
        <w:ind w:left="645"/>
        <w:rPr>
          <w:rFonts w:ascii="Times New Roman" w:hAnsi="Times New Roman" w:cs="Times New Roman"/>
          <w:b/>
          <w:color w:val="000000" w:themeColor="text1"/>
        </w:rPr>
      </w:pPr>
    </w:p>
    <w:p w14:paraId="781D8C8A">
      <w:pPr>
        <w:spacing w:line="360" w:lineRule="auto"/>
        <w:ind w:left="645"/>
        <w:rPr>
          <w:rFonts w:ascii="Times New Roman" w:hAnsi="Times New Roman" w:cs="Times New Roman"/>
          <w:b/>
          <w:color w:val="000000" w:themeColor="text1"/>
        </w:rPr>
      </w:pPr>
    </w:p>
    <w:p w14:paraId="4F728183">
      <w:pPr>
        <w:spacing w:line="360" w:lineRule="auto"/>
        <w:ind w:left="645"/>
        <w:rPr>
          <w:rFonts w:ascii="Times New Roman" w:hAnsi="Times New Roman" w:cs="Times New Roman"/>
          <w:b/>
          <w:color w:val="000000" w:themeColor="text1"/>
        </w:rPr>
      </w:pPr>
    </w:p>
    <w:p w14:paraId="2FBA34F8">
      <w:pPr>
        <w:spacing w:line="360" w:lineRule="auto"/>
        <w:ind w:left="645"/>
        <w:rPr>
          <w:rFonts w:ascii="Times New Roman" w:hAnsi="Times New Roman" w:cs="Times New Roman"/>
          <w:b/>
          <w:color w:val="000000" w:themeColor="text1"/>
        </w:rPr>
      </w:pPr>
    </w:p>
    <w:p w14:paraId="001BE7B7">
      <w:pPr>
        <w:spacing w:line="360" w:lineRule="auto"/>
        <w:ind w:left="645"/>
        <w:rPr>
          <w:rFonts w:ascii="Times New Roman" w:hAnsi="Times New Roman" w:cs="Times New Roman"/>
          <w:b/>
          <w:color w:val="000000" w:themeColor="text1"/>
        </w:rPr>
      </w:pPr>
    </w:p>
    <w:p w14:paraId="5DC04CEE">
      <w:pPr>
        <w:spacing w:line="360" w:lineRule="auto"/>
        <w:ind w:left="645"/>
        <w:rPr>
          <w:rFonts w:ascii="Times New Roman" w:hAnsi="Times New Roman" w:cs="Times New Roman"/>
          <w:b/>
          <w:color w:val="000000" w:themeColor="text1"/>
        </w:rPr>
      </w:pPr>
    </w:p>
    <w:p w14:paraId="544139E1">
      <w:pPr>
        <w:spacing w:line="360" w:lineRule="auto"/>
        <w:ind w:left="645"/>
        <w:rPr>
          <w:rFonts w:ascii="Times New Roman" w:hAnsi="Times New Roman" w:cs="Times New Roman"/>
          <w:b/>
          <w:color w:val="000000" w:themeColor="text1"/>
        </w:rPr>
      </w:pPr>
    </w:p>
    <w:p w14:paraId="13DF38B9">
      <w:pPr>
        <w:spacing w:line="360" w:lineRule="auto"/>
        <w:ind w:left="645"/>
        <w:rPr>
          <w:rFonts w:ascii="Times New Roman" w:hAnsi="Times New Roman" w:cs="Times New Roman"/>
          <w:b/>
          <w:color w:val="000000" w:themeColor="text1"/>
        </w:rPr>
      </w:pPr>
    </w:p>
    <w:p w14:paraId="36598685">
      <w:pPr>
        <w:spacing w:line="360" w:lineRule="auto"/>
        <w:ind w:left="645"/>
        <w:rPr>
          <w:rFonts w:ascii="Times New Roman" w:hAnsi="Times New Roman" w:cs="Times New Roman"/>
          <w:b/>
          <w:color w:val="000000" w:themeColor="text1"/>
        </w:rPr>
      </w:pPr>
    </w:p>
    <w:p w14:paraId="27D0D2AD">
      <w:pPr>
        <w:spacing w:line="360" w:lineRule="auto"/>
        <w:ind w:left="645"/>
        <w:rPr>
          <w:rFonts w:ascii="Times New Roman" w:hAnsi="Times New Roman" w:cs="Times New Roman"/>
          <w:b/>
          <w:color w:val="000000" w:themeColor="text1"/>
        </w:rPr>
      </w:pPr>
    </w:p>
    <w:p w14:paraId="3DD9EA13">
      <w:pPr>
        <w:spacing w:line="360" w:lineRule="auto"/>
        <w:ind w:left="645"/>
        <w:rPr>
          <w:rFonts w:ascii="Times New Roman" w:hAnsi="Times New Roman" w:cs="Times New Roman"/>
          <w:b/>
          <w:color w:val="000000" w:themeColor="text1"/>
        </w:rPr>
      </w:pPr>
    </w:p>
    <w:p w14:paraId="06132767">
      <w:pPr>
        <w:spacing w:line="360" w:lineRule="auto"/>
        <w:ind w:left="645"/>
        <w:rPr>
          <w:rFonts w:ascii="Times New Roman" w:hAnsi="Times New Roman" w:cs="Times New Roman"/>
          <w:b/>
          <w:color w:val="000000" w:themeColor="text1"/>
        </w:rPr>
      </w:pPr>
    </w:p>
    <w:p w14:paraId="18DF5207">
      <w:pPr>
        <w:spacing w:line="360" w:lineRule="auto"/>
        <w:ind w:left="645"/>
        <w:rPr>
          <w:rFonts w:ascii="Times New Roman" w:hAnsi="Times New Roman" w:cs="Times New Roman"/>
          <w:b/>
          <w:color w:val="000000" w:themeColor="text1"/>
        </w:rPr>
      </w:pPr>
    </w:p>
    <w:p w14:paraId="1D7A58D2">
      <w:pPr>
        <w:spacing w:line="360" w:lineRule="auto"/>
        <w:ind w:left="645"/>
        <w:rPr>
          <w:rFonts w:ascii="Times New Roman" w:hAnsi="Times New Roman" w:cs="Times New Roman"/>
          <w:b/>
          <w:color w:val="000000" w:themeColor="text1"/>
        </w:rPr>
      </w:pPr>
    </w:p>
    <w:p w14:paraId="443E2C93">
      <w:pPr>
        <w:spacing w:line="360" w:lineRule="auto"/>
        <w:ind w:left="645"/>
        <w:rPr>
          <w:rFonts w:ascii="Times New Roman" w:hAnsi="Times New Roman" w:cs="Times New Roman"/>
          <w:b/>
          <w:color w:val="000000" w:themeColor="text1"/>
        </w:rPr>
      </w:pPr>
    </w:p>
    <w:p w14:paraId="3D2815B7">
      <w:pPr>
        <w:numPr>
          <w:ilvl w:val="0"/>
          <w:numId w:val="15"/>
        </w:numPr>
        <w:jc w:val="center"/>
        <w:rPr>
          <w:rFonts w:ascii="Times New Roman" w:hAnsi="Times New Roman" w:cs="Times New Roman"/>
          <w:b/>
          <w:bCs/>
          <w:color w:val="000000" w:themeColor="text1"/>
          <w:sz w:val="30"/>
          <w:szCs w:val="30"/>
          <w:highlight w:val="none"/>
        </w:rPr>
      </w:pPr>
      <w:bookmarkStart w:id="7" w:name="_Toc451429387"/>
      <w:bookmarkStart w:id="8" w:name="_Toc480187595"/>
      <w:r>
        <w:rPr>
          <w:rFonts w:ascii="Times New Roman" w:hAnsi="Times New Roman" w:cs="Times New Roman"/>
          <w:b/>
          <w:bCs/>
          <w:color w:val="000000" w:themeColor="text1"/>
          <w:sz w:val="30"/>
          <w:szCs w:val="30"/>
          <w:highlight w:val="none"/>
        </w:rPr>
        <w:t>投标文件相关格式</w:t>
      </w:r>
    </w:p>
    <w:p w14:paraId="35ECFA78">
      <w:pPr>
        <w:pStyle w:val="57"/>
        <w:numPr>
          <w:ilvl w:val="255"/>
          <w:numId w:val="0"/>
        </w:numPr>
        <w:spacing w:before="159" w:after="159"/>
        <w:ind w:right="-506" w:rightChars="-241" w:firstLine="420" w:firstLineChars="200"/>
        <w:rPr>
          <w:rFonts w:hAnsi="宋体" w:eastAsia="宋体"/>
          <w:b/>
          <w:sz w:val="21"/>
          <w:szCs w:val="21"/>
          <w:highlight w:val="none"/>
        </w:rPr>
      </w:pPr>
      <w:r>
        <w:rPr>
          <w:rFonts w:hint="eastAsia" w:hAnsi="宋体"/>
          <w:sz w:val="21"/>
          <w:highlight w:val="none"/>
        </w:rPr>
        <w:t>投标文件由</w:t>
      </w:r>
      <w:r>
        <w:rPr>
          <w:rFonts w:hint="eastAsia" w:ascii="Times New Roman" w:hAnsi="Times New Roman" w:eastAsia="宋体" w:cs="Times New Roman"/>
          <w:sz w:val="21"/>
          <w:highlight w:val="none"/>
        </w:rPr>
        <w:t>资格响应文件、商务及技术响应文件、报价文件</w:t>
      </w:r>
      <w:r>
        <w:rPr>
          <w:rFonts w:hint="eastAsia" w:ascii="Times New Roman" w:hAnsi="Times New Roman" w:eastAsia="宋体" w:cs="Times New Roman"/>
          <w:sz w:val="21"/>
          <w:highlight w:val="none"/>
          <w:lang w:eastAsia="zh-CN"/>
        </w:rPr>
        <w:t>三部分组成</w:t>
      </w:r>
      <w:r>
        <w:rPr>
          <w:rFonts w:hint="eastAsia" w:ascii="Times New Roman" w:hAnsi="Times New Roman" w:eastAsia="宋体" w:cs="Times New Roman"/>
          <w:sz w:val="21"/>
          <w:szCs w:val="21"/>
          <w:highlight w:val="none"/>
        </w:rPr>
        <w:t>。</w:t>
      </w:r>
      <w:r>
        <w:rPr>
          <w:rFonts w:hint="eastAsia" w:hAnsi="宋体"/>
          <w:b/>
          <w:sz w:val="21"/>
          <w:szCs w:val="21"/>
          <w:highlight w:val="none"/>
        </w:rPr>
        <w:t>投标文件中涉及的有关内容均须提供合法有效的证明材料扫描</w:t>
      </w:r>
      <w:r>
        <w:rPr>
          <w:rFonts w:hint="eastAsia" w:hAnsi="宋体" w:eastAsia="宋体"/>
          <w:b/>
          <w:sz w:val="21"/>
          <w:szCs w:val="21"/>
          <w:highlight w:val="none"/>
          <w:lang w:eastAsia="zh-CN"/>
        </w:rPr>
        <w:t>件</w:t>
      </w:r>
      <w:r>
        <w:rPr>
          <w:rFonts w:hint="eastAsia" w:hAnsi="宋体"/>
          <w:b/>
          <w:sz w:val="21"/>
          <w:szCs w:val="21"/>
          <w:highlight w:val="none"/>
        </w:rPr>
        <w:t>。</w:t>
      </w:r>
      <w:r>
        <w:rPr>
          <w:rFonts w:hint="eastAsia" w:ascii="Times New Roman" w:hAnsi="Times New Roman" w:eastAsia="宋体" w:cs="Times New Roman"/>
          <w:sz w:val="21"/>
          <w:szCs w:val="21"/>
          <w:highlight w:val="none"/>
        </w:rPr>
        <w:t>电子投标文件中所</w:t>
      </w:r>
      <w:r>
        <w:rPr>
          <w:rFonts w:hint="eastAsia" w:ascii="Times New Roman" w:hAnsi="Times New Roman" w:eastAsia="宋体" w:cs="Times New Roman"/>
          <w:sz w:val="21"/>
          <w:szCs w:val="21"/>
          <w:highlight w:val="none"/>
          <w:lang w:eastAsia="zh-CN"/>
        </w:rPr>
        <w:t>须</w:t>
      </w:r>
      <w:r>
        <w:rPr>
          <w:rFonts w:hint="eastAsia" w:ascii="Times New Roman" w:hAnsi="Times New Roman" w:eastAsia="宋体" w:cs="Times New Roman"/>
          <w:sz w:val="21"/>
          <w:szCs w:val="21"/>
          <w:highlight w:val="none"/>
        </w:rPr>
        <w:t>加盖公章部分均采用CA签章。</w:t>
      </w:r>
      <w:r>
        <w:rPr>
          <w:rFonts w:hint="eastAsia" w:hAnsi="宋体"/>
          <w:b/>
          <w:sz w:val="21"/>
          <w:szCs w:val="21"/>
          <w:highlight w:val="none"/>
        </w:rPr>
        <w:t>有▲标识的条款为必须提交的资料</w:t>
      </w:r>
      <w:r>
        <w:rPr>
          <w:rFonts w:hint="eastAsia" w:hAnsi="宋体" w:eastAsia="宋体"/>
          <w:b/>
          <w:sz w:val="21"/>
          <w:szCs w:val="21"/>
          <w:highlight w:val="none"/>
        </w:rPr>
        <w:t>。</w:t>
      </w:r>
    </w:p>
    <w:p w14:paraId="4180F091">
      <w:pPr>
        <w:pStyle w:val="57"/>
        <w:numPr>
          <w:ilvl w:val="255"/>
          <w:numId w:val="0"/>
        </w:numPr>
        <w:spacing w:before="159" w:after="159"/>
        <w:ind w:right="-506" w:rightChars="-241" w:firstLine="422" w:firstLineChars="200"/>
        <w:rPr>
          <w:rFonts w:hAnsi="宋体" w:eastAsia="宋体"/>
          <w:b/>
          <w:sz w:val="21"/>
          <w:szCs w:val="21"/>
          <w:highlight w:val="none"/>
        </w:rPr>
      </w:pPr>
      <w:r>
        <w:rPr>
          <w:rFonts w:hint="eastAsia" w:hAnsi="宋体" w:eastAsia="宋体"/>
          <w:b/>
          <w:sz w:val="21"/>
          <w:szCs w:val="21"/>
          <w:highlight w:val="none"/>
        </w:rPr>
        <w:t>▲1、资格响应部</w:t>
      </w:r>
      <w:r>
        <w:rPr>
          <w:rFonts w:hint="eastAsia" w:hAnsi="宋体" w:eastAsia="宋体"/>
          <w:b/>
          <w:sz w:val="21"/>
          <w:szCs w:val="21"/>
          <w:highlight w:val="none"/>
          <w:lang w:val="en-US" w:eastAsia="zh-CN"/>
        </w:rPr>
        <w:t>分</w:t>
      </w:r>
      <w:r>
        <w:rPr>
          <w:rFonts w:hint="eastAsia" w:hAnsi="宋体" w:eastAsia="宋体"/>
          <w:b/>
          <w:sz w:val="21"/>
          <w:szCs w:val="21"/>
          <w:highlight w:val="none"/>
        </w:rPr>
        <w:t>：</w:t>
      </w:r>
    </w:p>
    <w:p w14:paraId="049B7BDF">
      <w:pPr>
        <w:snapToGrid w:val="0"/>
        <w:spacing w:line="360" w:lineRule="auto"/>
        <w:ind w:firstLine="420" w:firstLineChars="200"/>
        <w:jc w:val="left"/>
        <w:rPr>
          <w:rFonts w:ascii="宋体" w:hAnsi="宋体" w:cs="宋体"/>
        </w:rPr>
      </w:pPr>
      <w:r>
        <w:rPr>
          <w:rFonts w:hint="eastAsia" w:ascii="宋体" w:hAnsi="宋体" w:cs="宋体"/>
        </w:rPr>
        <w:t>基本资格条件：符合《中华人民共和国政府采购法》第二十二条的规定；</w:t>
      </w:r>
    </w:p>
    <w:p w14:paraId="13B7A13F">
      <w:pPr>
        <w:snapToGrid w:val="0"/>
        <w:spacing w:line="360" w:lineRule="auto"/>
        <w:ind w:firstLine="420" w:firstLineChars="200"/>
        <w:jc w:val="left"/>
        <w:rPr>
          <w:rFonts w:ascii="宋体" w:hAnsi="宋体" w:cs="宋体"/>
        </w:rPr>
      </w:pPr>
      <w:r>
        <w:rPr>
          <w:rFonts w:hint="eastAsia" w:ascii="宋体" w:hAnsi="宋体" w:cs="宋体"/>
        </w:rPr>
        <w:t>1.1营业执照复印件；</w:t>
      </w:r>
    </w:p>
    <w:p w14:paraId="0984B621">
      <w:pPr>
        <w:snapToGrid w:val="0"/>
        <w:spacing w:line="360" w:lineRule="auto"/>
        <w:ind w:firstLine="420" w:firstLineChars="200"/>
        <w:jc w:val="left"/>
        <w:rPr>
          <w:rFonts w:ascii="宋体" w:hAnsi="宋体" w:cs="宋体"/>
        </w:rPr>
      </w:pPr>
      <w:r>
        <w:rPr>
          <w:rFonts w:hint="eastAsia" w:ascii="宋体" w:hAnsi="宋体" w:cs="宋体"/>
        </w:rPr>
        <w:t>提供在工商部门注册的有效“企业法人营业执照”或“营业执照”</w:t>
      </w:r>
    </w:p>
    <w:p w14:paraId="24BD165D">
      <w:pPr>
        <w:snapToGrid w:val="0"/>
        <w:spacing w:line="360" w:lineRule="auto"/>
        <w:ind w:firstLine="420" w:firstLineChars="200"/>
        <w:jc w:val="left"/>
        <w:rPr>
          <w:rFonts w:ascii="宋体" w:hAnsi="宋体" w:cs="宋体"/>
        </w:rPr>
      </w:pPr>
      <w:r>
        <w:rPr>
          <w:rFonts w:hint="eastAsia" w:ascii="宋体" w:hAnsi="宋体" w:cs="宋体"/>
        </w:rPr>
        <w:t>1.1.1特定行业（银行、保险、石油石化、电力、电信、移动、联通等行业）供应商为区域性分支机构的提供总公司（总机构）授权书。（如是）</w:t>
      </w:r>
    </w:p>
    <w:p w14:paraId="1B86E1D7">
      <w:pPr>
        <w:snapToGrid w:val="0"/>
        <w:spacing w:line="360" w:lineRule="auto"/>
        <w:ind w:firstLine="420" w:firstLineChars="200"/>
        <w:jc w:val="left"/>
        <w:rPr>
          <w:rFonts w:ascii="宋体" w:hAnsi="宋体" w:cs="宋体"/>
        </w:rPr>
      </w:pPr>
      <w:r>
        <w:rPr>
          <w:rFonts w:hint="eastAsia" w:ascii="宋体" w:hAnsi="宋体" w:cs="宋体"/>
        </w:rPr>
        <w:t>1.2《投标函》（格式见附件）；</w:t>
      </w:r>
    </w:p>
    <w:p w14:paraId="2B45EEF5">
      <w:pPr>
        <w:snapToGrid w:val="0"/>
        <w:spacing w:line="360" w:lineRule="auto"/>
        <w:ind w:firstLine="420" w:firstLineChars="200"/>
        <w:jc w:val="left"/>
        <w:rPr>
          <w:rFonts w:ascii="宋体" w:hAnsi="宋体" w:cs="宋体"/>
        </w:rPr>
      </w:pPr>
      <w:r>
        <w:rPr>
          <w:rFonts w:hint="eastAsia" w:ascii="宋体" w:hAnsi="宋体" w:cs="宋体"/>
        </w:rPr>
        <w:t>1.3法定代表人身份证复印件；</w:t>
      </w:r>
    </w:p>
    <w:p w14:paraId="57C71072">
      <w:pPr>
        <w:snapToGrid w:val="0"/>
        <w:spacing w:line="360" w:lineRule="auto"/>
        <w:ind w:firstLine="420" w:firstLineChars="200"/>
        <w:jc w:val="left"/>
        <w:rPr>
          <w:rFonts w:ascii="宋体" w:hAnsi="宋体" w:cs="宋体"/>
        </w:rPr>
      </w:pPr>
      <w:r>
        <w:rPr>
          <w:rFonts w:hint="eastAsia" w:ascii="宋体" w:hAnsi="宋体" w:cs="宋体"/>
        </w:rPr>
        <w:t>1.4中小企业声明函（格式见附件）；</w:t>
      </w:r>
    </w:p>
    <w:p w14:paraId="116051B4">
      <w:pPr>
        <w:snapToGrid w:val="0"/>
        <w:spacing w:line="360" w:lineRule="auto"/>
        <w:ind w:firstLine="420" w:firstLineChars="200"/>
        <w:jc w:val="left"/>
        <w:rPr>
          <w:rFonts w:ascii="宋体" w:hAnsi="宋体" w:cs="宋体"/>
        </w:rPr>
      </w:pPr>
      <w:r>
        <w:rPr>
          <w:rFonts w:hint="eastAsia" w:ascii="宋体" w:hAnsi="宋体" w:cs="宋体"/>
        </w:rPr>
        <w:t>1.5监狱企业声明函；(如需)</w:t>
      </w:r>
    </w:p>
    <w:p w14:paraId="12C471C1">
      <w:pPr>
        <w:snapToGrid w:val="0"/>
        <w:spacing w:line="360" w:lineRule="auto"/>
        <w:ind w:firstLine="420" w:firstLineChars="200"/>
        <w:jc w:val="left"/>
        <w:rPr>
          <w:rFonts w:ascii="宋体" w:hAnsi="宋体" w:cs="宋体"/>
        </w:rPr>
      </w:pPr>
      <w:r>
        <w:rPr>
          <w:rFonts w:hint="eastAsia" w:ascii="宋体" w:hAnsi="宋体" w:cs="宋体"/>
        </w:rPr>
        <w:t>1.6残疾人福利性单位声明函；(如需)</w:t>
      </w:r>
    </w:p>
    <w:p w14:paraId="4C0B9302">
      <w:pPr>
        <w:snapToGrid w:val="0"/>
        <w:spacing w:line="360" w:lineRule="auto"/>
        <w:ind w:firstLine="420" w:firstLineChars="200"/>
        <w:jc w:val="left"/>
        <w:rPr>
          <w:rFonts w:ascii="宋体" w:hAnsi="宋体" w:cs="宋体"/>
        </w:rPr>
      </w:pPr>
      <w:r>
        <w:rPr>
          <w:rFonts w:hint="eastAsia" w:ascii="宋体" w:hAnsi="宋体" w:cs="宋体"/>
        </w:rPr>
        <w:t>注：证明材料均需加盖签章。</w:t>
      </w:r>
    </w:p>
    <w:p w14:paraId="34495B33">
      <w:pPr>
        <w:snapToGrid w:val="0"/>
        <w:spacing w:line="360" w:lineRule="auto"/>
        <w:ind w:firstLine="422" w:firstLineChars="200"/>
        <w:jc w:val="left"/>
        <w:rPr>
          <w:rFonts w:hint="eastAsia" w:ascii="宋体" w:hAnsi="宋体" w:eastAsia="宋体" w:cs="宋体"/>
          <w:lang w:val="en-US" w:eastAsia="zh-CN"/>
        </w:rPr>
      </w:pPr>
      <w:r>
        <w:rPr>
          <w:rFonts w:hint="eastAsia" w:ascii="Times New Roman" w:hAnsi="Times New Roman" w:cs="Times New Roman"/>
          <w:b/>
          <w:bCs/>
          <w:color w:val="000000"/>
          <w:highlight w:val="none"/>
          <w:lang w:val="en-US" w:eastAsia="zh-CN"/>
        </w:rPr>
        <w:t>1.7</w:t>
      </w:r>
      <w:r>
        <w:rPr>
          <w:rFonts w:hint="eastAsia" w:ascii="Times New Roman" w:hAnsi="Times New Roman" w:cs="Times New Roman"/>
          <w:b/>
          <w:bCs/>
          <w:color w:val="000000"/>
          <w:highlight w:val="none"/>
        </w:rPr>
        <w:t>测绘资质认证证书</w:t>
      </w:r>
      <w:r>
        <w:rPr>
          <w:rFonts w:hint="eastAsia" w:ascii="Times New Roman" w:hAnsi="Times New Roman" w:cs="Times New Roman"/>
          <w:b/>
          <w:bCs/>
          <w:color w:val="000000"/>
          <w:highlight w:val="none"/>
          <w:lang w:val="en-US" w:eastAsia="zh-CN"/>
        </w:rPr>
        <w:t>复印件</w:t>
      </w:r>
    </w:p>
    <w:p w14:paraId="48AB33C1">
      <w:pPr>
        <w:snapToGrid w:val="0"/>
        <w:spacing w:line="360" w:lineRule="auto"/>
        <w:ind w:firstLine="420" w:firstLineChars="200"/>
        <w:jc w:val="left"/>
      </w:pPr>
      <w:r>
        <w:rPr>
          <w:rFonts w:hint="eastAsia" w:ascii="宋体" w:hAnsi="宋体" w:cs="宋体"/>
        </w:rPr>
        <w:t>注：证明材料均需加盖</w:t>
      </w:r>
      <w:r>
        <w:rPr>
          <w:rFonts w:hint="eastAsia" w:ascii="宋体" w:hAnsi="宋体" w:cs="宋体"/>
          <w:lang w:eastAsia="zh-CN"/>
        </w:rPr>
        <w:t>公章</w:t>
      </w:r>
      <w:r>
        <w:rPr>
          <w:rFonts w:hint="eastAsia" w:ascii="宋体" w:hAnsi="宋体" w:cs="宋体"/>
        </w:rPr>
        <w:t>。</w:t>
      </w:r>
    </w:p>
    <w:p w14:paraId="35988A23">
      <w:pPr>
        <w:pStyle w:val="57"/>
        <w:numPr>
          <w:ilvl w:val="0"/>
          <w:numId w:val="16"/>
        </w:numPr>
        <w:snapToGrid w:val="0"/>
        <w:spacing w:before="159" w:after="159" w:line="360" w:lineRule="auto"/>
        <w:ind w:right="-506" w:rightChars="-241" w:firstLine="417" w:firstLineChars="198"/>
        <w:rPr>
          <w:rFonts w:hAnsi="宋体" w:eastAsia="宋体"/>
          <w:b/>
          <w:sz w:val="21"/>
          <w:szCs w:val="21"/>
          <w:highlight w:val="none"/>
        </w:rPr>
      </w:pPr>
      <w:r>
        <w:rPr>
          <w:rFonts w:hint="eastAsia" w:hAnsi="宋体" w:eastAsia="宋体"/>
          <w:b/>
          <w:sz w:val="21"/>
          <w:szCs w:val="21"/>
          <w:highlight w:val="none"/>
        </w:rPr>
        <w:t>商务及技术部分：</w:t>
      </w:r>
    </w:p>
    <w:p w14:paraId="796DFF3A">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2.1供应商自评表（格式见附件）</w:t>
      </w:r>
    </w:p>
    <w:p w14:paraId="79855570">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2.2投标人综合</w:t>
      </w:r>
      <w:r>
        <w:rPr>
          <w:rFonts w:hint="eastAsia" w:ascii="Times New Roman" w:hAnsi="Times New Roman" w:cs="Times New Roman"/>
          <w:color w:val="000000" w:themeColor="text1"/>
          <w:highlight w:val="none"/>
        </w:rPr>
        <w:t>情况</w:t>
      </w:r>
      <w:r>
        <w:rPr>
          <w:rFonts w:ascii="Times New Roman" w:hAnsi="Times New Roman" w:cs="Times New Roman"/>
          <w:color w:val="000000" w:themeColor="text1"/>
          <w:highlight w:val="none"/>
        </w:rPr>
        <w:t>（如有）；</w:t>
      </w:r>
    </w:p>
    <w:p w14:paraId="47559BF2">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2.3企业业绩（如有）（格式见附件）</w:t>
      </w:r>
    </w:p>
    <w:p w14:paraId="1B2497A8">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2.4项目</w:t>
      </w:r>
      <w:r>
        <w:rPr>
          <w:rFonts w:hint="eastAsia" w:ascii="Times New Roman" w:hAnsi="Times New Roman" w:cs="Times New Roman"/>
          <w:color w:val="000000" w:themeColor="text1"/>
          <w:highlight w:val="none"/>
          <w:lang w:val="en-US" w:eastAsia="zh-CN"/>
        </w:rPr>
        <w:t>人员配置</w:t>
      </w:r>
      <w:r>
        <w:rPr>
          <w:rFonts w:ascii="Times New Roman" w:hAnsi="Times New Roman" w:cs="Times New Roman"/>
          <w:color w:val="000000" w:themeColor="text1"/>
          <w:highlight w:val="none"/>
        </w:rPr>
        <w:t>（项目负责人及其他主要管理人员须提供有效证件/证书等，中标后人员不得随意更换，更换需采购人书面同意）</w:t>
      </w:r>
    </w:p>
    <w:p w14:paraId="424E6794">
      <w:pPr>
        <w:pStyle w:val="52"/>
        <w:contextualSpacing/>
        <w:rPr>
          <w:rFonts w:ascii="Times New Roman" w:hAnsi="Times New Roman" w:eastAsia="宋体" w:cs="Times New Roman"/>
          <w:color w:val="000000" w:themeColor="text1"/>
          <w:kern w:val="2"/>
          <w:sz w:val="21"/>
          <w:szCs w:val="21"/>
          <w:highlight w:val="none"/>
          <w:lang w:val="en-US" w:eastAsia="zh-CN" w:bidi="ar-SA"/>
        </w:rPr>
      </w:pPr>
      <w:r>
        <w:rPr>
          <w:rFonts w:ascii="Times New Roman" w:hAnsi="Times New Roman" w:eastAsia="宋体" w:cs="Times New Roman"/>
          <w:color w:val="000000" w:themeColor="text1"/>
          <w:kern w:val="2"/>
          <w:sz w:val="21"/>
          <w:szCs w:val="21"/>
          <w:highlight w:val="none"/>
          <w:lang w:val="en-US" w:eastAsia="zh-CN" w:bidi="ar-SA"/>
        </w:rPr>
        <w:t>2.5</w:t>
      </w:r>
      <w:r>
        <w:rPr>
          <w:rFonts w:hint="eastAsia" w:ascii="Times New Roman" w:hAnsi="Times New Roman" w:eastAsia="宋体" w:cs="Times New Roman"/>
          <w:color w:val="000000" w:themeColor="text1"/>
          <w:kern w:val="2"/>
          <w:sz w:val="21"/>
          <w:szCs w:val="21"/>
          <w:highlight w:val="none"/>
          <w:lang w:val="en-US" w:eastAsia="zh-CN" w:bidi="ar-SA"/>
        </w:rPr>
        <w:t>实施方案</w:t>
      </w:r>
      <w:r>
        <w:rPr>
          <w:rFonts w:ascii="Times New Roman" w:hAnsi="Times New Roman" w:eastAsia="宋体" w:cs="Times New Roman"/>
          <w:color w:val="000000" w:themeColor="text1"/>
          <w:kern w:val="2"/>
          <w:sz w:val="21"/>
          <w:szCs w:val="21"/>
          <w:highlight w:val="none"/>
          <w:lang w:val="en-US" w:eastAsia="zh-CN" w:bidi="ar-SA"/>
        </w:rPr>
        <w:t>（</w:t>
      </w:r>
      <w:r>
        <w:rPr>
          <w:rFonts w:ascii="Times New Roman" w:hAnsi="Times New Roman" w:cs="Times New Roman"/>
          <w:color w:val="000000" w:themeColor="text1"/>
          <w:highlight w:val="none"/>
        </w:rPr>
        <w:t>如有</w:t>
      </w:r>
      <w:r>
        <w:rPr>
          <w:rFonts w:ascii="Times New Roman" w:hAnsi="Times New Roman" w:eastAsia="宋体" w:cs="Times New Roman"/>
          <w:color w:val="000000" w:themeColor="text1"/>
          <w:kern w:val="2"/>
          <w:sz w:val="21"/>
          <w:szCs w:val="21"/>
          <w:highlight w:val="none"/>
          <w:lang w:val="en-US" w:eastAsia="zh-CN" w:bidi="ar-SA"/>
        </w:rPr>
        <w:t>）；</w:t>
      </w:r>
    </w:p>
    <w:p w14:paraId="5030390F">
      <w:pPr>
        <w:spacing w:line="360" w:lineRule="auto"/>
        <w:ind w:firstLine="420" w:firstLineChars="200"/>
        <w:contextualSpacing/>
        <w:jc w:val="left"/>
        <w:rPr>
          <w:rFonts w:hint="eastAsia" w:ascii="Times New Roman" w:hAnsi="Times New Roman" w:eastAsia="宋体" w:cs="Times New Roman"/>
          <w:color w:val="000000" w:themeColor="text1"/>
          <w:kern w:val="2"/>
          <w:sz w:val="21"/>
          <w:szCs w:val="21"/>
          <w:highlight w:val="none"/>
          <w:lang w:val="en-US" w:eastAsia="zh-CN" w:bidi="ar-SA"/>
        </w:rPr>
      </w:pPr>
      <w:r>
        <w:rPr>
          <w:rFonts w:hint="eastAsia" w:ascii="Times New Roman" w:hAnsi="Times New Roman" w:eastAsia="宋体" w:cs="Times New Roman"/>
          <w:color w:val="000000" w:themeColor="text1"/>
          <w:kern w:val="2"/>
          <w:sz w:val="21"/>
          <w:szCs w:val="21"/>
          <w:highlight w:val="none"/>
          <w:lang w:val="en-US" w:eastAsia="zh-CN" w:bidi="ar-SA"/>
        </w:rPr>
        <w:t>2.6商务偏离表（格式见附件）；</w:t>
      </w:r>
    </w:p>
    <w:p w14:paraId="1FA81E07">
      <w:pPr>
        <w:spacing w:line="360" w:lineRule="auto"/>
        <w:ind w:firstLine="420" w:firstLineChars="200"/>
        <w:contextualSpacing/>
        <w:jc w:val="left"/>
        <w:rPr>
          <w:rFonts w:hint="eastAsia" w:ascii="Times New Roman" w:hAnsi="Times New Roman" w:eastAsia="宋体" w:cs="Times New Roman"/>
          <w:color w:val="000000" w:themeColor="text1"/>
          <w:kern w:val="2"/>
          <w:sz w:val="21"/>
          <w:szCs w:val="21"/>
          <w:highlight w:val="none"/>
          <w:lang w:val="en-US" w:eastAsia="zh-CN" w:bidi="ar-SA"/>
        </w:rPr>
      </w:pPr>
      <w:r>
        <w:rPr>
          <w:rFonts w:hint="eastAsia" w:ascii="Times New Roman" w:hAnsi="Times New Roman" w:eastAsia="宋体" w:cs="Times New Roman"/>
          <w:color w:val="000000" w:themeColor="text1"/>
          <w:kern w:val="2"/>
          <w:sz w:val="21"/>
          <w:szCs w:val="21"/>
          <w:highlight w:val="none"/>
          <w:lang w:val="en-US" w:eastAsia="zh-CN" w:bidi="ar-SA"/>
        </w:rPr>
        <w:t>2.7设备情况（格式自拟）；</w:t>
      </w:r>
    </w:p>
    <w:p w14:paraId="1491A69B">
      <w:pPr>
        <w:spacing w:line="360" w:lineRule="auto"/>
        <w:ind w:firstLine="420" w:firstLineChars="200"/>
        <w:contextualSpacing/>
        <w:jc w:val="left"/>
        <w:rPr>
          <w:rFonts w:hint="default" w:ascii="Times New Roman" w:hAnsi="Times New Roman" w:eastAsia="宋体" w:cs="Times New Roman"/>
          <w:color w:val="000000" w:themeColor="text1"/>
          <w:kern w:val="2"/>
          <w:sz w:val="21"/>
          <w:szCs w:val="21"/>
          <w:highlight w:val="none"/>
          <w:lang w:val="en-US" w:eastAsia="zh-CN" w:bidi="ar-SA"/>
        </w:rPr>
      </w:pPr>
      <w:r>
        <w:rPr>
          <w:rFonts w:hint="eastAsia" w:ascii="Times New Roman" w:hAnsi="Times New Roman" w:eastAsia="宋体" w:cs="Times New Roman"/>
          <w:color w:val="000000" w:themeColor="text1"/>
          <w:kern w:val="2"/>
          <w:sz w:val="21"/>
          <w:szCs w:val="21"/>
          <w:highlight w:val="none"/>
          <w:lang w:val="en-US" w:eastAsia="zh-CN" w:bidi="ar-SA"/>
        </w:rPr>
        <w:t>2.8保密制度（如有）；</w:t>
      </w:r>
    </w:p>
    <w:p w14:paraId="32D8BF51">
      <w:pPr>
        <w:spacing w:line="360" w:lineRule="auto"/>
        <w:ind w:firstLine="420" w:firstLineChars="200"/>
        <w:contextualSpacing/>
        <w:jc w:val="left"/>
        <w:rPr>
          <w:rFonts w:ascii="Times New Roman" w:hAnsi="Times New Roman" w:cs="Times New Roman"/>
          <w:color w:val="000000" w:themeColor="text1"/>
          <w:highlight w:val="yellow"/>
        </w:rPr>
      </w:pPr>
      <w:r>
        <w:rPr>
          <w:rFonts w:hint="eastAsia" w:ascii="Times New Roman" w:hAnsi="Times New Roman" w:cs="Times New Roman"/>
          <w:color w:val="000000" w:themeColor="text1"/>
          <w:highlight w:val="none"/>
        </w:rPr>
        <w:t>2.</w:t>
      </w:r>
      <w:r>
        <w:rPr>
          <w:rFonts w:hint="eastAsia" w:ascii="Times New Roman" w:hAnsi="Times New Roman" w:cs="Times New Roman"/>
          <w:color w:val="000000" w:themeColor="text1"/>
          <w:highlight w:val="none"/>
          <w:lang w:val="en-US" w:eastAsia="zh-CN"/>
        </w:rPr>
        <w:t>9</w:t>
      </w:r>
      <w:r>
        <w:rPr>
          <w:rFonts w:hint="eastAsia" w:ascii="Times New Roman" w:hAnsi="Times New Roman"/>
          <w:szCs w:val="21"/>
          <w:highlight w:val="none"/>
          <w:lang w:val="en-US" w:eastAsia="zh-CN"/>
        </w:rPr>
        <w:t>服务响应能力</w:t>
      </w:r>
      <w:r>
        <w:rPr>
          <w:rFonts w:ascii="Times New Roman" w:hAnsi="Times New Roman" w:cs="Times New Roman"/>
          <w:color w:val="000000" w:themeColor="text1"/>
          <w:highlight w:val="none"/>
        </w:rPr>
        <w:t>（如有）；</w:t>
      </w:r>
    </w:p>
    <w:p w14:paraId="5FB39B03">
      <w:pPr>
        <w:spacing w:line="360" w:lineRule="auto"/>
        <w:ind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w:t>
      </w:r>
      <w:r>
        <w:rPr>
          <w:rFonts w:hint="eastAsia" w:ascii="Times New Roman" w:hAnsi="Times New Roman" w:cs="Times New Roman"/>
          <w:color w:val="000000" w:themeColor="text1"/>
          <w:highlight w:val="none"/>
          <w:lang w:val="en-US" w:eastAsia="zh-CN"/>
        </w:rPr>
        <w:t>10</w:t>
      </w:r>
      <w:r>
        <w:rPr>
          <w:rFonts w:ascii="Times New Roman" w:hAnsi="Times New Roman" w:cs="Times New Roman"/>
          <w:color w:val="000000" w:themeColor="text1"/>
          <w:highlight w:val="none"/>
        </w:rPr>
        <w:t>本采购文件要求提供的和投标人认为需要提供</w:t>
      </w:r>
      <w:r>
        <w:rPr>
          <w:rFonts w:hint="eastAsia" w:ascii="Times New Roman" w:hAnsi="Times New Roman" w:cs="Times New Roman"/>
          <w:color w:val="000000" w:themeColor="text1"/>
          <w:highlight w:val="none"/>
          <w:lang w:eastAsia="zh-CN"/>
        </w:rPr>
        <w:t>的其他</w:t>
      </w:r>
      <w:r>
        <w:rPr>
          <w:rFonts w:ascii="Times New Roman" w:hAnsi="Times New Roman" w:cs="Times New Roman"/>
          <w:color w:val="000000" w:themeColor="text1"/>
          <w:highlight w:val="none"/>
        </w:rPr>
        <w:t>说明和资料/文件。</w:t>
      </w:r>
    </w:p>
    <w:p w14:paraId="37EA870F">
      <w:pPr>
        <w:spacing w:line="360" w:lineRule="auto"/>
        <w:ind w:firstLine="420" w:firstLineChars="200"/>
        <w:contextualSpacing/>
        <w:rPr>
          <w:rFonts w:ascii="Times New Roman" w:hAnsi="Times New Roman" w:cs="Times New Roman"/>
          <w:b/>
          <w:bCs/>
          <w:color w:val="000000" w:themeColor="text1"/>
          <w:highlight w:val="none"/>
          <w:u w:val="single"/>
        </w:rPr>
      </w:pPr>
      <w:r>
        <w:rPr>
          <w:rFonts w:ascii="Times New Roman" w:hAnsi="Times New Roman" w:cs="Times New Roman"/>
          <w:color w:val="000000" w:themeColor="text1"/>
          <w:highlight w:val="none"/>
          <w:u w:val="single"/>
        </w:rPr>
        <w:t>2.</w:t>
      </w:r>
      <w:r>
        <w:rPr>
          <w:rFonts w:hint="eastAsia" w:ascii="Times New Roman" w:hAnsi="Times New Roman" w:cs="Times New Roman"/>
          <w:color w:val="000000" w:themeColor="text1"/>
          <w:highlight w:val="none"/>
          <w:u w:val="single"/>
        </w:rPr>
        <w:t>1</w:t>
      </w:r>
      <w:r>
        <w:rPr>
          <w:rFonts w:hint="eastAsia" w:ascii="Times New Roman" w:hAnsi="Times New Roman" w:cs="Times New Roman"/>
          <w:color w:val="000000" w:themeColor="text1"/>
          <w:highlight w:val="none"/>
          <w:u w:val="single"/>
          <w:lang w:val="en-US" w:eastAsia="zh-CN"/>
        </w:rPr>
        <w:t>1</w:t>
      </w:r>
      <w:r>
        <w:rPr>
          <w:rFonts w:ascii="Times New Roman" w:hAnsi="Times New Roman" w:cs="Times New Roman"/>
          <w:color w:val="000000" w:themeColor="text1"/>
          <w:highlight w:val="none"/>
          <w:u w:val="single"/>
        </w:rPr>
        <w:t>政府采购活动现场确认声明书（</w:t>
      </w:r>
      <w:r>
        <w:rPr>
          <w:rFonts w:ascii="Times New Roman" w:hAnsi="Times New Roman" w:cs="Times New Roman"/>
          <w:b/>
          <w:bCs/>
          <w:color w:val="000000" w:themeColor="text1"/>
          <w:highlight w:val="none"/>
          <w:u w:val="single"/>
        </w:rPr>
        <w:t>本表在开标截止时间后</w:t>
      </w:r>
      <w:r>
        <w:rPr>
          <w:rFonts w:hint="eastAsia" w:ascii="Times New Roman" w:hAnsi="Times New Roman" w:cs="Times New Roman"/>
          <w:b/>
          <w:bCs/>
          <w:color w:val="000000" w:themeColor="text1"/>
          <w:highlight w:val="none"/>
          <w:u w:val="single"/>
          <w:lang w:eastAsia="zh-CN"/>
        </w:rPr>
        <w:t>，</w:t>
      </w:r>
      <w:r>
        <w:rPr>
          <w:rFonts w:ascii="Times New Roman" w:hAnsi="Times New Roman" w:cs="Times New Roman"/>
          <w:b/>
          <w:bCs/>
          <w:color w:val="000000" w:themeColor="text1"/>
          <w:highlight w:val="none"/>
          <w:u w:val="single"/>
        </w:rPr>
        <w:t>尽快填写</w:t>
      </w:r>
      <w:r>
        <w:rPr>
          <w:rFonts w:hint="eastAsia" w:ascii="Times New Roman" w:hAnsi="Times New Roman" w:cs="Times New Roman"/>
          <w:b/>
          <w:bCs/>
          <w:color w:val="000000" w:themeColor="text1"/>
          <w:highlight w:val="none"/>
          <w:u w:val="single"/>
          <w:lang w:eastAsia="zh-CN"/>
        </w:rPr>
        <w:t>完毕</w:t>
      </w:r>
      <w:r>
        <w:rPr>
          <w:rFonts w:ascii="Times New Roman" w:hAnsi="Times New Roman" w:cs="Times New Roman"/>
          <w:b/>
          <w:bCs/>
          <w:color w:val="000000" w:themeColor="text1"/>
          <w:highlight w:val="none"/>
          <w:u w:val="single"/>
        </w:rPr>
        <w:t>并加盖公章传至</w:t>
      </w:r>
      <w:r>
        <w:rPr>
          <w:rFonts w:hint="eastAsia" w:ascii="Times New Roman" w:hAnsi="Times New Roman" w:cs="Times New Roman"/>
          <w:b/>
          <w:bCs/>
          <w:color w:val="000000" w:themeColor="text1"/>
          <w:highlight w:val="none"/>
          <w:u w:val="single"/>
        </w:rPr>
        <w:t>41688047</w:t>
      </w:r>
      <w:r>
        <w:rPr>
          <w:rFonts w:ascii="Times New Roman" w:hAnsi="Times New Roman" w:cs="Times New Roman"/>
          <w:b/>
          <w:bCs/>
          <w:color w:val="000000" w:themeColor="text1"/>
          <w:highlight w:val="none"/>
          <w:u w:val="single"/>
        </w:rPr>
        <w:t>@qq.com）</w:t>
      </w:r>
    </w:p>
    <w:p w14:paraId="5A9BCF90">
      <w:pPr>
        <w:pStyle w:val="57"/>
        <w:snapToGrid w:val="0"/>
        <w:spacing w:before="156" w:after="156" w:line="360" w:lineRule="auto"/>
        <w:ind w:firstLine="422" w:firstLineChars="200"/>
        <w:rPr>
          <w:rFonts w:hAnsi="宋体" w:eastAsia="宋体" w:cs="Times New Roman"/>
          <w:b/>
          <w:bCs/>
          <w:sz w:val="21"/>
          <w:szCs w:val="21"/>
        </w:rPr>
      </w:pPr>
      <w:r>
        <w:rPr>
          <w:rFonts w:hAnsi="宋体" w:eastAsia="宋体"/>
          <w:b/>
          <w:bCs/>
          <w:sz w:val="21"/>
          <w:szCs w:val="21"/>
        </w:rPr>
        <w:t>3</w:t>
      </w:r>
      <w:r>
        <w:rPr>
          <w:rFonts w:hint="eastAsia" w:hAnsi="宋体" w:eastAsia="宋体"/>
          <w:b/>
          <w:bCs/>
          <w:sz w:val="21"/>
          <w:szCs w:val="21"/>
        </w:rPr>
        <w:t>、报价部分：</w:t>
      </w:r>
    </w:p>
    <w:p w14:paraId="2E714ABE">
      <w:pPr>
        <w:spacing w:line="360" w:lineRule="auto"/>
        <w:ind w:firstLine="420"/>
        <w:contextualSpacing/>
        <w:rPr>
          <w:rFonts w:ascii="Times New Roman" w:hAnsi="Times New Roman" w:cs="Times New Roman"/>
          <w:color w:val="000000"/>
        </w:rPr>
      </w:pPr>
      <w:r>
        <w:rPr>
          <w:rFonts w:ascii="Times New Roman" w:hAnsi="Times New Roman" w:cs="Times New Roman"/>
          <w:color w:val="000000"/>
        </w:rPr>
        <w:t>3.1投标报价一览表（格式见附件）；</w:t>
      </w:r>
    </w:p>
    <w:p w14:paraId="29BD64CA">
      <w:pPr>
        <w:spacing w:line="360" w:lineRule="auto"/>
        <w:ind w:firstLine="420"/>
        <w:contextualSpacing/>
        <w:rPr>
          <w:rFonts w:ascii="Times New Roman" w:hAnsi="Times New Roman" w:cs="Times New Roman"/>
          <w:color w:val="000000"/>
        </w:rPr>
      </w:pPr>
      <w:r>
        <w:rPr>
          <w:rFonts w:ascii="Times New Roman" w:hAnsi="Times New Roman" w:cs="Times New Roman"/>
          <w:color w:val="000000"/>
        </w:rPr>
        <w:t>3.2报价明细表（格式见附件）；</w:t>
      </w:r>
    </w:p>
    <w:p w14:paraId="68229617">
      <w:pPr>
        <w:spacing w:line="360" w:lineRule="auto"/>
        <w:ind w:left="420" w:leftChars="200"/>
        <w:contextualSpacing/>
        <w:rPr>
          <w:rFonts w:ascii="Times New Roman" w:hAnsi="Times New Roman" w:cs="Times New Roman"/>
          <w:color w:val="000000"/>
        </w:rPr>
      </w:pPr>
      <w:r>
        <w:rPr>
          <w:rFonts w:ascii="Times New Roman" w:hAnsi="Times New Roman" w:cs="Times New Roman"/>
          <w:color w:val="000000"/>
        </w:rPr>
        <w:t>3.3投标人针对报价需要说明的其他文件和说明（如有，格式自拟）。</w:t>
      </w:r>
    </w:p>
    <w:p w14:paraId="076A2CC3">
      <w:pPr>
        <w:pStyle w:val="3"/>
      </w:pPr>
    </w:p>
    <w:p w14:paraId="3071BEFC">
      <w:pPr>
        <w:snapToGrid w:val="0"/>
        <w:spacing w:line="360" w:lineRule="auto"/>
        <w:ind w:firstLine="420" w:firstLineChars="200"/>
        <w:jc w:val="left"/>
        <w:rPr>
          <w:rFonts w:ascii="宋体" w:cs="Times New Roman"/>
        </w:rPr>
      </w:pPr>
    </w:p>
    <w:p w14:paraId="560A9741">
      <w:pPr>
        <w:pStyle w:val="3"/>
        <w:rPr>
          <w:rFonts w:cs="Times New Roman"/>
        </w:rPr>
      </w:pPr>
    </w:p>
    <w:p w14:paraId="24142A69">
      <w:pPr>
        <w:spacing w:line="360" w:lineRule="auto"/>
        <w:rPr>
          <w:rFonts w:ascii="仿宋_GB2312" w:hAnsi="仿宋" w:eastAsia="仿宋_GB2312" w:cs="仿宋_GB2312"/>
          <w:b/>
          <w:bCs/>
          <w:sz w:val="24"/>
        </w:rPr>
      </w:pPr>
      <w:r>
        <w:rPr>
          <w:rFonts w:hint="eastAsia" w:ascii="宋体" w:hAnsi="宋体" w:cs="宋体"/>
          <w:b/>
          <w:bCs/>
          <w:sz w:val="24"/>
          <w:szCs w:val="24"/>
        </w:rPr>
        <w:t>注：</w:t>
      </w:r>
      <w:r>
        <w:rPr>
          <w:rFonts w:hint="eastAsia" w:ascii="仿宋_GB2312" w:hAnsi="仿宋" w:eastAsia="仿宋_GB2312" w:cs="仿宋_GB2312"/>
          <w:b/>
          <w:bCs/>
          <w:sz w:val="24"/>
        </w:rPr>
        <w:t>以上内容是基本格式要求，各投标人可根据自身情况进一步细化。</w:t>
      </w:r>
    </w:p>
    <w:p w14:paraId="0A04DEE8">
      <w:pPr>
        <w:pStyle w:val="13"/>
        <w:ind w:firstLine="210"/>
        <w:rPr>
          <w:highlight w:val="none"/>
        </w:rPr>
      </w:pPr>
    </w:p>
    <w:p w14:paraId="11DB4DDC">
      <w:pPr>
        <w:pStyle w:val="14"/>
        <w:rPr>
          <w:highlight w:val="none"/>
        </w:rPr>
      </w:pPr>
    </w:p>
    <w:p w14:paraId="2DF63E01">
      <w:pPr>
        <w:rPr>
          <w:highlight w:val="none"/>
        </w:rPr>
      </w:pPr>
    </w:p>
    <w:p w14:paraId="75F58188">
      <w:pPr>
        <w:pStyle w:val="12"/>
        <w:rPr>
          <w:highlight w:val="none"/>
        </w:rPr>
      </w:pPr>
    </w:p>
    <w:p w14:paraId="2BC49280">
      <w:pPr>
        <w:pStyle w:val="13"/>
        <w:rPr>
          <w:highlight w:val="none"/>
        </w:rPr>
      </w:pPr>
    </w:p>
    <w:p w14:paraId="66DBDFAE">
      <w:pPr>
        <w:pStyle w:val="14"/>
        <w:rPr>
          <w:highlight w:val="none"/>
        </w:rPr>
      </w:pPr>
    </w:p>
    <w:p w14:paraId="52D06187">
      <w:pPr>
        <w:rPr>
          <w:highlight w:val="none"/>
        </w:rPr>
      </w:pPr>
    </w:p>
    <w:p w14:paraId="02BC3C48">
      <w:pPr>
        <w:pStyle w:val="12"/>
        <w:rPr>
          <w:highlight w:val="none"/>
        </w:rPr>
      </w:pPr>
    </w:p>
    <w:p w14:paraId="354D4771">
      <w:pPr>
        <w:pStyle w:val="13"/>
        <w:rPr>
          <w:highlight w:val="none"/>
        </w:rPr>
      </w:pPr>
    </w:p>
    <w:p w14:paraId="61FF6799">
      <w:pPr>
        <w:pStyle w:val="14"/>
        <w:rPr>
          <w:highlight w:val="none"/>
        </w:rPr>
      </w:pPr>
    </w:p>
    <w:p w14:paraId="6ACCBAFB">
      <w:pPr>
        <w:rPr>
          <w:highlight w:val="none"/>
        </w:rPr>
      </w:pPr>
    </w:p>
    <w:p w14:paraId="28EDD68B">
      <w:pPr>
        <w:pStyle w:val="12"/>
        <w:rPr>
          <w:highlight w:val="none"/>
        </w:rPr>
      </w:pPr>
    </w:p>
    <w:p w14:paraId="30053A70">
      <w:pPr>
        <w:pStyle w:val="13"/>
        <w:rPr>
          <w:highlight w:val="none"/>
        </w:rPr>
      </w:pPr>
    </w:p>
    <w:p w14:paraId="3FF153A1">
      <w:pPr>
        <w:pStyle w:val="14"/>
        <w:rPr>
          <w:highlight w:val="none"/>
        </w:rPr>
      </w:pPr>
    </w:p>
    <w:p w14:paraId="0C5F33BB">
      <w:pPr>
        <w:rPr>
          <w:highlight w:val="none"/>
        </w:rPr>
      </w:pPr>
    </w:p>
    <w:p w14:paraId="068B17EC">
      <w:pPr>
        <w:pStyle w:val="12"/>
        <w:rPr>
          <w:highlight w:val="none"/>
        </w:rPr>
      </w:pPr>
    </w:p>
    <w:p w14:paraId="599D5437">
      <w:pPr>
        <w:pStyle w:val="13"/>
        <w:rPr>
          <w:highlight w:val="none"/>
        </w:rPr>
      </w:pPr>
    </w:p>
    <w:p w14:paraId="31933A18">
      <w:pPr>
        <w:pStyle w:val="14"/>
        <w:rPr>
          <w:highlight w:val="none"/>
        </w:rPr>
      </w:pPr>
    </w:p>
    <w:p w14:paraId="6305E61F">
      <w:pPr>
        <w:rPr>
          <w:highlight w:val="none"/>
        </w:rPr>
      </w:pPr>
    </w:p>
    <w:p w14:paraId="5375414B">
      <w:pPr>
        <w:pStyle w:val="12"/>
        <w:rPr>
          <w:highlight w:val="none"/>
        </w:rPr>
      </w:pPr>
    </w:p>
    <w:p w14:paraId="1D1D6091">
      <w:pPr>
        <w:pStyle w:val="13"/>
        <w:rPr>
          <w:highlight w:val="none"/>
        </w:rPr>
      </w:pPr>
    </w:p>
    <w:p w14:paraId="068E5929">
      <w:pPr>
        <w:pStyle w:val="14"/>
        <w:rPr>
          <w:highlight w:val="none"/>
        </w:rPr>
      </w:pPr>
    </w:p>
    <w:p w14:paraId="51813FC0">
      <w:pPr>
        <w:rPr>
          <w:highlight w:val="none"/>
        </w:rPr>
      </w:pPr>
    </w:p>
    <w:bookmarkEnd w:id="7"/>
    <w:bookmarkEnd w:id="8"/>
    <w:p w14:paraId="62475EBD">
      <w:pPr>
        <w:autoSpaceDE w:val="0"/>
        <w:autoSpaceDN w:val="0"/>
        <w:adjustRightInd w:val="0"/>
        <w:spacing w:line="360" w:lineRule="auto"/>
        <w:outlineLvl w:val="1"/>
        <w:rPr>
          <w:rFonts w:ascii="宋体"/>
          <w:b/>
          <w:bCs/>
          <w:sz w:val="24"/>
          <w:highlight w:val="none"/>
        </w:rPr>
      </w:pPr>
      <w:r>
        <w:rPr>
          <w:rFonts w:hint="eastAsia" w:ascii="宋体" w:hAnsi="宋体" w:cs="宋体"/>
          <w:b/>
          <w:sz w:val="30"/>
          <w:highlight w:val="none"/>
        </w:rPr>
        <w:t>1、电子投标文件封面</w:t>
      </w:r>
    </w:p>
    <w:p w14:paraId="5C507A5F">
      <w:pPr>
        <w:autoSpaceDE w:val="0"/>
        <w:autoSpaceDN w:val="0"/>
        <w:adjustRightInd w:val="0"/>
        <w:spacing w:line="360" w:lineRule="auto"/>
        <w:jc w:val="center"/>
        <w:rPr>
          <w:rFonts w:ascii="宋体"/>
          <w:b/>
          <w:sz w:val="32"/>
          <w:szCs w:val="32"/>
          <w:highlight w:val="none"/>
        </w:rPr>
      </w:pPr>
    </w:p>
    <w:p w14:paraId="132263C2">
      <w:pPr>
        <w:pStyle w:val="12"/>
        <w:rPr>
          <w:highlight w:val="none"/>
        </w:rPr>
      </w:pPr>
    </w:p>
    <w:p w14:paraId="458B11C3">
      <w:pPr>
        <w:pStyle w:val="12"/>
        <w:jc w:val="center"/>
        <w:rPr>
          <w:rFonts w:ascii="宋体"/>
          <w:b/>
          <w:sz w:val="44"/>
          <w:szCs w:val="44"/>
          <w:highlight w:val="none"/>
        </w:rPr>
      </w:pPr>
      <w:r>
        <w:rPr>
          <w:rFonts w:hint="eastAsia" w:ascii="宋体" w:hAnsi="宋体"/>
          <w:b/>
          <w:sz w:val="44"/>
          <w:szCs w:val="44"/>
          <w:highlight w:val="none"/>
        </w:rPr>
        <w:t>项目名称</w:t>
      </w:r>
    </w:p>
    <w:p w14:paraId="4E011606">
      <w:pPr>
        <w:pStyle w:val="12"/>
        <w:rPr>
          <w:rFonts w:ascii="宋体"/>
          <w:b/>
          <w:sz w:val="32"/>
          <w:szCs w:val="32"/>
          <w:highlight w:val="none"/>
        </w:rPr>
      </w:pPr>
    </w:p>
    <w:p w14:paraId="385BC120">
      <w:pPr>
        <w:pStyle w:val="12"/>
        <w:rPr>
          <w:rFonts w:ascii="宋体"/>
          <w:b/>
          <w:sz w:val="32"/>
          <w:szCs w:val="32"/>
          <w:highlight w:val="none"/>
        </w:rPr>
      </w:pPr>
    </w:p>
    <w:p w14:paraId="41B492A8">
      <w:pPr>
        <w:spacing w:line="360" w:lineRule="auto"/>
        <w:jc w:val="center"/>
        <w:rPr>
          <w:rFonts w:ascii="宋体"/>
          <w:spacing w:val="40"/>
          <w:w w:val="90"/>
          <w:sz w:val="96"/>
          <w:szCs w:val="96"/>
          <w:highlight w:val="none"/>
        </w:rPr>
      </w:pPr>
      <w:r>
        <w:rPr>
          <w:rFonts w:hint="eastAsia" w:ascii="宋体" w:hAnsi="宋体"/>
          <w:spacing w:val="40"/>
          <w:w w:val="90"/>
          <w:sz w:val="96"/>
          <w:szCs w:val="96"/>
          <w:highlight w:val="none"/>
        </w:rPr>
        <w:t>投标文件</w:t>
      </w:r>
    </w:p>
    <w:p w14:paraId="72E3C410">
      <w:pPr>
        <w:autoSpaceDE w:val="0"/>
        <w:autoSpaceDN w:val="0"/>
        <w:adjustRightInd w:val="0"/>
        <w:spacing w:line="360" w:lineRule="auto"/>
        <w:rPr>
          <w:rFonts w:ascii="宋体"/>
          <w:b/>
          <w:sz w:val="32"/>
          <w:szCs w:val="32"/>
          <w:highlight w:val="none"/>
        </w:rPr>
      </w:pPr>
    </w:p>
    <w:p w14:paraId="799F7FC6">
      <w:pPr>
        <w:autoSpaceDE w:val="0"/>
        <w:autoSpaceDN w:val="0"/>
        <w:adjustRightInd w:val="0"/>
        <w:spacing w:line="360" w:lineRule="auto"/>
        <w:rPr>
          <w:rFonts w:ascii="宋体"/>
          <w:b/>
          <w:sz w:val="32"/>
          <w:szCs w:val="32"/>
          <w:highlight w:val="none"/>
        </w:rPr>
      </w:pPr>
    </w:p>
    <w:p w14:paraId="0B0B39AE">
      <w:pPr>
        <w:pStyle w:val="12"/>
        <w:rPr>
          <w:highlight w:val="none"/>
        </w:rPr>
      </w:pPr>
    </w:p>
    <w:p w14:paraId="32179B5B">
      <w:pPr>
        <w:autoSpaceDE w:val="0"/>
        <w:autoSpaceDN w:val="0"/>
        <w:adjustRightInd w:val="0"/>
        <w:spacing w:line="360" w:lineRule="auto"/>
        <w:rPr>
          <w:rFonts w:ascii="宋体"/>
          <w:b/>
          <w:sz w:val="32"/>
          <w:szCs w:val="32"/>
          <w:highlight w:val="none"/>
        </w:rPr>
      </w:pPr>
    </w:p>
    <w:p w14:paraId="51F33614">
      <w:pPr>
        <w:spacing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项目编号： </w:t>
      </w:r>
    </w:p>
    <w:p w14:paraId="13B745E2">
      <w:pPr>
        <w:spacing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项目名称： </w:t>
      </w:r>
    </w:p>
    <w:p w14:paraId="748D339B">
      <w:pPr>
        <w:spacing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采购人： </w:t>
      </w:r>
    </w:p>
    <w:p w14:paraId="1C8ADE63">
      <w:pPr>
        <w:spacing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供应商： </w:t>
      </w:r>
    </w:p>
    <w:p w14:paraId="560422BF">
      <w:pPr>
        <w:spacing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时    间： 年  月  日</w:t>
      </w:r>
    </w:p>
    <w:p w14:paraId="038F835E">
      <w:pPr>
        <w:pStyle w:val="13"/>
        <w:ind w:firstLine="210"/>
        <w:rPr>
          <w:highlight w:val="none"/>
        </w:rPr>
      </w:pPr>
    </w:p>
    <w:p w14:paraId="5341E511">
      <w:pPr>
        <w:pStyle w:val="12"/>
        <w:rPr>
          <w:highlight w:val="none"/>
        </w:rPr>
      </w:pPr>
    </w:p>
    <w:p w14:paraId="60E40F85">
      <w:pPr>
        <w:autoSpaceDE w:val="0"/>
        <w:autoSpaceDN w:val="0"/>
        <w:adjustRightInd w:val="0"/>
        <w:spacing w:line="360" w:lineRule="auto"/>
        <w:outlineLvl w:val="1"/>
        <w:rPr>
          <w:rFonts w:ascii="宋体" w:hAnsi="宋体"/>
          <w:b/>
          <w:bCs/>
          <w:sz w:val="24"/>
          <w:highlight w:val="none"/>
        </w:rPr>
      </w:pPr>
    </w:p>
    <w:p w14:paraId="183A0611">
      <w:pPr>
        <w:autoSpaceDE w:val="0"/>
        <w:autoSpaceDN w:val="0"/>
        <w:adjustRightInd w:val="0"/>
        <w:spacing w:line="360" w:lineRule="auto"/>
        <w:outlineLvl w:val="1"/>
        <w:rPr>
          <w:rFonts w:ascii="宋体" w:hAnsi="宋体"/>
          <w:b/>
          <w:bCs/>
          <w:sz w:val="24"/>
          <w:highlight w:val="none"/>
        </w:rPr>
      </w:pPr>
    </w:p>
    <w:p w14:paraId="78427DD1">
      <w:pPr>
        <w:autoSpaceDE w:val="0"/>
        <w:autoSpaceDN w:val="0"/>
        <w:adjustRightInd w:val="0"/>
        <w:spacing w:line="360" w:lineRule="auto"/>
        <w:outlineLvl w:val="1"/>
        <w:rPr>
          <w:rFonts w:ascii="宋体" w:hAnsi="宋体"/>
          <w:b/>
          <w:bCs/>
          <w:sz w:val="24"/>
          <w:highlight w:val="none"/>
        </w:rPr>
      </w:pPr>
    </w:p>
    <w:p w14:paraId="498BDE26">
      <w:pPr>
        <w:autoSpaceDE w:val="0"/>
        <w:autoSpaceDN w:val="0"/>
        <w:adjustRightInd w:val="0"/>
        <w:spacing w:line="360" w:lineRule="auto"/>
        <w:outlineLvl w:val="1"/>
        <w:rPr>
          <w:rFonts w:ascii="宋体"/>
          <w:b/>
          <w:bCs/>
          <w:sz w:val="24"/>
          <w:highlight w:val="none"/>
        </w:rPr>
      </w:pPr>
      <w:r>
        <w:rPr>
          <w:rFonts w:hint="eastAsia" w:ascii="宋体" w:hAnsi="宋体"/>
          <w:b/>
          <w:bCs/>
          <w:sz w:val="24"/>
          <w:highlight w:val="none"/>
        </w:rPr>
        <w:t>2、备份电子文件包装封面（邮寄备份文件时提供）</w:t>
      </w:r>
    </w:p>
    <w:p w14:paraId="03768943">
      <w:pPr>
        <w:autoSpaceDE w:val="0"/>
        <w:autoSpaceDN w:val="0"/>
        <w:adjustRightInd w:val="0"/>
        <w:spacing w:line="360" w:lineRule="auto"/>
        <w:jc w:val="center"/>
        <w:rPr>
          <w:rFonts w:ascii="宋体"/>
          <w:b/>
          <w:sz w:val="32"/>
          <w:szCs w:val="32"/>
          <w:highlight w:val="none"/>
        </w:rPr>
      </w:pPr>
    </w:p>
    <w:p w14:paraId="536370B0">
      <w:pPr>
        <w:pStyle w:val="13"/>
        <w:rPr>
          <w:rFonts w:hint="eastAsia"/>
          <w:highlight w:val="none"/>
        </w:rPr>
      </w:pPr>
    </w:p>
    <w:p w14:paraId="48705893">
      <w:pPr>
        <w:pStyle w:val="12"/>
        <w:jc w:val="center"/>
        <w:rPr>
          <w:rFonts w:ascii="宋体"/>
          <w:b/>
          <w:sz w:val="44"/>
          <w:szCs w:val="44"/>
          <w:highlight w:val="none"/>
        </w:rPr>
      </w:pPr>
      <w:r>
        <w:rPr>
          <w:rFonts w:hint="eastAsia" w:ascii="宋体" w:hAnsi="宋体"/>
          <w:b/>
          <w:sz w:val="44"/>
          <w:szCs w:val="44"/>
          <w:highlight w:val="none"/>
        </w:rPr>
        <w:t>项目名称</w:t>
      </w:r>
    </w:p>
    <w:p w14:paraId="5C39F99E">
      <w:pPr>
        <w:pStyle w:val="12"/>
        <w:rPr>
          <w:rFonts w:ascii="宋体"/>
          <w:b/>
          <w:sz w:val="32"/>
          <w:szCs w:val="32"/>
          <w:highlight w:val="none"/>
        </w:rPr>
      </w:pPr>
    </w:p>
    <w:p w14:paraId="6149F027">
      <w:pPr>
        <w:pStyle w:val="12"/>
        <w:rPr>
          <w:rFonts w:ascii="宋体"/>
          <w:b/>
          <w:sz w:val="32"/>
          <w:szCs w:val="32"/>
          <w:highlight w:val="none"/>
        </w:rPr>
      </w:pPr>
    </w:p>
    <w:p w14:paraId="544AC29A">
      <w:pPr>
        <w:spacing w:line="360" w:lineRule="auto"/>
        <w:jc w:val="center"/>
        <w:rPr>
          <w:rFonts w:ascii="宋体"/>
          <w:spacing w:val="40"/>
          <w:w w:val="90"/>
          <w:sz w:val="96"/>
          <w:szCs w:val="96"/>
          <w:highlight w:val="none"/>
        </w:rPr>
      </w:pPr>
      <w:r>
        <w:rPr>
          <w:rFonts w:hint="eastAsia" w:ascii="宋体" w:hAnsi="宋体"/>
          <w:spacing w:val="40"/>
          <w:w w:val="90"/>
          <w:sz w:val="96"/>
          <w:szCs w:val="96"/>
          <w:highlight w:val="none"/>
        </w:rPr>
        <w:t>投标文件</w:t>
      </w:r>
    </w:p>
    <w:p w14:paraId="096B7420">
      <w:pPr>
        <w:autoSpaceDE w:val="0"/>
        <w:autoSpaceDN w:val="0"/>
        <w:adjustRightInd w:val="0"/>
        <w:spacing w:line="360" w:lineRule="auto"/>
        <w:rPr>
          <w:rFonts w:ascii="宋体"/>
          <w:b/>
          <w:sz w:val="32"/>
          <w:szCs w:val="32"/>
          <w:highlight w:val="none"/>
        </w:rPr>
      </w:pPr>
    </w:p>
    <w:p w14:paraId="3399637F">
      <w:pPr>
        <w:autoSpaceDE w:val="0"/>
        <w:autoSpaceDN w:val="0"/>
        <w:adjustRightInd w:val="0"/>
        <w:spacing w:line="360" w:lineRule="auto"/>
        <w:rPr>
          <w:rFonts w:ascii="宋体"/>
          <w:b/>
          <w:sz w:val="32"/>
          <w:szCs w:val="32"/>
          <w:highlight w:val="none"/>
        </w:rPr>
      </w:pPr>
    </w:p>
    <w:p w14:paraId="070EAC6B">
      <w:pPr>
        <w:pStyle w:val="12"/>
        <w:rPr>
          <w:highlight w:val="none"/>
        </w:rPr>
      </w:pPr>
    </w:p>
    <w:p w14:paraId="7C566314">
      <w:pPr>
        <w:autoSpaceDE w:val="0"/>
        <w:autoSpaceDN w:val="0"/>
        <w:adjustRightInd w:val="0"/>
        <w:spacing w:line="360" w:lineRule="auto"/>
        <w:rPr>
          <w:rFonts w:ascii="宋体"/>
          <w:b/>
          <w:sz w:val="32"/>
          <w:szCs w:val="32"/>
          <w:highlight w:val="none"/>
        </w:rPr>
      </w:pPr>
    </w:p>
    <w:p w14:paraId="626C8B88">
      <w:pPr>
        <w:pStyle w:val="90"/>
        <w:spacing w:line="360" w:lineRule="auto"/>
        <w:ind w:left="0" w:right="-252"/>
        <w:rPr>
          <w:rFonts w:ascii="宋体"/>
          <w:sz w:val="32"/>
          <w:szCs w:val="32"/>
          <w:highlight w:val="none"/>
          <w:u w:val="single"/>
        </w:rPr>
      </w:pPr>
      <w:r>
        <w:rPr>
          <w:rFonts w:hint="eastAsia" w:ascii="宋体" w:hAnsi="宋体"/>
          <w:sz w:val="32"/>
          <w:szCs w:val="32"/>
          <w:highlight w:val="none"/>
        </w:rPr>
        <w:t>投标人名称：（公章）</w:t>
      </w:r>
    </w:p>
    <w:p w14:paraId="225E67F0">
      <w:pPr>
        <w:autoSpaceDE w:val="0"/>
        <w:autoSpaceDN w:val="0"/>
        <w:adjustRightInd w:val="0"/>
        <w:spacing w:line="360" w:lineRule="auto"/>
        <w:rPr>
          <w:rFonts w:ascii="宋体"/>
          <w:b/>
          <w:sz w:val="32"/>
          <w:szCs w:val="32"/>
          <w:highlight w:val="none"/>
        </w:rPr>
      </w:pPr>
    </w:p>
    <w:p w14:paraId="3E9ED79D">
      <w:pPr>
        <w:pStyle w:val="12"/>
        <w:rPr>
          <w:rFonts w:ascii="宋体"/>
          <w:b/>
          <w:sz w:val="32"/>
          <w:szCs w:val="32"/>
          <w:highlight w:val="none"/>
        </w:rPr>
      </w:pPr>
    </w:p>
    <w:p w14:paraId="09C10F62">
      <w:pPr>
        <w:pStyle w:val="12"/>
        <w:rPr>
          <w:rFonts w:ascii="宋体"/>
          <w:b/>
          <w:sz w:val="32"/>
          <w:szCs w:val="32"/>
          <w:highlight w:val="none"/>
        </w:rPr>
      </w:pPr>
    </w:p>
    <w:p w14:paraId="57C17669">
      <w:pPr>
        <w:spacing w:line="360" w:lineRule="auto"/>
        <w:jc w:val="center"/>
        <w:rPr>
          <w:rFonts w:ascii="宋体"/>
          <w:b/>
          <w:sz w:val="30"/>
          <w:szCs w:val="30"/>
          <w:highlight w:val="none"/>
        </w:rPr>
      </w:pPr>
      <w:r>
        <w:rPr>
          <w:rFonts w:hint="eastAsia" w:ascii="宋体" w:hAnsi="宋体"/>
          <w:b/>
          <w:sz w:val="30"/>
          <w:szCs w:val="30"/>
          <w:highlight w:val="none"/>
        </w:rPr>
        <w:t>在年月日之前不得启封</w:t>
      </w:r>
    </w:p>
    <w:p w14:paraId="215A4BD8">
      <w:pPr>
        <w:pStyle w:val="12"/>
        <w:rPr>
          <w:rFonts w:ascii="宋体" w:hAnsi="宋体"/>
          <w:b/>
          <w:bCs/>
          <w:highlight w:val="none"/>
        </w:rPr>
      </w:pPr>
      <w:r>
        <w:rPr>
          <w:rFonts w:ascii="宋体"/>
          <w:b/>
          <w:bCs/>
          <w:szCs w:val="21"/>
          <w:highlight w:val="none"/>
        </w:rPr>
        <w:br w:type="page"/>
      </w:r>
      <w:r>
        <w:rPr>
          <w:rFonts w:hint="eastAsia" w:ascii="宋体" w:hAnsi="宋体"/>
          <w:b/>
          <w:bCs/>
          <w:highlight w:val="none"/>
        </w:rPr>
        <w:t>3、投标函格式</w:t>
      </w:r>
      <w:r>
        <w:rPr>
          <w:rFonts w:hint="eastAsia" w:ascii="宋体" w:hAnsi="宋体"/>
          <w:b/>
          <w:bCs/>
          <w:highlight w:val="none"/>
          <w:lang w:eastAsia="zh-CN"/>
        </w:rPr>
        <w:t>：</w:t>
      </w:r>
    </w:p>
    <w:p w14:paraId="235F3929">
      <w:pPr>
        <w:snapToGrid w:val="0"/>
        <w:spacing w:beforeLines="50" w:after="50"/>
        <w:jc w:val="center"/>
        <w:rPr>
          <w:rFonts w:ascii="宋体"/>
          <w:b/>
          <w:sz w:val="24"/>
          <w:highlight w:val="none"/>
        </w:rPr>
      </w:pPr>
      <w:r>
        <w:rPr>
          <w:rFonts w:hint="eastAsia" w:ascii="宋体" w:hAnsi="宋体"/>
          <w:b/>
          <w:sz w:val="24"/>
          <w:highlight w:val="none"/>
        </w:rPr>
        <w:t>投标函</w:t>
      </w:r>
    </w:p>
    <w:p w14:paraId="42EE95AF">
      <w:pPr>
        <w:snapToGrid w:val="0"/>
        <w:spacing w:line="360" w:lineRule="auto"/>
        <w:rPr>
          <w:rFonts w:ascii="宋体"/>
          <w:highlight w:val="none"/>
        </w:rPr>
      </w:pPr>
      <w:r>
        <w:rPr>
          <w:rFonts w:hint="eastAsia" w:ascii="宋体" w:hAnsi="宋体"/>
          <w:highlight w:val="none"/>
        </w:rPr>
        <w:t>致：</w:t>
      </w:r>
      <w:r>
        <w:rPr>
          <w:rFonts w:hint="eastAsia" w:ascii="宋体" w:hAnsi="宋体"/>
          <w:highlight w:val="none"/>
          <w:u w:val="single"/>
        </w:rPr>
        <w:t>（采购人）</w:t>
      </w:r>
      <w:r>
        <w:rPr>
          <w:rFonts w:ascii="宋体" w:hAnsi="宋体"/>
          <w:highlight w:val="none"/>
        </w:rPr>
        <w:t>_</w:t>
      </w:r>
      <w:r>
        <w:rPr>
          <w:rFonts w:hint="eastAsia" w:ascii="宋体" w:hAnsi="宋体"/>
          <w:highlight w:val="none"/>
        </w:rPr>
        <w:t>：</w:t>
      </w:r>
    </w:p>
    <w:p w14:paraId="573DE6AD">
      <w:pPr>
        <w:pStyle w:val="93"/>
        <w:spacing w:line="360" w:lineRule="auto"/>
        <w:ind w:right="-91" w:firstLine="404" w:firstLineChars="200"/>
        <w:rPr>
          <w:rFonts w:hAnsi="宋体"/>
          <w:sz w:val="21"/>
          <w:szCs w:val="21"/>
          <w:highlight w:val="none"/>
        </w:rPr>
      </w:pPr>
      <w:r>
        <w:rPr>
          <w:rFonts w:hint="eastAsia" w:hAnsi="宋体"/>
          <w:sz w:val="21"/>
          <w:szCs w:val="21"/>
          <w:highlight w:val="none"/>
        </w:rPr>
        <w:t>我方</w:t>
      </w:r>
      <w:r>
        <w:rPr>
          <w:rFonts w:hint="eastAsia" w:hAnsi="宋体"/>
          <w:b/>
          <w:sz w:val="21"/>
          <w:szCs w:val="21"/>
          <w:highlight w:val="none"/>
          <w:u w:val="single"/>
        </w:rPr>
        <w:t>（</w:t>
      </w:r>
      <w:r>
        <w:rPr>
          <w:rFonts w:hint="eastAsia" w:hAnsi="宋体"/>
          <w:sz w:val="21"/>
          <w:szCs w:val="21"/>
          <w:highlight w:val="none"/>
          <w:u w:val="single"/>
        </w:rPr>
        <w:t>投标名称）</w:t>
      </w:r>
      <w:r>
        <w:rPr>
          <w:rFonts w:hint="eastAsia" w:hAnsi="宋体"/>
          <w:sz w:val="21"/>
          <w:szCs w:val="21"/>
          <w:highlight w:val="none"/>
        </w:rPr>
        <w:t>已详细审查了贵方采购编号为</w:t>
      </w:r>
      <w:r>
        <w:rPr>
          <w:rFonts w:hint="eastAsia" w:hAnsi="宋体"/>
          <w:b/>
          <w:spacing w:val="20"/>
          <w:sz w:val="21"/>
          <w:szCs w:val="21"/>
          <w:highlight w:val="none"/>
          <w:u w:val="single"/>
        </w:rPr>
        <w:t>（</w:t>
      </w:r>
      <w:r>
        <w:rPr>
          <w:rFonts w:hint="eastAsia" w:hAnsi="宋体"/>
          <w:b/>
          <w:sz w:val="21"/>
          <w:szCs w:val="21"/>
          <w:highlight w:val="none"/>
          <w:u w:val="single"/>
        </w:rPr>
        <w:t>采购编号）</w:t>
      </w:r>
      <w:r>
        <w:rPr>
          <w:rFonts w:hint="eastAsia" w:hAnsi="宋体"/>
          <w:sz w:val="21"/>
          <w:szCs w:val="21"/>
          <w:highlight w:val="none"/>
        </w:rPr>
        <w:t>的</w:t>
      </w:r>
      <w:r>
        <w:rPr>
          <w:rFonts w:hint="eastAsia" w:hAnsi="宋体"/>
          <w:b/>
          <w:sz w:val="21"/>
          <w:szCs w:val="21"/>
          <w:highlight w:val="none"/>
          <w:u w:val="single"/>
        </w:rPr>
        <w:t>（项目名称）</w:t>
      </w:r>
      <w:r>
        <w:rPr>
          <w:rFonts w:hint="eastAsia" w:hAnsi="宋体"/>
          <w:sz w:val="21"/>
          <w:szCs w:val="21"/>
          <w:highlight w:val="none"/>
        </w:rPr>
        <w:t>采购项目的采购文件及其相关补充文件</w:t>
      </w:r>
      <w:r>
        <w:rPr>
          <w:rFonts w:hint="eastAsia" w:hAnsi="宋体"/>
          <w:b/>
          <w:sz w:val="21"/>
          <w:szCs w:val="21"/>
          <w:highlight w:val="none"/>
        </w:rPr>
        <w:t>（若有）</w:t>
      </w:r>
      <w:r>
        <w:rPr>
          <w:rFonts w:hint="eastAsia" w:hAnsi="宋体"/>
          <w:sz w:val="21"/>
          <w:szCs w:val="21"/>
          <w:highlight w:val="none"/>
        </w:rPr>
        <w:t>，现就有关事项向采购代理机构郑重承诺如下：</w:t>
      </w:r>
    </w:p>
    <w:p w14:paraId="18E47E72">
      <w:pPr>
        <w:pStyle w:val="93"/>
        <w:spacing w:line="360" w:lineRule="auto"/>
        <w:ind w:right="-91" w:firstLine="404" w:firstLineChars="200"/>
        <w:rPr>
          <w:rFonts w:hAnsi="宋体"/>
          <w:sz w:val="21"/>
          <w:szCs w:val="21"/>
          <w:highlight w:val="none"/>
        </w:rPr>
      </w:pPr>
      <w:r>
        <w:rPr>
          <w:rFonts w:hint="eastAsia" w:hAnsi="宋体"/>
          <w:sz w:val="21"/>
          <w:szCs w:val="21"/>
          <w:highlight w:val="none"/>
        </w:rPr>
        <w:t>一、具备《中华人民共和国政府采购法》第二十二条第一款规定的条件：</w:t>
      </w:r>
    </w:p>
    <w:p w14:paraId="69E547C3">
      <w:pPr>
        <w:pStyle w:val="93"/>
        <w:spacing w:line="360" w:lineRule="auto"/>
        <w:ind w:right="-91" w:firstLine="404" w:firstLineChars="200"/>
        <w:rPr>
          <w:rFonts w:hAnsi="宋体"/>
          <w:sz w:val="21"/>
          <w:szCs w:val="21"/>
          <w:highlight w:val="none"/>
        </w:rPr>
      </w:pPr>
      <w:r>
        <w:rPr>
          <w:rFonts w:hint="eastAsia" w:hAnsi="宋体"/>
          <w:sz w:val="21"/>
          <w:szCs w:val="21"/>
          <w:highlight w:val="none"/>
        </w:rPr>
        <w:t>1、具有独立承担民事责任的能力；</w:t>
      </w:r>
    </w:p>
    <w:p w14:paraId="74328B60">
      <w:pPr>
        <w:pStyle w:val="93"/>
        <w:spacing w:line="360" w:lineRule="auto"/>
        <w:ind w:right="-91" w:firstLine="404" w:firstLineChars="200"/>
        <w:rPr>
          <w:rFonts w:hAnsi="宋体"/>
          <w:sz w:val="21"/>
          <w:szCs w:val="21"/>
          <w:highlight w:val="none"/>
        </w:rPr>
      </w:pPr>
      <w:r>
        <w:rPr>
          <w:rFonts w:hint="eastAsia" w:hAnsi="宋体"/>
          <w:sz w:val="21"/>
          <w:szCs w:val="21"/>
          <w:highlight w:val="none"/>
        </w:rPr>
        <w:t>2、具有良好的商业信誉和健全的财务会计制度；</w:t>
      </w:r>
    </w:p>
    <w:p w14:paraId="238CB1FB">
      <w:pPr>
        <w:pStyle w:val="93"/>
        <w:spacing w:line="360" w:lineRule="auto"/>
        <w:ind w:right="-91" w:firstLine="404" w:firstLineChars="200"/>
        <w:rPr>
          <w:rFonts w:hAnsi="宋体"/>
          <w:sz w:val="21"/>
          <w:szCs w:val="21"/>
          <w:highlight w:val="none"/>
        </w:rPr>
      </w:pPr>
      <w:r>
        <w:rPr>
          <w:rFonts w:hint="eastAsia" w:hAnsi="宋体"/>
          <w:sz w:val="21"/>
          <w:szCs w:val="21"/>
          <w:highlight w:val="none"/>
        </w:rPr>
        <w:t>3、具有履行合同所必需的设备和专业技术能力；</w:t>
      </w:r>
    </w:p>
    <w:p w14:paraId="52F54963">
      <w:pPr>
        <w:pStyle w:val="93"/>
        <w:spacing w:line="360" w:lineRule="auto"/>
        <w:ind w:right="-91" w:firstLine="404" w:firstLineChars="200"/>
        <w:rPr>
          <w:rFonts w:hAnsi="宋体"/>
          <w:sz w:val="21"/>
          <w:szCs w:val="21"/>
          <w:highlight w:val="none"/>
        </w:rPr>
      </w:pPr>
      <w:r>
        <w:rPr>
          <w:rFonts w:hint="eastAsia" w:hAnsi="宋体"/>
          <w:sz w:val="21"/>
          <w:szCs w:val="21"/>
          <w:highlight w:val="none"/>
        </w:rPr>
        <w:t>4、有依法缴纳税收和社会保障资金的良好记录；</w:t>
      </w:r>
    </w:p>
    <w:p w14:paraId="29EA49F6">
      <w:pPr>
        <w:pStyle w:val="93"/>
        <w:spacing w:line="360" w:lineRule="auto"/>
        <w:ind w:right="-91" w:firstLine="404" w:firstLineChars="200"/>
        <w:rPr>
          <w:rFonts w:hAnsi="宋体"/>
          <w:sz w:val="21"/>
          <w:szCs w:val="21"/>
          <w:highlight w:val="none"/>
        </w:rPr>
      </w:pPr>
      <w:r>
        <w:rPr>
          <w:rFonts w:hint="eastAsia" w:hAnsi="宋体"/>
          <w:sz w:val="21"/>
          <w:szCs w:val="21"/>
          <w:highlight w:val="none"/>
        </w:rPr>
        <w:t>5、参加政府采购活动前三年内，在经营活动中没有重大违法记录；</w:t>
      </w:r>
    </w:p>
    <w:p w14:paraId="2BABECB2">
      <w:pPr>
        <w:pStyle w:val="93"/>
        <w:spacing w:line="360" w:lineRule="auto"/>
        <w:ind w:right="-91" w:firstLine="404" w:firstLineChars="200"/>
        <w:rPr>
          <w:rFonts w:hAnsi="宋体"/>
          <w:sz w:val="21"/>
          <w:szCs w:val="21"/>
          <w:highlight w:val="none"/>
        </w:rPr>
      </w:pPr>
      <w:r>
        <w:rPr>
          <w:rFonts w:hint="eastAsia" w:hAnsi="宋体"/>
          <w:sz w:val="21"/>
          <w:szCs w:val="21"/>
          <w:highlight w:val="none"/>
        </w:rPr>
        <w:t>6、法律、行政法规规定的其他条件</w:t>
      </w:r>
    </w:p>
    <w:p w14:paraId="5CA5E212">
      <w:pPr>
        <w:pStyle w:val="93"/>
        <w:spacing w:line="360" w:lineRule="auto"/>
        <w:ind w:right="-91" w:firstLine="404" w:firstLineChars="200"/>
        <w:rPr>
          <w:rFonts w:hAnsi="宋体"/>
          <w:sz w:val="21"/>
          <w:szCs w:val="21"/>
          <w:highlight w:val="none"/>
        </w:rPr>
      </w:pPr>
      <w:r>
        <w:rPr>
          <w:rFonts w:hint="eastAsia" w:hAnsi="宋体"/>
          <w:sz w:val="21"/>
          <w:szCs w:val="21"/>
          <w:highlight w:val="none"/>
        </w:rPr>
        <w:t>二、未被“信用中国”（www.creditchina.gov.cn）、“中国政府采购网”（www.ccgp.gov.cn）列入失信被执行人、重大税收违法案件当事人名单、政府采购严重违法失信行为记录名单。</w:t>
      </w:r>
    </w:p>
    <w:p w14:paraId="7EB72B64">
      <w:pPr>
        <w:pStyle w:val="93"/>
        <w:spacing w:line="360" w:lineRule="auto"/>
        <w:ind w:right="-91" w:firstLine="404" w:firstLineChars="200"/>
        <w:rPr>
          <w:rFonts w:hAnsi="宋体"/>
          <w:sz w:val="21"/>
          <w:szCs w:val="21"/>
          <w:highlight w:val="none"/>
        </w:rPr>
      </w:pPr>
      <w:r>
        <w:rPr>
          <w:rFonts w:hint="eastAsia" w:hAnsi="宋体"/>
          <w:sz w:val="21"/>
          <w:szCs w:val="21"/>
          <w:highlight w:val="none"/>
        </w:rPr>
        <w:t>三、其他</w:t>
      </w:r>
    </w:p>
    <w:p w14:paraId="5B2F68D2">
      <w:pPr>
        <w:spacing w:line="360" w:lineRule="auto"/>
        <w:ind w:firstLine="420" w:firstLineChars="200"/>
        <w:jc w:val="left"/>
        <w:rPr>
          <w:rFonts w:ascii="宋体"/>
          <w:highlight w:val="none"/>
        </w:rPr>
      </w:pPr>
      <w:r>
        <w:rPr>
          <w:rFonts w:ascii="宋体" w:hAnsi="宋体"/>
          <w:highlight w:val="none"/>
        </w:rPr>
        <w:t>1</w:t>
      </w:r>
      <w:r>
        <w:rPr>
          <w:rFonts w:hint="eastAsia" w:ascii="宋体" w:hAnsi="宋体"/>
          <w:highlight w:val="none"/>
        </w:rPr>
        <w:t>、我方已详细审查了采购文件的全部内容及其相关补充文件（若有），并完全清晰理解全部内容及相关的补充文件（若有），不存在任何误解之处，同意放弃提出异议和质疑的权利。</w:t>
      </w:r>
    </w:p>
    <w:p w14:paraId="7C1CABEA">
      <w:pPr>
        <w:spacing w:line="360" w:lineRule="auto"/>
        <w:ind w:firstLine="420" w:firstLineChars="200"/>
        <w:jc w:val="left"/>
        <w:rPr>
          <w:rFonts w:ascii="宋体"/>
          <w:highlight w:val="none"/>
        </w:rPr>
      </w:pPr>
      <w:r>
        <w:rPr>
          <w:rFonts w:ascii="宋体" w:hAnsi="宋体"/>
          <w:highlight w:val="none"/>
        </w:rPr>
        <w:t>2</w:t>
      </w:r>
      <w:r>
        <w:rPr>
          <w:rFonts w:hint="eastAsia" w:ascii="宋体" w:hAnsi="宋体"/>
          <w:highlight w:val="none"/>
        </w:rPr>
        <w:t>、我方遵守《中华人民共和国政府采购法》及相关法律法规的规定。同意采购文件中所提到的无效标条款。否则，同意被废除投标资格。</w:t>
      </w:r>
    </w:p>
    <w:p w14:paraId="06D33441">
      <w:pPr>
        <w:spacing w:line="360" w:lineRule="auto"/>
        <w:ind w:firstLine="420" w:firstLineChars="200"/>
        <w:jc w:val="left"/>
        <w:rPr>
          <w:rFonts w:ascii="宋体"/>
          <w:highlight w:val="none"/>
        </w:rPr>
      </w:pPr>
      <w:r>
        <w:rPr>
          <w:rFonts w:ascii="宋体" w:hAnsi="宋体"/>
          <w:highlight w:val="none"/>
        </w:rPr>
        <w:t>3</w:t>
      </w:r>
      <w:r>
        <w:rPr>
          <w:rFonts w:hint="eastAsia" w:ascii="宋体" w:hAnsi="宋体"/>
          <w:highlight w:val="none"/>
        </w:rPr>
        <w:t>、投标有效期为自开标之日起</w:t>
      </w:r>
      <w:r>
        <w:rPr>
          <w:rFonts w:ascii="宋体" w:hAnsi="宋体"/>
          <w:highlight w:val="none"/>
        </w:rPr>
        <w:t>90</w:t>
      </w:r>
      <w:r>
        <w:rPr>
          <w:rFonts w:hint="eastAsia" w:ascii="宋体" w:hAnsi="宋体"/>
          <w:highlight w:val="none"/>
        </w:rPr>
        <w:t>天内，如在投标有效期内撤回投标，我方同意被废除投标资格。</w:t>
      </w:r>
    </w:p>
    <w:p w14:paraId="255460C6">
      <w:pPr>
        <w:spacing w:line="360" w:lineRule="auto"/>
        <w:ind w:firstLine="420" w:firstLineChars="200"/>
        <w:jc w:val="left"/>
        <w:rPr>
          <w:rFonts w:ascii="宋体"/>
          <w:highlight w:val="none"/>
        </w:rPr>
      </w:pPr>
      <w:r>
        <w:rPr>
          <w:rFonts w:hint="eastAsia" w:ascii="宋体" w:hAnsi="宋体"/>
          <w:highlight w:val="none"/>
        </w:rPr>
        <w:t>4、我方承诺所提供的一切投标文件</w:t>
      </w:r>
      <w:r>
        <w:rPr>
          <w:rFonts w:hint="eastAsia" w:ascii="宋体" w:hAnsi="宋体"/>
          <w:highlight w:val="none"/>
          <w:lang w:eastAsia="zh-CN"/>
        </w:rPr>
        <w:t>已经</w:t>
      </w:r>
      <w:r>
        <w:rPr>
          <w:rFonts w:hint="eastAsia" w:ascii="宋体" w:hAnsi="宋体"/>
          <w:highlight w:val="none"/>
        </w:rPr>
        <w:t>认真严格审核，内容均为全面真实、准确有效且毫无保留，绝无任何遗漏、虚假、伪造和夸大</w:t>
      </w:r>
      <w:r>
        <w:rPr>
          <w:rFonts w:hint="eastAsia" w:ascii="宋体" w:hAnsi="宋体"/>
          <w:highlight w:val="none"/>
          <w:lang w:eastAsia="zh-CN"/>
        </w:rPr>
        <w:t>的成分</w:t>
      </w:r>
      <w:r>
        <w:rPr>
          <w:rFonts w:hint="eastAsia" w:ascii="宋体" w:hAnsi="宋体"/>
          <w:highlight w:val="none"/>
        </w:rPr>
        <w:t>，若出现违背诚实信用和无如实告知之处，同意被废除投标资格和相关的处罚。</w:t>
      </w:r>
    </w:p>
    <w:p w14:paraId="5C4089AC">
      <w:pPr>
        <w:pStyle w:val="12"/>
        <w:jc w:val="right"/>
        <w:rPr>
          <w:rFonts w:ascii="宋体"/>
          <w:szCs w:val="21"/>
          <w:highlight w:val="none"/>
        </w:rPr>
      </w:pPr>
    </w:p>
    <w:p w14:paraId="486F08AE">
      <w:pPr>
        <w:pStyle w:val="12"/>
        <w:jc w:val="right"/>
        <w:rPr>
          <w:rFonts w:ascii="宋体"/>
          <w:szCs w:val="21"/>
          <w:highlight w:val="none"/>
        </w:rPr>
      </w:pPr>
    </w:p>
    <w:p w14:paraId="5D7CEC1C">
      <w:pPr>
        <w:spacing w:line="360" w:lineRule="auto"/>
        <w:jc w:val="right"/>
        <w:rPr>
          <w:rFonts w:ascii="宋体" w:hAnsi="宋体" w:cs="宋体"/>
          <w:color w:val="000000"/>
          <w:highlight w:val="none"/>
        </w:rPr>
      </w:pPr>
      <w:r>
        <w:rPr>
          <w:rFonts w:hint="eastAsia" w:ascii="宋体" w:hAnsi="宋体"/>
          <w:highlight w:val="none"/>
        </w:rPr>
        <w:t>投标人名称</w:t>
      </w:r>
      <w:r>
        <w:rPr>
          <w:rFonts w:hint="eastAsia" w:ascii="宋体" w:hAnsi="宋体"/>
          <w:highlight w:val="none"/>
          <w:lang w:eastAsia="zh-CN"/>
        </w:rPr>
        <w:t>（</w:t>
      </w:r>
      <w:r>
        <w:rPr>
          <w:rFonts w:hint="eastAsia" w:ascii="宋体" w:hAnsi="宋体"/>
          <w:highlight w:val="none"/>
        </w:rPr>
        <w:t>公章</w:t>
      </w:r>
      <w:r>
        <w:rPr>
          <w:rFonts w:ascii="宋体" w:hAnsi="宋体"/>
          <w:highlight w:val="none"/>
        </w:rPr>
        <w:t>):</w:t>
      </w:r>
    </w:p>
    <w:p w14:paraId="427ED9F7">
      <w:pPr>
        <w:spacing w:line="360" w:lineRule="auto"/>
        <w:jc w:val="right"/>
        <w:rPr>
          <w:rFonts w:hAnsi="宋体"/>
          <w:highlight w:val="none"/>
        </w:rPr>
      </w:pPr>
      <w:r>
        <w:rPr>
          <w:rFonts w:hint="eastAsia" w:hAnsi="宋体"/>
          <w:highlight w:val="none"/>
        </w:rPr>
        <w:t>日期</w:t>
      </w:r>
      <w:r>
        <w:rPr>
          <w:rFonts w:hint="eastAsia" w:hAnsi="宋体"/>
          <w:highlight w:val="none"/>
          <w:lang w:eastAsia="zh-CN"/>
        </w:rPr>
        <w:t>：</w:t>
      </w:r>
      <w:r>
        <w:rPr>
          <w:rFonts w:hAnsi="宋体"/>
          <w:highlight w:val="none"/>
        </w:rPr>
        <w:t>_____</w:t>
      </w:r>
      <w:r>
        <w:rPr>
          <w:rFonts w:hint="eastAsia" w:hAnsi="宋体"/>
          <w:highlight w:val="none"/>
        </w:rPr>
        <w:t>年</w:t>
      </w:r>
      <w:r>
        <w:rPr>
          <w:rFonts w:hAnsi="宋体"/>
          <w:highlight w:val="none"/>
        </w:rPr>
        <w:t>___</w:t>
      </w:r>
      <w:r>
        <w:rPr>
          <w:rFonts w:hint="eastAsia" w:hAnsi="宋体"/>
          <w:highlight w:val="none"/>
        </w:rPr>
        <w:t>月</w:t>
      </w:r>
      <w:r>
        <w:rPr>
          <w:rFonts w:hAnsi="宋体"/>
          <w:highlight w:val="none"/>
        </w:rPr>
        <w:t>___</w:t>
      </w:r>
      <w:r>
        <w:rPr>
          <w:rFonts w:hint="eastAsia" w:hAnsi="宋体"/>
          <w:highlight w:val="none"/>
        </w:rPr>
        <w:t>日</w:t>
      </w:r>
    </w:p>
    <w:p w14:paraId="66A4B10D">
      <w:pPr>
        <w:pStyle w:val="62"/>
        <w:snapToGrid w:val="0"/>
        <w:spacing w:before="159" w:after="159" w:line="360" w:lineRule="auto"/>
        <w:rPr>
          <w:b/>
          <w:bCs/>
          <w:sz w:val="21"/>
          <w:szCs w:val="21"/>
          <w:highlight w:val="none"/>
          <w:lang w:val="zh-CN"/>
        </w:rPr>
      </w:pPr>
      <w:r>
        <w:rPr>
          <w:rFonts w:hint="eastAsia" w:hAnsi="宋体" w:eastAsia="宋体"/>
          <w:b/>
          <w:bCs/>
          <w:sz w:val="21"/>
          <w:szCs w:val="21"/>
          <w:highlight w:val="none"/>
        </w:rPr>
        <w:t>4</w:t>
      </w:r>
      <w:r>
        <w:rPr>
          <w:rFonts w:hint="eastAsia" w:hAnsi="宋体"/>
          <w:b/>
          <w:bCs/>
          <w:sz w:val="21"/>
          <w:szCs w:val="21"/>
          <w:highlight w:val="none"/>
          <w:lang w:val="zh-CN"/>
        </w:rPr>
        <w:t>、</w:t>
      </w:r>
      <w:r>
        <w:rPr>
          <w:rFonts w:hint="eastAsia" w:hAnsi="宋体"/>
          <w:b/>
          <w:bCs/>
          <w:sz w:val="21"/>
          <w:szCs w:val="21"/>
          <w:highlight w:val="none"/>
        </w:rPr>
        <w:t>供应商自评表</w:t>
      </w:r>
    </w:p>
    <w:tbl>
      <w:tblPr>
        <w:tblStyle w:val="24"/>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620D4F93">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3197F52D">
            <w:pPr>
              <w:jc w:val="center"/>
              <w:rPr>
                <w:rFonts w:ascii="宋体" w:cs="宋体"/>
                <w:kern w:val="0"/>
                <w:sz w:val="18"/>
                <w:szCs w:val="18"/>
                <w:highlight w:val="none"/>
              </w:rPr>
            </w:pPr>
            <w:r>
              <w:rPr>
                <w:rFonts w:hint="eastAsia" w:ascii="宋体" w:hAnsi="宋体" w:cs="宋体"/>
                <w:kern w:val="0"/>
                <w:sz w:val="18"/>
                <w:szCs w:val="18"/>
                <w:highlight w:val="none"/>
              </w:rPr>
              <w:t>序号</w:t>
            </w:r>
          </w:p>
        </w:tc>
        <w:tc>
          <w:tcPr>
            <w:tcW w:w="1609" w:type="dxa"/>
            <w:tcBorders>
              <w:top w:val="single" w:color="auto" w:sz="8" w:space="0"/>
              <w:left w:val="nil"/>
              <w:bottom w:val="nil"/>
              <w:right w:val="single" w:color="auto" w:sz="8" w:space="0"/>
            </w:tcBorders>
            <w:shd w:val="clear" w:color="000000" w:fill="FFFFFF"/>
            <w:vAlign w:val="center"/>
          </w:tcPr>
          <w:p w14:paraId="09ED8E56">
            <w:pPr>
              <w:jc w:val="center"/>
              <w:rPr>
                <w:rFonts w:ascii="宋体" w:cs="宋体"/>
                <w:kern w:val="0"/>
                <w:sz w:val="18"/>
                <w:szCs w:val="18"/>
                <w:highlight w:val="none"/>
              </w:rPr>
            </w:pPr>
            <w:r>
              <w:rPr>
                <w:rFonts w:hint="eastAsia" w:ascii="宋体" w:hAnsi="宋体" w:cs="宋体"/>
                <w:kern w:val="0"/>
                <w:sz w:val="18"/>
                <w:szCs w:val="18"/>
                <w:highlight w:val="none"/>
              </w:rPr>
              <w:t>评分</w:t>
            </w:r>
          </w:p>
          <w:p w14:paraId="6D2A731A">
            <w:pPr>
              <w:jc w:val="center"/>
              <w:rPr>
                <w:rFonts w:ascii="宋体" w:cs="宋体"/>
                <w:kern w:val="0"/>
                <w:sz w:val="18"/>
                <w:szCs w:val="18"/>
                <w:highlight w:val="none"/>
              </w:rPr>
            </w:pPr>
            <w:r>
              <w:rPr>
                <w:rFonts w:hint="eastAsia" w:ascii="宋体" w:hAnsi="宋体" w:cs="宋体"/>
                <w:kern w:val="0"/>
                <w:sz w:val="18"/>
                <w:szCs w:val="18"/>
                <w:highlight w:val="none"/>
              </w:rPr>
              <w:t>内容</w:t>
            </w:r>
          </w:p>
        </w:tc>
        <w:tc>
          <w:tcPr>
            <w:tcW w:w="5012" w:type="dxa"/>
            <w:tcBorders>
              <w:top w:val="single" w:color="auto" w:sz="8" w:space="0"/>
              <w:left w:val="nil"/>
              <w:bottom w:val="nil"/>
              <w:right w:val="single" w:color="auto" w:sz="4" w:space="0"/>
            </w:tcBorders>
            <w:shd w:val="clear" w:color="000000" w:fill="FFFFFF"/>
            <w:vAlign w:val="center"/>
          </w:tcPr>
          <w:p w14:paraId="411E57BC">
            <w:pPr>
              <w:jc w:val="center"/>
              <w:rPr>
                <w:rFonts w:ascii="宋体" w:cs="宋体"/>
                <w:kern w:val="0"/>
                <w:sz w:val="18"/>
                <w:szCs w:val="18"/>
                <w:highlight w:val="none"/>
              </w:rPr>
            </w:pPr>
            <w:r>
              <w:rPr>
                <w:rFonts w:hint="eastAsia" w:ascii="宋体" w:hAnsi="宋体" w:cs="宋体"/>
                <w:kern w:val="0"/>
                <w:sz w:val="18"/>
                <w:szCs w:val="18"/>
                <w:highlight w:val="none"/>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5FCA4482">
            <w:pPr>
              <w:jc w:val="center"/>
              <w:rPr>
                <w:rFonts w:ascii="宋体" w:cs="宋体"/>
                <w:kern w:val="0"/>
                <w:sz w:val="18"/>
                <w:szCs w:val="18"/>
                <w:highlight w:val="none"/>
              </w:rPr>
            </w:pPr>
            <w:r>
              <w:rPr>
                <w:rFonts w:hint="eastAsia" w:ascii="宋体" w:hAnsi="宋体" w:cs="宋体"/>
                <w:kern w:val="0"/>
                <w:sz w:val="18"/>
                <w:szCs w:val="18"/>
                <w:highlight w:val="none"/>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664997B">
            <w:pPr>
              <w:jc w:val="center"/>
              <w:rPr>
                <w:rFonts w:ascii="宋体" w:cs="宋体"/>
                <w:kern w:val="0"/>
                <w:sz w:val="18"/>
                <w:szCs w:val="18"/>
                <w:highlight w:val="none"/>
              </w:rPr>
            </w:pPr>
            <w:r>
              <w:rPr>
                <w:rFonts w:hint="eastAsia" w:ascii="宋体" w:hAnsi="宋体" w:cs="宋体"/>
                <w:kern w:val="0"/>
                <w:sz w:val="18"/>
                <w:szCs w:val="18"/>
                <w:highlight w:val="none"/>
              </w:rPr>
              <w:t>投标文件页码</w:t>
            </w:r>
          </w:p>
        </w:tc>
      </w:tr>
      <w:tr w14:paraId="2CC49031">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52EE2FD3">
            <w:pPr>
              <w:jc w:val="center"/>
              <w:rPr>
                <w:rFonts w:ascii="宋体" w:cs="宋体"/>
                <w:kern w:val="0"/>
                <w:sz w:val="18"/>
                <w:szCs w:val="18"/>
                <w:highlight w:val="none"/>
              </w:rPr>
            </w:pPr>
            <w:r>
              <w:rPr>
                <w:rFonts w:ascii="宋体" w:hAnsi="宋体" w:cs="宋体"/>
                <w:kern w:val="0"/>
                <w:sz w:val="18"/>
                <w:szCs w:val="18"/>
                <w:highlight w:val="none"/>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5DCF60B9">
            <w:pPr>
              <w:jc w:val="center"/>
              <w:rPr>
                <w:rFonts w:ascii="宋体" w:cs="宋体"/>
                <w:kern w:val="0"/>
                <w:sz w:val="18"/>
                <w:szCs w:val="18"/>
                <w:highlight w:val="none"/>
              </w:rPr>
            </w:pPr>
            <w:r>
              <w:rPr>
                <w:rFonts w:hint="eastAsia" w:ascii="宋体" w:hAnsi="宋体" w:cs="宋体"/>
                <w:kern w:val="0"/>
                <w:sz w:val="18"/>
                <w:szCs w:val="18"/>
                <w:highlight w:val="none"/>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730CE3E1">
            <w:pPr>
              <w:spacing w:line="400" w:lineRule="exact"/>
              <w:rPr>
                <w:rFonts w:ascii="宋体" w:cs="宋体"/>
                <w:kern w:val="0"/>
                <w:sz w:val="18"/>
                <w:szCs w:val="18"/>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B99BDCA">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B366643">
            <w:pPr>
              <w:jc w:val="center"/>
              <w:rPr>
                <w:rFonts w:ascii="宋体" w:cs="宋体"/>
                <w:kern w:val="0"/>
                <w:sz w:val="18"/>
                <w:szCs w:val="18"/>
                <w:highlight w:val="none"/>
              </w:rPr>
            </w:pPr>
          </w:p>
        </w:tc>
      </w:tr>
      <w:tr w14:paraId="47FCE44F">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0DE268EB">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3BE7A56F">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5E2C07E">
            <w:pPr>
              <w:spacing w:line="400" w:lineRule="exact"/>
              <w:rPr>
                <w:rFonts w:ascii="宋体" w:cs="宋体"/>
                <w:kern w:val="0"/>
                <w:sz w:val="18"/>
                <w:szCs w:val="18"/>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11AC390">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C1E14B1">
            <w:pPr>
              <w:jc w:val="center"/>
              <w:rPr>
                <w:rFonts w:ascii="宋体" w:cs="宋体"/>
                <w:kern w:val="0"/>
                <w:sz w:val="18"/>
                <w:szCs w:val="18"/>
                <w:highlight w:val="none"/>
              </w:rPr>
            </w:pPr>
          </w:p>
        </w:tc>
      </w:tr>
      <w:tr w14:paraId="1A77FD4F">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779767BA">
            <w:pPr>
              <w:jc w:val="center"/>
              <w:rPr>
                <w:rFonts w:ascii="宋体" w:cs="宋体"/>
                <w:kern w:val="0"/>
                <w:sz w:val="18"/>
                <w:szCs w:val="18"/>
                <w:highlight w:val="none"/>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32AD3A80">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926D2AF">
            <w:pPr>
              <w:spacing w:line="400" w:lineRule="exact"/>
              <w:rPr>
                <w:rFonts w:ascii="宋体" w:cs="宋体"/>
                <w:kern w:val="0"/>
                <w:sz w:val="18"/>
                <w:szCs w:val="18"/>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56BE8A7">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316FB7F">
            <w:pPr>
              <w:jc w:val="center"/>
              <w:rPr>
                <w:rFonts w:ascii="宋体" w:cs="宋体"/>
                <w:kern w:val="0"/>
                <w:sz w:val="18"/>
                <w:szCs w:val="18"/>
                <w:highlight w:val="none"/>
              </w:rPr>
            </w:pPr>
          </w:p>
        </w:tc>
      </w:tr>
      <w:tr w14:paraId="6A026AD8">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62F49C80">
            <w:pPr>
              <w:jc w:val="center"/>
              <w:rPr>
                <w:rFonts w:ascii="宋体" w:cs="宋体"/>
                <w:kern w:val="0"/>
                <w:sz w:val="18"/>
                <w:szCs w:val="18"/>
                <w:highlight w:val="none"/>
              </w:rPr>
            </w:pPr>
            <w:r>
              <w:rPr>
                <w:rFonts w:ascii="宋体" w:hAnsi="宋体" w:cs="宋体"/>
                <w:kern w:val="0"/>
                <w:sz w:val="18"/>
                <w:szCs w:val="18"/>
                <w:highlight w:val="none"/>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73FF47CD">
            <w:pPr>
              <w:jc w:val="center"/>
              <w:rPr>
                <w:rFonts w:ascii="宋体" w:cs="宋体"/>
                <w:kern w:val="0"/>
                <w:sz w:val="18"/>
                <w:szCs w:val="18"/>
                <w:highlight w:val="none"/>
              </w:rPr>
            </w:pPr>
            <w:r>
              <w:rPr>
                <w:rFonts w:hint="eastAsia" w:ascii="宋体" w:hAnsi="宋体" w:cs="宋体"/>
                <w:kern w:val="0"/>
                <w:sz w:val="18"/>
                <w:szCs w:val="18"/>
                <w:highlight w:val="none"/>
              </w:rPr>
              <w:t>技术分</w:t>
            </w:r>
          </w:p>
          <w:p w14:paraId="293A177B">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FEE0018">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380187D">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8274036">
            <w:pPr>
              <w:jc w:val="center"/>
              <w:rPr>
                <w:rFonts w:ascii="宋体" w:cs="宋体"/>
                <w:kern w:val="0"/>
                <w:sz w:val="18"/>
                <w:szCs w:val="18"/>
                <w:highlight w:val="none"/>
              </w:rPr>
            </w:pPr>
          </w:p>
        </w:tc>
      </w:tr>
      <w:tr w14:paraId="7AA5F47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3511FE44">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28CC65E5">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0AB7949">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8C5551D">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2629098">
            <w:pPr>
              <w:jc w:val="center"/>
              <w:rPr>
                <w:rFonts w:ascii="宋体" w:cs="宋体"/>
                <w:kern w:val="0"/>
                <w:sz w:val="18"/>
                <w:szCs w:val="18"/>
                <w:highlight w:val="none"/>
              </w:rPr>
            </w:pPr>
          </w:p>
        </w:tc>
      </w:tr>
      <w:tr w14:paraId="1B311AAC">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B2C3CDB">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1F313A4E">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35FD92B">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85F1C75">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54400D3">
            <w:pPr>
              <w:jc w:val="center"/>
              <w:rPr>
                <w:rFonts w:ascii="宋体" w:cs="宋体"/>
                <w:kern w:val="0"/>
                <w:sz w:val="18"/>
                <w:szCs w:val="18"/>
                <w:highlight w:val="none"/>
              </w:rPr>
            </w:pPr>
          </w:p>
        </w:tc>
      </w:tr>
      <w:tr w14:paraId="57EB7E6F">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E73BB76">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7E8DCE61">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BD8F00D">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A9490C5">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37FAB34">
            <w:pPr>
              <w:jc w:val="center"/>
              <w:rPr>
                <w:rFonts w:ascii="宋体" w:cs="宋体"/>
                <w:kern w:val="0"/>
                <w:sz w:val="18"/>
                <w:szCs w:val="18"/>
                <w:highlight w:val="none"/>
              </w:rPr>
            </w:pPr>
          </w:p>
        </w:tc>
      </w:tr>
      <w:tr w14:paraId="7D3D9F75">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70B9DAE1">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0070296C">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7DA370D">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1780170">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876213C">
            <w:pPr>
              <w:jc w:val="center"/>
              <w:rPr>
                <w:rFonts w:ascii="宋体" w:cs="宋体"/>
                <w:kern w:val="0"/>
                <w:sz w:val="18"/>
                <w:szCs w:val="18"/>
                <w:highlight w:val="none"/>
              </w:rPr>
            </w:pPr>
          </w:p>
        </w:tc>
      </w:tr>
      <w:tr w14:paraId="219DC317">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5CF8C15">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1DDFF8F3">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AE85185">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FABAABF">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71CFB77">
            <w:pPr>
              <w:jc w:val="center"/>
              <w:rPr>
                <w:rFonts w:ascii="宋体" w:cs="宋体"/>
                <w:kern w:val="0"/>
                <w:sz w:val="18"/>
                <w:szCs w:val="18"/>
                <w:highlight w:val="none"/>
              </w:rPr>
            </w:pPr>
          </w:p>
        </w:tc>
      </w:tr>
      <w:tr w14:paraId="41F3D26D">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14B8F48C">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vAlign w:val="center"/>
          </w:tcPr>
          <w:p w14:paraId="14C42BD5">
            <w:pPr>
              <w:spacing w:line="300" w:lineRule="exact"/>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BE0740C">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2387DE6">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B32E331">
            <w:pPr>
              <w:jc w:val="center"/>
              <w:rPr>
                <w:rFonts w:ascii="宋体" w:cs="宋体"/>
                <w:kern w:val="0"/>
                <w:sz w:val="18"/>
                <w:szCs w:val="18"/>
                <w:highlight w:val="none"/>
              </w:rPr>
            </w:pPr>
          </w:p>
        </w:tc>
      </w:tr>
      <w:tr w14:paraId="69BA8861">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2AE185E3">
            <w:pPr>
              <w:jc w:val="center"/>
              <w:rPr>
                <w:rFonts w:ascii="宋体" w:cs="宋体"/>
                <w:kern w:val="0"/>
                <w:sz w:val="18"/>
                <w:szCs w:val="18"/>
                <w:highlight w:val="none"/>
              </w:rPr>
            </w:pPr>
          </w:p>
        </w:tc>
        <w:tc>
          <w:tcPr>
            <w:tcW w:w="1609" w:type="dxa"/>
            <w:vMerge w:val="continue"/>
            <w:tcBorders>
              <w:left w:val="single" w:color="auto" w:sz="4" w:space="0"/>
              <w:bottom w:val="single" w:color="auto" w:sz="4" w:space="0"/>
              <w:right w:val="single" w:color="auto" w:sz="4" w:space="0"/>
            </w:tcBorders>
            <w:vAlign w:val="center"/>
          </w:tcPr>
          <w:p w14:paraId="54BE9102">
            <w:pPr>
              <w:autoSpaceDE w:val="0"/>
              <w:autoSpaceDN w:val="0"/>
              <w:adjustRightInd w:val="0"/>
              <w:snapToGrid w:val="0"/>
              <w:spacing w:line="300" w:lineRule="exact"/>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18D147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206B759">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D89190B">
            <w:pPr>
              <w:jc w:val="center"/>
              <w:rPr>
                <w:rFonts w:ascii="宋体" w:cs="宋体"/>
                <w:kern w:val="0"/>
                <w:sz w:val="18"/>
                <w:szCs w:val="18"/>
                <w:highlight w:val="none"/>
              </w:rPr>
            </w:pPr>
          </w:p>
        </w:tc>
      </w:tr>
    </w:tbl>
    <w:p w14:paraId="2DE56213">
      <w:pPr>
        <w:pStyle w:val="12"/>
        <w:rPr>
          <w:rFonts w:ascii="宋体"/>
          <w:b/>
          <w:bCs/>
          <w:sz w:val="21"/>
          <w:szCs w:val="21"/>
          <w:highlight w:val="none"/>
          <w:lang w:val="zh-CN"/>
        </w:rPr>
      </w:pPr>
    </w:p>
    <w:p w14:paraId="5CD842FB">
      <w:pPr>
        <w:spacing w:line="360" w:lineRule="auto"/>
        <w:rPr>
          <w:rFonts w:ascii="宋体" w:cs="宋体"/>
          <w:b/>
          <w:sz w:val="22"/>
          <w:szCs w:val="22"/>
          <w:highlight w:val="none"/>
        </w:rPr>
      </w:pPr>
      <w:r>
        <w:rPr>
          <w:rFonts w:hint="eastAsia" w:ascii="宋体" w:hAnsi="宋体" w:cs="宋体"/>
          <w:b/>
          <w:sz w:val="22"/>
          <w:szCs w:val="22"/>
          <w:highlight w:val="none"/>
        </w:rPr>
        <w:t>注：根据评标办法制作本表格，评分标准为客观分的投标人需填写得分情况以及证明材料所在页码。为主观分的填写“专家自主评分”。</w:t>
      </w:r>
    </w:p>
    <w:p w14:paraId="3C7D23CC">
      <w:pPr>
        <w:spacing w:line="360" w:lineRule="auto"/>
        <w:rPr>
          <w:rFonts w:ascii="宋体" w:cs="宋体"/>
          <w:b/>
          <w:sz w:val="24"/>
          <w:highlight w:val="none"/>
        </w:rPr>
      </w:pPr>
    </w:p>
    <w:p w14:paraId="66DC9CA5">
      <w:pPr>
        <w:pStyle w:val="3"/>
        <w:rPr>
          <w:rFonts w:ascii="宋体" w:cs="宋体"/>
          <w:sz w:val="24"/>
          <w:highlight w:val="none"/>
        </w:rPr>
      </w:pPr>
    </w:p>
    <w:p w14:paraId="7D72BDA1">
      <w:pPr>
        <w:snapToGrid w:val="0"/>
        <w:spacing w:before="100" w:beforeAutospacing="1" w:after="100" w:afterAutospacing="1" w:line="360" w:lineRule="exact"/>
        <w:jc w:val="left"/>
        <w:rPr>
          <w:rFonts w:ascii="宋体"/>
          <w:b/>
          <w:bCs/>
          <w:highlight w:val="none"/>
        </w:rPr>
      </w:pPr>
    </w:p>
    <w:p w14:paraId="36F9B3FB">
      <w:pPr>
        <w:snapToGrid w:val="0"/>
        <w:spacing w:before="100" w:beforeAutospacing="1" w:after="100" w:afterAutospacing="1" w:line="360" w:lineRule="exact"/>
        <w:jc w:val="left"/>
        <w:rPr>
          <w:rFonts w:ascii="宋体" w:hAnsi="宋体"/>
          <w:b/>
          <w:bCs/>
          <w:highlight w:val="none"/>
        </w:rPr>
      </w:pPr>
    </w:p>
    <w:p w14:paraId="2996B863">
      <w:pPr>
        <w:pStyle w:val="3"/>
        <w:rPr>
          <w:highlight w:val="none"/>
        </w:rPr>
      </w:pPr>
    </w:p>
    <w:p w14:paraId="2BA658B7">
      <w:pPr>
        <w:rPr>
          <w:highlight w:val="none"/>
        </w:rPr>
      </w:pPr>
    </w:p>
    <w:p w14:paraId="74981915">
      <w:pPr>
        <w:snapToGrid w:val="0"/>
        <w:spacing w:before="100" w:beforeAutospacing="1" w:after="100" w:afterAutospacing="1" w:line="360" w:lineRule="exact"/>
        <w:jc w:val="left"/>
        <w:rPr>
          <w:rFonts w:ascii="宋体" w:hAnsi="宋体"/>
          <w:b/>
          <w:bCs/>
          <w:highlight w:val="none"/>
        </w:rPr>
      </w:pPr>
    </w:p>
    <w:p w14:paraId="5947A255">
      <w:pPr>
        <w:pStyle w:val="23"/>
        <w:rPr>
          <w:highlight w:val="none"/>
        </w:rPr>
      </w:pPr>
    </w:p>
    <w:p w14:paraId="091FE1E6">
      <w:pPr>
        <w:snapToGrid w:val="0"/>
        <w:spacing w:before="100" w:beforeAutospacing="1" w:after="100" w:afterAutospacing="1" w:line="360" w:lineRule="exact"/>
        <w:jc w:val="left"/>
        <w:rPr>
          <w:rFonts w:ascii="宋体"/>
          <w:b/>
          <w:bCs/>
          <w:highlight w:val="none"/>
        </w:rPr>
      </w:pPr>
      <w:r>
        <w:rPr>
          <w:rFonts w:hint="eastAsia" w:ascii="宋体" w:hAnsi="宋体"/>
          <w:b/>
          <w:bCs/>
          <w:highlight w:val="none"/>
        </w:rPr>
        <w:t>5、投标人基本情况表</w:t>
      </w:r>
    </w:p>
    <w:p w14:paraId="723BC7BD">
      <w:pPr>
        <w:snapToGrid w:val="0"/>
        <w:spacing w:before="50" w:after="50"/>
        <w:jc w:val="center"/>
        <w:rPr>
          <w:rFonts w:ascii="宋体" w:cs="宋体"/>
          <w:highlight w:val="none"/>
        </w:rPr>
      </w:pPr>
      <w:r>
        <w:rPr>
          <w:rFonts w:hint="eastAsia" w:ascii="宋体" w:hAnsi="宋体"/>
          <w:b/>
          <w:bCs/>
          <w:highlight w:val="none"/>
        </w:rPr>
        <w:t>投标人基本情况表</w:t>
      </w:r>
    </w:p>
    <w:p w14:paraId="62495662">
      <w:pPr>
        <w:snapToGrid w:val="0"/>
        <w:spacing w:before="50" w:after="50"/>
        <w:ind w:firstLine="630" w:firstLineChars="300"/>
        <w:rPr>
          <w:rFonts w:ascii="宋体" w:hAnsi="宋体" w:cs="宋体"/>
          <w:highlight w:val="none"/>
        </w:rPr>
      </w:pPr>
    </w:p>
    <w:p w14:paraId="4B33A6DA">
      <w:pPr>
        <w:snapToGrid w:val="0"/>
        <w:spacing w:before="50" w:after="50"/>
        <w:ind w:firstLine="630" w:firstLineChars="300"/>
        <w:rPr>
          <w:rFonts w:ascii="宋体" w:cs="宋体"/>
          <w:highlight w:val="none"/>
        </w:rPr>
      </w:pPr>
      <w:r>
        <w:rPr>
          <w:rFonts w:hint="eastAsia" w:ascii="宋体" w:hAnsi="宋体" w:cs="宋体"/>
          <w:highlight w:val="none"/>
        </w:rPr>
        <w:t>招标编号：项目名称：</w:t>
      </w:r>
    </w:p>
    <w:tbl>
      <w:tblPr>
        <w:tblStyle w:val="24"/>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4AD4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65DB946E">
            <w:pPr>
              <w:jc w:val="center"/>
              <w:rPr>
                <w:rFonts w:ascii="宋体" w:cs="宋体"/>
                <w:highlight w:val="none"/>
              </w:rPr>
            </w:pPr>
            <w:r>
              <w:rPr>
                <w:rFonts w:hint="eastAsia" w:ascii="宋体" w:hAnsi="宋体" w:cs="宋体"/>
                <w:highlight w:val="none"/>
              </w:rPr>
              <w:t>申请人名称</w:t>
            </w:r>
          </w:p>
        </w:tc>
        <w:tc>
          <w:tcPr>
            <w:tcW w:w="6867" w:type="dxa"/>
            <w:gridSpan w:val="10"/>
            <w:vAlign w:val="center"/>
          </w:tcPr>
          <w:p w14:paraId="182B1E64">
            <w:pPr>
              <w:jc w:val="center"/>
              <w:rPr>
                <w:rFonts w:ascii="宋体" w:cs="宋体"/>
                <w:highlight w:val="none"/>
              </w:rPr>
            </w:pPr>
          </w:p>
        </w:tc>
      </w:tr>
      <w:tr w14:paraId="3CE3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3672313">
            <w:pPr>
              <w:jc w:val="center"/>
              <w:rPr>
                <w:rFonts w:ascii="宋体" w:cs="宋体"/>
                <w:highlight w:val="none"/>
              </w:rPr>
            </w:pPr>
            <w:r>
              <w:rPr>
                <w:rFonts w:hint="eastAsia" w:ascii="宋体" w:hAnsi="宋体" w:cs="宋体"/>
                <w:highlight w:val="none"/>
              </w:rPr>
              <w:t>注册地址</w:t>
            </w:r>
          </w:p>
        </w:tc>
        <w:tc>
          <w:tcPr>
            <w:tcW w:w="3430" w:type="dxa"/>
            <w:gridSpan w:val="4"/>
            <w:vAlign w:val="center"/>
          </w:tcPr>
          <w:p w14:paraId="1EAF0140">
            <w:pPr>
              <w:jc w:val="center"/>
              <w:rPr>
                <w:rFonts w:ascii="宋体" w:cs="宋体"/>
                <w:highlight w:val="none"/>
              </w:rPr>
            </w:pPr>
          </w:p>
        </w:tc>
        <w:tc>
          <w:tcPr>
            <w:tcW w:w="1507" w:type="dxa"/>
            <w:gridSpan w:val="3"/>
            <w:vAlign w:val="center"/>
          </w:tcPr>
          <w:p w14:paraId="2C142729">
            <w:pPr>
              <w:jc w:val="center"/>
              <w:rPr>
                <w:rFonts w:ascii="宋体" w:cs="宋体"/>
                <w:highlight w:val="none"/>
              </w:rPr>
            </w:pPr>
            <w:r>
              <w:rPr>
                <w:rFonts w:hint="eastAsia" w:ascii="宋体" w:hAnsi="宋体" w:cs="宋体"/>
                <w:highlight w:val="none"/>
              </w:rPr>
              <w:t>邮政编码</w:t>
            </w:r>
          </w:p>
        </w:tc>
        <w:tc>
          <w:tcPr>
            <w:tcW w:w="1930" w:type="dxa"/>
            <w:gridSpan w:val="3"/>
            <w:vAlign w:val="center"/>
          </w:tcPr>
          <w:p w14:paraId="0601352A">
            <w:pPr>
              <w:jc w:val="center"/>
              <w:rPr>
                <w:rFonts w:ascii="宋体" w:cs="宋体"/>
                <w:highlight w:val="none"/>
              </w:rPr>
            </w:pPr>
          </w:p>
        </w:tc>
      </w:tr>
      <w:tr w14:paraId="692E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6E53AD01">
            <w:pPr>
              <w:jc w:val="center"/>
              <w:rPr>
                <w:rFonts w:ascii="宋体" w:cs="宋体"/>
                <w:highlight w:val="none"/>
              </w:rPr>
            </w:pPr>
            <w:r>
              <w:rPr>
                <w:rFonts w:hint="eastAsia" w:ascii="宋体" w:hAnsi="宋体" w:cs="宋体"/>
                <w:highlight w:val="none"/>
              </w:rPr>
              <w:t>联系方式</w:t>
            </w:r>
          </w:p>
        </w:tc>
        <w:tc>
          <w:tcPr>
            <w:tcW w:w="1206" w:type="dxa"/>
            <w:gridSpan w:val="2"/>
            <w:vAlign w:val="center"/>
          </w:tcPr>
          <w:p w14:paraId="2E072F42">
            <w:pPr>
              <w:jc w:val="center"/>
              <w:rPr>
                <w:rFonts w:ascii="宋体" w:cs="宋体"/>
                <w:highlight w:val="none"/>
              </w:rPr>
            </w:pPr>
            <w:r>
              <w:rPr>
                <w:rFonts w:hint="eastAsia" w:ascii="宋体" w:hAnsi="宋体" w:cs="宋体"/>
                <w:highlight w:val="none"/>
              </w:rPr>
              <w:t>联系人</w:t>
            </w:r>
          </w:p>
        </w:tc>
        <w:tc>
          <w:tcPr>
            <w:tcW w:w="2224" w:type="dxa"/>
            <w:gridSpan w:val="2"/>
            <w:vAlign w:val="center"/>
          </w:tcPr>
          <w:p w14:paraId="0B472B50">
            <w:pPr>
              <w:jc w:val="center"/>
              <w:rPr>
                <w:rFonts w:ascii="宋体" w:cs="宋体"/>
                <w:highlight w:val="none"/>
              </w:rPr>
            </w:pPr>
          </w:p>
        </w:tc>
        <w:tc>
          <w:tcPr>
            <w:tcW w:w="1507" w:type="dxa"/>
            <w:gridSpan w:val="3"/>
            <w:vAlign w:val="center"/>
          </w:tcPr>
          <w:p w14:paraId="6FE4D7A0">
            <w:pPr>
              <w:jc w:val="center"/>
              <w:rPr>
                <w:rFonts w:ascii="宋体" w:cs="宋体"/>
                <w:highlight w:val="none"/>
              </w:rPr>
            </w:pPr>
            <w:r>
              <w:rPr>
                <w:rFonts w:hint="eastAsia" w:ascii="宋体" w:hAnsi="宋体" w:cs="宋体"/>
                <w:highlight w:val="none"/>
              </w:rPr>
              <w:t>电话</w:t>
            </w:r>
          </w:p>
        </w:tc>
        <w:tc>
          <w:tcPr>
            <w:tcW w:w="1930" w:type="dxa"/>
            <w:gridSpan w:val="3"/>
            <w:vAlign w:val="center"/>
          </w:tcPr>
          <w:p w14:paraId="77CDF163">
            <w:pPr>
              <w:jc w:val="center"/>
              <w:rPr>
                <w:rFonts w:ascii="宋体" w:cs="宋体"/>
                <w:highlight w:val="none"/>
              </w:rPr>
            </w:pPr>
          </w:p>
        </w:tc>
      </w:tr>
      <w:tr w14:paraId="0326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38C40A11">
            <w:pPr>
              <w:jc w:val="center"/>
              <w:rPr>
                <w:rFonts w:ascii="宋体" w:cs="宋体"/>
                <w:highlight w:val="none"/>
              </w:rPr>
            </w:pPr>
          </w:p>
        </w:tc>
        <w:tc>
          <w:tcPr>
            <w:tcW w:w="1206" w:type="dxa"/>
            <w:gridSpan w:val="2"/>
            <w:vAlign w:val="center"/>
          </w:tcPr>
          <w:p w14:paraId="20505E7F">
            <w:pPr>
              <w:jc w:val="center"/>
              <w:rPr>
                <w:rFonts w:ascii="宋体" w:cs="宋体"/>
                <w:highlight w:val="none"/>
              </w:rPr>
            </w:pPr>
            <w:r>
              <w:rPr>
                <w:rFonts w:hint="eastAsia" w:ascii="宋体" w:hAnsi="宋体" w:cs="宋体"/>
                <w:highlight w:val="none"/>
              </w:rPr>
              <w:t>传真</w:t>
            </w:r>
          </w:p>
        </w:tc>
        <w:tc>
          <w:tcPr>
            <w:tcW w:w="2224" w:type="dxa"/>
            <w:gridSpan w:val="2"/>
            <w:vAlign w:val="center"/>
          </w:tcPr>
          <w:p w14:paraId="4D4D1849">
            <w:pPr>
              <w:jc w:val="center"/>
              <w:rPr>
                <w:rFonts w:ascii="宋体" w:cs="宋体"/>
                <w:highlight w:val="none"/>
              </w:rPr>
            </w:pPr>
          </w:p>
        </w:tc>
        <w:tc>
          <w:tcPr>
            <w:tcW w:w="1507" w:type="dxa"/>
            <w:gridSpan w:val="3"/>
            <w:vAlign w:val="center"/>
          </w:tcPr>
          <w:p w14:paraId="526196E9">
            <w:pPr>
              <w:jc w:val="center"/>
              <w:rPr>
                <w:rFonts w:ascii="宋体" w:cs="宋体"/>
                <w:highlight w:val="none"/>
              </w:rPr>
            </w:pPr>
            <w:r>
              <w:rPr>
                <w:rFonts w:hint="eastAsia" w:ascii="宋体" w:hAnsi="宋体" w:cs="宋体"/>
                <w:highlight w:val="none"/>
              </w:rPr>
              <w:t>网址</w:t>
            </w:r>
          </w:p>
        </w:tc>
        <w:tc>
          <w:tcPr>
            <w:tcW w:w="1930" w:type="dxa"/>
            <w:gridSpan w:val="3"/>
            <w:vAlign w:val="center"/>
          </w:tcPr>
          <w:p w14:paraId="0B65597E">
            <w:pPr>
              <w:jc w:val="center"/>
              <w:rPr>
                <w:rFonts w:ascii="宋体" w:cs="宋体"/>
                <w:highlight w:val="none"/>
              </w:rPr>
            </w:pPr>
          </w:p>
        </w:tc>
      </w:tr>
      <w:tr w14:paraId="7DA1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A691314">
            <w:pPr>
              <w:jc w:val="center"/>
              <w:rPr>
                <w:rFonts w:ascii="宋体" w:cs="宋体"/>
                <w:highlight w:val="none"/>
              </w:rPr>
            </w:pPr>
            <w:r>
              <w:rPr>
                <w:rFonts w:hint="eastAsia" w:ascii="宋体" w:hAnsi="宋体" w:cs="宋体"/>
                <w:highlight w:val="none"/>
              </w:rPr>
              <w:t>组织结构</w:t>
            </w:r>
          </w:p>
        </w:tc>
        <w:tc>
          <w:tcPr>
            <w:tcW w:w="6867" w:type="dxa"/>
            <w:gridSpan w:val="10"/>
            <w:vAlign w:val="center"/>
          </w:tcPr>
          <w:p w14:paraId="45720C8C">
            <w:pPr>
              <w:jc w:val="center"/>
              <w:rPr>
                <w:rFonts w:ascii="宋体" w:cs="宋体"/>
                <w:highlight w:val="none"/>
              </w:rPr>
            </w:pPr>
          </w:p>
        </w:tc>
      </w:tr>
      <w:tr w14:paraId="7AF1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C118428">
            <w:pPr>
              <w:jc w:val="center"/>
              <w:rPr>
                <w:rFonts w:ascii="宋体" w:cs="宋体"/>
                <w:highlight w:val="none"/>
              </w:rPr>
            </w:pPr>
            <w:r>
              <w:rPr>
                <w:rFonts w:hint="eastAsia" w:ascii="宋体" w:hAnsi="宋体" w:cs="宋体"/>
                <w:highlight w:val="none"/>
              </w:rPr>
              <w:t>法定代表人</w:t>
            </w:r>
          </w:p>
        </w:tc>
        <w:tc>
          <w:tcPr>
            <w:tcW w:w="916" w:type="dxa"/>
            <w:vAlign w:val="center"/>
          </w:tcPr>
          <w:p w14:paraId="226D084C">
            <w:pPr>
              <w:jc w:val="center"/>
              <w:rPr>
                <w:rFonts w:ascii="宋体" w:cs="宋体"/>
                <w:highlight w:val="none"/>
              </w:rPr>
            </w:pPr>
            <w:r>
              <w:rPr>
                <w:rFonts w:hint="eastAsia" w:ascii="宋体" w:hAnsi="宋体" w:cs="宋体"/>
                <w:highlight w:val="none"/>
              </w:rPr>
              <w:t>姓名</w:t>
            </w:r>
          </w:p>
        </w:tc>
        <w:tc>
          <w:tcPr>
            <w:tcW w:w="1562" w:type="dxa"/>
            <w:gridSpan w:val="2"/>
            <w:vAlign w:val="center"/>
          </w:tcPr>
          <w:p w14:paraId="5A842E5E">
            <w:pPr>
              <w:jc w:val="center"/>
              <w:rPr>
                <w:rFonts w:ascii="宋体" w:cs="宋体"/>
                <w:highlight w:val="none"/>
              </w:rPr>
            </w:pPr>
          </w:p>
        </w:tc>
        <w:tc>
          <w:tcPr>
            <w:tcW w:w="1279" w:type="dxa"/>
            <w:gridSpan w:val="2"/>
            <w:vAlign w:val="center"/>
          </w:tcPr>
          <w:p w14:paraId="1C67B094">
            <w:pPr>
              <w:jc w:val="center"/>
              <w:rPr>
                <w:rFonts w:ascii="宋体" w:cs="宋体"/>
                <w:highlight w:val="none"/>
              </w:rPr>
            </w:pPr>
            <w:r>
              <w:rPr>
                <w:rFonts w:hint="eastAsia" w:ascii="宋体" w:hAnsi="宋体" w:cs="宋体"/>
                <w:highlight w:val="none"/>
              </w:rPr>
              <w:t>技术职称</w:t>
            </w:r>
          </w:p>
        </w:tc>
        <w:tc>
          <w:tcPr>
            <w:tcW w:w="1010" w:type="dxa"/>
            <w:vAlign w:val="center"/>
          </w:tcPr>
          <w:p w14:paraId="14CA7D9F">
            <w:pPr>
              <w:jc w:val="center"/>
              <w:rPr>
                <w:rFonts w:ascii="宋体" w:cs="宋体"/>
                <w:highlight w:val="none"/>
              </w:rPr>
            </w:pPr>
          </w:p>
        </w:tc>
        <w:tc>
          <w:tcPr>
            <w:tcW w:w="768" w:type="dxa"/>
            <w:gridSpan w:val="3"/>
            <w:vAlign w:val="center"/>
          </w:tcPr>
          <w:p w14:paraId="604AB4AB">
            <w:pPr>
              <w:jc w:val="center"/>
              <w:rPr>
                <w:rFonts w:ascii="宋体" w:cs="宋体"/>
                <w:highlight w:val="none"/>
              </w:rPr>
            </w:pPr>
            <w:r>
              <w:rPr>
                <w:rFonts w:hint="eastAsia" w:ascii="宋体" w:hAnsi="宋体" w:cs="宋体"/>
                <w:highlight w:val="none"/>
              </w:rPr>
              <w:t>电话</w:t>
            </w:r>
          </w:p>
        </w:tc>
        <w:tc>
          <w:tcPr>
            <w:tcW w:w="1332" w:type="dxa"/>
            <w:vAlign w:val="center"/>
          </w:tcPr>
          <w:p w14:paraId="5ED68F6E">
            <w:pPr>
              <w:jc w:val="center"/>
              <w:rPr>
                <w:rFonts w:ascii="宋体" w:cs="宋体"/>
                <w:highlight w:val="none"/>
              </w:rPr>
            </w:pPr>
          </w:p>
        </w:tc>
      </w:tr>
      <w:tr w14:paraId="2F4C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AA94926">
            <w:pPr>
              <w:jc w:val="center"/>
              <w:rPr>
                <w:rFonts w:ascii="宋体" w:cs="宋体"/>
                <w:highlight w:val="none"/>
              </w:rPr>
            </w:pPr>
            <w:r>
              <w:rPr>
                <w:rFonts w:hint="eastAsia" w:ascii="宋体" w:hAnsi="宋体" w:cs="宋体"/>
                <w:highlight w:val="none"/>
              </w:rPr>
              <w:t>技术负责人</w:t>
            </w:r>
          </w:p>
        </w:tc>
        <w:tc>
          <w:tcPr>
            <w:tcW w:w="916" w:type="dxa"/>
            <w:vAlign w:val="center"/>
          </w:tcPr>
          <w:p w14:paraId="6EA05257">
            <w:pPr>
              <w:jc w:val="center"/>
              <w:rPr>
                <w:rFonts w:ascii="宋体" w:cs="宋体"/>
                <w:highlight w:val="none"/>
              </w:rPr>
            </w:pPr>
            <w:r>
              <w:rPr>
                <w:rFonts w:hint="eastAsia" w:ascii="宋体" w:hAnsi="宋体" w:cs="宋体"/>
                <w:highlight w:val="none"/>
              </w:rPr>
              <w:t>姓名</w:t>
            </w:r>
          </w:p>
        </w:tc>
        <w:tc>
          <w:tcPr>
            <w:tcW w:w="1562" w:type="dxa"/>
            <w:gridSpan w:val="2"/>
            <w:vAlign w:val="center"/>
          </w:tcPr>
          <w:p w14:paraId="5763F1D2">
            <w:pPr>
              <w:jc w:val="center"/>
              <w:rPr>
                <w:rFonts w:ascii="宋体" w:cs="宋体"/>
                <w:highlight w:val="none"/>
              </w:rPr>
            </w:pPr>
          </w:p>
        </w:tc>
        <w:tc>
          <w:tcPr>
            <w:tcW w:w="1279" w:type="dxa"/>
            <w:gridSpan w:val="2"/>
            <w:vAlign w:val="center"/>
          </w:tcPr>
          <w:p w14:paraId="28F2DEB2">
            <w:pPr>
              <w:jc w:val="center"/>
              <w:rPr>
                <w:rFonts w:ascii="宋体" w:cs="宋体"/>
                <w:highlight w:val="none"/>
              </w:rPr>
            </w:pPr>
            <w:r>
              <w:rPr>
                <w:rFonts w:hint="eastAsia" w:ascii="宋体" w:hAnsi="宋体" w:cs="宋体"/>
                <w:highlight w:val="none"/>
              </w:rPr>
              <w:t>技术职称</w:t>
            </w:r>
          </w:p>
        </w:tc>
        <w:tc>
          <w:tcPr>
            <w:tcW w:w="1010" w:type="dxa"/>
            <w:vAlign w:val="center"/>
          </w:tcPr>
          <w:p w14:paraId="7B5710C6">
            <w:pPr>
              <w:jc w:val="center"/>
              <w:rPr>
                <w:rFonts w:ascii="宋体" w:cs="宋体"/>
                <w:highlight w:val="none"/>
              </w:rPr>
            </w:pPr>
          </w:p>
        </w:tc>
        <w:tc>
          <w:tcPr>
            <w:tcW w:w="768" w:type="dxa"/>
            <w:gridSpan w:val="3"/>
            <w:vAlign w:val="center"/>
          </w:tcPr>
          <w:p w14:paraId="55DEE8C0">
            <w:pPr>
              <w:jc w:val="center"/>
              <w:rPr>
                <w:rFonts w:ascii="宋体" w:cs="宋体"/>
                <w:highlight w:val="none"/>
              </w:rPr>
            </w:pPr>
            <w:r>
              <w:rPr>
                <w:rFonts w:hint="eastAsia" w:ascii="宋体" w:hAnsi="宋体" w:cs="宋体"/>
                <w:highlight w:val="none"/>
              </w:rPr>
              <w:t>电话</w:t>
            </w:r>
          </w:p>
        </w:tc>
        <w:tc>
          <w:tcPr>
            <w:tcW w:w="1332" w:type="dxa"/>
            <w:vAlign w:val="center"/>
          </w:tcPr>
          <w:p w14:paraId="4410DF67">
            <w:pPr>
              <w:jc w:val="center"/>
              <w:rPr>
                <w:rFonts w:ascii="宋体" w:cs="宋体"/>
                <w:highlight w:val="none"/>
              </w:rPr>
            </w:pPr>
          </w:p>
        </w:tc>
      </w:tr>
      <w:tr w14:paraId="409A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39E686DC">
            <w:pPr>
              <w:jc w:val="center"/>
              <w:rPr>
                <w:rFonts w:ascii="宋体" w:cs="宋体"/>
                <w:highlight w:val="none"/>
              </w:rPr>
            </w:pPr>
            <w:r>
              <w:rPr>
                <w:rFonts w:hint="eastAsia" w:ascii="宋体" w:hAnsi="宋体" w:cs="宋体"/>
                <w:highlight w:val="none"/>
              </w:rPr>
              <w:t>成立时间</w:t>
            </w:r>
          </w:p>
        </w:tc>
        <w:tc>
          <w:tcPr>
            <w:tcW w:w="2478" w:type="dxa"/>
            <w:gridSpan w:val="3"/>
            <w:vAlign w:val="center"/>
          </w:tcPr>
          <w:p w14:paraId="4ED5C1CE">
            <w:pPr>
              <w:jc w:val="center"/>
              <w:rPr>
                <w:rFonts w:ascii="宋体" w:cs="宋体"/>
                <w:highlight w:val="none"/>
              </w:rPr>
            </w:pPr>
          </w:p>
        </w:tc>
        <w:tc>
          <w:tcPr>
            <w:tcW w:w="4389" w:type="dxa"/>
            <w:gridSpan w:val="7"/>
            <w:vAlign w:val="center"/>
          </w:tcPr>
          <w:p w14:paraId="0A54751C">
            <w:pPr>
              <w:jc w:val="center"/>
              <w:rPr>
                <w:rFonts w:ascii="宋体" w:cs="宋体"/>
                <w:highlight w:val="none"/>
              </w:rPr>
            </w:pPr>
            <w:r>
              <w:rPr>
                <w:rFonts w:hint="eastAsia" w:ascii="宋体" w:hAnsi="宋体" w:cs="宋体"/>
                <w:highlight w:val="none"/>
              </w:rPr>
              <w:t>员工总人数：</w:t>
            </w:r>
          </w:p>
        </w:tc>
      </w:tr>
      <w:tr w14:paraId="32DF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667CE30F">
            <w:pPr>
              <w:jc w:val="center"/>
              <w:rPr>
                <w:rFonts w:ascii="宋体" w:cs="宋体"/>
                <w:highlight w:val="none"/>
              </w:rPr>
            </w:pPr>
            <w:r>
              <w:rPr>
                <w:rFonts w:hint="eastAsia" w:ascii="宋体" w:hAnsi="宋体" w:cs="宋体"/>
                <w:highlight w:val="none"/>
              </w:rPr>
              <w:t>企业资质等级</w:t>
            </w:r>
          </w:p>
        </w:tc>
        <w:tc>
          <w:tcPr>
            <w:tcW w:w="2478" w:type="dxa"/>
            <w:gridSpan w:val="3"/>
            <w:vAlign w:val="center"/>
          </w:tcPr>
          <w:p w14:paraId="6E347198">
            <w:pPr>
              <w:jc w:val="center"/>
              <w:rPr>
                <w:rFonts w:ascii="宋体" w:cs="宋体"/>
                <w:highlight w:val="none"/>
              </w:rPr>
            </w:pPr>
          </w:p>
        </w:tc>
        <w:tc>
          <w:tcPr>
            <w:tcW w:w="952" w:type="dxa"/>
            <w:vMerge w:val="restart"/>
            <w:vAlign w:val="center"/>
          </w:tcPr>
          <w:p w14:paraId="64BADBE4">
            <w:pPr>
              <w:jc w:val="center"/>
              <w:rPr>
                <w:rFonts w:ascii="宋体" w:cs="宋体"/>
                <w:highlight w:val="none"/>
              </w:rPr>
            </w:pPr>
            <w:r>
              <w:rPr>
                <w:rFonts w:hint="eastAsia" w:ascii="宋体" w:hAnsi="宋体" w:cs="宋体"/>
                <w:highlight w:val="none"/>
              </w:rPr>
              <w:t>其中技术人员：人</w:t>
            </w:r>
          </w:p>
        </w:tc>
        <w:tc>
          <w:tcPr>
            <w:tcW w:w="1838" w:type="dxa"/>
            <w:gridSpan w:val="4"/>
            <w:vAlign w:val="center"/>
          </w:tcPr>
          <w:p w14:paraId="164ABF8D">
            <w:pPr>
              <w:jc w:val="center"/>
              <w:rPr>
                <w:rFonts w:ascii="宋体" w:cs="宋体"/>
                <w:highlight w:val="none"/>
              </w:rPr>
            </w:pPr>
            <w:r>
              <w:rPr>
                <w:rFonts w:hint="eastAsia" w:ascii="宋体" w:hAnsi="宋体" w:cs="宋体"/>
                <w:highlight w:val="none"/>
              </w:rPr>
              <w:t>高级职称人员</w:t>
            </w:r>
          </w:p>
        </w:tc>
        <w:tc>
          <w:tcPr>
            <w:tcW w:w="1599" w:type="dxa"/>
            <w:gridSpan w:val="2"/>
            <w:vAlign w:val="center"/>
          </w:tcPr>
          <w:p w14:paraId="60D20744">
            <w:pPr>
              <w:jc w:val="center"/>
              <w:rPr>
                <w:rFonts w:ascii="宋体" w:cs="宋体"/>
                <w:highlight w:val="none"/>
              </w:rPr>
            </w:pPr>
          </w:p>
        </w:tc>
      </w:tr>
      <w:tr w14:paraId="5F4D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4086F9B">
            <w:pPr>
              <w:jc w:val="center"/>
              <w:rPr>
                <w:rFonts w:ascii="宋体" w:cs="宋体"/>
                <w:highlight w:val="none"/>
              </w:rPr>
            </w:pPr>
            <w:r>
              <w:rPr>
                <w:rFonts w:hint="eastAsia" w:ascii="宋体" w:hAnsi="宋体" w:cs="宋体"/>
                <w:highlight w:val="none"/>
              </w:rPr>
              <w:t>营业执照号</w:t>
            </w:r>
          </w:p>
        </w:tc>
        <w:tc>
          <w:tcPr>
            <w:tcW w:w="2478" w:type="dxa"/>
            <w:gridSpan w:val="3"/>
            <w:vAlign w:val="center"/>
          </w:tcPr>
          <w:p w14:paraId="2EC18166">
            <w:pPr>
              <w:jc w:val="center"/>
              <w:rPr>
                <w:rFonts w:ascii="宋体" w:cs="宋体"/>
                <w:highlight w:val="none"/>
              </w:rPr>
            </w:pPr>
          </w:p>
        </w:tc>
        <w:tc>
          <w:tcPr>
            <w:tcW w:w="952" w:type="dxa"/>
            <w:vMerge w:val="continue"/>
            <w:vAlign w:val="center"/>
          </w:tcPr>
          <w:p w14:paraId="4A78E78D">
            <w:pPr>
              <w:jc w:val="center"/>
              <w:rPr>
                <w:rFonts w:ascii="宋体" w:cs="宋体"/>
                <w:highlight w:val="none"/>
              </w:rPr>
            </w:pPr>
          </w:p>
        </w:tc>
        <w:tc>
          <w:tcPr>
            <w:tcW w:w="1838" w:type="dxa"/>
            <w:gridSpan w:val="4"/>
            <w:vAlign w:val="center"/>
          </w:tcPr>
          <w:p w14:paraId="3F78132D">
            <w:pPr>
              <w:jc w:val="center"/>
              <w:rPr>
                <w:rFonts w:ascii="宋体" w:cs="宋体"/>
                <w:highlight w:val="none"/>
              </w:rPr>
            </w:pPr>
            <w:r>
              <w:rPr>
                <w:rFonts w:hint="eastAsia" w:ascii="宋体" w:hAnsi="宋体" w:cs="宋体"/>
                <w:highlight w:val="none"/>
              </w:rPr>
              <w:t>中级职称人员</w:t>
            </w:r>
          </w:p>
        </w:tc>
        <w:tc>
          <w:tcPr>
            <w:tcW w:w="1599" w:type="dxa"/>
            <w:gridSpan w:val="2"/>
            <w:vAlign w:val="center"/>
          </w:tcPr>
          <w:p w14:paraId="63E9917B">
            <w:pPr>
              <w:jc w:val="center"/>
              <w:rPr>
                <w:rFonts w:ascii="宋体" w:cs="宋体"/>
                <w:highlight w:val="none"/>
              </w:rPr>
            </w:pPr>
          </w:p>
        </w:tc>
      </w:tr>
      <w:tr w14:paraId="5B48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FCF52DA">
            <w:pPr>
              <w:jc w:val="center"/>
              <w:rPr>
                <w:rFonts w:ascii="宋体" w:cs="宋体"/>
                <w:highlight w:val="none"/>
              </w:rPr>
            </w:pPr>
            <w:r>
              <w:rPr>
                <w:rFonts w:hint="eastAsia" w:ascii="宋体" w:hAnsi="宋体" w:cs="宋体"/>
                <w:highlight w:val="none"/>
              </w:rPr>
              <w:t>注册资金</w:t>
            </w:r>
          </w:p>
        </w:tc>
        <w:tc>
          <w:tcPr>
            <w:tcW w:w="2478" w:type="dxa"/>
            <w:gridSpan w:val="3"/>
            <w:vAlign w:val="center"/>
          </w:tcPr>
          <w:p w14:paraId="6D0F1C51">
            <w:pPr>
              <w:jc w:val="center"/>
              <w:rPr>
                <w:rFonts w:ascii="宋体" w:cs="宋体"/>
                <w:highlight w:val="none"/>
              </w:rPr>
            </w:pPr>
          </w:p>
        </w:tc>
        <w:tc>
          <w:tcPr>
            <w:tcW w:w="952" w:type="dxa"/>
            <w:vMerge w:val="continue"/>
            <w:vAlign w:val="center"/>
          </w:tcPr>
          <w:p w14:paraId="0E5415C4">
            <w:pPr>
              <w:jc w:val="center"/>
              <w:rPr>
                <w:rFonts w:ascii="宋体" w:cs="宋体"/>
                <w:highlight w:val="none"/>
              </w:rPr>
            </w:pPr>
          </w:p>
        </w:tc>
        <w:tc>
          <w:tcPr>
            <w:tcW w:w="1838" w:type="dxa"/>
            <w:gridSpan w:val="4"/>
            <w:vAlign w:val="center"/>
          </w:tcPr>
          <w:p w14:paraId="1ADB3EDE">
            <w:pPr>
              <w:jc w:val="center"/>
              <w:rPr>
                <w:rFonts w:ascii="宋体" w:cs="宋体"/>
                <w:highlight w:val="none"/>
              </w:rPr>
            </w:pPr>
            <w:r>
              <w:rPr>
                <w:rFonts w:hint="eastAsia" w:ascii="宋体" w:hAnsi="宋体" w:cs="宋体"/>
                <w:highlight w:val="none"/>
              </w:rPr>
              <w:t>初级职称人员</w:t>
            </w:r>
          </w:p>
        </w:tc>
        <w:tc>
          <w:tcPr>
            <w:tcW w:w="1599" w:type="dxa"/>
            <w:gridSpan w:val="2"/>
            <w:vAlign w:val="center"/>
          </w:tcPr>
          <w:p w14:paraId="22C15F24">
            <w:pPr>
              <w:jc w:val="center"/>
              <w:rPr>
                <w:rFonts w:ascii="宋体" w:cs="宋体"/>
                <w:highlight w:val="none"/>
              </w:rPr>
            </w:pPr>
          </w:p>
        </w:tc>
      </w:tr>
      <w:tr w14:paraId="45F6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9DB0F59">
            <w:pPr>
              <w:jc w:val="center"/>
              <w:rPr>
                <w:rFonts w:ascii="宋体" w:cs="宋体"/>
                <w:highlight w:val="none"/>
              </w:rPr>
            </w:pPr>
            <w:r>
              <w:rPr>
                <w:rFonts w:hint="eastAsia" w:ascii="宋体" w:hAnsi="宋体" w:cs="宋体"/>
                <w:highlight w:val="none"/>
              </w:rPr>
              <w:t>开户银行</w:t>
            </w:r>
          </w:p>
        </w:tc>
        <w:tc>
          <w:tcPr>
            <w:tcW w:w="2478" w:type="dxa"/>
            <w:gridSpan w:val="3"/>
            <w:vAlign w:val="center"/>
          </w:tcPr>
          <w:p w14:paraId="3DD57E31">
            <w:pPr>
              <w:jc w:val="center"/>
              <w:rPr>
                <w:rFonts w:ascii="宋体" w:cs="宋体"/>
                <w:highlight w:val="none"/>
              </w:rPr>
            </w:pPr>
          </w:p>
        </w:tc>
        <w:tc>
          <w:tcPr>
            <w:tcW w:w="952" w:type="dxa"/>
            <w:vMerge w:val="continue"/>
            <w:vAlign w:val="center"/>
          </w:tcPr>
          <w:p w14:paraId="4BA4E315">
            <w:pPr>
              <w:jc w:val="center"/>
              <w:rPr>
                <w:rFonts w:ascii="宋体" w:cs="宋体"/>
                <w:highlight w:val="none"/>
              </w:rPr>
            </w:pPr>
          </w:p>
        </w:tc>
        <w:tc>
          <w:tcPr>
            <w:tcW w:w="1838" w:type="dxa"/>
            <w:gridSpan w:val="4"/>
            <w:vAlign w:val="center"/>
          </w:tcPr>
          <w:p w14:paraId="469E0D52">
            <w:pPr>
              <w:jc w:val="center"/>
              <w:rPr>
                <w:rFonts w:ascii="宋体" w:cs="宋体"/>
                <w:highlight w:val="none"/>
              </w:rPr>
            </w:pPr>
            <w:r>
              <w:rPr>
                <w:rFonts w:hint="eastAsia" w:ascii="宋体" w:hAnsi="宋体" w:cs="宋体"/>
                <w:highlight w:val="none"/>
              </w:rPr>
              <w:t>其他技术人员</w:t>
            </w:r>
          </w:p>
        </w:tc>
        <w:tc>
          <w:tcPr>
            <w:tcW w:w="1599" w:type="dxa"/>
            <w:gridSpan w:val="2"/>
            <w:vAlign w:val="center"/>
          </w:tcPr>
          <w:p w14:paraId="5C012F0D">
            <w:pPr>
              <w:jc w:val="center"/>
              <w:rPr>
                <w:rFonts w:ascii="宋体" w:cs="宋体"/>
                <w:highlight w:val="none"/>
              </w:rPr>
            </w:pPr>
          </w:p>
        </w:tc>
      </w:tr>
      <w:tr w14:paraId="7907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6C9ACD7">
            <w:pPr>
              <w:jc w:val="center"/>
              <w:rPr>
                <w:rFonts w:ascii="宋体" w:cs="宋体"/>
                <w:highlight w:val="none"/>
              </w:rPr>
            </w:pPr>
            <w:r>
              <w:rPr>
                <w:rFonts w:hint="eastAsia" w:ascii="宋体" w:hAnsi="宋体" w:cs="宋体"/>
                <w:highlight w:val="none"/>
              </w:rPr>
              <w:t>账号</w:t>
            </w:r>
          </w:p>
        </w:tc>
        <w:tc>
          <w:tcPr>
            <w:tcW w:w="2478" w:type="dxa"/>
            <w:gridSpan w:val="3"/>
            <w:vAlign w:val="center"/>
          </w:tcPr>
          <w:p w14:paraId="2AE63F57">
            <w:pPr>
              <w:jc w:val="center"/>
              <w:rPr>
                <w:rFonts w:ascii="宋体" w:cs="宋体"/>
                <w:highlight w:val="none"/>
              </w:rPr>
            </w:pPr>
          </w:p>
        </w:tc>
        <w:tc>
          <w:tcPr>
            <w:tcW w:w="952" w:type="dxa"/>
            <w:vMerge w:val="continue"/>
            <w:vAlign w:val="center"/>
          </w:tcPr>
          <w:p w14:paraId="1C37B715">
            <w:pPr>
              <w:jc w:val="center"/>
              <w:rPr>
                <w:rFonts w:ascii="宋体" w:cs="宋体"/>
                <w:highlight w:val="none"/>
              </w:rPr>
            </w:pPr>
          </w:p>
        </w:tc>
        <w:tc>
          <w:tcPr>
            <w:tcW w:w="1838" w:type="dxa"/>
            <w:gridSpan w:val="4"/>
            <w:vAlign w:val="center"/>
          </w:tcPr>
          <w:p w14:paraId="488A5F8C">
            <w:pPr>
              <w:jc w:val="center"/>
              <w:rPr>
                <w:rFonts w:ascii="宋体" w:cs="宋体"/>
                <w:highlight w:val="none"/>
              </w:rPr>
            </w:pPr>
          </w:p>
        </w:tc>
        <w:tc>
          <w:tcPr>
            <w:tcW w:w="1599" w:type="dxa"/>
            <w:gridSpan w:val="2"/>
            <w:vAlign w:val="center"/>
          </w:tcPr>
          <w:p w14:paraId="19EE4A88">
            <w:pPr>
              <w:jc w:val="center"/>
              <w:rPr>
                <w:rFonts w:ascii="宋体" w:cs="宋体"/>
                <w:highlight w:val="none"/>
              </w:rPr>
            </w:pPr>
          </w:p>
        </w:tc>
      </w:tr>
      <w:tr w14:paraId="1CF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0A33B990">
            <w:pPr>
              <w:jc w:val="center"/>
              <w:rPr>
                <w:rFonts w:ascii="宋体" w:cs="宋体"/>
                <w:highlight w:val="none"/>
              </w:rPr>
            </w:pPr>
            <w:r>
              <w:rPr>
                <w:rFonts w:hint="eastAsia" w:ascii="宋体" w:hAnsi="宋体" w:cs="宋体"/>
                <w:highlight w:val="none"/>
              </w:rPr>
              <w:t>经营范围</w:t>
            </w:r>
          </w:p>
        </w:tc>
        <w:tc>
          <w:tcPr>
            <w:tcW w:w="6867" w:type="dxa"/>
            <w:gridSpan w:val="10"/>
            <w:vAlign w:val="center"/>
          </w:tcPr>
          <w:p w14:paraId="02115034">
            <w:pPr>
              <w:rPr>
                <w:rFonts w:ascii="宋体" w:cs="宋体"/>
                <w:highlight w:val="none"/>
              </w:rPr>
            </w:pPr>
          </w:p>
        </w:tc>
      </w:tr>
      <w:tr w14:paraId="4736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0695E3E9">
            <w:pPr>
              <w:jc w:val="center"/>
              <w:rPr>
                <w:rFonts w:ascii="宋体" w:cs="宋体"/>
                <w:highlight w:val="none"/>
              </w:rPr>
            </w:pPr>
            <w:r>
              <w:rPr>
                <w:rFonts w:hint="eastAsia" w:ascii="宋体" w:hAnsi="宋体" w:cs="宋体"/>
                <w:highlight w:val="none"/>
              </w:rPr>
              <w:t>备注</w:t>
            </w:r>
          </w:p>
        </w:tc>
        <w:tc>
          <w:tcPr>
            <w:tcW w:w="6867" w:type="dxa"/>
            <w:gridSpan w:val="10"/>
            <w:vAlign w:val="center"/>
          </w:tcPr>
          <w:p w14:paraId="6FCCBB43">
            <w:pPr>
              <w:jc w:val="center"/>
              <w:rPr>
                <w:rFonts w:ascii="宋体" w:cs="宋体"/>
                <w:highlight w:val="none"/>
              </w:rPr>
            </w:pPr>
          </w:p>
        </w:tc>
      </w:tr>
    </w:tbl>
    <w:p w14:paraId="00D53CAB">
      <w:pPr>
        <w:snapToGrid w:val="0"/>
        <w:spacing w:before="50" w:afterLines="50"/>
        <w:jc w:val="left"/>
        <w:rPr>
          <w:rFonts w:ascii="宋体" w:cs="宋体"/>
          <w:highlight w:val="none"/>
        </w:rPr>
      </w:pPr>
    </w:p>
    <w:p w14:paraId="51483FF3">
      <w:pPr>
        <w:snapToGrid w:val="0"/>
        <w:spacing w:before="50" w:afterLines="50"/>
        <w:jc w:val="left"/>
        <w:rPr>
          <w:rFonts w:ascii="宋体" w:cs="宋体"/>
          <w:highlight w:val="none"/>
        </w:rPr>
      </w:pPr>
    </w:p>
    <w:p w14:paraId="04AB03BD">
      <w:pPr>
        <w:pStyle w:val="91"/>
        <w:spacing w:line="360" w:lineRule="auto"/>
        <w:ind w:firstLine="0"/>
        <w:jc w:val="left"/>
        <w:rPr>
          <w:rFonts w:hAnsi="宋体"/>
          <w:b/>
          <w:bCs/>
          <w:sz w:val="21"/>
          <w:szCs w:val="21"/>
          <w:highlight w:val="none"/>
        </w:rPr>
      </w:pPr>
    </w:p>
    <w:p w14:paraId="3C33558E">
      <w:pPr>
        <w:pStyle w:val="91"/>
        <w:spacing w:line="360" w:lineRule="auto"/>
        <w:ind w:firstLine="0"/>
        <w:jc w:val="left"/>
        <w:rPr>
          <w:rFonts w:hAnsi="宋体"/>
          <w:b/>
          <w:bCs/>
          <w:sz w:val="21"/>
          <w:szCs w:val="21"/>
          <w:highlight w:val="none"/>
        </w:rPr>
      </w:pPr>
    </w:p>
    <w:p w14:paraId="2F22283B">
      <w:pPr>
        <w:pStyle w:val="91"/>
        <w:spacing w:line="360" w:lineRule="auto"/>
        <w:ind w:firstLine="0"/>
        <w:jc w:val="left"/>
        <w:rPr>
          <w:rFonts w:hAnsi="宋体"/>
          <w:b/>
          <w:bCs/>
          <w:sz w:val="21"/>
          <w:szCs w:val="21"/>
          <w:highlight w:val="none"/>
        </w:rPr>
      </w:pPr>
      <w:r>
        <w:rPr>
          <w:rFonts w:hint="eastAsia" w:hAnsi="宋体"/>
          <w:b/>
          <w:bCs/>
          <w:sz w:val="21"/>
          <w:szCs w:val="21"/>
          <w:highlight w:val="none"/>
        </w:rPr>
        <w:t>6、项目类似业绩表</w:t>
      </w:r>
    </w:p>
    <w:p w14:paraId="526F5083">
      <w:pPr>
        <w:pStyle w:val="91"/>
        <w:spacing w:line="360" w:lineRule="auto"/>
        <w:ind w:firstLine="0"/>
        <w:jc w:val="left"/>
        <w:rPr>
          <w:rFonts w:hAnsi="宋体"/>
          <w:b/>
          <w:bCs/>
          <w:sz w:val="21"/>
          <w:szCs w:val="21"/>
          <w:highlight w:val="none"/>
        </w:rPr>
      </w:pPr>
    </w:p>
    <w:p w14:paraId="10BEF991">
      <w:pPr>
        <w:pStyle w:val="91"/>
        <w:spacing w:line="360" w:lineRule="auto"/>
        <w:ind w:firstLine="0"/>
        <w:jc w:val="left"/>
        <w:rPr>
          <w:rFonts w:ascii="Times New Roman" w:hAnsi="Times New Roman" w:cs="Times New Roman"/>
          <w:b/>
          <w:bCs/>
          <w:color w:val="000000" w:themeColor="text1"/>
          <w:spacing w:val="0"/>
          <w:sz w:val="21"/>
          <w:szCs w:val="21"/>
          <w:highlight w:val="none"/>
        </w:rPr>
      </w:pPr>
    </w:p>
    <w:p w14:paraId="3F78038E">
      <w:pPr>
        <w:pStyle w:val="12"/>
        <w:jc w:val="center"/>
        <w:rPr>
          <w:rFonts w:ascii="Times New Roman" w:hAnsi="Times New Roman" w:cs="Times New Roman"/>
          <w:color w:val="000000" w:themeColor="text1"/>
          <w:highlight w:val="none"/>
        </w:rPr>
      </w:pPr>
      <w:r>
        <w:rPr>
          <w:rFonts w:ascii="Times New Roman" w:hAnsi="Times New Roman" w:cs="Times New Roman"/>
          <w:b/>
          <w:bCs/>
          <w:color w:val="000000" w:themeColor="text1"/>
          <w:highlight w:val="none"/>
        </w:rPr>
        <w:t>类似业绩一览表</w:t>
      </w:r>
    </w:p>
    <w:p w14:paraId="28E2443F">
      <w:pPr>
        <w:snapToGrid w:val="0"/>
        <w:jc w:val="left"/>
        <w:rPr>
          <w:rFonts w:ascii="Times New Roman" w:hAnsi="Times New Roman" w:cs="Times New Roman"/>
          <w:color w:val="000000" w:themeColor="text1"/>
          <w:sz w:val="24"/>
          <w:szCs w:val="24"/>
          <w:highlight w:val="none"/>
        </w:rPr>
      </w:pPr>
    </w:p>
    <w:tbl>
      <w:tblPr>
        <w:tblStyle w:val="2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1D03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99D2B9B">
            <w:pPr>
              <w:spacing w:line="360" w:lineRule="auto"/>
              <w:jc w:val="center"/>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序号</w:t>
            </w:r>
          </w:p>
        </w:tc>
        <w:tc>
          <w:tcPr>
            <w:tcW w:w="1559" w:type="dxa"/>
            <w:vAlign w:val="center"/>
          </w:tcPr>
          <w:p w14:paraId="3835B90F">
            <w:pPr>
              <w:spacing w:line="360" w:lineRule="auto"/>
              <w:jc w:val="center"/>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业主名称</w:t>
            </w:r>
          </w:p>
        </w:tc>
        <w:tc>
          <w:tcPr>
            <w:tcW w:w="2627" w:type="dxa"/>
            <w:vAlign w:val="center"/>
          </w:tcPr>
          <w:p w14:paraId="126B8A1C">
            <w:pPr>
              <w:spacing w:line="360" w:lineRule="auto"/>
              <w:jc w:val="center"/>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项目名称</w:t>
            </w:r>
          </w:p>
        </w:tc>
        <w:tc>
          <w:tcPr>
            <w:tcW w:w="1260" w:type="dxa"/>
            <w:vAlign w:val="center"/>
          </w:tcPr>
          <w:p w14:paraId="4A6C6922">
            <w:pPr>
              <w:spacing w:line="360" w:lineRule="auto"/>
              <w:jc w:val="center"/>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合同签订时间</w:t>
            </w:r>
          </w:p>
        </w:tc>
        <w:tc>
          <w:tcPr>
            <w:tcW w:w="1088" w:type="dxa"/>
            <w:vAlign w:val="center"/>
          </w:tcPr>
          <w:p w14:paraId="197D0576">
            <w:pPr>
              <w:spacing w:line="360" w:lineRule="auto"/>
              <w:jc w:val="center"/>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合同金额</w:t>
            </w:r>
          </w:p>
        </w:tc>
        <w:tc>
          <w:tcPr>
            <w:tcW w:w="1559" w:type="dxa"/>
            <w:vAlign w:val="center"/>
          </w:tcPr>
          <w:p w14:paraId="6F688A38">
            <w:pPr>
              <w:spacing w:line="360" w:lineRule="auto"/>
              <w:jc w:val="center"/>
              <w:rPr>
                <w:rFonts w:ascii="Times New Roman" w:hAnsi="Times New Roman" w:cs="Times New Roman"/>
                <w:b/>
                <w:bCs/>
                <w:color w:val="000000" w:themeColor="text1"/>
                <w:highlight w:val="none"/>
              </w:rPr>
            </w:pPr>
            <w:r>
              <w:rPr>
                <w:rFonts w:ascii="Times New Roman" w:hAnsi="Times New Roman" w:cs="Times New Roman"/>
                <w:b/>
                <w:bCs/>
                <w:color w:val="000000" w:themeColor="text1"/>
                <w:highlight w:val="none"/>
              </w:rPr>
              <w:t>业主联系人及联系方式</w:t>
            </w:r>
          </w:p>
        </w:tc>
      </w:tr>
      <w:tr w14:paraId="1B6A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B4902E0">
            <w:pPr>
              <w:spacing w:line="360" w:lineRule="auto"/>
              <w:rPr>
                <w:rFonts w:ascii="Times New Roman" w:hAnsi="Times New Roman" w:cs="Times New Roman"/>
                <w:b/>
                <w:bCs/>
                <w:color w:val="000000" w:themeColor="text1"/>
                <w:sz w:val="24"/>
                <w:szCs w:val="24"/>
                <w:highlight w:val="none"/>
              </w:rPr>
            </w:pPr>
          </w:p>
        </w:tc>
        <w:tc>
          <w:tcPr>
            <w:tcW w:w="1559" w:type="dxa"/>
          </w:tcPr>
          <w:p w14:paraId="110CA14E">
            <w:pPr>
              <w:spacing w:line="360" w:lineRule="auto"/>
              <w:rPr>
                <w:rFonts w:ascii="Times New Roman" w:hAnsi="Times New Roman" w:cs="Times New Roman"/>
                <w:b/>
                <w:bCs/>
                <w:color w:val="000000" w:themeColor="text1"/>
                <w:sz w:val="24"/>
                <w:szCs w:val="24"/>
                <w:highlight w:val="none"/>
              </w:rPr>
            </w:pPr>
          </w:p>
        </w:tc>
        <w:tc>
          <w:tcPr>
            <w:tcW w:w="2627" w:type="dxa"/>
          </w:tcPr>
          <w:p w14:paraId="6DDC861A">
            <w:pPr>
              <w:spacing w:line="360" w:lineRule="auto"/>
              <w:rPr>
                <w:rFonts w:ascii="Times New Roman" w:hAnsi="Times New Roman" w:cs="Times New Roman"/>
                <w:b/>
                <w:bCs/>
                <w:color w:val="000000" w:themeColor="text1"/>
                <w:sz w:val="24"/>
                <w:szCs w:val="24"/>
                <w:highlight w:val="none"/>
              </w:rPr>
            </w:pPr>
          </w:p>
        </w:tc>
        <w:tc>
          <w:tcPr>
            <w:tcW w:w="1260" w:type="dxa"/>
          </w:tcPr>
          <w:p w14:paraId="3028FE38">
            <w:pPr>
              <w:spacing w:line="360" w:lineRule="auto"/>
              <w:rPr>
                <w:rFonts w:ascii="Times New Roman" w:hAnsi="Times New Roman" w:cs="Times New Roman"/>
                <w:b/>
                <w:bCs/>
                <w:color w:val="000000" w:themeColor="text1"/>
                <w:sz w:val="24"/>
                <w:szCs w:val="24"/>
                <w:highlight w:val="none"/>
              </w:rPr>
            </w:pPr>
          </w:p>
        </w:tc>
        <w:tc>
          <w:tcPr>
            <w:tcW w:w="1088" w:type="dxa"/>
          </w:tcPr>
          <w:p w14:paraId="4B937E04">
            <w:pPr>
              <w:spacing w:line="360" w:lineRule="auto"/>
              <w:rPr>
                <w:rFonts w:ascii="Times New Roman" w:hAnsi="Times New Roman" w:cs="Times New Roman"/>
                <w:b/>
                <w:bCs/>
                <w:color w:val="000000" w:themeColor="text1"/>
                <w:sz w:val="24"/>
                <w:szCs w:val="24"/>
                <w:highlight w:val="none"/>
              </w:rPr>
            </w:pPr>
          </w:p>
        </w:tc>
        <w:tc>
          <w:tcPr>
            <w:tcW w:w="1559" w:type="dxa"/>
          </w:tcPr>
          <w:p w14:paraId="07D81DB4">
            <w:pPr>
              <w:spacing w:line="360" w:lineRule="auto"/>
              <w:rPr>
                <w:rFonts w:ascii="Times New Roman" w:hAnsi="Times New Roman" w:cs="Times New Roman"/>
                <w:b/>
                <w:bCs/>
                <w:color w:val="000000" w:themeColor="text1"/>
                <w:sz w:val="24"/>
                <w:szCs w:val="24"/>
                <w:highlight w:val="none"/>
              </w:rPr>
            </w:pPr>
          </w:p>
        </w:tc>
      </w:tr>
      <w:tr w14:paraId="3145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341D74F">
            <w:pPr>
              <w:spacing w:line="360" w:lineRule="auto"/>
              <w:rPr>
                <w:rFonts w:ascii="Times New Roman" w:hAnsi="Times New Roman" w:cs="Times New Roman"/>
                <w:b/>
                <w:bCs/>
                <w:color w:val="000000" w:themeColor="text1"/>
                <w:sz w:val="24"/>
                <w:szCs w:val="24"/>
                <w:highlight w:val="none"/>
              </w:rPr>
            </w:pPr>
          </w:p>
        </w:tc>
        <w:tc>
          <w:tcPr>
            <w:tcW w:w="1559" w:type="dxa"/>
          </w:tcPr>
          <w:p w14:paraId="0C91946F">
            <w:pPr>
              <w:spacing w:line="360" w:lineRule="auto"/>
              <w:rPr>
                <w:rFonts w:ascii="Times New Roman" w:hAnsi="Times New Roman" w:cs="Times New Roman"/>
                <w:b/>
                <w:bCs/>
                <w:color w:val="000000" w:themeColor="text1"/>
                <w:sz w:val="24"/>
                <w:szCs w:val="24"/>
                <w:highlight w:val="none"/>
              </w:rPr>
            </w:pPr>
          </w:p>
        </w:tc>
        <w:tc>
          <w:tcPr>
            <w:tcW w:w="2627" w:type="dxa"/>
          </w:tcPr>
          <w:p w14:paraId="22D796EE">
            <w:pPr>
              <w:spacing w:line="360" w:lineRule="auto"/>
              <w:rPr>
                <w:rFonts w:ascii="Times New Roman" w:hAnsi="Times New Roman" w:cs="Times New Roman"/>
                <w:b/>
                <w:bCs/>
                <w:color w:val="000000" w:themeColor="text1"/>
                <w:sz w:val="24"/>
                <w:szCs w:val="24"/>
                <w:highlight w:val="none"/>
              </w:rPr>
            </w:pPr>
          </w:p>
        </w:tc>
        <w:tc>
          <w:tcPr>
            <w:tcW w:w="1260" w:type="dxa"/>
          </w:tcPr>
          <w:p w14:paraId="65CB6A8E">
            <w:pPr>
              <w:spacing w:line="360" w:lineRule="auto"/>
              <w:rPr>
                <w:rFonts w:ascii="Times New Roman" w:hAnsi="Times New Roman" w:cs="Times New Roman"/>
                <w:b/>
                <w:bCs/>
                <w:color w:val="000000" w:themeColor="text1"/>
                <w:sz w:val="24"/>
                <w:szCs w:val="24"/>
                <w:highlight w:val="none"/>
              </w:rPr>
            </w:pPr>
          </w:p>
        </w:tc>
        <w:tc>
          <w:tcPr>
            <w:tcW w:w="1088" w:type="dxa"/>
          </w:tcPr>
          <w:p w14:paraId="2DFC7350">
            <w:pPr>
              <w:spacing w:line="360" w:lineRule="auto"/>
              <w:rPr>
                <w:rFonts w:ascii="Times New Roman" w:hAnsi="Times New Roman" w:cs="Times New Roman"/>
                <w:b/>
                <w:bCs/>
                <w:color w:val="000000" w:themeColor="text1"/>
                <w:sz w:val="24"/>
                <w:szCs w:val="24"/>
                <w:highlight w:val="none"/>
              </w:rPr>
            </w:pPr>
          </w:p>
        </w:tc>
        <w:tc>
          <w:tcPr>
            <w:tcW w:w="1559" w:type="dxa"/>
          </w:tcPr>
          <w:p w14:paraId="08146FD8">
            <w:pPr>
              <w:spacing w:line="360" w:lineRule="auto"/>
              <w:rPr>
                <w:rFonts w:ascii="Times New Roman" w:hAnsi="Times New Roman" w:cs="Times New Roman"/>
                <w:b/>
                <w:bCs/>
                <w:color w:val="000000" w:themeColor="text1"/>
                <w:sz w:val="24"/>
                <w:szCs w:val="24"/>
                <w:highlight w:val="none"/>
              </w:rPr>
            </w:pPr>
          </w:p>
        </w:tc>
      </w:tr>
      <w:tr w14:paraId="0D5B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E28127B">
            <w:pPr>
              <w:spacing w:line="360" w:lineRule="auto"/>
              <w:rPr>
                <w:rFonts w:ascii="Times New Roman" w:hAnsi="Times New Roman" w:cs="Times New Roman"/>
                <w:b/>
                <w:bCs/>
                <w:color w:val="000000" w:themeColor="text1"/>
                <w:sz w:val="24"/>
                <w:szCs w:val="24"/>
                <w:highlight w:val="none"/>
              </w:rPr>
            </w:pPr>
          </w:p>
        </w:tc>
        <w:tc>
          <w:tcPr>
            <w:tcW w:w="1559" w:type="dxa"/>
          </w:tcPr>
          <w:p w14:paraId="088C397A">
            <w:pPr>
              <w:spacing w:line="360" w:lineRule="auto"/>
              <w:rPr>
                <w:rFonts w:ascii="Times New Roman" w:hAnsi="Times New Roman" w:cs="Times New Roman"/>
                <w:b/>
                <w:bCs/>
                <w:color w:val="000000" w:themeColor="text1"/>
                <w:sz w:val="24"/>
                <w:szCs w:val="24"/>
                <w:highlight w:val="none"/>
              </w:rPr>
            </w:pPr>
          </w:p>
        </w:tc>
        <w:tc>
          <w:tcPr>
            <w:tcW w:w="2627" w:type="dxa"/>
          </w:tcPr>
          <w:p w14:paraId="5841A426">
            <w:pPr>
              <w:spacing w:line="360" w:lineRule="auto"/>
              <w:rPr>
                <w:rFonts w:ascii="Times New Roman" w:hAnsi="Times New Roman" w:cs="Times New Roman"/>
                <w:b/>
                <w:bCs/>
                <w:color w:val="000000" w:themeColor="text1"/>
                <w:sz w:val="24"/>
                <w:szCs w:val="24"/>
                <w:highlight w:val="none"/>
              </w:rPr>
            </w:pPr>
          </w:p>
        </w:tc>
        <w:tc>
          <w:tcPr>
            <w:tcW w:w="1260" w:type="dxa"/>
          </w:tcPr>
          <w:p w14:paraId="32201DBD">
            <w:pPr>
              <w:spacing w:line="360" w:lineRule="auto"/>
              <w:rPr>
                <w:rFonts w:ascii="Times New Roman" w:hAnsi="Times New Roman" w:cs="Times New Roman"/>
                <w:b/>
                <w:bCs/>
                <w:color w:val="000000" w:themeColor="text1"/>
                <w:sz w:val="24"/>
                <w:szCs w:val="24"/>
                <w:highlight w:val="none"/>
              </w:rPr>
            </w:pPr>
          </w:p>
        </w:tc>
        <w:tc>
          <w:tcPr>
            <w:tcW w:w="1088" w:type="dxa"/>
          </w:tcPr>
          <w:p w14:paraId="51BCACDD">
            <w:pPr>
              <w:spacing w:line="360" w:lineRule="auto"/>
              <w:rPr>
                <w:rFonts w:ascii="Times New Roman" w:hAnsi="Times New Roman" w:cs="Times New Roman"/>
                <w:b/>
                <w:bCs/>
                <w:color w:val="000000" w:themeColor="text1"/>
                <w:sz w:val="24"/>
                <w:szCs w:val="24"/>
                <w:highlight w:val="none"/>
              </w:rPr>
            </w:pPr>
          </w:p>
        </w:tc>
        <w:tc>
          <w:tcPr>
            <w:tcW w:w="1559" w:type="dxa"/>
          </w:tcPr>
          <w:p w14:paraId="06328F4A">
            <w:pPr>
              <w:spacing w:line="360" w:lineRule="auto"/>
              <w:rPr>
                <w:rFonts w:ascii="Times New Roman" w:hAnsi="Times New Roman" w:cs="Times New Roman"/>
                <w:b/>
                <w:bCs/>
                <w:color w:val="000000" w:themeColor="text1"/>
                <w:sz w:val="24"/>
                <w:szCs w:val="24"/>
                <w:highlight w:val="none"/>
              </w:rPr>
            </w:pPr>
          </w:p>
        </w:tc>
      </w:tr>
      <w:tr w14:paraId="4F15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D369EA4">
            <w:pPr>
              <w:spacing w:line="360" w:lineRule="auto"/>
              <w:rPr>
                <w:rFonts w:ascii="Times New Roman" w:hAnsi="Times New Roman" w:cs="Times New Roman"/>
                <w:b/>
                <w:bCs/>
                <w:color w:val="000000" w:themeColor="text1"/>
                <w:sz w:val="24"/>
                <w:szCs w:val="24"/>
                <w:highlight w:val="none"/>
              </w:rPr>
            </w:pPr>
          </w:p>
        </w:tc>
        <w:tc>
          <w:tcPr>
            <w:tcW w:w="1559" w:type="dxa"/>
          </w:tcPr>
          <w:p w14:paraId="51287535">
            <w:pPr>
              <w:spacing w:line="360" w:lineRule="auto"/>
              <w:rPr>
                <w:rFonts w:ascii="Times New Roman" w:hAnsi="Times New Roman" w:cs="Times New Roman"/>
                <w:b/>
                <w:bCs/>
                <w:color w:val="000000" w:themeColor="text1"/>
                <w:sz w:val="24"/>
                <w:szCs w:val="24"/>
                <w:highlight w:val="none"/>
              </w:rPr>
            </w:pPr>
          </w:p>
        </w:tc>
        <w:tc>
          <w:tcPr>
            <w:tcW w:w="2627" w:type="dxa"/>
          </w:tcPr>
          <w:p w14:paraId="6B42F026">
            <w:pPr>
              <w:spacing w:line="360" w:lineRule="auto"/>
              <w:rPr>
                <w:rFonts w:ascii="Times New Roman" w:hAnsi="Times New Roman" w:cs="Times New Roman"/>
                <w:b/>
                <w:bCs/>
                <w:color w:val="000000" w:themeColor="text1"/>
                <w:sz w:val="24"/>
                <w:szCs w:val="24"/>
                <w:highlight w:val="none"/>
              </w:rPr>
            </w:pPr>
          </w:p>
        </w:tc>
        <w:tc>
          <w:tcPr>
            <w:tcW w:w="1260" w:type="dxa"/>
          </w:tcPr>
          <w:p w14:paraId="2350EB1E">
            <w:pPr>
              <w:spacing w:line="360" w:lineRule="auto"/>
              <w:rPr>
                <w:rFonts w:ascii="Times New Roman" w:hAnsi="Times New Roman" w:cs="Times New Roman"/>
                <w:b/>
                <w:bCs/>
                <w:color w:val="000000" w:themeColor="text1"/>
                <w:sz w:val="24"/>
                <w:szCs w:val="24"/>
                <w:highlight w:val="none"/>
              </w:rPr>
            </w:pPr>
          </w:p>
        </w:tc>
        <w:tc>
          <w:tcPr>
            <w:tcW w:w="1088" w:type="dxa"/>
          </w:tcPr>
          <w:p w14:paraId="00F79CA2">
            <w:pPr>
              <w:spacing w:line="360" w:lineRule="auto"/>
              <w:rPr>
                <w:rFonts w:ascii="Times New Roman" w:hAnsi="Times New Roman" w:cs="Times New Roman"/>
                <w:b/>
                <w:bCs/>
                <w:color w:val="000000" w:themeColor="text1"/>
                <w:sz w:val="24"/>
                <w:szCs w:val="24"/>
                <w:highlight w:val="none"/>
              </w:rPr>
            </w:pPr>
          </w:p>
        </w:tc>
        <w:tc>
          <w:tcPr>
            <w:tcW w:w="1559" w:type="dxa"/>
          </w:tcPr>
          <w:p w14:paraId="39430353">
            <w:pPr>
              <w:spacing w:line="360" w:lineRule="auto"/>
              <w:rPr>
                <w:rFonts w:ascii="Times New Roman" w:hAnsi="Times New Roman" w:cs="Times New Roman"/>
                <w:b/>
                <w:bCs/>
                <w:color w:val="000000" w:themeColor="text1"/>
                <w:sz w:val="24"/>
                <w:szCs w:val="24"/>
                <w:highlight w:val="none"/>
              </w:rPr>
            </w:pPr>
          </w:p>
        </w:tc>
      </w:tr>
      <w:tr w14:paraId="1937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CD8B8E5">
            <w:pPr>
              <w:spacing w:line="360" w:lineRule="auto"/>
              <w:rPr>
                <w:rFonts w:ascii="Times New Roman" w:hAnsi="Times New Roman" w:cs="Times New Roman"/>
                <w:b/>
                <w:bCs/>
                <w:color w:val="000000" w:themeColor="text1"/>
                <w:sz w:val="24"/>
                <w:szCs w:val="24"/>
                <w:highlight w:val="none"/>
              </w:rPr>
            </w:pPr>
          </w:p>
        </w:tc>
        <w:tc>
          <w:tcPr>
            <w:tcW w:w="1559" w:type="dxa"/>
          </w:tcPr>
          <w:p w14:paraId="73D87F3F">
            <w:pPr>
              <w:spacing w:line="360" w:lineRule="auto"/>
              <w:rPr>
                <w:rFonts w:ascii="Times New Roman" w:hAnsi="Times New Roman" w:cs="Times New Roman"/>
                <w:b/>
                <w:bCs/>
                <w:color w:val="000000" w:themeColor="text1"/>
                <w:sz w:val="24"/>
                <w:szCs w:val="24"/>
                <w:highlight w:val="none"/>
              </w:rPr>
            </w:pPr>
          </w:p>
        </w:tc>
        <w:tc>
          <w:tcPr>
            <w:tcW w:w="2627" w:type="dxa"/>
          </w:tcPr>
          <w:p w14:paraId="3F0E8815">
            <w:pPr>
              <w:spacing w:line="360" w:lineRule="auto"/>
              <w:rPr>
                <w:rFonts w:ascii="Times New Roman" w:hAnsi="Times New Roman" w:cs="Times New Roman"/>
                <w:b/>
                <w:bCs/>
                <w:color w:val="000000" w:themeColor="text1"/>
                <w:sz w:val="24"/>
                <w:szCs w:val="24"/>
                <w:highlight w:val="none"/>
              </w:rPr>
            </w:pPr>
          </w:p>
        </w:tc>
        <w:tc>
          <w:tcPr>
            <w:tcW w:w="1260" w:type="dxa"/>
          </w:tcPr>
          <w:p w14:paraId="7D15C174">
            <w:pPr>
              <w:spacing w:line="360" w:lineRule="auto"/>
              <w:rPr>
                <w:rFonts w:ascii="Times New Roman" w:hAnsi="Times New Roman" w:cs="Times New Roman"/>
                <w:b/>
                <w:bCs/>
                <w:color w:val="000000" w:themeColor="text1"/>
                <w:sz w:val="24"/>
                <w:szCs w:val="24"/>
                <w:highlight w:val="none"/>
              </w:rPr>
            </w:pPr>
          </w:p>
        </w:tc>
        <w:tc>
          <w:tcPr>
            <w:tcW w:w="1088" w:type="dxa"/>
          </w:tcPr>
          <w:p w14:paraId="58C825D4">
            <w:pPr>
              <w:spacing w:line="360" w:lineRule="auto"/>
              <w:rPr>
                <w:rFonts w:ascii="Times New Roman" w:hAnsi="Times New Roman" w:cs="Times New Roman"/>
                <w:b/>
                <w:bCs/>
                <w:color w:val="000000" w:themeColor="text1"/>
                <w:sz w:val="24"/>
                <w:szCs w:val="24"/>
                <w:highlight w:val="none"/>
              </w:rPr>
            </w:pPr>
          </w:p>
        </w:tc>
        <w:tc>
          <w:tcPr>
            <w:tcW w:w="1559" w:type="dxa"/>
          </w:tcPr>
          <w:p w14:paraId="07CBDE43">
            <w:pPr>
              <w:spacing w:line="360" w:lineRule="auto"/>
              <w:rPr>
                <w:rFonts w:ascii="Times New Roman" w:hAnsi="Times New Roman" w:cs="Times New Roman"/>
                <w:b/>
                <w:bCs/>
                <w:color w:val="000000" w:themeColor="text1"/>
                <w:sz w:val="24"/>
                <w:szCs w:val="24"/>
                <w:highlight w:val="none"/>
              </w:rPr>
            </w:pPr>
          </w:p>
        </w:tc>
      </w:tr>
      <w:tr w14:paraId="182E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6DA4B84">
            <w:pPr>
              <w:spacing w:line="360" w:lineRule="auto"/>
              <w:rPr>
                <w:rFonts w:ascii="Times New Roman" w:hAnsi="Times New Roman" w:cs="Times New Roman"/>
                <w:b/>
                <w:bCs/>
                <w:color w:val="000000" w:themeColor="text1"/>
                <w:sz w:val="24"/>
                <w:szCs w:val="24"/>
                <w:highlight w:val="none"/>
              </w:rPr>
            </w:pPr>
          </w:p>
        </w:tc>
        <w:tc>
          <w:tcPr>
            <w:tcW w:w="1559" w:type="dxa"/>
          </w:tcPr>
          <w:p w14:paraId="553B8258">
            <w:pPr>
              <w:spacing w:line="360" w:lineRule="auto"/>
              <w:rPr>
                <w:rFonts w:ascii="Times New Roman" w:hAnsi="Times New Roman" w:cs="Times New Roman"/>
                <w:b/>
                <w:bCs/>
                <w:color w:val="000000" w:themeColor="text1"/>
                <w:sz w:val="24"/>
                <w:szCs w:val="24"/>
                <w:highlight w:val="none"/>
              </w:rPr>
            </w:pPr>
          </w:p>
        </w:tc>
        <w:tc>
          <w:tcPr>
            <w:tcW w:w="2627" w:type="dxa"/>
          </w:tcPr>
          <w:p w14:paraId="168E7861">
            <w:pPr>
              <w:spacing w:line="360" w:lineRule="auto"/>
              <w:rPr>
                <w:rFonts w:ascii="Times New Roman" w:hAnsi="Times New Roman" w:cs="Times New Roman"/>
                <w:b/>
                <w:bCs/>
                <w:color w:val="000000" w:themeColor="text1"/>
                <w:sz w:val="24"/>
                <w:szCs w:val="24"/>
                <w:highlight w:val="none"/>
              </w:rPr>
            </w:pPr>
          </w:p>
        </w:tc>
        <w:tc>
          <w:tcPr>
            <w:tcW w:w="1260" w:type="dxa"/>
          </w:tcPr>
          <w:p w14:paraId="596AB98B">
            <w:pPr>
              <w:spacing w:line="360" w:lineRule="auto"/>
              <w:rPr>
                <w:rFonts w:ascii="Times New Roman" w:hAnsi="Times New Roman" w:cs="Times New Roman"/>
                <w:b/>
                <w:bCs/>
                <w:color w:val="000000" w:themeColor="text1"/>
                <w:sz w:val="24"/>
                <w:szCs w:val="24"/>
                <w:highlight w:val="none"/>
              </w:rPr>
            </w:pPr>
          </w:p>
        </w:tc>
        <w:tc>
          <w:tcPr>
            <w:tcW w:w="1088" w:type="dxa"/>
          </w:tcPr>
          <w:p w14:paraId="349B0C95">
            <w:pPr>
              <w:spacing w:line="360" w:lineRule="auto"/>
              <w:rPr>
                <w:rFonts w:ascii="Times New Roman" w:hAnsi="Times New Roman" w:cs="Times New Roman"/>
                <w:b/>
                <w:bCs/>
                <w:color w:val="000000" w:themeColor="text1"/>
                <w:sz w:val="24"/>
                <w:szCs w:val="24"/>
                <w:highlight w:val="none"/>
              </w:rPr>
            </w:pPr>
          </w:p>
        </w:tc>
        <w:tc>
          <w:tcPr>
            <w:tcW w:w="1559" w:type="dxa"/>
          </w:tcPr>
          <w:p w14:paraId="7FFFDCA4">
            <w:pPr>
              <w:spacing w:line="360" w:lineRule="auto"/>
              <w:rPr>
                <w:rFonts w:ascii="Times New Roman" w:hAnsi="Times New Roman" w:cs="Times New Roman"/>
                <w:b/>
                <w:bCs/>
                <w:color w:val="000000" w:themeColor="text1"/>
                <w:sz w:val="24"/>
                <w:szCs w:val="24"/>
                <w:highlight w:val="none"/>
              </w:rPr>
            </w:pPr>
          </w:p>
        </w:tc>
      </w:tr>
    </w:tbl>
    <w:p w14:paraId="1C6E4DD2">
      <w:pPr>
        <w:widowControl/>
        <w:jc w:val="left"/>
        <w:rPr>
          <w:rFonts w:ascii="Times New Roman" w:hAnsi="Times New Roman" w:cs="Times New Roman"/>
          <w:color w:val="000000" w:themeColor="text1"/>
          <w:kern w:val="0"/>
          <w:sz w:val="20"/>
          <w:szCs w:val="20"/>
          <w:highlight w:val="none"/>
        </w:rPr>
      </w:pPr>
    </w:p>
    <w:p w14:paraId="66095A00">
      <w:pPr>
        <w:ind w:firstLine="210" w:firstLineChars="100"/>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投标人（盖章）：</w:t>
      </w:r>
    </w:p>
    <w:p w14:paraId="2510A052">
      <w:pPr>
        <w:ind w:firstLine="199" w:firstLineChars="95"/>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日期：</w:t>
      </w:r>
    </w:p>
    <w:p w14:paraId="6FA1E148">
      <w:pPr>
        <w:widowControl/>
        <w:jc w:val="left"/>
        <w:rPr>
          <w:rFonts w:ascii="Times New Roman" w:hAnsi="Times New Roman" w:cs="Times New Roman"/>
          <w:color w:val="000000" w:themeColor="text1"/>
          <w:kern w:val="0"/>
          <w:sz w:val="20"/>
          <w:szCs w:val="20"/>
          <w:highlight w:val="none"/>
        </w:rPr>
      </w:pPr>
    </w:p>
    <w:p w14:paraId="59311EB0">
      <w:pPr>
        <w:widowControl/>
        <w:jc w:val="left"/>
        <w:rPr>
          <w:rFonts w:ascii="Times New Roman" w:hAnsi="Times New Roman" w:cs="Times New Roman"/>
          <w:color w:val="000000" w:themeColor="text1"/>
          <w:kern w:val="0"/>
          <w:sz w:val="20"/>
          <w:szCs w:val="20"/>
          <w:highlight w:val="none"/>
        </w:rPr>
      </w:pPr>
    </w:p>
    <w:p w14:paraId="70C4FF6C">
      <w:pPr>
        <w:ind w:firstLine="210" w:firstLineChars="100"/>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填表说明：</w:t>
      </w:r>
    </w:p>
    <w:p w14:paraId="11153E75">
      <w:pPr>
        <w:ind w:firstLine="210" w:firstLineChars="100"/>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1）此表不提供，可视为无业绩。</w:t>
      </w:r>
    </w:p>
    <w:p w14:paraId="27AE4E44">
      <w:pPr>
        <w:ind w:firstLine="210" w:firstLineChars="100"/>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2）此表仅提供了格式，表格不够可自行增加。</w:t>
      </w:r>
    </w:p>
    <w:p w14:paraId="0C26583F">
      <w:pPr>
        <w:ind w:firstLine="210" w:firstLineChars="100"/>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3）表后附合同等相关证明材料。</w:t>
      </w:r>
    </w:p>
    <w:p w14:paraId="212CB837">
      <w:pPr>
        <w:ind w:firstLine="210" w:firstLineChars="100"/>
        <w:jc w:val="left"/>
        <w:rPr>
          <w:rFonts w:ascii="Times New Roman" w:hAnsi="Times New Roman" w:cs="Times New Roman"/>
          <w:color w:val="000000" w:themeColor="text1"/>
          <w:highlight w:val="none"/>
        </w:rPr>
      </w:pPr>
    </w:p>
    <w:p w14:paraId="7DBE0AF3">
      <w:pPr>
        <w:ind w:firstLine="210" w:firstLineChars="100"/>
        <w:jc w:val="left"/>
        <w:rPr>
          <w:rFonts w:ascii="Times New Roman" w:hAnsi="Times New Roman" w:cs="Times New Roman"/>
          <w:color w:val="000000" w:themeColor="text1"/>
          <w:highlight w:val="none"/>
        </w:rPr>
      </w:pPr>
    </w:p>
    <w:p w14:paraId="208EC2BC">
      <w:pPr>
        <w:pStyle w:val="12"/>
        <w:rPr>
          <w:rFonts w:ascii="Times New Roman" w:hAnsi="Times New Roman" w:cs="Times New Roman"/>
          <w:color w:val="000000" w:themeColor="text1"/>
          <w:highlight w:val="none"/>
        </w:rPr>
      </w:pPr>
    </w:p>
    <w:p w14:paraId="245D9F64">
      <w:pPr>
        <w:snapToGrid w:val="0"/>
        <w:spacing w:before="50" w:afterLines="50"/>
        <w:jc w:val="left"/>
        <w:rPr>
          <w:rFonts w:ascii="Times New Roman" w:hAnsi="Times New Roman" w:cs="Times New Roman"/>
          <w:color w:val="000000" w:themeColor="text1"/>
          <w:spacing w:val="20"/>
          <w:highlight w:val="none"/>
          <w:u w:val="single"/>
        </w:rPr>
      </w:pPr>
    </w:p>
    <w:p w14:paraId="72333A87">
      <w:pPr>
        <w:spacing w:line="380" w:lineRule="exact"/>
        <w:jc w:val="left"/>
        <w:rPr>
          <w:rFonts w:ascii="宋体" w:hAnsi="宋体"/>
          <w:b/>
          <w:kern w:val="0"/>
          <w:highlight w:val="none"/>
        </w:rPr>
      </w:pPr>
    </w:p>
    <w:p w14:paraId="45BFCE83">
      <w:pPr>
        <w:spacing w:line="380" w:lineRule="exact"/>
        <w:jc w:val="left"/>
        <w:rPr>
          <w:rFonts w:ascii="宋体" w:hAnsi="宋体"/>
          <w:b/>
          <w:kern w:val="0"/>
          <w:highlight w:val="none"/>
        </w:rPr>
      </w:pPr>
    </w:p>
    <w:p w14:paraId="2A7F9081">
      <w:pPr>
        <w:spacing w:line="380" w:lineRule="exact"/>
        <w:jc w:val="left"/>
        <w:rPr>
          <w:rFonts w:ascii="宋体" w:hAnsi="宋体"/>
          <w:b/>
          <w:kern w:val="0"/>
          <w:highlight w:val="none"/>
        </w:rPr>
      </w:pPr>
    </w:p>
    <w:p w14:paraId="784B5F78">
      <w:pPr>
        <w:spacing w:line="380" w:lineRule="exact"/>
        <w:jc w:val="left"/>
        <w:rPr>
          <w:rFonts w:ascii="宋体" w:hAnsi="宋体"/>
          <w:b/>
          <w:kern w:val="0"/>
          <w:highlight w:val="none"/>
        </w:rPr>
      </w:pPr>
    </w:p>
    <w:p w14:paraId="0C5FA706">
      <w:pPr>
        <w:spacing w:line="380" w:lineRule="exact"/>
        <w:jc w:val="left"/>
        <w:rPr>
          <w:rFonts w:ascii="宋体" w:hAnsi="宋体"/>
          <w:b/>
          <w:kern w:val="0"/>
          <w:highlight w:val="none"/>
        </w:rPr>
      </w:pPr>
    </w:p>
    <w:p w14:paraId="1ABA79BA">
      <w:pPr>
        <w:spacing w:line="380" w:lineRule="exact"/>
        <w:jc w:val="left"/>
        <w:rPr>
          <w:rFonts w:ascii="宋体" w:hAnsi="宋体"/>
          <w:b/>
          <w:kern w:val="0"/>
          <w:highlight w:val="none"/>
        </w:rPr>
      </w:pPr>
    </w:p>
    <w:p w14:paraId="6AB9FEAC">
      <w:pPr>
        <w:spacing w:line="380" w:lineRule="exact"/>
        <w:jc w:val="left"/>
        <w:rPr>
          <w:rFonts w:ascii="宋体" w:hAnsi="宋体"/>
          <w:b/>
          <w:kern w:val="0"/>
          <w:highlight w:val="none"/>
        </w:rPr>
      </w:pPr>
    </w:p>
    <w:p w14:paraId="625833B3">
      <w:pPr>
        <w:spacing w:line="380" w:lineRule="exact"/>
        <w:jc w:val="left"/>
        <w:rPr>
          <w:rFonts w:ascii="宋体" w:hAnsi="宋体"/>
          <w:b/>
          <w:kern w:val="0"/>
          <w:highlight w:val="none"/>
        </w:rPr>
      </w:pPr>
    </w:p>
    <w:p w14:paraId="7A231F85">
      <w:pPr>
        <w:spacing w:line="380" w:lineRule="exact"/>
        <w:jc w:val="left"/>
        <w:rPr>
          <w:rFonts w:ascii="宋体" w:hAnsi="宋体"/>
          <w:b/>
          <w:kern w:val="0"/>
          <w:highlight w:val="none"/>
        </w:rPr>
      </w:pPr>
    </w:p>
    <w:p w14:paraId="2E29507F">
      <w:pPr>
        <w:pStyle w:val="91"/>
        <w:spacing w:line="360" w:lineRule="auto"/>
        <w:ind w:firstLine="0"/>
        <w:jc w:val="left"/>
        <w:rPr>
          <w:rFonts w:hint="default" w:ascii="Times New Roman" w:hAnsi="Times New Roman" w:eastAsia="宋体" w:cs="Times New Roman"/>
          <w:b/>
          <w:bCs/>
          <w:color w:val="000000" w:themeColor="text1"/>
          <w:spacing w:val="0"/>
          <w:sz w:val="21"/>
          <w:szCs w:val="21"/>
          <w:highlight w:val="none"/>
          <w:lang w:val="en-US" w:eastAsia="zh-CN"/>
        </w:rPr>
      </w:pPr>
      <w:r>
        <w:rPr>
          <w:rFonts w:hint="eastAsia" w:hAnsi="宋体"/>
          <w:b/>
          <w:highlight w:val="none"/>
        </w:rPr>
        <w:t>7</w:t>
      </w:r>
      <w:r>
        <w:rPr>
          <w:rFonts w:hint="eastAsia" w:hAnsi="宋体"/>
          <w:b/>
          <w:spacing w:val="0"/>
          <w:sz w:val="21"/>
          <w:highlight w:val="none"/>
        </w:rPr>
        <w:t>、</w:t>
      </w:r>
      <w:r>
        <w:rPr>
          <w:rFonts w:ascii="Times New Roman" w:hAnsi="Times New Roman" w:cs="Times New Roman"/>
          <w:b/>
          <w:bCs/>
          <w:color w:val="000000" w:themeColor="text1"/>
          <w:sz w:val="21"/>
          <w:szCs w:val="21"/>
          <w:highlight w:val="none"/>
        </w:rPr>
        <w:t>项目</w:t>
      </w:r>
      <w:r>
        <w:rPr>
          <w:rFonts w:hint="eastAsia" w:ascii="Times New Roman" w:hAnsi="Times New Roman" w:cs="Times New Roman"/>
          <w:b/>
          <w:bCs/>
          <w:color w:val="000000" w:themeColor="text1"/>
          <w:sz w:val="21"/>
          <w:szCs w:val="21"/>
          <w:highlight w:val="none"/>
          <w:lang w:val="en-US" w:eastAsia="zh-CN"/>
        </w:rPr>
        <w:t>组成人员配置</w:t>
      </w:r>
    </w:p>
    <w:p w14:paraId="79506006">
      <w:pPr>
        <w:pStyle w:val="91"/>
        <w:spacing w:line="360" w:lineRule="auto"/>
        <w:ind w:firstLine="0"/>
        <w:jc w:val="left"/>
        <w:rPr>
          <w:rFonts w:ascii="Times New Roman" w:hAnsi="Times New Roman" w:cs="Times New Roman"/>
          <w:color w:val="000000" w:themeColor="text1"/>
          <w:highlight w:val="none"/>
        </w:rPr>
      </w:pPr>
      <w:r>
        <w:rPr>
          <w:rFonts w:ascii="Times New Roman" w:hAnsi="Times New Roman" w:eastAsia="宋体" w:cs="Times New Roman"/>
          <w:color w:val="000000" w:themeColor="text1"/>
          <w:kern w:val="0"/>
          <w:sz w:val="20"/>
          <w:szCs w:val="20"/>
          <w:highlight w:val="none"/>
        </w:rPr>
        <w:t>附件一：项目</w:t>
      </w:r>
      <w:r>
        <w:rPr>
          <w:rFonts w:hint="eastAsia" w:ascii="Times New Roman" w:hAnsi="Times New Roman" w:eastAsia="宋体" w:cs="Times New Roman"/>
          <w:color w:val="000000" w:themeColor="text1"/>
          <w:kern w:val="0"/>
          <w:sz w:val="20"/>
          <w:szCs w:val="20"/>
          <w:highlight w:val="none"/>
          <w:lang w:val="en-US" w:eastAsia="zh-CN"/>
        </w:rPr>
        <w:t>组成人员配置</w:t>
      </w:r>
    </w:p>
    <w:tbl>
      <w:tblPr>
        <w:tblStyle w:val="24"/>
        <w:tblW w:w="8486" w:type="dxa"/>
        <w:tblInd w:w="-1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709"/>
        <w:gridCol w:w="791"/>
        <w:gridCol w:w="1050"/>
        <w:gridCol w:w="709"/>
        <w:gridCol w:w="723"/>
        <w:gridCol w:w="763"/>
        <w:gridCol w:w="1050"/>
        <w:gridCol w:w="2077"/>
      </w:tblGrid>
      <w:tr w14:paraId="51252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4" w:type="dxa"/>
            <w:vMerge w:val="restart"/>
            <w:tcBorders>
              <w:top w:val="single" w:color="auto" w:sz="4" w:space="0"/>
              <w:right w:val="single" w:color="auto" w:sz="4" w:space="0"/>
            </w:tcBorders>
            <w:vAlign w:val="center"/>
          </w:tcPr>
          <w:p w14:paraId="183409CA">
            <w:pPr>
              <w:pStyle w:val="60"/>
              <w:jc w:val="center"/>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职务</w:t>
            </w:r>
          </w:p>
        </w:tc>
        <w:tc>
          <w:tcPr>
            <w:tcW w:w="709" w:type="dxa"/>
            <w:vMerge w:val="restart"/>
            <w:tcBorders>
              <w:top w:val="single" w:color="auto" w:sz="4" w:space="0"/>
              <w:left w:val="single" w:color="auto" w:sz="4" w:space="0"/>
              <w:right w:val="single" w:color="auto" w:sz="4" w:space="0"/>
            </w:tcBorders>
            <w:vAlign w:val="center"/>
          </w:tcPr>
          <w:p w14:paraId="5935D547">
            <w:pPr>
              <w:widowControl/>
              <w:jc w:val="left"/>
              <w:rPr>
                <w:rFonts w:ascii="Times New Roman" w:hAnsi="Times New Roman" w:cs="Times New Roman"/>
                <w:color w:val="000000" w:themeColor="text1"/>
                <w:highlight w:val="none"/>
              </w:rPr>
            </w:pPr>
            <w:r>
              <w:rPr>
                <w:rFonts w:ascii="Times New Roman" w:hAnsi="Times New Roman" w:cs="Times New Roman"/>
                <w:color w:val="000000" w:themeColor="text1"/>
                <w:kern w:val="0"/>
                <w:sz w:val="20"/>
                <w:szCs w:val="20"/>
                <w:highlight w:val="none"/>
              </w:rPr>
              <w:t>姓名</w:t>
            </w:r>
          </w:p>
        </w:tc>
        <w:tc>
          <w:tcPr>
            <w:tcW w:w="791" w:type="dxa"/>
            <w:vMerge w:val="restart"/>
            <w:tcBorders>
              <w:top w:val="single" w:color="auto" w:sz="4" w:space="0"/>
              <w:left w:val="single" w:color="auto" w:sz="4" w:space="0"/>
              <w:right w:val="single" w:color="auto" w:sz="4" w:space="0"/>
            </w:tcBorders>
            <w:vAlign w:val="center"/>
          </w:tcPr>
          <w:p w14:paraId="5DDFA2E2">
            <w:pPr>
              <w:pStyle w:val="60"/>
              <w:jc w:val="center"/>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职称</w:t>
            </w:r>
          </w:p>
        </w:tc>
        <w:tc>
          <w:tcPr>
            <w:tcW w:w="4295" w:type="dxa"/>
            <w:gridSpan w:val="5"/>
            <w:tcBorders>
              <w:top w:val="single" w:color="auto" w:sz="4" w:space="0"/>
              <w:left w:val="single" w:color="auto" w:sz="4" w:space="0"/>
              <w:bottom w:val="single" w:color="auto" w:sz="4" w:space="0"/>
            </w:tcBorders>
            <w:vAlign w:val="center"/>
          </w:tcPr>
          <w:p w14:paraId="42265C3A">
            <w:pPr>
              <w:widowControl/>
              <w:jc w:val="center"/>
              <w:rPr>
                <w:rFonts w:ascii="Times New Roman" w:hAnsi="Times New Roman" w:cs="Times New Roman"/>
                <w:color w:val="000000" w:themeColor="text1"/>
                <w:highlight w:val="none"/>
              </w:rPr>
            </w:pPr>
            <w:r>
              <w:rPr>
                <w:rFonts w:ascii="Times New Roman" w:hAnsi="Times New Roman" w:cs="Times New Roman"/>
                <w:color w:val="000000" w:themeColor="text1"/>
                <w:kern w:val="0"/>
                <w:sz w:val="20"/>
                <w:szCs w:val="20"/>
                <w:highlight w:val="none"/>
              </w:rPr>
              <w:t>执业或职业资格证明</w:t>
            </w:r>
          </w:p>
        </w:tc>
        <w:tc>
          <w:tcPr>
            <w:tcW w:w="2077" w:type="dxa"/>
            <w:tcBorders>
              <w:top w:val="single" w:color="auto" w:sz="4" w:space="0"/>
              <w:left w:val="single" w:color="auto" w:sz="4" w:space="0"/>
              <w:bottom w:val="single" w:color="auto" w:sz="4" w:space="0"/>
            </w:tcBorders>
            <w:vAlign w:val="center"/>
          </w:tcPr>
          <w:p w14:paraId="22FCFA9C">
            <w:pPr>
              <w:widowControl/>
              <w:jc w:val="center"/>
              <w:rPr>
                <w:rFonts w:ascii="Times New Roman" w:hAnsi="Times New Roman" w:cs="Times New Roman"/>
                <w:color w:val="000000" w:themeColor="text1"/>
                <w:highlight w:val="none"/>
              </w:rPr>
            </w:pPr>
            <w:r>
              <w:rPr>
                <w:rFonts w:ascii="Times New Roman" w:hAnsi="Times New Roman" w:cs="Times New Roman"/>
                <w:color w:val="000000" w:themeColor="text1"/>
                <w:kern w:val="0"/>
                <w:sz w:val="20"/>
                <w:szCs w:val="20"/>
                <w:highlight w:val="none"/>
              </w:rPr>
              <w:t>备注</w:t>
            </w:r>
          </w:p>
        </w:tc>
      </w:tr>
      <w:tr w14:paraId="0361F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14" w:type="dxa"/>
            <w:vMerge w:val="continue"/>
            <w:tcBorders>
              <w:bottom w:val="single" w:color="auto" w:sz="4" w:space="0"/>
              <w:right w:val="single" w:color="auto" w:sz="4" w:space="0"/>
            </w:tcBorders>
            <w:vAlign w:val="center"/>
          </w:tcPr>
          <w:p w14:paraId="531FFFD0">
            <w:pPr>
              <w:pStyle w:val="60"/>
              <w:jc w:val="center"/>
              <w:rPr>
                <w:rFonts w:ascii="Times New Roman" w:hAnsi="Times New Roman" w:cs="Times New Roman"/>
                <w:color w:val="000000" w:themeColor="text1"/>
                <w:sz w:val="21"/>
                <w:szCs w:val="21"/>
                <w:highlight w:val="none"/>
              </w:rPr>
            </w:pPr>
          </w:p>
        </w:tc>
        <w:tc>
          <w:tcPr>
            <w:tcW w:w="709" w:type="dxa"/>
            <w:vMerge w:val="continue"/>
            <w:tcBorders>
              <w:left w:val="single" w:color="auto" w:sz="4" w:space="0"/>
              <w:bottom w:val="single" w:color="auto" w:sz="4" w:space="0"/>
              <w:right w:val="single" w:color="auto" w:sz="4" w:space="0"/>
            </w:tcBorders>
            <w:vAlign w:val="center"/>
          </w:tcPr>
          <w:p w14:paraId="219E0C93">
            <w:pPr>
              <w:widowControl/>
              <w:jc w:val="left"/>
              <w:rPr>
                <w:rFonts w:ascii="Times New Roman" w:hAnsi="Times New Roman" w:cs="Times New Roman"/>
                <w:color w:val="000000" w:themeColor="text1"/>
                <w:kern w:val="0"/>
                <w:sz w:val="20"/>
                <w:szCs w:val="20"/>
                <w:highlight w:val="none"/>
              </w:rPr>
            </w:pPr>
          </w:p>
        </w:tc>
        <w:tc>
          <w:tcPr>
            <w:tcW w:w="791" w:type="dxa"/>
            <w:vMerge w:val="continue"/>
            <w:tcBorders>
              <w:left w:val="single" w:color="auto" w:sz="4" w:space="0"/>
              <w:bottom w:val="single" w:color="auto" w:sz="4" w:space="0"/>
              <w:right w:val="single" w:color="auto" w:sz="4" w:space="0"/>
            </w:tcBorders>
            <w:vAlign w:val="center"/>
          </w:tcPr>
          <w:p w14:paraId="422164D3">
            <w:pPr>
              <w:pStyle w:val="60"/>
              <w:jc w:val="center"/>
              <w:rPr>
                <w:rFonts w:ascii="Times New Roman" w:hAnsi="Times New Roman" w:cs="Times New Roman"/>
                <w:color w:val="000000" w:themeColor="text1"/>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CC9121C">
            <w:pPr>
              <w:widowControl/>
              <w:jc w:val="center"/>
              <w:rPr>
                <w:rFonts w:ascii="Times New Roman" w:hAnsi="Times New Roman" w:cs="Times New Roman"/>
                <w:color w:val="000000" w:themeColor="text1"/>
                <w:highlight w:val="none"/>
              </w:rPr>
            </w:pPr>
            <w:r>
              <w:rPr>
                <w:rFonts w:ascii="Times New Roman" w:hAnsi="Times New Roman" w:cs="Times New Roman"/>
                <w:color w:val="000000" w:themeColor="text1"/>
                <w:kern w:val="0"/>
                <w:sz w:val="20"/>
                <w:szCs w:val="20"/>
                <w:highlight w:val="none"/>
              </w:rPr>
              <w:t>证书名称</w:t>
            </w:r>
          </w:p>
        </w:tc>
        <w:tc>
          <w:tcPr>
            <w:tcW w:w="709" w:type="dxa"/>
            <w:tcBorders>
              <w:top w:val="single" w:color="auto" w:sz="4" w:space="0"/>
              <w:left w:val="single" w:color="auto" w:sz="4" w:space="0"/>
              <w:bottom w:val="single" w:color="auto" w:sz="4" w:space="0"/>
              <w:right w:val="single" w:color="auto" w:sz="4" w:space="0"/>
            </w:tcBorders>
            <w:vAlign w:val="center"/>
          </w:tcPr>
          <w:p w14:paraId="6910BD7C">
            <w:pPr>
              <w:widowControl/>
              <w:jc w:val="center"/>
              <w:rPr>
                <w:rFonts w:ascii="Times New Roman" w:hAnsi="Times New Roman" w:cs="Times New Roman"/>
                <w:color w:val="000000" w:themeColor="text1"/>
                <w:highlight w:val="none"/>
              </w:rPr>
            </w:pPr>
            <w:r>
              <w:rPr>
                <w:rFonts w:ascii="Times New Roman" w:hAnsi="Times New Roman" w:cs="Times New Roman"/>
                <w:color w:val="000000" w:themeColor="text1"/>
                <w:kern w:val="0"/>
                <w:sz w:val="20"/>
                <w:szCs w:val="20"/>
                <w:highlight w:val="none"/>
              </w:rPr>
              <w:t>级别</w:t>
            </w:r>
          </w:p>
        </w:tc>
        <w:tc>
          <w:tcPr>
            <w:tcW w:w="723" w:type="dxa"/>
            <w:tcBorders>
              <w:top w:val="single" w:color="auto" w:sz="4" w:space="0"/>
              <w:left w:val="single" w:color="auto" w:sz="4" w:space="0"/>
              <w:bottom w:val="single" w:color="auto" w:sz="4" w:space="0"/>
              <w:right w:val="single" w:color="auto" w:sz="4" w:space="0"/>
            </w:tcBorders>
            <w:vAlign w:val="center"/>
          </w:tcPr>
          <w:p w14:paraId="601866B1">
            <w:pPr>
              <w:widowControl/>
              <w:jc w:val="center"/>
              <w:rPr>
                <w:rFonts w:ascii="Times New Roman" w:hAnsi="Times New Roman" w:cs="Times New Roman"/>
                <w:color w:val="000000" w:themeColor="text1"/>
                <w:highlight w:val="none"/>
              </w:rPr>
            </w:pPr>
            <w:r>
              <w:rPr>
                <w:rFonts w:ascii="Times New Roman" w:hAnsi="Times New Roman" w:cs="Times New Roman"/>
                <w:color w:val="000000" w:themeColor="text1"/>
                <w:kern w:val="0"/>
                <w:sz w:val="20"/>
                <w:szCs w:val="20"/>
                <w:highlight w:val="none"/>
              </w:rPr>
              <w:t>证号</w:t>
            </w:r>
          </w:p>
        </w:tc>
        <w:tc>
          <w:tcPr>
            <w:tcW w:w="763" w:type="dxa"/>
            <w:tcBorders>
              <w:top w:val="single" w:color="auto" w:sz="4" w:space="0"/>
              <w:left w:val="single" w:color="auto" w:sz="4" w:space="0"/>
              <w:bottom w:val="single" w:color="auto" w:sz="4" w:space="0"/>
              <w:right w:val="single" w:color="auto" w:sz="4" w:space="0"/>
            </w:tcBorders>
            <w:vAlign w:val="center"/>
          </w:tcPr>
          <w:p w14:paraId="6E0CD06D">
            <w:pPr>
              <w:widowControl/>
              <w:jc w:val="center"/>
              <w:rPr>
                <w:rFonts w:ascii="Times New Roman" w:hAnsi="Times New Roman" w:cs="Times New Roman"/>
                <w:color w:val="000000" w:themeColor="text1"/>
                <w:highlight w:val="none"/>
              </w:rPr>
            </w:pPr>
            <w:r>
              <w:rPr>
                <w:rFonts w:ascii="Times New Roman" w:hAnsi="Times New Roman" w:cs="Times New Roman"/>
                <w:color w:val="000000" w:themeColor="text1"/>
                <w:kern w:val="0"/>
                <w:sz w:val="20"/>
                <w:szCs w:val="20"/>
                <w:highlight w:val="none"/>
              </w:rPr>
              <w:t>专业</w:t>
            </w:r>
          </w:p>
        </w:tc>
        <w:tc>
          <w:tcPr>
            <w:tcW w:w="1050" w:type="dxa"/>
            <w:tcBorders>
              <w:top w:val="single" w:color="auto" w:sz="4" w:space="0"/>
              <w:left w:val="single" w:color="auto" w:sz="4" w:space="0"/>
              <w:bottom w:val="single" w:color="auto" w:sz="4" w:space="0"/>
            </w:tcBorders>
            <w:vAlign w:val="center"/>
          </w:tcPr>
          <w:p w14:paraId="18CBB1E8">
            <w:pPr>
              <w:widowControl/>
              <w:jc w:val="center"/>
              <w:rPr>
                <w:rFonts w:ascii="Times New Roman" w:hAnsi="Times New Roman" w:cs="Times New Roman"/>
                <w:color w:val="000000" w:themeColor="text1"/>
                <w:highlight w:val="none"/>
              </w:rPr>
            </w:pPr>
            <w:r>
              <w:rPr>
                <w:rFonts w:ascii="Times New Roman" w:hAnsi="Times New Roman" w:cs="Times New Roman"/>
                <w:color w:val="000000" w:themeColor="text1"/>
                <w:kern w:val="0"/>
                <w:sz w:val="20"/>
                <w:szCs w:val="20"/>
                <w:highlight w:val="none"/>
              </w:rPr>
              <w:t>社保缴纳</w:t>
            </w:r>
          </w:p>
        </w:tc>
        <w:tc>
          <w:tcPr>
            <w:tcW w:w="2077" w:type="dxa"/>
            <w:tcBorders>
              <w:top w:val="single" w:color="auto" w:sz="4" w:space="0"/>
              <w:left w:val="single" w:color="auto" w:sz="4" w:space="0"/>
              <w:bottom w:val="single" w:color="auto" w:sz="4" w:space="0"/>
            </w:tcBorders>
            <w:vAlign w:val="center"/>
          </w:tcPr>
          <w:p w14:paraId="711EE931">
            <w:pPr>
              <w:widowControl/>
              <w:jc w:val="center"/>
              <w:rPr>
                <w:rFonts w:ascii="Times New Roman" w:hAnsi="Times New Roman" w:cs="Times New Roman"/>
                <w:color w:val="000000" w:themeColor="text1"/>
                <w:highlight w:val="none"/>
              </w:rPr>
            </w:pPr>
            <w:r>
              <w:rPr>
                <w:rFonts w:ascii="Times New Roman" w:hAnsi="Times New Roman" w:cs="Times New Roman"/>
                <w:color w:val="000000" w:themeColor="text1"/>
                <w:kern w:val="0"/>
                <w:sz w:val="20"/>
                <w:szCs w:val="20"/>
                <w:highlight w:val="none"/>
              </w:rPr>
              <w:t>实施经验说明</w:t>
            </w:r>
          </w:p>
        </w:tc>
      </w:tr>
      <w:tr w14:paraId="584BB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14" w:type="dxa"/>
            <w:tcBorders>
              <w:top w:val="single" w:color="auto" w:sz="4" w:space="0"/>
              <w:bottom w:val="single" w:color="auto" w:sz="4" w:space="0"/>
              <w:right w:val="single" w:color="auto" w:sz="4" w:space="0"/>
            </w:tcBorders>
            <w:vAlign w:val="center"/>
          </w:tcPr>
          <w:p w14:paraId="29A493A3">
            <w:pPr>
              <w:pStyle w:val="60"/>
              <w:jc w:val="center"/>
              <w:rPr>
                <w:rFonts w:ascii="Times New Roman" w:hAnsi="Times New Roman" w:cs="Times New Roman"/>
                <w:color w:val="000000" w:themeColor="text1"/>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12CE2CD">
            <w:pPr>
              <w:tabs>
                <w:tab w:val="left" w:pos="2340"/>
                <w:tab w:val="left" w:pos="2520"/>
                <w:tab w:val="left" w:pos="2700"/>
                <w:tab w:val="left" w:pos="3060"/>
              </w:tabs>
              <w:spacing w:line="360" w:lineRule="auto"/>
              <w:jc w:val="center"/>
              <w:rPr>
                <w:rFonts w:ascii="Times New Roman" w:hAnsi="Times New Roman" w:cs="Times New Roman"/>
                <w:color w:val="000000" w:themeColor="text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6D963C43">
            <w:pPr>
              <w:pStyle w:val="60"/>
              <w:jc w:val="center"/>
              <w:rPr>
                <w:rFonts w:ascii="Times New Roman" w:hAnsi="Times New Roman" w:cs="Times New Roman"/>
                <w:color w:val="000000" w:themeColor="text1"/>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0D3E38B">
            <w:pPr>
              <w:pStyle w:val="60"/>
              <w:jc w:val="center"/>
              <w:rPr>
                <w:rFonts w:ascii="Times New Roman" w:hAnsi="Times New Roman" w:cs="Times New Roman"/>
                <w:color w:val="000000" w:themeColor="text1"/>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338DE465">
            <w:pPr>
              <w:pStyle w:val="60"/>
              <w:jc w:val="center"/>
              <w:rPr>
                <w:rFonts w:ascii="Times New Roman" w:hAnsi="Times New Roman" w:cs="Times New Roman"/>
                <w:color w:val="000000" w:themeColor="text1"/>
                <w:sz w:val="21"/>
                <w:szCs w:val="21"/>
                <w:highlight w:val="none"/>
              </w:rPr>
            </w:pPr>
          </w:p>
        </w:tc>
        <w:tc>
          <w:tcPr>
            <w:tcW w:w="723" w:type="dxa"/>
            <w:tcBorders>
              <w:top w:val="single" w:color="auto" w:sz="4" w:space="0"/>
              <w:left w:val="single" w:color="auto" w:sz="4" w:space="0"/>
              <w:bottom w:val="single" w:color="auto" w:sz="4" w:space="0"/>
              <w:right w:val="single" w:color="auto" w:sz="4" w:space="0"/>
            </w:tcBorders>
          </w:tcPr>
          <w:p w14:paraId="111B05F2">
            <w:pPr>
              <w:pStyle w:val="60"/>
              <w:jc w:val="center"/>
              <w:rPr>
                <w:rFonts w:ascii="Times New Roman" w:hAnsi="Times New Roman" w:cs="Times New Roman"/>
                <w:color w:val="000000" w:themeColor="text1"/>
                <w:sz w:val="21"/>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11196EAF">
            <w:pPr>
              <w:pStyle w:val="60"/>
              <w:jc w:val="center"/>
              <w:rPr>
                <w:rFonts w:ascii="Times New Roman" w:hAnsi="Times New Roman" w:cs="Times New Roman"/>
                <w:color w:val="000000" w:themeColor="text1"/>
                <w:sz w:val="21"/>
                <w:szCs w:val="21"/>
                <w:highlight w:val="none"/>
              </w:rPr>
            </w:pPr>
          </w:p>
        </w:tc>
        <w:tc>
          <w:tcPr>
            <w:tcW w:w="1050" w:type="dxa"/>
            <w:tcBorders>
              <w:top w:val="single" w:color="auto" w:sz="4" w:space="0"/>
              <w:left w:val="single" w:color="auto" w:sz="4" w:space="0"/>
              <w:bottom w:val="single" w:color="auto" w:sz="4" w:space="0"/>
            </w:tcBorders>
            <w:vAlign w:val="center"/>
          </w:tcPr>
          <w:p w14:paraId="3962A13D">
            <w:pPr>
              <w:pStyle w:val="60"/>
              <w:jc w:val="center"/>
              <w:rPr>
                <w:rFonts w:ascii="Times New Roman" w:hAnsi="Times New Roman" w:cs="Times New Roman"/>
                <w:color w:val="000000" w:themeColor="text1"/>
                <w:sz w:val="21"/>
                <w:szCs w:val="21"/>
                <w:highlight w:val="none"/>
              </w:rPr>
            </w:pPr>
          </w:p>
        </w:tc>
        <w:tc>
          <w:tcPr>
            <w:tcW w:w="2077" w:type="dxa"/>
            <w:tcBorders>
              <w:top w:val="single" w:color="auto" w:sz="4" w:space="0"/>
              <w:left w:val="single" w:color="auto" w:sz="4" w:space="0"/>
              <w:bottom w:val="single" w:color="auto" w:sz="4" w:space="0"/>
            </w:tcBorders>
            <w:vAlign w:val="center"/>
          </w:tcPr>
          <w:p w14:paraId="6B72B827">
            <w:pPr>
              <w:pStyle w:val="60"/>
              <w:jc w:val="center"/>
              <w:rPr>
                <w:rFonts w:ascii="Times New Roman" w:hAnsi="Times New Roman" w:cs="Times New Roman"/>
                <w:color w:val="000000" w:themeColor="text1"/>
                <w:sz w:val="21"/>
                <w:szCs w:val="21"/>
                <w:highlight w:val="none"/>
              </w:rPr>
            </w:pPr>
          </w:p>
        </w:tc>
      </w:tr>
      <w:tr w14:paraId="5F8F3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14" w:type="dxa"/>
            <w:tcBorders>
              <w:top w:val="single" w:color="auto" w:sz="4" w:space="0"/>
              <w:bottom w:val="single" w:color="auto" w:sz="4" w:space="0"/>
              <w:right w:val="single" w:color="auto" w:sz="4" w:space="0"/>
            </w:tcBorders>
            <w:vAlign w:val="center"/>
          </w:tcPr>
          <w:p w14:paraId="72215E97">
            <w:pPr>
              <w:pStyle w:val="60"/>
              <w:jc w:val="center"/>
              <w:rPr>
                <w:rFonts w:ascii="Times New Roman" w:hAnsi="Times New Roman" w:cs="Times New Roman"/>
                <w:color w:val="000000" w:themeColor="text1"/>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21F83C9">
            <w:pPr>
              <w:tabs>
                <w:tab w:val="left" w:pos="2340"/>
                <w:tab w:val="left" w:pos="2520"/>
                <w:tab w:val="left" w:pos="2700"/>
                <w:tab w:val="left" w:pos="3060"/>
              </w:tabs>
              <w:spacing w:line="360" w:lineRule="auto"/>
              <w:jc w:val="center"/>
              <w:rPr>
                <w:rFonts w:ascii="Times New Roman" w:hAnsi="Times New Roman" w:cs="Times New Roman"/>
                <w:color w:val="000000" w:themeColor="text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66C92524">
            <w:pPr>
              <w:pStyle w:val="60"/>
              <w:jc w:val="center"/>
              <w:rPr>
                <w:rFonts w:ascii="Times New Roman" w:hAnsi="Times New Roman" w:cs="Times New Roman"/>
                <w:color w:val="000000" w:themeColor="text1"/>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A263C8F">
            <w:pPr>
              <w:pStyle w:val="60"/>
              <w:jc w:val="center"/>
              <w:rPr>
                <w:rFonts w:ascii="Times New Roman" w:hAnsi="Times New Roman" w:cs="Times New Roman"/>
                <w:color w:val="000000" w:themeColor="text1"/>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3A422193">
            <w:pPr>
              <w:pStyle w:val="60"/>
              <w:jc w:val="center"/>
              <w:rPr>
                <w:rFonts w:ascii="Times New Roman" w:hAnsi="Times New Roman" w:cs="Times New Roman"/>
                <w:color w:val="000000" w:themeColor="text1"/>
                <w:sz w:val="21"/>
                <w:szCs w:val="21"/>
                <w:highlight w:val="none"/>
              </w:rPr>
            </w:pPr>
          </w:p>
        </w:tc>
        <w:tc>
          <w:tcPr>
            <w:tcW w:w="723" w:type="dxa"/>
            <w:tcBorders>
              <w:top w:val="single" w:color="auto" w:sz="4" w:space="0"/>
              <w:left w:val="single" w:color="auto" w:sz="4" w:space="0"/>
              <w:bottom w:val="single" w:color="auto" w:sz="4" w:space="0"/>
              <w:right w:val="single" w:color="auto" w:sz="4" w:space="0"/>
            </w:tcBorders>
          </w:tcPr>
          <w:p w14:paraId="690A6F20">
            <w:pPr>
              <w:pStyle w:val="60"/>
              <w:jc w:val="center"/>
              <w:rPr>
                <w:rFonts w:ascii="Times New Roman" w:hAnsi="Times New Roman" w:cs="Times New Roman"/>
                <w:color w:val="000000" w:themeColor="text1"/>
                <w:sz w:val="21"/>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5FD90A55">
            <w:pPr>
              <w:pStyle w:val="60"/>
              <w:jc w:val="center"/>
              <w:rPr>
                <w:rFonts w:ascii="Times New Roman" w:hAnsi="Times New Roman" w:cs="Times New Roman"/>
                <w:color w:val="000000" w:themeColor="text1"/>
                <w:sz w:val="21"/>
                <w:szCs w:val="21"/>
                <w:highlight w:val="none"/>
              </w:rPr>
            </w:pPr>
          </w:p>
        </w:tc>
        <w:tc>
          <w:tcPr>
            <w:tcW w:w="1050" w:type="dxa"/>
            <w:tcBorders>
              <w:top w:val="single" w:color="auto" w:sz="4" w:space="0"/>
              <w:left w:val="single" w:color="auto" w:sz="4" w:space="0"/>
              <w:bottom w:val="single" w:color="auto" w:sz="4" w:space="0"/>
            </w:tcBorders>
            <w:vAlign w:val="center"/>
          </w:tcPr>
          <w:p w14:paraId="0FD010CA">
            <w:pPr>
              <w:pStyle w:val="60"/>
              <w:jc w:val="center"/>
              <w:rPr>
                <w:rFonts w:ascii="Times New Roman" w:hAnsi="Times New Roman" w:cs="Times New Roman"/>
                <w:color w:val="000000" w:themeColor="text1"/>
                <w:sz w:val="21"/>
                <w:szCs w:val="21"/>
                <w:highlight w:val="none"/>
              </w:rPr>
            </w:pPr>
          </w:p>
        </w:tc>
        <w:tc>
          <w:tcPr>
            <w:tcW w:w="2077" w:type="dxa"/>
            <w:tcBorders>
              <w:top w:val="single" w:color="auto" w:sz="4" w:space="0"/>
              <w:left w:val="single" w:color="auto" w:sz="4" w:space="0"/>
              <w:bottom w:val="single" w:color="auto" w:sz="4" w:space="0"/>
            </w:tcBorders>
            <w:vAlign w:val="center"/>
          </w:tcPr>
          <w:p w14:paraId="193DDE59">
            <w:pPr>
              <w:pStyle w:val="60"/>
              <w:jc w:val="center"/>
              <w:rPr>
                <w:rFonts w:ascii="Times New Roman" w:hAnsi="Times New Roman" w:cs="Times New Roman"/>
                <w:color w:val="000000" w:themeColor="text1"/>
                <w:sz w:val="21"/>
                <w:szCs w:val="21"/>
                <w:highlight w:val="none"/>
              </w:rPr>
            </w:pPr>
          </w:p>
        </w:tc>
      </w:tr>
      <w:tr w14:paraId="7A1F4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14" w:type="dxa"/>
            <w:tcBorders>
              <w:top w:val="single" w:color="auto" w:sz="4" w:space="0"/>
              <w:bottom w:val="single" w:color="auto" w:sz="4" w:space="0"/>
              <w:right w:val="single" w:color="auto" w:sz="4" w:space="0"/>
            </w:tcBorders>
            <w:vAlign w:val="center"/>
          </w:tcPr>
          <w:p w14:paraId="0C2FFD82">
            <w:pP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1BF58A9D">
            <w:pPr>
              <w:rPr>
                <w:rFonts w:ascii="Times New Roman" w:hAnsi="Times New Roman" w:cs="Times New Roman"/>
                <w:color w:val="000000" w:themeColor="text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5EEB06D7">
            <w:pPr>
              <w:rPr>
                <w:rFonts w:ascii="Times New Roman" w:hAnsi="Times New Roman" w:cs="Times New Roman"/>
                <w:color w:val="000000" w:themeColor="text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9C3F68F">
            <w:pPr>
              <w:rPr>
                <w:rFonts w:ascii="Times New Roman" w:hAnsi="Times New Roman" w:cs="Times New Roman"/>
                <w:color w:val="000000" w:themeColor="text1"/>
                <w:highlight w:val="none"/>
              </w:rPr>
            </w:pPr>
          </w:p>
        </w:tc>
        <w:tc>
          <w:tcPr>
            <w:tcW w:w="709" w:type="dxa"/>
            <w:tcBorders>
              <w:top w:val="single" w:color="auto" w:sz="4" w:space="0"/>
              <w:left w:val="single" w:color="auto" w:sz="4" w:space="0"/>
              <w:bottom w:val="single" w:color="auto" w:sz="4" w:space="0"/>
              <w:right w:val="single" w:color="auto" w:sz="4" w:space="0"/>
            </w:tcBorders>
          </w:tcPr>
          <w:p w14:paraId="71AFA076">
            <w:pPr>
              <w:rPr>
                <w:rFonts w:ascii="Times New Roman" w:hAnsi="Times New Roman" w:cs="Times New Roman"/>
                <w:color w:val="000000" w:themeColor="text1"/>
                <w:highlight w:val="none"/>
              </w:rPr>
            </w:pPr>
          </w:p>
        </w:tc>
        <w:tc>
          <w:tcPr>
            <w:tcW w:w="723" w:type="dxa"/>
            <w:tcBorders>
              <w:top w:val="single" w:color="auto" w:sz="4" w:space="0"/>
              <w:left w:val="single" w:color="auto" w:sz="4" w:space="0"/>
              <w:bottom w:val="single" w:color="auto" w:sz="4" w:space="0"/>
              <w:right w:val="single" w:color="auto" w:sz="4" w:space="0"/>
            </w:tcBorders>
          </w:tcPr>
          <w:p w14:paraId="0E99CE36">
            <w:pPr>
              <w:rPr>
                <w:rFonts w:ascii="Times New Roman" w:hAnsi="Times New Roman" w:cs="Times New Roman"/>
                <w:color w:val="000000" w:themeColor="text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773CED64">
            <w:pPr>
              <w:rPr>
                <w:rFonts w:ascii="Times New Roman" w:hAnsi="Times New Roman" w:cs="Times New Roman"/>
                <w:color w:val="000000" w:themeColor="text1"/>
                <w:highlight w:val="none"/>
              </w:rPr>
            </w:pPr>
          </w:p>
        </w:tc>
        <w:tc>
          <w:tcPr>
            <w:tcW w:w="1050" w:type="dxa"/>
            <w:tcBorders>
              <w:top w:val="single" w:color="auto" w:sz="4" w:space="0"/>
              <w:left w:val="single" w:color="auto" w:sz="4" w:space="0"/>
              <w:bottom w:val="single" w:color="auto" w:sz="4" w:space="0"/>
            </w:tcBorders>
            <w:vAlign w:val="center"/>
          </w:tcPr>
          <w:p w14:paraId="224025B2">
            <w:pPr>
              <w:rPr>
                <w:rFonts w:ascii="Times New Roman" w:hAnsi="Times New Roman" w:cs="Times New Roman"/>
                <w:color w:val="000000" w:themeColor="text1"/>
                <w:highlight w:val="none"/>
              </w:rPr>
            </w:pPr>
          </w:p>
        </w:tc>
        <w:tc>
          <w:tcPr>
            <w:tcW w:w="2077" w:type="dxa"/>
            <w:tcBorders>
              <w:top w:val="single" w:color="auto" w:sz="4" w:space="0"/>
              <w:left w:val="single" w:color="auto" w:sz="4" w:space="0"/>
              <w:bottom w:val="single" w:color="auto" w:sz="4" w:space="0"/>
            </w:tcBorders>
            <w:vAlign w:val="center"/>
          </w:tcPr>
          <w:p w14:paraId="5DC5D287">
            <w:pPr>
              <w:rPr>
                <w:rFonts w:ascii="Times New Roman" w:hAnsi="Times New Roman" w:cs="Times New Roman"/>
                <w:color w:val="000000" w:themeColor="text1"/>
                <w:highlight w:val="none"/>
              </w:rPr>
            </w:pPr>
          </w:p>
        </w:tc>
      </w:tr>
    </w:tbl>
    <w:p w14:paraId="1E8EFBEE">
      <w:pPr>
        <w:snapToGrid w:val="0"/>
        <w:spacing w:beforeLines="50" w:after="50"/>
        <w:jc w:val="center"/>
        <w:rPr>
          <w:rFonts w:ascii="Times New Roman" w:hAnsi="Times New Roman" w:cs="Times New Roman"/>
          <w:b/>
          <w:bCs/>
          <w:color w:val="000000" w:themeColor="text1"/>
          <w:kern w:val="0"/>
          <w:highlight w:val="none"/>
          <w:lang w:val="zh-CN"/>
        </w:rPr>
      </w:pPr>
    </w:p>
    <w:p w14:paraId="6E48D032">
      <w:pPr>
        <w:rPr>
          <w:rFonts w:ascii="Times New Roman" w:hAnsi="Times New Roman" w:cs="Times New Roman"/>
          <w:b/>
          <w:bCs/>
          <w:color w:val="000000" w:themeColor="text1"/>
          <w:kern w:val="0"/>
          <w:highlight w:val="none"/>
        </w:rPr>
      </w:pPr>
    </w:p>
    <w:p w14:paraId="23D80E07">
      <w:pPr>
        <w:rPr>
          <w:rFonts w:ascii="Times New Roman" w:hAnsi="Times New Roman" w:cs="Times New Roman"/>
          <w:b/>
          <w:bCs/>
          <w:color w:val="000000" w:themeColor="text1"/>
          <w:kern w:val="0"/>
          <w:highlight w:val="none"/>
        </w:rPr>
      </w:pPr>
    </w:p>
    <w:p w14:paraId="241E9602">
      <w:pPr>
        <w:ind w:firstLine="210" w:firstLineChars="100"/>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投标人（盖章）：</w:t>
      </w:r>
    </w:p>
    <w:p w14:paraId="607A32A8">
      <w:pPr>
        <w:ind w:firstLine="199" w:firstLineChars="95"/>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日期：</w:t>
      </w:r>
    </w:p>
    <w:p w14:paraId="3AD3AC69">
      <w:pPr>
        <w:rPr>
          <w:rFonts w:ascii="Times New Roman" w:hAnsi="Times New Roman" w:cs="Times New Roman"/>
          <w:b/>
          <w:bCs/>
          <w:color w:val="000000" w:themeColor="text1"/>
          <w:kern w:val="0"/>
          <w:highlight w:val="none"/>
        </w:rPr>
      </w:pPr>
    </w:p>
    <w:p w14:paraId="2870BA14">
      <w:pPr>
        <w:spacing w:line="380" w:lineRule="exact"/>
        <w:jc w:val="left"/>
        <w:rPr>
          <w:rFonts w:hint="eastAsia" w:hAnsi="宋体" w:cs="Times New Roman"/>
          <w:b/>
          <w:bCs/>
          <w:spacing w:val="-4"/>
          <w:highlight w:val="none"/>
        </w:rPr>
      </w:pPr>
    </w:p>
    <w:p w14:paraId="6F9DF978">
      <w:pPr>
        <w:pStyle w:val="91"/>
        <w:spacing w:line="360" w:lineRule="auto"/>
        <w:ind w:firstLine="0"/>
        <w:jc w:val="left"/>
        <w:rPr>
          <w:rFonts w:ascii="Times New Roman" w:hAnsi="Times New Roman"/>
          <w:b/>
          <w:bCs/>
          <w:sz w:val="21"/>
          <w:szCs w:val="21"/>
          <w:highlight w:val="none"/>
          <w:lang w:val="zh-CN"/>
        </w:rPr>
      </w:pPr>
      <w:r>
        <w:rPr>
          <w:rFonts w:hint="eastAsia" w:hAnsi="宋体" w:cs="Times New Roman"/>
          <w:b/>
          <w:bCs/>
          <w:spacing w:val="-4"/>
          <w:highlight w:val="none"/>
        </w:rPr>
        <w:t>8</w:t>
      </w:r>
      <w:r>
        <w:rPr>
          <w:rFonts w:hint="eastAsia" w:ascii="宋体" w:hAnsi="宋体"/>
          <w:b/>
          <w:kern w:val="0"/>
          <w:highlight w:val="none"/>
        </w:rPr>
        <w:t>、</w:t>
      </w:r>
      <w:r>
        <w:rPr>
          <w:rFonts w:ascii="Times New Roman" w:hAnsi="Times New Roman"/>
          <w:b/>
          <w:bCs/>
          <w:sz w:val="21"/>
          <w:szCs w:val="21"/>
          <w:highlight w:val="none"/>
          <w:lang w:val="zh-CN"/>
        </w:rPr>
        <w:t>所需配备的各种设备、耗材列表格式</w:t>
      </w:r>
    </w:p>
    <w:p w14:paraId="05867F96">
      <w:pPr>
        <w:pStyle w:val="12"/>
        <w:spacing w:line="360" w:lineRule="auto"/>
        <w:jc w:val="center"/>
        <w:rPr>
          <w:rFonts w:ascii="Times New Roman" w:hAnsi="Times New Roman" w:cs="Times New Roman"/>
          <w:b/>
          <w:bCs/>
          <w:color w:val="000000" w:themeColor="text1"/>
          <w:sz w:val="21"/>
          <w:szCs w:val="21"/>
          <w:highlight w:val="none"/>
        </w:rPr>
      </w:pPr>
      <w:r>
        <w:rPr>
          <w:rFonts w:ascii="Times New Roman" w:hAnsi="Times New Roman" w:cs="Times New Roman"/>
          <w:b/>
          <w:bCs/>
          <w:color w:val="000000" w:themeColor="text1"/>
          <w:sz w:val="21"/>
          <w:szCs w:val="21"/>
          <w:highlight w:val="none"/>
          <w:lang w:val="zh-CN"/>
        </w:rPr>
        <w:t>服务期所需配备耗材及作业机具配置</w:t>
      </w:r>
      <w:r>
        <w:rPr>
          <w:rFonts w:ascii="Times New Roman" w:hAnsi="Times New Roman" w:cs="Times New Roman"/>
          <w:b/>
          <w:bCs/>
          <w:color w:val="000000" w:themeColor="text1"/>
          <w:sz w:val="21"/>
          <w:szCs w:val="21"/>
          <w:highlight w:val="none"/>
        </w:rPr>
        <w:t>表</w:t>
      </w:r>
    </w:p>
    <w:tbl>
      <w:tblPr>
        <w:tblStyle w:val="2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5E4A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1B39D860">
            <w:pPr>
              <w:adjustRightInd w:val="0"/>
              <w:snapToGrid w:val="0"/>
              <w:spacing w:line="400" w:lineRule="atLeast"/>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名称</w:t>
            </w:r>
          </w:p>
        </w:tc>
        <w:tc>
          <w:tcPr>
            <w:tcW w:w="1388" w:type="dxa"/>
            <w:vAlign w:val="center"/>
          </w:tcPr>
          <w:p w14:paraId="185DC951">
            <w:pPr>
              <w:adjustRightInd w:val="0"/>
              <w:snapToGrid w:val="0"/>
              <w:spacing w:line="400" w:lineRule="atLeast"/>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规格</w:t>
            </w:r>
          </w:p>
        </w:tc>
        <w:tc>
          <w:tcPr>
            <w:tcW w:w="1163" w:type="dxa"/>
            <w:vAlign w:val="center"/>
          </w:tcPr>
          <w:p w14:paraId="5358ADC9">
            <w:pPr>
              <w:adjustRightInd w:val="0"/>
              <w:snapToGrid w:val="0"/>
              <w:spacing w:line="400" w:lineRule="atLeast"/>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数量</w:t>
            </w:r>
          </w:p>
        </w:tc>
        <w:tc>
          <w:tcPr>
            <w:tcW w:w="1704" w:type="dxa"/>
            <w:vAlign w:val="center"/>
          </w:tcPr>
          <w:p w14:paraId="6718D196">
            <w:pPr>
              <w:adjustRightInd w:val="0"/>
              <w:snapToGrid w:val="0"/>
              <w:spacing w:line="400" w:lineRule="atLeast"/>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产地</w:t>
            </w:r>
          </w:p>
        </w:tc>
        <w:tc>
          <w:tcPr>
            <w:tcW w:w="2199" w:type="dxa"/>
            <w:vAlign w:val="center"/>
          </w:tcPr>
          <w:p w14:paraId="2E238E6E">
            <w:pPr>
              <w:adjustRightInd w:val="0"/>
              <w:snapToGrid w:val="0"/>
              <w:spacing w:line="400" w:lineRule="atLeast"/>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备注</w:t>
            </w:r>
          </w:p>
        </w:tc>
      </w:tr>
      <w:tr w14:paraId="0799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68F239C">
            <w:pPr>
              <w:adjustRightInd w:val="0"/>
              <w:snapToGrid w:val="0"/>
              <w:spacing w:line="400" w:lineRule="atLeast"/>
              <w:ind w:firstLine="420"/>
              <w:jc w:val="center"/>
              <w:rPr>
                <w:rFonts w:ascii="Times New Roman" w:hAnsi="Times New Roman" w:cs="Times New Roman"/>
                <w:color w:val="000000" w:themeColor="text1"/>
                <w:highlight w:val="none"/>
              </w:rPr>
            </w:pPr>
          </w:p>
        </w:tc>
        <w:tc>
          <w:tcPr>
            <w:tcW w:w="1388" w:type="dxa"/>
          </w:tcPr>
          <w:p w14:paraId="5574F0A4">
            <w:pPr>
              <w:adjustRightInd w:val="0"/>
              <w:snapToGrid w:val="0"/>
              <w:spacing w:line="400" w:lineRule="atLeast"/>
              <w:ind w:firstLine="420"/>
              <w:jc w:val="center"/>
              <w:rPr>
                <w:rFonts w:ascii="Times New Roman" w:hAnsi="Times New Roman" w:cs="Times New Roman"/>
                <w:color w:val="000000" w:themeColor="text1"/>
                <w:highlight w:val="none"/>
              </w:rPr>
            </w:pPr>
          </w:p>
        </w:tc>
        <w:tc>
          <w:tcPr>
            <w:tcW w:w="1163" w:type="dxa"/>
          </w:tcPr>
          <w:p w14:paraId="21AEBDA5">
            <w:pPr>
              <w:adjustRightInd w:val="0"/>
              <w:snapToGrid w:val="0"/>
              <w:spacing w:line="400" w:lineRule="atLeast"/>
              <w:ind w:firstLine="420"/>
              <w:jc w:val="center"/>
              <w:rPr>
                <w:rFonts w:ascii="Times New Roman" w:hAnsi="Times New Roman" w:cs="Times New Roman"/>
                <w:color w:val="000000" w:themeColor="text1"/>
                <w:highlight w:val="none"/>
              </w:rPr>
            </w:pPr>
          </w:p>
        </w:tc>
        <w:tc>
          <w:tcPr>
            <w:tcW w:w="1704" w:type="dxa"/>
          </w:tcPr>
          <w:p w14:paraId="3EF88456">
            <w:pPr>
              <w:adjustRightInd w:val="0"/>
              <w:snapToGrid w:val="0"/>
              <w:spacing w:line="400" w:lineRule="atLeast"/>
              <w:ind w:firstLine="420"/>
              <w:jc w:val="center"/>
              <w:rPr>
                <w:rFonts w:ascii="Times New Roman" w:hAnsi="Times New Roman" w:cs="Times New Roman"/>
                <w:color w:val="000000" w:themeColor="text1"/>
                <w:highlight w:val="none"/>
              </w:rPr>
            </w:pPr>
          </w:p>
        </w:tc>
        <w:tc>
          <w:tcPr>
            <w:tcW w:w="2199" w:type="dxa"/>
          </w:tcPr>
          <w:p w14:paraId="67E74E14">
            <w:pPr>
              <w:adjustRightInd w:val="0"/>
              <w:snapToGrid w:val="0"/>
              <w:spacing w:line="400" w:lineRule="atLeast"/>
              <w:ind w:firstLine="420"/>
              <w:jc w:val="center"/>
              <w:rPr>
                <w:rFonts w:ascii="Times New Roman" w:hAnsi="Times New Roman" w:cs="Times New Roman"/>
                <w:color w:val="000000" w:themeColor="text1"/>
                <w:highlight w:val="none"/>
              </w:rPr>
            </w:pPr>
          </w:p>
        </w:tc>
      </w:tr>
      <w:tr w14:paraId="6408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572014D">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388" w:type="dxa"/>
          </w:tcPr>
          <w:p w14:paraId="2486D957">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163" w:type="dxa"/>
          </w:tcPr>
          <w:p w14:paraId="5321E648">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704" w:type="dxa"/>
          </w:tcPr>
          <w:p w14:paraId="3590178F">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2199" w:type="dxa"/>
          </w:tcPr>
          <w:p w14:paraId="43566F48">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r>
      <w:tr w14:paraId="42DD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29999824">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388" w:type="dxa"/>
          </w:tcPr>
          <w:p w14:paraId="1AB9F9F6">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163" w:type="dxa"/>
          </w:tcPr>
          <w:p w14:paraId="78275B7C">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704" w:type="dxa"/>
          </w:tcPr>
          <w:p w14:paraId="1DF3F545">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2199" w:type="dxa"/>
          </w:tcPr>
          <w:p w14:paraId="4BA1DE5F">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r>
      <w:tr w14:paraId="4CAE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AF9B816">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388" w:type="dxa"/>
          </w:tcPr>
          <w:p w14:paraId="5AB34DD5">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163" w:type="dxa"/>
          </w:tcPr>
          <w:p w14:paraId="3ECFAC41">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704" w:type="dxa"/>
          </w:tcPr>
          <w:p w14:paraId="1132B428">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2199" w:type="dxa"/>
          </w:tcPr>
          <w:p w14:paraId="41626F71">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r>
      <w:tr w14:paraId="2148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7DC46D75">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388" w:type="dxa"/>
          </w:tcPr>
          <w:p w14:paraId="1DA23841">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163" w:type="dxa"/>
          </w:tcPr>
          <w:p w14:paraId="678CDAA7">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704" w:type="dxa"/>
          </w:tcPr>
          <w:p w14:paraId="74147B2B">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2199" w:type="dxa"/>
          </w:tcPr>
          <w:p w14:paraId="71CBFAC6">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r>
      <w:tr w14:paraId="7549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E5BDFA2">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388" w:type="dxa"/>
          </w:tcPr>
          <w:p w14:paraId="5B789150">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163" w:type="dxa"/>
          </w:tcPr>
          <w:p w14:paraId="79D803E5">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704" w:type="dxa"/>
          </w:tcPr>
          <w:p w14:paraId="42C8C482">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2199" w:type="dxa"/>
          </w:tcPr>
          <w:p w14:paraId="1E63FA5C">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r>
      <w:tr w14:paraId="297D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2EF3C26">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388" w:type="dxa"/>
          </w:tcPr>
          <w:p w14:paraId="665B9F24">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163" w:type="dxa"/>
          </w:tcPr>
          <w:p w14:paraId="23345E36">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1704" w:type="dxa"/>
          </w:tcPr>
          <w:p w14:paraId="34849DC7">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c>
          <w:tcPr>
            <w:tcW w:w="2199" w:type="dxa"/>
          </w:tcPr>
          <w:p w14:paraId="60606048">
            <w:pPr>
              <w:adjustRightInd w:val="0"/>
              <w:snapToGrid w:val="0"/>
              <w:spacing w:line="400" w:lineRule="atLeast"/>
              <w:ind w:firstLine="480"/>
              <w:jc w:val="center"/>
              <w:rPr>
                <w:rFonts w:ascii="Times New Roman" w:hAnsi="Times New Roman" w:cs="Times New Roman"/>
                <w:color w:val="000000" w:themeColor="text1"/>
                <w:sz w:val="24"/>
                <w:szCs w:val="24"/>
                <w:highlight w:val="none"/>
              </w:rPr>
            </w:pPr>
          </w:p>
        </w:tc>
      </w:tr>
    </w:tbl>
    <w:p w14:paraId="35650C85">
      <w:pPr>
        <w:rPr>
          <w:rFonts w:ascii="Times New Roman" w:hAnsi="Times New Roman" w:cs="Times New Roman"/>
          <w:b/>
          <w:bCs/>
          <w:color w:val="000000" w:themeColor="text1"/>
          <w:kern w:val="0"/>
          <w:highlight w:val="none"/>
        </w:rPr>
      </w:pPr>
    </w:p>
    <w:p w14:paraId="0588AC5A">
      <w:pPr>
        <w:rPr>
          <w:rFonts w:ascii="Times New Roman" w:hAnsi="Times New Roman" w:cs="Times New Roman"/>
          <w:b/>
          <w:bCs/>
          <w:color w:val="000000" w:themeColor="text1"/>
          <w:kern w:val="0"/>
          <w:highlight w:val="none"/>
        </w:rPr>
      </w:pPr>
    </w:p>
    <w:p w14:paraId="72AABF97">
      <w:pPr>
        <w:ind w:firstLine="210" w:firstLineChars="100"/>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投标人（盖章）：</w:t>
      </w:r>
    </w:p>
    <w:p w14:paraId="2857F3F9">
      <w:pPr>
        <w:ind w:firstLine="199" w:firstLineChars="95"/>
        <w:jc w:val="left"/>
        <w:rPr>
          <w:rFonts w:ascii="Times New Roman" w:hAnsi="Times New Roman" w:cs="Times New Roman"/>
          <w:color w:val="000000" w:themeColor="text1"/>
          <w:highlight w:val="none"/>
        </w:rPr>
      </w:pPr>
    </w:p>
    <w:p w14:paraId="1A1C1D0E">
      <w:pPr>
        <w:ind w:firstLine="199" w:firstLineChars="95"/>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日期：</w:t>
      </w:r>
    </w:p>
    <w:p w14:paraId="2582DE3C">
      <w:pPr>
        <w:spacing w:line="380" w:lineRule="exact"/>
        <w:jc w:val="left"/>
        <w:rPr>
          <w:rFonts w:ascii="宋体"/>
          <w:b/>
          <w:bCs/>
          <w:sz w:val="28"/>
          <w:szCs w:val="28"/>
          <w:highlight w:val="none"/>
        </w:rPr>
      </w:pPr>
      <w:r>
        <w:rPr>
          <w:rFonts w:hint="eastAsia" w:ascii="宋体" w:hAnsi="宋体"/>
          <w:b/>
          <w:kern w:val="0"/>
          <w:highlight w:val="none"/>
          <w:lang w:val="en-US" w:eastAsia="zh-CN"/>
        </w:rPr>
        <w:t>9、</w:t>
      </w:r>
      <w:r>
        <w:rPr>
          <w:rFonts w:hint="eastAsia" w:ascii="宋体" w:hAnsi="宋体"/>
          <w:b/>
          <w:kern w:val="0"/>
          <w:highlight w:val="none"/>
        </w:rPr>
        <w:t>商务偏离表</w:t>
      </w:r>
    </w:p>
    <w:p w14:paraId="054F9828">
      <w:pPr>
        <w:snapToGrid w:val="0"/>
        <w:spacing w:before="50" w:after="50"/>
        <w:jc w:val="center"/>
        <w:rPr>
          <w:rFonts w:ascii="宋体" w:hAnsi="宋体" w:cs="宋体"/>
          <w:highlight w:val="none"/>
        </w:rPr>
      </w:pPr>
      <w:r>
        <w:rPr>
          <w:rFonts w:hint="eastAsia" w:ascii="宋体" w:hAnsi="宋体"/>
          <w:b/>
          <w:kern w:val="0"/>
          <w:highlight w:val="none"/>
        </w:rPr>
        <w:t>商务偏离表</w:t>
      </w:r>
    </w:p>
    <w:p w14:paraId="0716872D">
      <w:pPr>
        <w:snapToGrid w:val="0"/>
        <w:spacing w:before="50" w:after="50"/>
        <w:rPr>
          <w:rFonts w:hint="eastAsia" w:ascii="宋体" w:hAnsi="宋体" w:cs="宋体"/>
          <w:highlight w:val="none"/>
        </w:rPr>
      </w:pPr>
      <w:r>
        <w:rPr>
          <w:rFonts w:hint="eastAsia" w:ascii="宋体" w:hAnsi="宋体" w:cs="宋体"/>
          <w:highlight w:val="none"/>
        </w:rPr>
        <w:t>招标编号：  项目名称：</w:t>
      </w:r>
    </w:p>
    <w:tbl>
      <w:tblPr>
        <w:tblStyle w:val="2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6345"/>
        <w:gridCol w:w="795"/>
        <w:gridCol w:w="795"/>
        <w:gridCol w:w="687"/>
      </w:tblGrid>
      <w:tr w14:paraId="58A8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6" w:type="dxa"/>
            <w:vAlign w:val="center"/>
          </w:tcPr>
          <w:p w14:paraId="0CB71883">
            <w:pPr>
              <w:jc w:val="center"/>
              <w:rPr>
                <w:rFonts w:ascii="宋体"/>
                <w:bCs/>
              </w:rPr>
            </w:pPr>
            <w:r>
              <w:rPr>
                <w:rFonts w:hint="eastAsia" w:ascii="宋体" w:hAnsi="宋体"/>
                <w:bCs/>
              </w:rPr>
              <w:t>内容</w:t>
            </w:r>
          </w:p>
        </w:tc>
        <w:tc>
          <w:tcPr>
            <w:tcW w:w="6345" w:type="dxa"/>
            <w:vAlign w:val="center"/>
          </w:tcPr>
          <w:p w14:paraId="63BE612C">
            <w:pPr>
              <w:jc w:val="center"/>
              <w:rPr>
                <w:rFonts w:ascii="宋体"/>
                <w:bCs/>
              </w:rPr>
            </w:pPr>
            <w:r>
              <w:rPr>
                <w:rFonts w:hint="eastAsia" w:ascii="宋体" w:hAnsi="宋体"/>
                <w:bCs/>
              </w:rPr>
              <w:t>采购要求</w:t>
            </w:r>
          </w:p>
        </w:tc>
        <w:tc>
          <w:tcPr>
            <w:tcW w:w="795" w:type="dxa"/>
            <w:vAlign w:val="center"/>
          </w:tcPr>
          <w:p w14:paraId="08EEF5D2">
            <w:pPr>
              <w:jc w:val="center"/>
              <w:rPr>
                <w:rFonts w:ascii="宋体"/>
                <w:bCs/>
              </w:rPr>
            </w:pPr>
            <w:r>
              <w:rPr>
                <w:rFonts w:hint="eastAsia" w:ascii="宋体" w:hAnsi="宋体"/>
                <w:bCs/>
              </w:rPr>
              <w:t>投标响应</w:t>
            </w:r>
          </w:p>
        </w:tc>
        <w:tc>
          <w:tcPr>
            <w:tcW w:w="795" w:type="dxa"/>
            <w:vAlign w:val="center"/>
          </w:tcPr>
          <w:p w14:paraId="53C890BA">
            <w:pPr>
              <w:jc w:val="center"/>
              <w:rPr>
                <w:rFonts w:ascii="宋体"/>
                <w:bCs/>
              </w:rPr>
            </w:pPr>
            <w:r>
              <w:rPr>
                <w:rFonts w:hint="eastAsia" w:ascii="宋体" w:hAnsi="宋体"/>
                <w:bCs/>
              </w:rPr>
              <w:t>偏离</w:t>
            </w:r>
          </w:p>
        </w:tc>
        <w:tc>
          <w:tcPr>
            <w:tcW w:w="687" w:type="dxa"/>
            <w:vAlign w:val="center"/>
          </w:tcPr>
          <w:p w14:paraId="71FEF38D">
            <w:pPr>
              <w:jc w:val="center"/>
              <w:rPr>
                <w:rFonts w:ascii="宋体"/>
                <w:bCs/>
              </w:rPr>
            </w:pPr>
            <w:r>
              <w:rPr>
                <w:rFonts w:hint="eastAsia" w:ascii="宋体" w:hAnsi="宋体"/>
                <w:bCs/>
              </w:rPr>
              <w:t>说明</w:t>
            </w:r>
          </w:p>
        </w:tc>
      </w:tr>
      <w:tr w14:paraId="42F3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516" w:type="dxa"/>
            <w:vMerge w:val="restart"/>
            <w:vAlign w:val="center"/>
          </w:tcPr>
          <w:p w14:paraId="3819CCF7">
            <w:pPr>
              <w:rPr>
                <w:rFonts w:ascii="宋体"/>
                <w:bCs/>
              </w:rPr>
            </w:pPr>
            <w:r>
              <w:rPr>
                <w:rFonts w:hint="eastAsia" w:ascii="宋体" w:hAnsi="宋体"/>
                <w:bCs/>
              </w:rPr>
              <w:t>商务条款</w:t>
            </w:r>
          </w:p>
        </w:tc>
        <w:tc>
          <w:tcPr>
            <w:tcW w:w="6345" w:type="dxa"/>
            <w:vAlign w:val="center"/>
          </w:tcPr>
          <w:p w14:paraId="011BB1B8">
            <w:pPr>
              <w:spacing w:line="360" w:lineRule="auto"/>
              <w:outlineLvl w:val="1"/>
              <w:rPr>
                <w:rFonts w:ascii="宋体" w:cs="宋体"/>
                <w:bCs/>
              </w:rPr>
            </w:pPr>
            <w:r>
              <w:rPr>
                <w:rFonts w:hint="eastAsia" w:ascii="宋体" w:hAnsi="宋体"/>
                <w:b/>
              </w:rPr>
              <w:t>服务期</w:t>
            </w:r>
            <w:r>
              <w:rPr>
                <w:rFonts w:hint="eastAsia" w:ascii="宋体" w:hAnsi="宋体" w:cs="宋体"/>
                <w:bCs/>
              </w:rPr>
              <w:t>：自</w:t>
            </w:r>
            <w:r>
              <w:rPr>
                <w:rFonts w:hint="eastAsia" w:ascii="宋体" w:hAnsi="宋体" w:cs="宋体"/>
                <w:bCs/>
                <w:lang w:eastAsia="zh-CN"/>
              </w:rPr>
              <w:t>合同签订之日起至202</w:t>
            </w:r>
            <w:r>
              <w:rPr>
                <w:rFonts w:hint="eastAsia" w:ascii="宋体" w:hAnsi="宋体" w:cs="宋体"/>
                <w:bCs/>
                <w:lang w:val="en-US" w:eastAsia="zh-CN"/>
              </w:rPr>
              <w:t>5</w:t>
            </w:r>
            <w:r>
              <w:rPr>
                <w:rFonts w:hint="eastAsia" w:ascii="宋体" w:hAnsi="宋体" w:cs="宋体"/>
                <w:bCs/>
                <w:lang w:eastAsia="zh-CN"/>
              </w:rPr>
              <w:t>年11月30日</w:t>
            </w:r>
            <w:r>
              <w:rPr>
                <w:rFonts w:hint="eastAsia" w:ascii="宋体" w:hAnsi="宋体"/>
                <w:bCs/>
              </w:rPr>
              <w:t>。</w:t>
            </w:r>
          </w:p>
        </w:tc>
        <w:tc>
          <w:tcPr>
            <w:tcW w:w="795" w:type="dxa"/>
            <w:vAlign w:val="center"/>
          </w:tcPr>
          <w:p w14:paraId="17E6329D">
            <w:pPr>
              <w:jc w:val="center"/>
              <w:rPr>
                <w:rFonts w:ascii="宋体"/>
                <w:bCs/>
              </w:rPr>
            </w:pPr>
          </w:p>
        </w:tc>
        <w:tc>
          <w:tcPr>
            <w:tcW w:w="795" w:type="dxa"/>
            <w:vAlign w:val="center"/>
          </w:tcPr>
          <w:p w14:paraId="1734036F">
            <w:pPr>
              <w:jc w:val="center"/>
              <w:rPr>
                <w:rFonts w:ascii="宋体"/>
                <w:bCs/>
              </w:rPr>
            </w:pPr>
          </w:p>
        </w:tc>
        <w:tc>
          <w:tcPr>
            <w:tcW w:w="687" w:type="dxa"/>
            <w:vAlign w:val="center"/>
          </w:tcPr>
          <w:p w14:paraId="6A9B288C">
            <w:pPr>
              <w:jc w:val="center"/>
              <w:rPr>
                <w:rFonts w:ascii="宋体"/>
                <w:bCs/>
              </w:rPr>
            </w:pPr>
          </w:p>
        </w:tc>
      </w:tr>
      <w:tr w14:paraId="5B4B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516" w:type="dxa"/>
            <w:vMerge w:val="continue"/>
            <w:vAlign w:val="center"/>
          </w:tcPr>
          <w:p w14:paraId="67C38C4D">
            <w:pPr>
              <w:jc w:val="center"/>
              <w:rPr>
                <w:rFonts w:ascii="宋体"/>
                <w:bCs/>
              </w:rPr>
            </w:pPr>
          </w:p>
        </w:tc>
        <w:tc>
          <w:tcPr>
            <w:tcW w:w="6345" w:type="dxa"/>
            <w:vAlign w:val="center"/>
          </w:tcPr>
          <w:p w14:paraId="546EB09B">
            <w:pPr>
              <w:widowControl/>
              <w:snapToGrid w:val="0"/>
              <w:spacing w:line="360" w:lineRule="auto"/>
              <w:jc w:val="left"/>
              <w:rPr>
                <w:rFonts w:hint="eastAsia" w:ascii="宋体" w:eastAsia="宋体" w:cs="宋体"/>
                <w:bCs/>
                <w:lang w:eastAsia="zh-CN"/>
              </w:rPr>
            </w:pPr>
            <w:r>
              <w:rPr>
                <w:rFonts w:hint="eastAsia" w:ascii="宋体" w:hAnsi="宋体"/>
                <w:b/>
              </w:rPr>
              <w:t>资金结算</w:t>
            </w:r>
            <w:r>
              <w:rPr>
                <w:rFonts w:hint="eastAsia" w:ascii="宋体" w:hAnsi="宋体" w:cs="宋体"/>
                <w:bCs/>
              </w:rPr>
              <w:t>：</w:t>
            </w:r>
            <w:r>
              <w:rPr>
                <w:rFonts w:hint="eastAsia"/>
                <w:b/>
                <w:bCs/>
                <w:color w:val="000000" w:themeColor="text1"/>
                <w:highlight w:val="none"/>
                <w:lang w:eastAsia="zh-CN"/>
              </w:rPr>
              <w:t>合同签订之日起</w:t>
            </w:r>
            <w:r>
              <w:rPr>
                <w:rFonts w:hint="eastAsia"/>
                <w:b/>
                <w:bCs/>
                <w:color w:val="000000" w:themeColor="text1"/>
                <w:highlight w:val="none"/>
                <w:lang w:val="en-US" w:eastAsia="zh-CN"/>
              </w:rPr>
              <w:t>7</w:t>
            </w:r>
            <w:r>
              <w:rPr>
                <w:rFonts w:hint="eastAsia"/>
                <w:b/>
                <w:bCs/>
                <w:color w:val="000000" w:themeColor="text1"/>
                <w:highlight w:val="none"/>
                <w:lang w:eastAsia="zh-CN"/>
              </w:rPr>
              <w:t>个工作日内支付合同款的50%；通过采购人组织的成果验收后7个工作日内支付项目合同余款。付款前成交供应商先开具增值税发票给采购人。</w:t>
            </w:r>
          </w:p>
        </w:tc>
        <w:tc>
          <w:tcPr>
            <w:tcW w:w="795" w:type="dxa"/>
            <w:vAlign w:val="center"/>
          </w:tcPr>
          <w:p w14:paraId="368A2CD3">
            <w:pPr>
              <w:jc w:val="center"/>
              <w:rPr>
                <w:rFonts w:ascii="宋体"/>
                <w:bCs/>
              </w:rPr>
            </w:pPr>
          </w:p>
        </w:tc>
        <w:tc>
          <w:tcPr>
            <w:tcW w:w="795" w:type="dxa"/>
            <w:vAlign w:val="center"/>
          </w:tcPr>
          <w:p w14:paraId="780D92CF">
            <w:pPr>
              <w:jc w:val="center"/>
              <w:rPr>
                <w:rFonts w:ascii="宋体"/>
                <w:bCs/>
              </w:rPr>
            </w:pPr>
          </w:p>
        </w:tc>
        <w:tc>
          <w:tcPr>
            <w:tcW w:w="687" w:type="dxa"/>
            <w:vAlign w:val="center"/>
          </w:tcPr>
          <w:p w14:paraId="09754FB3">
            <w:pPr>
              <w:jc w:val="center"/>
              <w:rPr>
                <w:rFonts w:ascii="宋体"/>
                <w:bCs/>
              </w:rPr>
            </w:pPr>
          </w:p>
        </w:tc>
      </w:tr>
      <w:tr w14:paraId="1D56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516" w:type="dxa"/>
            <w:vMerge w:val="continue"/>
            <w:vAlign w:val="center"/>
          </w:tcPr>
          <w:p w14:paraId="5986970B">
            <w:pPr>
              <w:jc w:val="center"/>
              <w:rPr>
                <w:rFonts w:ascii="宋体"/>
                <w:bCs/>
              </w:rPr>
            </w:pPr>
          </w:p>
        </w:tc>
        <w:tc>
          <w:tcPr>
            <w:tcW w:w="6345" w:type="dxa"/>
            <w:vAlign w:val="center"/>
          </w:tcPr>
          <w:p w14:paraId="439C3612">
            <w:pPr>
              <w:jc w:val="left"/>
              <w:rPr>
                <w:rFonts w:ascii="宋体"/>
                <w:bCs/>
              </w:rPr>
            </w:pPr>
            <w:r>
              <w:rPr>
                <w:rFonts w:hint="eastAsia" w:ascii="宋体" w:hAnsi="宋体"/>
                <w:b/>
              </w:rPr>
              <w:t>投标有效期：</w:t>
            </w:r>
            <w:r>
              <w:rPr>
                <w:rFonts w:hint="eastAsia" w:ascii="宋体" w:hAnsi="宋体"/>
                <w:bCs/>
              </w:rPr>
              <w:t>不少于</w:t>
            </w:r>
            <w:r>
              <w:rPr>
                <w:rFonts w:ascii="宋体" w:hAnsi="宋体"/>
                <w:bCs/>
              </w:rPr>
              <w:t>90</w:t>
            </w:r>
            <w:r>
              <w:rPr>
                <w:rFonts w:hint="eastAsia" w:ascii="宋体" w:hAnsi="宋体"/>
                <w:bCs/>
              </w:rPr>
              <w:t>日历天</w:t>
            </w:r>
          </w:p>
        </w:tc>
        <w:tc>
          <w:tcPr>
            <w:tcW w:w="795" w:type="dxa"/>
            <w:vAlign w:val="center"/>
          </w:tcPr>
          <w:p w14:paraId="07B9D0CF">
            <w:pPr>
              <w:jc w:val="center"/>
              <w:rPr>
                <w:rFonts w:ascii="宋体"/>
                <w:bCs/>
              </w:rPr>
            </w:pPr>
          </w:p>
        </w:tc>
        <w:tc>
          <w:tcPr>
            <w:tcW w:w="795" w:type="dxa"/>
            <w:vAlign w:val="center"/>
          </w:tcPr>
          <w:p w14:paraId="3D60B7C7">
            <w:pPr>
              <w:jc w:val="center"/>
              <w:rPr>
                <w:rFonts w:ascii="宋体"/>
                <w:bCs/>
              </w:rPr>
            </w:pPr>
          </w:p>
        </w:tc>
        <w:tc>
          <w:tcPr>
            <w:tcW w:w="687" w:type="dxa"/>
            <w:vAlign w:val="center"/>
          </w:tcPr>
          <w:p w14:paraId="51B7AD20">
            <w:pPr>
              <w:jc w:val="center"/>
              <w:rPr>
                <w:rFonts w:ascii="宋体"/>
                <w:bCs/>
              </w:rPr>
            </w:pPr>
          </w:p>
        </w:tc>
      </w:tr>
      <w:tr w14:paraId="4D17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16" w:type="dxa"/>
            <w:vMerge w:val="continue"/>
            <w:vAlign w:val="center"/>
          </w:tcPr>
          <w:p w14:paraId="79E3CAA3">
            <w:pPr>
              <w:jc w:val="center"/>
              <w:rPr>
                <w:rFonts w:ascii="宋体"/>
                <w:bCs/>
              </w:rPr>
            </w:pPr>
          </w:p>
        </w:tc>
        <w:tc>
          <w:tcPr>
            <w:tcW w:w="6345" w:type="dxa"/>
            <w:vAlign w:val="center"/>
          </w:tcPr>
          <w:p w14:paraId="53D1FFD9">
            <w:pPr>
              <w:jc w:val="left"/>
              <w:rPr>
                <w:rFonts w:hint="default" w:ascii="宋体" w:hAnsi="宋体" w:eastAsia="宋体" w:cs="Calibri"/>
                <w:bCs/>
                <w:kern w:val="2"/>
                <w:sz w:val="21"/>
                <w:szCs w:val="21"/>
                <w:lang w:val="en-US" w:eastAsia="zh-CN" w:bidi="ar-SA"/>
              </w:rPr>
            </w:pPr>
            <w:r>
              <w:rPr>
                <w:rFonts w:hint="eastAsia" w:ascii="宋体" w:hAnsi="宋体" w:cs="Calibri"/>
                <w:bCs/>
                <w:kern w:val="2"/>
                <w:sz w:val="21"/>
                <w:szCs w:val="21"/>
                <w:lang w:val="en-US" w:eastAsia="zh-CN" w:bidi="ar-SA"/>
              </w:rPr>
              <w:t>采购文件中“</w:t>
            </w:r>
            <w:r>
              <w:rPr>
                <w:rFonts w:hint="eastAsia" w:ascii="宋体" w:hAnsi="宋体" w:eastAsia="宋体" w:cs="宋体"/>
                <w:bCs/>
                <w:kern w:val="2"/>
                <w:sz w:val="21"/>
                <w:szCs w:val="21"/>
                <w:lang w:val="en-US" w:eastAsia="zh-CN" w:bidi="ar-SA"/>
              </w:rPr>
              <w:t>▲</w:t>
            </w:r>
            <w:r>
              <w:rPr>
                <w:rFonts w:hint="eastAsia" w:ascii="宋体" w:hAnsi="宋体" w:cs="Calibri"/>
                <w:bCs/>
                <w:kern w:val="2"/>
                <w:sz w:val="21"/>
                <w:szCs w:val="21"/>
                <w:lang w:val="en-US" w:eastAsia="zh-CN" w:bidi="ar-SA"/>
              </w:rPr>
              <w:t>”部分响应情况，详见采购需求</w:t>
            </w:r>
          </w:p>
        </w:tc>
        <w:tc>
          <w:tcPr>
            <w:tcW w:w="795" w:type="dxa"/>
            <w:vAlign w:val="center"/>
          </w:tcPr>
          <w:p w14:paraId="5700500F">
            <w:pPr>
              <w:jc w:val="center"/>
              <w:rPr>
                <w:rFonts w:ascii="宋体" w:hAnsi="Calibri" w:eastAsia="宋体" w:cs="Calibri"/>
                <w:bCs/>
                <w:kern w:val="2"/>
                <w:sz w:val="21"/>
                <w:szCs w:val="21"/>
                <w:lang w:val="en-US" w:eastAsia="zh-CN" w:bidi="ar-SA"/>
              </w:rPr>
            </w:pPr>
          </w:p>
        </w:tc>
        <w:tc>
          <w:tcPr>
            <w:tcW w:w="795" w:type="dxa"/>
            <w:vAlign w:val="center"/>
          </w:tcPr>
          <w:p w14:paraId="0AE9BD8A">
            <w:pPr>
              <w:jc w:val="center"/>
              <w:rPr>
                <w:rFonts w:ascii="宋体" w:hAnsi="Calibri" w:eastAsia="宋体" w:cs="Calibri"/>
                <w:bCs/>
                <w:kern w:val="2"/>
                <w:sz w:val="21"/>
                <w:szCs w:val="21"/>
                <w:lang w:val="en-US" w:eastAsia="zh-CN" w:bidi="ar-SA"/>
              </w:rPr>
            </w:pPr>
          </w:p>
        </w:tc>
        <w:tc>
          <w:tcPr>
            <w:tcW w:w="687" w:type="dxa"/>
            <w:vAlign w:val="center"/>
          </w:tcPr>
          <w:p w14:paraId="1EC55D81">
            <w:pPr>
              <w:jc w:val="center"/>
              <w:rPr>
                <w:rFonts w:ascii="宋体" w:hAnsi="Calibri" w:eastAsia="宋体" w:cs="Calibri"/>
                <w:bCs/>
                <w:kern w:val="2"/>
                <w:sz w:val="21"/>
                <w:szCs w:val="21"/>
                <w:lang w:val="en-US" w:eastAsia="zh-CN" w:bidi="ar-SA"/>
              </w:rPr>
            </w:pPr>
          </w:p>
        </w:tc>
      </w:tr>
      <w:tr w14:paraId="1EC7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16" w:type="dxa"/>
            <w:vMerge w:val="continue"/>
            <w:vAlign w:val="center"/>
          </w:tcPr>
          <w:p w14:paraId="0A0664C6">
            <w:pPr>
              <w:jc w:val="center"/>
              <w:rPr>
                <w:rFonts w:ascii="宋体"/>
                <w:bCs/>
              </w:rPr>
            </w:pPr>
          </w:p>
        </w:tc>
        <w:tc>
          <w:tcPr>
            <w:tcW w:w="6345" w:type="dxa"/>
            <w:vAlign w:val="center"/>
          </w:tcPr>
          <w:p w14:paraId="3963601B">
            <w:pPr>
              <w:jc w:val="left"/>
              <w:rPr>
                <w:rFonts w:hint="eastAsia" w:ascii="宋体" w:hAnsi="宋体" w:eastAsia="宋体" w:cs="Calibri"/>
                <w:bCs/>
                <w:kern w:val="2"/>
                <w:sz w:val="21"/>
                <w:szCs w:val="21"/>
                <w:lang w:val="en-US" w:eastAsia="zh-CN" w:bidi="ar-SA"/>
              </w:rPr>
            </w:pPr>
            <w:r>
              <w:rPr>
                <w:rFonts w:hint="eastAsia" w:ascii="宋体" w:hAnsi="宋体"/>
                <w:bCs/>
              </w:rPr>
              <w:t>合同条款要求</w:t>
            </w:r>
          </w:p>
        </w:tc>
        <w:tc>
          <w:tcPr>
            <w:tcW w:w="795" w:type="dxa"/>
            <w:vAlign w:val="center"/>
          </w:tcPr>
          <w:p w14:paraId="2B9D8A03">
            <w:pPr>
              <w:jc w:val="center"/>
              <w:rPr>
                <w:rFonts w:ascii="宋体" w:hAnsi="Calibri" w:eastAsia="宋体" w:cs="Calibri"/>
                <w:bCs/>
                <w:kern w:val="2"/>
                <w:sz w:val="21"/>
                <w:szCs w:val="21"/>
                <w:lang w:val="en-US" w:eastAsia="zh-CN" w:bidi="ar-SA"/>
              </w:rPr>
            </w:pPr>
          </w:p>
        </w:tc>
        <w:tc>
          <w:tcPr>
            <w:tcW w:w="795" w:type="dxa"/>
            <w:vAlign w:val="center"/>
          </w:tcPr>
          <w:p w14:paraId="7C64D51F">
            <w:pPr>
              <w:jc w:val="center"/>
              <w:rPr>
                <w:rFonts w:ascii="宋体" w:hAnsi="Calibri" w:eastAsia="宋体" w:cs="Calibri"/>
                <w:bCs/>
                <w:kern w:val="2"/>
                <w:sz w:val="21"/>
                <w:szCs w:val="21"/>
                <w:lang w:val="en-US" w:eastAsia="zh-CN" w:bidi="ar-SA"/>
              </w:rPr>
            </w:pPr>
          </w:p>
        </w:tc>
        <w:tc>
          <w:tcPr>
            <w:tcW w:w="687" w:type="dxa"/>
            <w:vAlign w:val="center"/>
          </w:tcPr>
          <w:p w14:paraId="5C21C1EE">
            <w:pPr>
              <w:jc w:val="center"/>
              <w:rPr>
                <w:rFonts w:ascii="宋体" w:hAnsi="Calibri" w:eastAsia="宋体" w:cs="Calibri"/>
                <w:bCs/>
                <w:kern w:val="2"/>
                <w:sz w:val="21"/>
                <w:szCs w:val="21"/>
                <w:lang w:val="en-US" w:eastAsia="zh-CN" w:bidi="ar-SA"/>
              </w:rPr>
            </w:pPr>
          </w:p>
        </w:tc>
      </w:tr>
      <w:tr w14:paraId="5B36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16" w:type="dxa"/>
            <w:vMerge w:val="continue"/>
            <w:vAlign w:val="center"/>
          </w:tcPr>
          <w:p w14:paraId="0C397B0D">
            <w:pPr>
              <w:jc w:val="center"/>
              <w:rPr>
                <w:rFonts w:ascii="宋体"/>
                <w:bCs/>
              </w:rPr>
            </w:pPr>
          </w:p>
        </w:tc>
        <w:tc>
          <w:tcPr>
            <w:tcW w:w="6345" w:type="dxa"/>
            <w:vAlign w:val="center"/>
          </w:tcPr>
          <w:p w14:paraId="6CDA4228">
            <w:pPr>
              <w:jc w:val="left"/>
              <w:rPr>
                <w:rFonts w:hint="eastAsia" w:ascii="宋体" w:hAnsi="Calibri" w:eastAsia="宋体" w:cs="Calibri"/>
                <w:bCs/>
                <w:kern w:val="2"/>
                <w:sz w:val="21"/>
                <w:szCs w:val="21"/>
                <w:lang w:val="en-US" w:eastAsia="zh-CN" w:bidi="ar-SA"/>
              </w:rPr>
            </w:pPr>
            <w:r>
              <w:rPr>
                <w:rFonts w:hint="eastAsia" w:ascii="宋体" w:hAnsi="宋体"/>
                <w:bCs/>
              </w:rPr>
              <w:t>报价内容涵盖报价要求之一切费用和伴随服务</w:t>
            </w:r>
          </w:p>
        </w:tc>
        <w:tc>
          <w:tcPr>
            <w:tcW w:w="795" w:type="dxa"/>
            <w:vAlign w:val="center"/>
          </w:tcPr>
          <w:p w14:paraId="4FEF6625">
            <w:pPr>
              <w:jc w:val="center"/>
              <w:rPr>
                <w:rFonts w:ascii="宋体" w:hAnsi="Calibri" w:eastAsia="宋体" w:cs="Calibri"/>
                <w:bCs/>
                <w:kern w:val="2"/>
                <w:sz w:val="21"/>
                <w:szCs w:val="21"/>
                <w:lang w:val="en-US" w:eastAsia="zh-CN" w:bidi="ar-SA"/>
              </w:rPr>
            </w:pPr>
          </w:p>
        </w:tc>
        <w:tc>
          <w:tcPr>
            <w:tcW w:w="795" w:type="dxa"/>
            <w:vAlign w:val="center"/>
          </w:tcPr>
          <w:p w14:paraId="0412441B">
            <w:pPr>
              <w:jc w:val="center"/>
              <w:rPr>
                <w:rFonts w:ascii="宋体" w:hAnsi="Calibri" w:eastAsia="宋体" w:cs="Calibri"/>
                <w:bCs/>
                <w:kern w:val="2"/>
                <w:sz w:val="21"/>
                <w:szCs w:val="21"/>
                <w:lang w:val="en-US" w:eastAsia="zh-CN" w:bidi="ar-SA"/>
              </w:rPr>
            </w:pPr>
          </w:p>
        </w:tc>
        <w:tc>
          <w:tcPr>
            <w:tcW w:w="687" w:type="dxa"/>
            <w:vAlign w:val="center"/>
          </w:tcPr>
          <w:p w14:paraId="4DD2E777">
            <w:pPr>
              <w:jc w:val="center"/>
              <w:rPr>
                <w:rFonts w:ascii="宋体" w:hAnsi="Calibri" w:eastAsia="宋体" w:cs="Calibri"/>
                <w:bCs/>
                <w:kern w:val="2"/>
                <w:sz w:val="21"/>
                <w:szCs w:val="21"/>
                <w:lang w:val="en-US" w:eastAsia="zh-CN" w:bidi="ar-SA"/>
              </w:rPr>
            </w:pPr>
          </w:p>
        </w:tc>
      </w:tr>
      <w:tr w14:paraId="75FC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16" w:type="dxa"/>
            <w:vMerge w:val="continue"/>
            <w:vAlign w:val="center"/>
          </w:tcPr>
          <w:p w14:paraId="16B69DFC">
            <w:pPr>
              <w:jc w:val="center"/>
              <w:rPr>
                <w:rFonts w:ascii="宋体"/>
                <w:bCs/>
              </w:rPr>
            </w:pPr>
          </w:p>
        </w:tc>
        <w:tc>
          <w:tcPr>
            <w:tcW w:w="6345" w:type="dxa"/>
            <w:vAlign w:val="center"/>
          </w:tcPr>
          <w:p w14:paraId="0039F584">
            <w:pPr>
              <w:jc w:val="left"/>
              <w:rPr>
                <w:rFonts w:ascii="宋体" w:hAnsi="Calibri" w:eastAsia="宋体" w:cs="Calibri"/>
                <w:bCs/>
                <w:kern w:val="2"/>
                <w:sz w:val="21"/>
                <w:szCs w:val="21"/>
                <w:lang w:val="en-US" w:eastAsia="zh-CN" w:bidi="ar-SA"/>
              </w:rPr>
            </w:pPr>
            <w:r>
              <w:rPr>
                <w:rFonts w:hint="eastAsia" w:ascii="宋体" w:hAnsi="宋体"/>
                <w:bCs/>
              </w:rPr>
              <w:t>其他商务条款偏离情况</w:t>
            </w:r>
          </w:p>
        </w:tc>
        <w:tc>
          <w:tcPr>
            <w:tcW w:w="795" w:type="dxa"/>
            <w:vAlign w:val="center"/>
          </w:tcPr>
          <w:p w14:paraId="5D7E6FBA">
            <w:pPr>
              <w:jc w:val="center"/>
              <w:rPr>
                <w:rFonts w:ascii="宋体" w:hAnsi="Calibri" w:eastAsia="宋体" w:cs="Calibri"/>
                <w:bCs/>
                <w:kern w:val="2"/>
                <w:sz w:val="21"/>
                <w:szCs w:val="21"/>
                <w:lang w:val="en-US" w:eastAsia="zh-CN" w:bidi="ar-SA"/>
              </w:rPr>
            </w:pPr>
          </w:p>
        </w:tc>
        <w:tc>
          <w:tcPr>
            <w:tcW w:w="795" w:type="dxa"/>
            <w:vAlign w:val="center"/>
          </w:tcPr>
          <w:p w14:paraId="1044585E">
            <w:pPr>
              <w:jc w:val="center"/>
              <w:rPr>
                <w:rFonts w:ascii="宋体" w:hAnsi="Calibri" w:eastAsia="宋体" w:cs="Calibri"/>
                <w:bCs/>
                <w:kern w:val="2"/>
                <w:sz w:val="21"/>
                <w:szCs w:val="21"/>
                <w:lang w:val="en-US" w:eastAsia="zh-CN" w:bidi="ar-SA"/>
              </w:rPr>
            </w:pPr>
          </w:p>
        </w:tc>
        <w:tc>
          <w:tcPr>
            <w:tcW w:w="687" w:type="dxa"/>
            <w:vAlign w:val="center"/>
          </w:tcPr>
          <w:p w14:paraId="1AA05A14">
            <w:pPr>
              <w:jc w:val="center"/>
              <w:rPr>
                <w:rFonts w:ascii="宋体" w:hAnsi="Calibri" w:eastAsia="宋体" w:cs="Calibri"/>
                <w:bCs/>
                <w:kern w:val="2"/>
                <w:sz w:val="21"/>
                <w:szCs w:val="21"/>
                <w:lang w:val="en-US" w:eastAsia="zh-CN" w:bidi="ar-SA"/>
              </w:rPr>
            </w:pPr>
          </w:p>
        </w:tc>
      </w:tr>
      <w:tr w14:paraId="4F9F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16" w:type="dxa"/>
            <w:vMerge w:val="continue"/>
            <w:vAlign w:val="center"/>
          </w:tcPr>
          <w:p w14:paraId="29985966">
            <w:pPr>
              <w:jc w:val="center"/>
              <w:rPr>
                <w:rFonts w:ascii="宋体"/>
                <w:bCs/>
              </w:rPr>
            </w:pPr>
          </w:p>
        </w:tc>
        <w:tc>
          <w:tcPr>
            <w:tcW w:w="6345" w:type="dxa"/>
            <w:vAlign w:val="center"/>
          </w:tcPr>
          <w:p w14:paraId="34A7C3BE">
            <w:pPr>
              <w:jc w:val="center"/>
              <w:rPr>
                <w:rFonts w:ascii="宋体" w:hAnsi="Calibri" w:eastAsia="宋体" w:cs="Calibri"/>
                <w:bCs/>
                <w:kern w:val="2"/>
                <w:sz w:val="21"/>
                <w:szCs w:val="21"/>
                <w:lang w:val="en-US" w:eastAsia="zh-CN" w:bidi="ar-SA"/>
              </w:rPr>
            </w:pPr>
            <w:r>
              <w:rPr>
                <w:rFonts w:hint="eastAsia" w:ascii="宋体"/>
                <w:bCs/>
              </w:rPr>
              <w:t>……</w:t>
            </w:r>
          </w:p>
        </w:tc>
        <w:tc>
          <w:tcPr>
            <w:tcW w:w="795" w:type="dxa"/>
            <w:vAlign w:val="center"/>
          </w:tcPr>
          <w:p w14:paraId="71972D92">
            <w:pPr>
              <w:jc w:val="center"/>
              <w:rPr>
                <w:rFonts w:ascii="宋体" w:hAnsi="Calibri" w:eastAsia="宋体" w:cs="Calibri"/>
                <w:bCs/>
                <w:kern w:val="2"/>
                <w:sz w:val="21"/>
                <w:szCs w:val="21"/>
                <w:lang w:val="en-US" w:eastAsia="zh-CN" w:bidi="ar-SA"/>
              </w:rPr>
            </w:pPr>
          </w:p>
        </w:tc>
        <w:tc>
          <w:tcPr>
            <w:tcW w:w="795" w:type="dxa"/>
            <w:vAlign w:val="center"/>
          </w:tcPr>
          <w:p w14:paraId="19047A93">
            <w:pPr>
              <w:jc w:val="center"/>
              <w:rPr>
                <w:rFonts w:ascii="宋体" w:hAnsi="Calibri" w:eastAsia="宋体" w:cs="Calibri"/>
                <w:bCs/>
                <w:kern w:val="2"/>
                <w:sz w:val="21"/>
                <w:szCs w:val="21"/>
                <w:lang w:val="en-US" w:eastAsia="zh-CN" w:bidi="ar-SA"/>
              </w:rPr>
            </w:pPr>
          </w:p>
        </w:tc>
        <w:tc>
          <w:tcPr>
            <w:tcW w:w="687" w:type="dxa"/>
            <w:vAlign w:val="center"/>
          </w:tcPr>
          <w:p w14:paraId="55B9BD5D">
            <w:pPr>
              <w:jc w:val="center"/>
              <w:rPr>
                <w:rFonts w:ascii="宋体" w:hAnsi="Calibri" w:eastAsia="宋体" w:cs="Calibri"/>
                <w:bCs/>
                <w:kern w:val="2"/>
                <w:sz w:val="21"/>
                <w:szCs w:val="21"/>
                <w:lang w:val="en-US" w:eastAsia="zh-CN" w:bidi="ar-SA"/>
              </w:rPr>
            </w:pPr>
          </w:p>
        </w:tc>
      </w:tr>
      <w:tr w14:paraId="3309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16" w:type="dxa"/>
            <w:vMerge w:val="continue"/>
            <w:vAlign w:val="center"/>
          </w:tcPr>
          <w:p w14:paraId="14B39A2D">
            <w:pPr>
              <w:jc w:val="center"/>
              <w:rPr>
                <w:rFonts w:ascii="宋体"/>
                <w:bCs/>
              </w:rPr>
            </w:pPr>
          </w:p>
        </w:tc>
        <w:tc>
          <w:tcPr>
            <w:tcW w:w="6345" w:type="dxa"/>
            <w:vAlign w:val="center"/>
          </w:tcPr>
          <w:p w14:paraId="6DB8EAAF">
            <w:pPr>
              <w:jc w:val="center"/>
              <w:rPr>
                <w:rFonts w:ascii="宋体"/>
                <w:bCs/>
              </w:rPr>
            </w:pPr>
          </w:p>
        </w:tc>
        <w:tc>
          <w:tcPr>
            <w:tcW w:w="795" w:type="dxa"/>
            <w:vAlign w:val="center"/>
          </w:tcPr>
          <w:p w14:paraId="3D4D5E2E">
            <w:pPr>
              <w:jc w:val="center"/>
              <w:rPr>
                <w:rFonts w:ascii="宋体"/>
                <w:bCs/>
              </w:rPr>
            </w:pPr>
          </w:p>
        </w:tc>
        <w:tc>
          <w:tcPr>
            <w:tcW w:w="795" w:type="dxa"/>
            <w:vAlign w:val="center"/>
          </w:tcPr>
          <w:p w14:paraId="6FF76D5C">
            <w:pPr>
              <w:jc w:val="center"/>
              <w:rPr>
                <w:rFonts w:ascii="宋体"/>
                <w:bCs/>
              </w:rPr>
            </w:pPr>
          </w:p>
        </w:tc>
        <w:tc>
          <w:tcPr>
            <w:tcW w:w="687" w:type="dxa"/>
            <w:vAlign w:val="center"/>
          </w:tcPr>
          <w:p w14:paraId="55E397B4">
            <w:pPr>
              <w:jc w:val="center"/>
              <w:rPr>
                <w:rFonts w:ascii="宋体"/>
                <w:bCs/>
              </w:rPr>
            </w:pPr>
          </w:p>
        </w:tc>
      </w:tr>
    </w:tbl>
    <w:p w14:paraId="200DA4D9">
      <w:pPr>
        <w:snapToGrid w:val="0"/>
        <w:spacing w:before="50" w:after="50"/>
        <w:rPr>
          <w:rFonts w:hint="eastAsia" w:ascii="宋体" w:hAnsi="宋体" w:cs="宋体"/>
          <w:highlight w:val="none"/>
        </w:rPr>
      </w:pPr>
    </w:p>
    <w:p w14:paraId="5890794E">
      <w:pPr>
        <w:snapToGrid w:val="0"/>
        <w:spacing w:before="50" w:after="50"/>
        <w:rPr>
          <w:rFonts w:hint="eastAsia" w:ascii="宋体" w:hAnsi="宋体" w:cs="宋体"/>
          <w:highlight w:val="none"/>
        </w:rPr>
      </w:pPr>
    </w:p>
    <w:p w14:paraId="50DA5229">
      <w:pPr>
        <w:snapToGrid w:val="0"/>
        <w:spacing w:before="50" w:after="50"/>
        <w:rPr>
          <w:rFonts w:hint="eastAsia" w:ascii="宋体" w:hAnsi="宋体" w:cs="宋体"/>
          <w:highlight w:val="none"/>
        </w:rPr>
      </w:pPr>
    </w:p>
    <w:p w14:paraId="7E02D407">
      <w:pPr>
        <w:autoSpaceDE w:val="0"/>
        <w:autoSpaceDN w:val="0"/>
        <w:adjustRightInd w:val="0"/>
        <w:spacing w:line="360" w:lineRule="auto"/>
        <w:jc w:val="center"/>
        <w:rPr>
          <w:rFonts w:ascii="宋体" w:cs="宋体"/>
          <w:highlight w:val="none"/>
          <w:lang w:val="zh-CN"/>
        </w:rPr>
      </w:pPr>
      <w:r>
        <w:rPr>
          <w:rFonts w:hint="eastAsia" w:ascii="宋体" w:hAnsi="宋体" w:cs="宋体"/>
          <w:highlight w:val="none"/>
          <w:lang w:val="en-US" w:eastAsia="zh-CN"/>
        </w:rPr>
        <w:t xml:space="preserve">                                  </w:t>
      </w:r>
      <w:r>
        <w:rPr>
          <w:rFonts w:hint="eastAsia" w:ascii="宋体" w:hAnsi="宋体" w:cs="宋体"/>
          <w:highlight w:val="none"/>
          <w:lang w:val="zh-CN"/>
        </w:rPr>
        <w:t>投标人（公章）：</w:t>
      </w:r>
    </w:p>
    <w:p w14:paraId="05A8CDB7">
      <w:pPr>
        <w:autoSpaceDE w:val="0"/>
        <w:autoSpaceDN w:val="0"/>
        <w:adjustRightInd w:val="0"/>
        <w:spacing w:line="360" w:lineRule="auto"/>
        <w:ind w:right="502" w:rightChars="239"/>
        <w:jc w:val="right"/>
        <w:rPr>
          <w:rFonts w:ascii="宋体" w:cs="宋体"/>
          <w:highlight w:val="none"/>
          <w:lang w:val="zh-CN"/>
        </w:rPr>
      </w:pPr>
      <w:r>
        <w:rPr>
          <w:rFonts w:hint="eastAsia" w:ascii="宋体" w:hAnsi="宋体" w:cs="宋体"/>
          <w:highlight w:val="none"/>
          <w:lang w:val="en-US" w:eastAsia="zh-CN"/>
        </w:rPr>
        <w:t xml:space="preserve">  </w:t>
      </w:r>
      <w:r>
        <w:rPr>
          <w:rFonts w:hint="eastAsia" w:ascii="宋体" w:hAnsi="宋体" w:cs="宋体"/>
          <w:highlight w:val="none"/>
          <w:lang w:val="zh-CN"/>
        </w:rPr>
        <w:t>法定代表人（签字或盖章）：</w:t>
      </w:r>
    </w:p>
    <w:p w14:paraId="67B728A0">
      <w:pPr>
        <w:autoSpaceDE w:val="0"/>
        <w:autoSpaceDN w:val="0"/>
        <w:adjustRightInd w:val="0"/>
        <w:spacing w:line="360" w:lineRule="auto"/>
        <w:ind w:firstLine="7035" w:firstLineChars="3350"/>
        <w:jc w:val="left"/>
        <w:rPr>
          <w:rFonts w:ascii="宋体" w:hAnsi="宋体" w:cs="宋体"/>
          <w:highlight w:val="none"/>
          <w:lang w:val="zh-CN"/>
        </w:rPr>
      </w:pPr>
      <w:r>
        <w:rPr>
          <w:rFonts w:hint="eastAsia" w:ascii="宋体" w:hAnsi="宋体" w:cs="宋体"/>
          <w:highlight w:val="none"/>
          <w:lang w:val="zh-CN"/>
        </w:rPr>
        <w:t>年月日</w:t>
      </w:r>
    </w:p>
    <w:p w14:paraId="5331BCEC">
      <w:pPr>
        <w:pStyle w:val="164"/>
        <w:spacing w:line="400" w:lineRule="atLeast"/>
        <w:ind w:left="537" w:hanging="537" w:hangingChars="243"/>
        <w:rPr>
          <w:rFonts w:hAnsi="宋体" w:eastAsia="宋体"/>
          <w:b/>
          <w:sz w:val="22"/>
          <w:szCs w:val="22"/>
          <w:highlight w:val="none"/>
        </w:rPr>
      </w:pPr>
      <w:r>
        <w:rPr>
          <w:rFonts w:hAnsi="宋体" w:eastAsia="宋体"/>
          <w:b/>
          <w:sz w:val="22"/>
          <w:szCs w:val="22"/>
          <w:highlight w:val="none"/>
        </w:rPr>
        <w:t>注： 如有偏离，必须在偏离表中进行详细对比说明并注明正偏离（负偏离），如此表不填或填写为无偏离或不说明偏离情况，视为完全响应招标文件要求。</w:t>
      </w:r>
    </w:p>
    <w:p w14:paraId="2852D63E">
      <w:pPr>
        <w:pStyle w:val="111"/>
        <w:rPr>
          <w:highlight w:val="none"/>
        </w:rPr>
      </w:pPr>
    </w:p>
    <w:p w14:paraId="4B07B2A6">
      <w:pPr>
        <w:spacing w:line="360" w:lineRule="auto"/>
        <w:jc w:val="center"/>
        <w:rPr>
          <w:rFonts w:ascii="Times New Roman" w:hAnsi="Times New Roman" w:cs="宋体"/>
          <w:b/>
          <w:bCs/>
          <w:spacing w:val="-4"/>
          <w:kern w:val="0"/>
          <w:highlight w:val="none"/>
          <w:lang w:val="zh-CN"/>
        </w:rPr>
      </w:pPr>
      <w:r>
        <w:rPr>
          <w:rFonts w:hint="eastAsia" w:ascii="Times New Roman" w:hAnsi="Times New Roman" w:cs="宋体"/>
          <w:b/>
          <w:bCs/>
          <w:spacing w:val="-4"/>
          <w:kern w:val="0"/>
          <w:highlight w:val="none"/>
          <w:lang w:val="en-US" w:eastAsia="zh-CN"/>
        </w:rPr>
        <w:t>10</w:t>
      </w:r>
      <w:r>
        <w:rPr>
          <w:rFonts w:hint="eastAsia" w:ascii="Times New Roman" w:hAnsi="Times New Roman" w:cs="宋体"/>
          <w:b/>
          <w:bCs/>
          <w:spacing w:val="-4"/>
          <w:kern w:val="0"/>
          <w:highlight w:val="none"/>
        </w:rPr>
        <w:t>、</w:t>
      </w:r>
      <w:r>
        <w:rPr>
          <w:rFonts w:hint="eastAsia" w:ascii="Times New Roman" w:hAnsi="Times New Roman" w:cs="宋体"/>
          <w:b/>
          <w:bCs/>
          <w:spacing w:val="-4"/>
          <w:kern w:val="0"/>
          <w:highlight w:val="none"/>
          <w:lang w:val="zh-CN"/>
        </w:rPr>
        <w:t>认为需要的其他技术文件或说明</w:t>
      </w:r>
    </w:p>
    <w:p w14:paraId="605CE7D5">
      <w:pPr>
        <w:ind w:firstLine="210" w:firstLineChars="100"/>
        <w:jc w:val="center"/>
        <w:rPr>
          <w:rFonts w:ascii="Times New Roman" w:hAnsi="Times New Roman" w:cs="Times New Roman"/>
          <w:color w:val="000000" w:themeColor="text1"/>
          <w:highlight w:val="none"/>
        </w:rPr>
      </w:pPr>
      <w:r>
        <w:rPr>
          <w:rFonts w:hint="eastAsia" w:ascii="Times New Roman" w:hAnsi="Times New Roman" w:cs="Times New Roman"/>
          <w:color w:val="000000" w:themeColor="text1"/>
          <w:highlight w:val="none"/>
        </w:rPr>
        <w:t>如</w:t>
      </w:r>
      <w:r>
        <w:rPr>
          <w:rFonts w:hint="eastAsia" w:ascii="Times New Roman" w:hAnsi="Times New Roman"/>
          <w:szCs w:val="21"/>
          <w:highlight w:val="none"/>
          <w:lang w:val="en-US" w:eastAsia="zh-CN"/>
        </w:rPr>
        <w:t>保密制度</w:t>
      </w:r>
      <w:r>
        <w:rPr>
          <w:rFonts w:hint="eastAsia" w:ascii="Times New Roman" w:hAnsi="Times New Roman" w:cs="Times New Roman"/>
          <w:color w:val="000000" w:themeColor="text1"/>
          <w:highlight w:val="none"/>
        </w:rPr>
        <w:t>、</w:t>
      </w:r>
      <w:r>
        <w:rPr>
          <w:rFonts w:hint="eastAsia" w:ascii="Times New Roman" w:hAnsi="Times New Roman"/>
          <w:szCs w:val="21"/>
          <w:highlight w:val="none"/>
          <w:lang w:val="en-GB"/>
        </w:rPr>
        <w:t>成果保障措施</w:t>
      </w:r>
      <w:r>
        <w:rPr>
          <w:rFonts w:hint="eastAsia" w:ascii="Times New Roman" w:hAnsi="Times New Roman" w:cs="Times New Roman"/>
          <w:color w:val="000000" w:themeColor="text1"/>
          <w:highlight w:val="none"/>
        </w:rPr>
        <w:t>、</w:t>
      </w:r>
      <w:r>
        <w:rPr>
          <w:rFonts w:hint="eastAsia" w:ascii="Times New Roman" w:hAnsi="Times New Roman" w:cs="Times New Roman"/>
          <w:color w:val="000000"/>
          <w:highlight w:val="none"/>
          <w:lang w:val="en-US" w:eastAsia="zh-CN"/>
        </w:rPr>
        <w:t>进度安排</w:t>
      </w:r>
      <w:r>
        <w:rPr>
          <w:rFonts w:hint="eastAsia" w:ascii="Times New Roman" w:hAnsi="Times New Roman" w:cs="Times New Roman"/>
          <w:color w:val="000000" w:themeColor="text1"/>
          <w:highlight w:val="none"/>
        </w:rPr>
        <w:t>等</w:t>
      </w:r>
    </w:p>
    <w:p w14:paraId="59EC22DE">
      <w:pPr>
        <w:ind w:firstLine="210" w:firstLineChars="100"/>
        <w:jc w:val="center"/>
        <w:rPr>
          <w:rFonts w:ascii="Times New Roman" w:hAnsi="Times New Roman" w:cs="Times New Roman"/>
          <w:color w:val="000000" w:themeColor="text1"/>
          <w:highlight w:val="none"/>
        </w:rPr>
      </w:pPr>
      <w:r>
        <w:rPr>
          <w:rFonts w:hint="eastAsia" w:ascii="Times New Roman" w:hAnsi="Times New Roman" w:cs="Times New Roman"/>
          <w:color w:val="000000" w:themeColor="text1"/>
          <w:highlight w:val="none"/>
        </w:rPr>
        <w:t>（由投标人根据采购需求</w:t>
      </w:r>
      <w:r>
        <w:rPr>
          <w:rFonts w:hint="eastAsia" w:ascii="Times New Roman" w:hAnsi="Times New Roman" w:cs="Times New Roman"/>
          <w:color w:val="000000" w:themeColor="text1"/>
          <w:highlight w:val="none"/>
          <w:lang w:val="en-US" w:eastAsia="zh-CN"/>
        </w:rPr>
        <w:t>及评分标准</w:t>
      </w:r>
      <w:r>
        <w:rPr>
          <w:rFonts w:hint="eastAsia" w:ascii="Times New Roman" w:hAnsi="Times New Roman" w:cs="Times New Roman"/>
          <w:color w:val="000000" w:themeColor="text1"/>
          <w:highlight w:val="none"/>
        </w:rPr>
        <w:t>自行编制）</w:t>
      </w:r>
    </w:p>
    <w:p w14:paraId="1CC15F60">
      <w:pPr>
        <w:spacing w:line="360" w:lineRule="auto"/>
        <w:jc w:val="center"/>
        <w:rPr>
          <w:rFonts w:ascii="仿宋_GB2312" w:hAnsi="仿宋" w:eastAsia="仿宋_GB2312" w:cs="仿宋_GB2312"/>
          <w:sz w:val="24"/>
          <w:highlight w:val="none"/>
        </w:rPr>
      </w:pPr>
    </w:p>
    <w:p w14:paraId="306BCAA9">
      <w:pPr>
        <w:ind w:firstLine="210" w:firstLineChars="100"/>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投标人（盖章）：</w:t>
      </w:r>
    </w:p>
    <w:p w14:paraId="61D8B79B">
      <w:pPr>
        <w:ind w:firstLine="199" w:firstLineChars="95"/>
        <w:jc w:val="center"/>
        <w:rPr>
          <w:rFonts w:ascii="Times New Roman" w:hAnsi="Times New Roman" w:cs="Times New Roman"/>
          <w:color w:val="000000" w:themeColor="text1"/>
          <w:highlight w:val="none"/>
        </w:rPr>
      </w:pPr>
    </w:p>
    <w:p w14:paraId="707740F0">
      <w:pPr>
        <w:ind w:firstLine="199" w:firstLineChars="95"/>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日期：</w:t>
      </w:r>
    </w:p>
    <w:p w14:paraId="089ED3FF">
      <w:pPr>
        <w:snapToGrid w:val="0"/>
        <w:spacing w:before="50" w:afterLines="50" w:line="400" w:lineRule="exact"/>
        <w:rPr>
          <w:rFonts w:ascii="宋体"/>
          <w:b/>
          <w:bCs/>
          <w:highlight w:val="none"/>
        </w:rPr>
      </w:pPr>
      <w:r>
        <w:rPr>
          <w:rFonts w:hint="eastAsia" w:hAnsi="宋体"/>
          <w:b/>
          <w:bCs/>
          <w:spacing w:val="-4"/>
          <w:highlight w:val="none"/>
        </w:rPr>
        <w:t>1</w:t>
      </w:r>
      <w:r>
        <w:rPr>
          <w:rFonts w:hint="eastAsia" w:hAnsi="宋体"/>
          <w:b/>
          <w:bCs/>
          <w:spacing w:val="-4"/>
          <w:highlight w:val="none"/>
          <w:lang w:val="en-US" w:eastAsia="zh-CN"/>
        </w:rPr>
        <w:t>1</w:t>
      </w:r>
      <w:r>
        <w:rPr>
          <w:rFonts w:hint="eastAsia" w:ascii="宋体" w:hAnsi="宋体"/>
          <w:b/>
          <w:bCs/>
          <w:highlight w:val="none"/>
        </w:rPr>
        <w:t>、投标报价一览表</w:t>
      </w:r>
    </w:p>
    <w:p w14:paraId="6F71BEBF">
      <w:pPr>
        <w:snapToGrid w:val="0"/>
        <w:spacing w:before="50" w:after="50" w:line="360" w:lineRule="exact"/>
        <w:jc w:val="center"/>
        <w:rPr>
          <w:rFonts w:ascii="Times New Roman" w:hAnsi="Times New Roman" w:eastAsia="仿宋_GB2312" w:cs="Times New Roman"/>
          <w:b/>
          <w:bCs/>
          <w:color w:val="000000" w:themeColor="text1"/>
          <w:sz w:val="28"/>
          <w:szCs w:val="28"/>
          <w:highlight w:val="none"/>
        </w:rPr>
      </w:pPr>
      <w:r>
        <w:rPr>
          <w:rFonts w:ascii="Times New Roman" w:hAnsi="Times New Roman" w:eastAsia="仿宋_GB2312" w:cs="Times New Roman"/>
          <w:b/>
          <w:bCs/>
          <w:color w:val="000000" w:themeColor="text1"/>
          <w:sz w:val="28"/>
          <w:szCs w:val="28"/>
          <w:highlight w:val="none"/>
        </w:rPr>
        <w:t>报价一览表</w:t>
      </w:r>
    </w:p>
    <w:p w14:paraId="1553FF8F">
      <w:pPr>
        <w:pStyle w:val="3"/>
        <w:rPr>
          <w:rFonts w:ascii="Times New Roman" w:hAnsi="Times New Roman" w:cs="Times New Roman"/>
          <w:color w:val="000000" w:themeColor="text1"/>
          <w:highlight w:val="none"/>
        </w:rPr>
      </w:pPr>
    </w:p>
    <w:p w14:paraId="70C43A03">
      <w:pPr>
        <w:snapToGrid w:val="0"/>
        <w:spacing w:before="50" w:after="50" w:line="360" w:lineRule="exact"/>
        <w:ind w:firstLine="840" w:firstLineChars="400"/>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招标文件编号：</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38"/>
        <w:gridCol w:w="855"/>
        <w:gridCol w:w="856"/>
        <w:gridCol w:w="3957"/>
      </w:tblGrid>
      <w:tr w14:paraId="591B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49EAB988">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3D846F52">
            <w:pPr>
              <w:spacing w:line="400" w:lineRule="exact"/>
              <w:jc w:val="center"/>
              <w:rPr>
                <w:rFonts w:hint="eastAsia" w:ascii="宋体" w:hAnsi="宋体" w:cs="宋体"/>
                <w:szCs w:val="21"/>
                <w:highlight w:val="none"/>
              </w:rPr>
            </w:pPr>
            <w:r>
              <w:rPr>
                <w:rFonts w:hint="eastAsia" w:ascii="宋体" w:hAnsi="宋体" w:cs="宋体"/>
                <w:szCs w:val="21"/>
                <w:highlight w:val="none"/>
              </w:rPr>
              <w:t>项目名称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0748F05">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6AEB85EE">
            <w:pPr>
              <w:spacing w:line="400" w:lineRule="exact"/>
              <w:jc w:val="center"/>
              <w:rPr>
                <w:rFonts w:hint="eastAsia" w:ascii="宋体" w:hAnsi="宋体" w:cs="宋体"/>
                <w:szCs w:val="21"/>
                <w:highlight w:val="none"/>
              </w:rPr>
            </w:pPr>
            <w:r>
              <w:rPr>
                <w:rFonts w:hint="eastAsia" w:ascii="宋体" w:hAnsi="宋体" w:cs="宋体"/>
                <w:szCs w:val="21"/>
                <w:highlight w:val="none"/>
              </w:rPr>
              <w:t>单位</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78F01CDF">
            <w:pPr>
              <w:spacing w:line="400" w:lineRule="exact"/>
              <w:jc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投标</w:t>
            </w:r>
            <w:r>
              <w:rPr>
                <w:rFonts w:hint="eastAsia" w:ascii="宋体" w:hAnsi="宋体" w:cs="宋体"/>
                <w:szCs w:val="21"/>
                <w:highlight w:val="none"/>
                <w:lang w:bidi="ar"/>
              </w:rPr>
              <w:t>总价报价</w:t>
            </w: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人民币</w:t>
            </w:r>
            <w:r>
              <w:rPr>
                <w:rFonts w:hint="eastAsia" w:ascii="宋体" w:hAnsi="宋体" w:cs="宋体"/>
                <w:szCs w:val="21"/>
                <w:highlight w:val="none"/>
                <w:lang w:eastAsia="zh-CN" w:bidi="ar"/>
              </w:rPr>
              <w:t>）</w:t>
            </w:r>
          </w:p>
        </w:tc>
      </w:tr>
      <w:tr w14:paraId="3F45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vMerge w:val="restart"/>
            <w:tcBorders>
              <w:top w:val="single" w:color="auto" w:sz="4" w:space="0"/>
              <w:left w:val="single" w:color="auto" w:sz="4" w:space="0"/>
              <w:right w:val="single" w:color="auto" w:sz="4" w:space="0"/>
            </w:tcBorders>
            <w:noWrap w:val="0"/>
            <w:vAlign w:val="center"/>
          </w:tcPr>
          <w:p w14:paraId="1E91D7AB">
            <w:pPr>
              <w:spacing w:line="400" w:lineRule="exact"/>
              <w:jc w:val="center"/>
              <w:rPr>
                <w:rFonts w:hint="eastAsia" w:ascii="宋体" w:hAnsi="宋体" w:cs="宋体"/>
                <w:szCs w:val="21"/>
                <w:highlight w:val="none"/>
              </w:rPr>
            </w:pPr>
            <w:r>
              <w:rPr>
                <w:rFonts w:hint="eastAsia" w:ascii="宋体" w:hAnsi="宋体" w:cs="宋体"/>
                <w:szCs w:val="21"/>
                <w:highlight w:val="none"/>
              </w:rPr>
              <w:t>1</w:t>
            </w:r>
          </w:p>
        </w:tc>
        <w:tc>
          <w:tcPr>
            <w:tcW w:w="2538" w:type="dxa"/>
            <w:vMerge w:val="restart"/>
            <w:tcBorders>
              <w:top w:val="single" w:color="auto" w:sz="4" w:space="0"/>
              <w:left w:val="single" w:color="auto" w:sz="4" w:space="0"/>
              <w:right w:val="single" w:color="auto" w:sz="4" w:space="0"/>
            </w:tcBorders>
            <w:noWrap w:val="0"/>
            <w:vAlign w:val="center"/>
          </w:tcPr>
          <w:p w14:paraId="3ECECCD3">
            <w:pPr>
              <w:spacing w:line="400" w:lineRule="exact"/>
              <w:jc w:val="center"/>
              <w:rPr>
                <w:rFonts w:hint="eastAsia" w:ascii="宋体" w:hAnsi="宋体" w:cs="宋体"/>
                <w:szCs w:val="21"/>
                <w:highlight w:val="none"/>
              </w:rPr>
            </w:pPr>
            <w:r>
              <w:rPr>
                <w:rFonts w:hint="eastAsia" w:ascii="宋体" w:hAnsi="宋体" w:cs="宋体"/>
                <w:szCs w:val="21"/>
                <w:highlight w:val="none"/>
                <w:lang w:eastAsia="zh-CN"/>
              </w:rPr>
              <w:t>2025年杭州湾乐清湾滨海湿地变迁遥感调查项目</w:t>
            </w:r>
            <w:r>
              <w:rPr>
                <w:rFonts w:hint="eastAsia" w:ascii="宋体" w:hAnsi="宋体" w:cs="宋体"/>
                <w:szCs w:val="21"/>
                <w:highlight w:val="none"/>
              </w:rPr>
              <w:t xml:space="preserve"> </w:t>
            </w:r>
          </w:p>
        </w:tc>
        <w:tc>
          <w:tcPr>
            <w:tcW w:w="855" w:type="dxa"/>
            <w:vMerge w:val="restart"/>
            <w:tcBorders>
              <w:top w:val="single" w:color="auto" w:sz="4" w:space="0"/>
              <w:left w:val="single" w:color="auto" w:sz="4" w:space="0"/>
              <w:right w:val="single" w:color="auto" w:sz="4" w:space="0"/>
            </w:tcBorders>
            <w:noWrap w:val="0"/>
            <w:vAlign w:val="center"/>
          </w:tcPr>
          <w:p w14:paraId="7E4CFCCF">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856" w:type="dxa"/>
            <w:vMerge w:val="restart"/>
            <w:tcBorders>
              <w:top w:val="single" w:color="auto" w:sz="4" w:space="0"/>
              <w:left w:val="single" w:color="auto" w:sz="4" w:space="0"/>
              <w:right w:val="single" w:color="auto" w:sz="4" w:space="0"/>
            </w:tcBorders>
            <w:noWrap w:val="0"/>
            <w:vAlign w:val="center"/>
          </w:tcPr>
          <w:p w14:paraId="686B00FC">
            <w:pPr>
              <w:spacing w:line="360" w:lineRule="exact"/>
              <w:jc w:val="center"/>
              <w:rPr>
                <w:rFonts w:hint="eastAsia" w:ascii="宋体" w:hAnsi="宋体" w:cs="宋体"/>
                <w:szCs w:val="21"/>
                <w:highlight w:val="none"/>
              </w:rPr>
            </w:pPr>
            <w:r>
              <w:rPr>
                <w:rFonts w:hint="eastAsia" w:ascii="宋体" w:hAnsi="宋体" w:cs="宋体"/>
                <w:szCs w:val="21"/>
                <w:highlight w:val="none"/>
              </w:rPr>
              <w:t>项</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5371C95B">
            <w:pPr>
              <w:spacing w:line="400" w:lineRule="exact"/>
              <w:jc w:val="left"/>
              <w:rPr>
                <w:rFonts w:hint="eastAsia" w:ascii="宋体" w:hAnsi="宋体" w:cs="宋体"/>
                <w:szCs w:val="21"/>
                <w:highlight w:val="none"/>
                <w:lang w:bidi="ar"/>
              </w:rPr>
            </w:pPr>
            <w:r>
              <w:rPr>
                <w:rFonts w:hint="eastAsia" w:ascii="宋体" w:hAnsi="宋体" w:cs="宋体"/>
                <w:szCs w:val="21"/>
                <w:highlight w:val="none"/>
              </w:rPr>
              <w:t>大写：</w:t>
            </w:r>
          </w:p>
        </w:tc>
      </w:tr>
      <w:tr w14:paraId="3A00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vMerge w:val="continue"/>
            <w:tcBorders>
              <w:left w:val="single" w:color="auto" w:sz="4" w:space="0"/>
              <w:bottom w:val="single" w:color="auto" w:sz="4" w:space="0"/>
              <w:right w:val="single" w:color="auto" w:sz="4" w:space="0"/>
            </w:tcBorders>
            <w:noWrap w:val="0"/>
            <w:vAlign w:val="center"/>
          </w:tcPr>
          <w:p w14:paraId="44A6FFDE">
            <w:pPr>
              <w:spacing w:line="400" w:lineRule="exact"/>
              <w:jc w:val="center"/>
              <w:rPr>
                <w:rFonts w:hint="eastAsia" w:ascii="宋体" w:hAnsi="宋体" w:cs="宋体"/>
                <w:szCs w:val="21"/>
                <w:highlight w:val="none"/>
              </w:rPr>
            </w:pPr>
          </w:p>
        </w:tc>
        <w:tc>
          <w:tcPr>
            <w:tcW w:w="2538" w:type="dxa"/>
            <w:vMerge w:val="continue"/>
            <w:tcBorders>
              <w:left w:val="single" w:color="auto" w:sz="4" w:space="0"/>
              <w:bottom w:val="single" w:color="auto" w:sz="4" w:space="0"/>
              <w:right w:val="single" w:color="auto" w:sz="4" w:space="0"/>
            </w:tcBorders>
            <w:noWrap w:val="0"/>
            <w:vAlign w:val="center"/>
          </w:tcPr>
          <w:p w14:paraId="38E783D7">
            <w:pPr>
              <w:spacing w:line="400" w:lineRule="exact"/>
              <w:jc w:val="center"/>
              <w:rPr>
                <w:rFonts w:hint="eastAsia" w:ascii="宋体" w:hAnsi="宋体" w:cs="宋体"/>
                <w:szCs w:val="21"/>
                <w:highlight w:val="none"/>
              </w:rPr>
            </w:pPr>
          </w:p>
        </w:tc>
        <w:tc>
          <w:tcPr>
            <w:tcW w:w="855" w:type="dxa"/>
            <w:vMerge w:val="continue"/>
            <w:tcBorders>
              <w:left w:val="single" w:color="auto" w:sz="4" w:space="0"/>
              <w:bottom w:val="single" w:color="auto" w:sz="4" w:space="0"/>
              <w:right w:val="single" w:color="auto" w:sz="4" w:space="0"/>
            </w:tcBorders>
            <w:noWrap w:val="0"/>
            <w:vAlign w:val="center"/>
          </w:tcPr>
          <w:p w14:paraId="2FDD8EA2">
            <w:pPr>
              <w:spacing w:line="400" w:lineRule="exact"/>
              <w:jc w:val="center"/>
              <w:rPr>
                <w:rFonts w:hint="eastAsia" w:ascii="宋体" w:hAnsi="宋体" w:cs="宋体"/>
                <w:szCs w:val="21"/>
                <w:highlight w:val="none"/>
              </w:rPr>
            </w:pPr>
          </w:p>
        </w:tc>
        <w:tc>
          <w:tcPr>
            <w:tcW w:w="856" w:type="dxa"/>
            <w:vMerge w:val="continue"/>
            <w:tcBorders>
              <w:left w:val="single" w:color="auto" w:sz="4" w:space="0"/>
              <w:bottom w:val="single" w:color="auto" w:sz="4" w:space="0"/>
              <w:right w:val="single" w:color="auto" w:sz="4" w:space="0"/>
            </w:tcBorders>
            <w:noWrap w:val="0"/>
            <w:vAlign w:val="center"/>
          </w:tcPr>
          <w:p w14:paraId="090115C9">
            <w:pPr>
              <w:spacing w:line="400" w:lineRule="exact"/>
              <w:jc w:val="center"/>
              <w:rPr>
                <w:rFonts w:hint="eastAsia" w:ascii="宋体" w:hAnsi="宋体" w:cs="宋体"/>
                <w:szCs w:val="21"/>
                <w:highlight w:val="none"/>
              </w:rPr>
            </w:pPr>
          </w:p>
        </w:tc>
        <w:tc>
          <w:tcPr>
            <w:tcW w:w="3957" w:type="dxa"/>
            <w:tcBorders>
              <w:top w:val="single" w:color="auto" w:sz="4" w:space="0"/>
              <w:left w:val="single" w:color="auto" w:sz="4" w:space="0"/>
              <w:bottom w:val="single" w:color="auto" w:sz="4" w:space="0"/>
              <w:right w:val="single" w:color="auto" w:sz="4" w:space="0"/>
            </w:tcBorders>
            <w:noWrap w:val="0"/>
            <w:vAlign w:val="center"/>
          </w:tcPr>
          <w:p w14:paraId="7AA983FD">
            <w:pPr>
              <w:spacing w:line="400" w:lineRule="exact"/>
              <w:jc w:val="left"/>
              <w:rPr>
                <w:rFonts w:hint="eastAsia" w:ascii="宋体" w:hAnsi="宋体" w:cs="宋体"/>
                <w:szCs w:val="21"/>
                <w:highlight w:val="none"/>
                <w:lang w:bidi="ar"/>
              </w:rPr>
            </w:pPr>
            <w:r>
              <w:rPr>
                <w:rFonts w:hint="eastAsia" w:ascii="宋体" w:hAnsi="宋体" w:cs="宋体"/>
                <w:szCs w:val="21"/>
                <w:highlight w:val="none"/>
              </w:rPr>
              <w:t>小写：</w:t>
            </w:r>
          </w:p>
        </w:tc>
      </w:tr>
    </w:tbl>
    <w:p w14:paraId="7CBEED8E">
      <w:pPr>
        <w:rPr>
          <w:highlight w:val="none"/>
        </w:rPr>
      </w:pPr>
    </w:p>
    <w:p w14:paraId="5AB1CEAF">
      <w:pPr>
        <w:spacing w:line="360" w:lineRule="auto"/>
        <w:ind w:firstLine="420" w:firstLineChars="200"/>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 投标人须按要求填写所有信息，不得随意更改本表格式。</w:t>
      </w:r>
    </w:p>
    <w:p w14:paraId="3ADC99A8">
      <w:pPr>
        <w:spacing w:line="360" w:lineRule="auto"/>
        <w:ind w:firstLine="420" w:firstLineChars="200"/>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 所有价格均应</w:t>
      </w:r>
      <w:r>
        <w:rPr>
          <w:rFonts w:hint="eastAsia" w:ascii="Times New Roman" w:hAnsi="Times New Roman" w:cs="Times New Roman"/>
          <w:color w:val="000000" w:themeColor="text1"/>
          <w:highlight w:val="none"/>
          <w:lang w:eastAsia="zh-CN"/>
        </w:rPr>
        <w:t>以</w:t>
      </w:r>
      <w:r>
        <w:rPr>
          <w:rFonts w:ascii="Times New Roman" w:hAnsi="Times New Roman" w:cs="Times New Roman"/>
          <w:color w:val="000000" w:themeColor="text1"/>
          <w:highlight w:val="none"/>
        </w:rPr>
        <w:t>人民币报价，金额单位为元。以上报价应与“投标报价明细表”中的“投标总价”相一致。</w:t>
      </w:r>
    </w:p>
    <w:p w14:paraId="5BB2EBB6">
      <w:pPr>
        <w:snapToGrid w:val="0"/>
        <w:spacing w:before="50" w:after="50" w:line="360" w:lineRule="exact"/>
        <w:ind w:firstLine="420" w:firstLineChars="200"/>
        <w:jc w:val="left"/>
        <w:rPr>
          <w:rFonts w:ascii="Times New Roman" w:hAnsi="Times New Roman" w:cs="Times New Roman"/>
          <w:color w:val="000000" w:themeColor="text1"/>
          <w:highlight w:val="none"/>
        </w:rPr>
      </w:pPr>
    </w:p>
    <w:p w14:paraId="5432BACF">
      <w:pPr>
        <w:spacing w:line="360" w:lineRule="auto"/>
        <w:rPr>
          <w:rFonts w:ascii="Times New Roman" w:hAnsi="Times New Roman" w:cs="Times New Roman"/>
          <w:b/>
          <w:bCs/>
          <w:color w:val="000000" w:themeColor="text1"/>
          <w:spacing w:val="20"/>
          <w:highlight w:val="none"/>
        </w:rPr>
      </w:pPr>
    </w:p>
    <w:p w14:paraId="7D036EF1">
      <w:pPr>
        <w:snapToGrid w:val="0"/>
        <w:spacing w:before="50" w:after="50"/>
        <w:ind w:left="-23" w:leftChars="-11" w:right="-817" w:rightChars="-389"/>
        <w:jc w:val="right"/>
        <w:rPr>
          <w:rFonts w:ascii="Times New Roman" w:hAnsi="Times New Roman" w:cs="Times New Roman"/>
          <w:color w:val="000000" w:themeColor="text1"/>
          <w:highlight w:val="none"/>
        </w:rPr>
      </w:pPr>
    </w:p>
    <w:p w14:paraId="0566D5AF">
      <w:pPr>
        <w:snapToGrid w:val="0"/>
        <w:spacing w:before="50" w:after="50"/>
        <w:ind w:left="-23" w:leftChars="-11" w:right="-817" w:rightChars="-389"/>
        <w:jc w:val="center"/>
        <w:rPr>
          <w:rFonts w:ascii="Times New Roman" w:hAnsi="Times New Roman" w:cs="Times New Roman"/>
          <w:color w:val="000000" w:themeColor="text1"/>
          <w:highlight w:val="none"/>
        </w:rPr>
      </w:pPr>
    </w:p>
    <w:p w14:paraId="24046136">
      <w:pPr>
        <w:snapToGrid w:val="0"/>
        <w:spacing w:before="50" w:after="50" w:line="360" w:lineRule="auto"/>
        <w:rPr>
          <w:rFonts w:ascii="Times New Roman" w:hAnsi="Times New Roman" w:cs="Times New Roman"/>
          <w:color w:val="000000" w:themeColor="text1"/>
          <w:spacing w:val="20"/>
          <w:highlight w:val="none"/>
        </w:rPr>
      </w:pPr>
      <w:r>
        <w:rPr>
          <w:rFonts w:ascii="Times New Roman" w:hAnsi="Times New Roman" w:cs="Times New Roman"/>
          <w:color w:val="000000" w:themeColor="text1"/>
          <w:highlight w:val="none"/>
        </w:rPr>
        <w:t>法定代表人（签字或盖章）：</w:t>
      </w:r>
    </w:p>
    <w:p w14:paraId="6E6A4240">
      <w:pPr>
        <w:snapToGrid w:val="0"/>
        <w:spacing w:before="50" w:after="50" w:line="360" w:lineRule="auto"/>
        <w:rPr>
          <w:rFonts w:ascii="Times New Roman" w:hAnsi="Times New Roman" w:cs="Times New Roman"/>
          <w:color w:val="000000" w:themeColor="text1"/>
          <w:spacing w:val="20"/>
          <w:highlight w:val="none"/>
        </w:rPr>
      </w:pPr>
      <w:r>
        <w:rPr>
          <w:rFonts w:ascii="Times New Roman" w:hAnsi="Times New Roman" w:cs="Times New Roman"/>
          <w:color w:val="000000" w:themeColor="text1"/>
          <w:spacing w:val="20"/>
          <w:highlight w:val="none"/>
        </w:rPr>
        <w:t>投标人盖章：</w:t>
      </w:r>
    </w:p>
    <w:p w14:paraId="50A6093D">
      <w:pPr>
        <w:spacing w:line="360" w:lineRule="auto"/>
        <w:rPr>
          <w:rFonts w:ascii="Times New Roman" w:hAnsi="Times New Roman" w:cs="Times New Roman"/>
          <w:color w:val="000000" w:themeColor="text1"/>
          <w:spacing w:val="20"/>
          <w:highlight w:val="none"/>
        </w:rPr>
      </w:pPr>
      <w:r>
        <w:rPr>
          <w:rFonts w:ascii="Times New Roman" w:hAnsi="Times New Roman" w:cs="Times New Roman"/>
          <w:color w:val="000000" w:themeColor="text1"/>
          <w:spacing w:val="20"/>
          <w:highlight w:val="none"/>
        </w:rPr>
        <w:t>日期：</w:t>
      </w:r>
    </w:p>
    <w:p w14:paraId="2C0A47C9">
      <w:pPr>
        <w:pStyle w:val="12"/>
        <w:rPr>
          <w:rFonts w:ascii="Times New Roman" w:hAnsi="Times New Roman" w:cs="Times New Roman"/>
          <w:color w:val="000000" w:themeColor="text1"/>
          <w:spacing w:val="20"/>
          <w:highlight w:val="none"/>
        </w:rPr>
      </w:pPr>
    </w:p>
    <w:p w14:paraId="64D0BBF4">
      <w:pPr>
        <w:pStyle w:val="13"/>
        <w:rPr>
          <w:rFonts w:ascii="Times New Roman" w:hAnsi="Times New Roman" w:cs="Times New Roman"/>
          <w:color w:val="000000" w:themeColor="text1"/>
          <w:spacing w:val="20"/>
          <w:highlight w:val="none"/>
        </w:rPr>
      </w:pPr>
    </w:p>
    <w:p w14:paraId="66B40E6C">
      <w:pPr>
        <w:pStyle w:val="14"/>
        <w:rPr>
          <w:rFonts w:ascii="Times New Roman" w:hAnsi="Times New Roman" w:cs="Times New Roman"/>
          <w:color w:val="000000" w:themeColor="text1"/>
          <w:spacing w:val="20"/>
          <w:highlight w:val="none"/>
        </w:rPr>
      </w:pPr>
    </w:p>
    <w:p w14:paraId="059E9C94">
      <w:pPr>
        <w:rPr>
          <w:rFonts w:ascii="Times New Roman" w:hAnsi="Times New Roman" w:cs="Times New Roman"/>
          <w:color w:val="000000" w:themeColor="text1"/>
          <w:spacing w:val="20"/>
          <w:highlight w:val="none"/>
        </w:rPr>
      </w:pPr>
    </w:p>
    <w:p w14:paraId="4E901EEA">
      <w:pPr>
        <w:pStyle w:val="12"/>
        <w:rPr>
          <w:rFonts w:ascii="Times New Roman" w:hAnsi="Times New Roman" w:cs="Times New Roman"/>
          <w:color w:val="000000" w:themeColor="text1"/>
          <w:spacing w:val="20"/>
          <w:highlight w:val="none"/>
        </w:rPr>
      </w:pPr>
    </w:p>
    <w:p w14:paraId="412BF221">
      <w:pPr>
        <w:pStyle w:val="13"/>
        <w:rPr>
          <w:rFonts w:ascii="Times New Roman" w:hAnsi="Times New Roman" w:cs="Times New Roman"/>
          <w:color w:val="000000" w:themeColor="text1"/>
          <w:spacing w:val="20"/>
          <w:highlight w:val="none"/>
        </w:rPr>
      </w:pPr>
    </w:p>
    <w:p w14:paraId="3ED95E8A">
      <w:pPr>
        <w:pStyle w:val="14"/>
        <w:rPr>
          <w:rFonts w:ascii="Times New Roman" w:hAnsi="Times New Roman" w:cs="Times New Roman"/>
          <w:color w:val="000000" w:themeColor="text1"/>
          <w:spacing w:val="20"/>
          <w:highlight w:val="none"/>
        </w:rPr>
      </w:pPr>
    </w:p>
    <w:p w14:paraId="53E832DC">
      <w:pPr>
        <w:rPr>
          <w:rFonts w:ascii="Times New Roman" w:hAnsi="Times New Roman" w:cs="Times New Roman"/>
          <w:color w:val="000000" w:themeColor="text1"/>
          <w:spacing w:val="20"/>
          <w:highlight w:val="none"/>
        </w:rPr>
      </w:pPr>
    </w:p>
    <w:p w14:paraId="28472174">
      <w:pPr>
        <w:pStyle w:val="12"/>
        <w:rPr>
          <w:rFonts w:ascii="Times New Roman" w:hAnsi="Times New Roman" w:cs="Times New Roman"/>
          <w:color w:val="000000" w:themeColor="text1"/>
          <w:spacing w:val="20"/>
          <w:highlight w:val="none"/>
        </w:rPr>
      </w:pPr>
    </w:p>
    <w:p w14:paraId="387A303A">
      <w:pPr>
        <w:pStyle w:val="13"/>
        <w:rPr>
          <w:rFonts w:ascii="Times New Roman" w:hAnsi="Times New Roman" w:cs="Times New Roman"/>
          <w:color w:val="000000" w:themeColor="text1"/>
          <w:spacing w:val="20"/>
          <w:highlight w:val="none"/>
        </w:rPr>
      </w:pPr>
    </w:p>
    <w:p w14:paraId="47265E1C">
      <w:pPr>
        <w:pStyle w:val="14"/>
        <w:rPr>
          <w:rFonts w:ascii="Times New Roman" w:hAnsi="Times New Roman" w:cs="Times New Roman"/>
          <w:color w:val="000000" w:themeColor="text1"/>
          <w:spacing w:val="20"/>
          <w:highlight w:val="none"/>
        </w:rPr>
      </w:pPr>
    </w:p>
    <w:p w14:paraId="0A096C68">
      <w:pPr>
        <w:rPr>
          <w:rFonts w:ascii="Times New Roman" w:hAnsi="Times New Roman" w:cs="Times New Roman"/>
          <w:color w:val="000000" w:themeColor="text1"/>
          <w:spacing w:val="20"/>
          <w:highlight w:val="none"/>
        </w:rPr>
      </w:pPr>
    </w:p>
    <w:p w14:paraId="09FA0DCB">
      <w:pPr>
        <w:rPr>
          <w:rFonts w:ascii="Times New Roman" w:hAnsi="Times New Roman" w:cs="Times New Roman"/>
          <w:color w:val="000000" w:themeColor="text1"/>
          <w:spacing w:val="20"/>
          <w:highlight w:val="none"/>
        </w:rPr>
      </w:pPr>
    </w:p>
    <w:p w14:paraId="0B02DA20">
      <w:pPr>
        <w:autoSpaceDE w:val="0"/>
        <w:autoSpaceDN w:val="0"/>
        <w:adjustRightInd w:val="0"/>
        <w:rPr>
          <w:rFonts w:ascii="宋体"/>
          <w:bCs/>
          <w:highlight w:val="none"/>
        </w:rPr>
      </w:pPr>
      <w:r>
        <w:rPr>
          <w:rFonts w:hint="eastAsia" w:ascii="宋体" w:hAnsi="宋体"/>
          <w:b/>
          <w:bCs/>
          <w:highlight w:val="none"/>
          <w:lang w:val="en-US" w:eastAsia="zh-CN"/>
        </w:rPr>
        <w:t>12.</w:t>
      </w:r>
      <w:r>
        <w:rPr>
          <w:rFonts w:hint="eastAsia" w:ascii="宋体" w:hAnsi="宋体"/>
          <w:b/>
          <w:bCs/>
          <w:highlight w:val="none"/>
        </w:rPr>
        <w:t>投标报价明细表</w:t>
      </w:r>
    </w:p>
    <w:p w14:paraId="6A46DE40">
      <w:pPr>
        <w:pStyle w:val="80"/>
        <w:jc w:val="center"/>
        <w:rPr>
          <w:rFonts w:hAnsi="宋体" w:eastAsia="宋体"/>
          <w:b/>
          <w:sz w:val="21"/>
          <w:szCs w:val="21"/>
          <w:highlight w:val="none"/>
        </w:rPr>
      </w:pPr>
    </w:p>
    <w:p w14:paraId="4C7E3E56">
      <w:pPr>
        <w:pStyle w:val="17"/>
        <w:snapToGrid w:val="0"/>
        <w:spacing w:before="156" w:after="156"/>
        <w:jc w:val="center"/>
        <w:rPr>
          <w:rFonts w:ascii="Times New Roman" w:hAnsi="Times New Roman" w:cs="Times New Roman"/>
          <w:b/>
          <w:bCs/>
          <w:color w:val="000000" w:themeColor="text1"/>
          <w:sz w:val="28"/>
          <w:szCs w:val="28"/>
          <w:highlight w:val="none"/>
        </w:rPr>
      </w:pPr>
      <w:r>
        <w:rPr>
          <w:rFonts w:ascii="Times New Roman" w:hAnsi="Times New Roman" w:cs="Times New Roman"/>
          <w:b/>
          <w:bCs/>
          <w:color w:val="000000" w:themeColor="text1"/>
          <w:sz w:val="28"/>
          <w:szCs w:val="28"/>
          <w:highlight w:val="none"/>
        </w:rPr>
        <w:t>投标报价明细表</w:t>
      </w:r>
    </w:p>
    <w:p w14:paraId="745BC813">
      <w:pPr>
        <w:pStyle w:val="17"/>
        <w:snapToGrid w:val="0"/>
        <w:spacing w:before="156" w:after="156"/>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项目名称：</w:t>
      </w:r>
    </w:p>
    <w:p w14:paraId="31423F89">
      <w:pPr>
        <w:pStyle w:val="17"/>
        <w:snapToGrid w:val="0"/>
        <w:spacing w:before="156" w:after="156"/>
        <w:rPr>
          <w:rFonts w:ascii="Times New Roman" w:hAnsi="Times New Roman" w:cs="Times New Roman"/>
          <w:color w:val="000000" w:themeColor="text1"/>
          <w:spacing w:val="20"/>
          <w:sz w:val="21"/>
          <w:szCs w:val="21"/>
          <w:highlight w:val="none"/>
        </w:rPr>
      </w:pPr>
      <w:r>
        <w:rPr>
          <w:rFonts w:ascii="Times New Roman" w:hAnsi="Times New Roman" w:cs="Times New Roman"/>
          <w:color w:val="000000" w:themeColor="text1"/>
          <w:sz w:val="21"/>
          <w:szCs w:val="21"/>
          <w:highlight w:val="none"/>
        </w:rPr>
        <w:t>项目编号：金额单位：人民币（元）</w:t>
      </w:r>
    </w:p>
    <w:tbl>
      <w:tblPr>
        <w:tblStyle w:val="24"/>
        <w:tblW w:w="849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718"/>
        <w:gridCol w:w="1569"/>
        <w:gridCol w:w="1311"/>
        <w:gridCol w:w="873"/>
        <w:gridCol w:w="1006"/>
        <w:gridCol w:w="1006"/>
        <w:gridCol w:w="1006"/>
        <w:gridCol w:w="1006"/>
      </w:tblGrid>
      <w:tr w14:paraId="13503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08" w:hRule="atLeast"/>
        </w:trPr>
        <w:tc>
          <w:tcPr>
            <w:tcW w:w="718" w:type="dxa"/>
            <w:tcBorders>
              <w:top w:val="single" w:color="auto" w:sz="4" w:space="0"/>
              <w:bottom w:val="single" w:color="auto" w:sz="4" w:space="0"/>
              <w:right w:val="single" w:color="auto" w:sz="4" w:space="0"/>
            </w:tcBorders>
            <w:vAlign w:val="center"/>
          </w:tcPr>
          <w:p w14:paraId="6E3A9254">
            <w:pPr>
              <w:tabs>
                <w:tab w:val="left" w:pos="1418"/>
              </w:tabs>
              <w:snapToGrid w:val="0"/>
              <w:jc w:val="center"/>
              <w:rPr>
                <w:rFonts w:ascii="Times New Roman" w:hAnsi="Times New Roman" w:cs="Times New Roman"/>
                <w:color w:val="000000" w:themeColor="text1"/>
                <w:spacing w:val="20"/>
                <w:highlight w:val="none"/>
              </w:rPr>
            </w:pPr>
            <w:r>
              <w:rPr>
                <w:rFonts w:ascii="Times New Roman" w:hAnsi="Times New Roman" w:cs="Times New Roman"/>
                <w:color w:val="000000" w:themeColor="text1"/>
                <w:highlight w:val="none"/>
              </w:rPr>
              <w:t>序号</w:t>
            </w:r>
          </w:p>
        </w:tc>
        <w:tc>
          <w:tcPr>
            <w:tcW w:w="1569" w:type="dxa"/>
            <w:tcBorders>
              <w:top w:val="single" w:color="auto" w:sz="4" w:space="0"/>
              <w:left w:val="single" w:color="auto" w:sz="4" w:space="0"/>
              <w:bottom w:val="single" w:color="auto" w:sz="4" w:space="0"/>
              <w:right w:val="single" w:color="auto" w:sz="4" w:space="0"/>
            </w:tcBorders>
            <w:vAlign w:val="center"/>
          </w:tcPr>
          <w:p w14:paraId="19851EEF">
            <w:pPr>
              <w:tabs>
                <w:tab w:val="left" w:pos="1418"/>
              </w:tabs>
              <w:snapToGrid w:val="0"/>
              <w:jc w:val="center"/>
              <w:rPr>
                <w:rFonts w:ascii="Times New Roman" w:hAnsi="Times New Roman" w:cs="Times New Roman"/>
                <w:color w:val="000000" w:themeColor="text1"/>
                <w:spacing w:val="20"/>
                <w:highlight w:val="none"/>
              </w:rPr>
            </w:pPr>
            <w:r>
              <w:rPr>
                <w:rFonts w:ascii="Times New Roman" w:hAnsi="Times New Roman" w:cs="Times New Roman"/>
                <w:color w:val="000000" w:themeColor="text1"/>
                <w:highlight w:val="none"/>
              </w:rPr>
              <w:t>构成服务名称</w:t>
            </w:r>
          </w:p>
        </w:tc>
        <w:tc>
          <w:tcPr>
            <w:tcW w:w="1311" w:type="dxa"/>
            <w:tcBorders>
              <w:top w:val="single" w:color="auto" w:sz="4" w:space="0"/>
              <w:left w:val="single" w:color="auto" w:sz="4" w:space="0"/>
              <w:bottom w:val="single" w:color="auto" w:sz="4" w:space="0"/>
              <w:right w:val="single" w:color="auto" w:sz="4" w:space="0"/>
            </w:tcBorders>
            <w:vAlign w:val="center"/>
          </w:tcPr>
          <w:p w14:paraId="436F0DBD">
            <w:pPr>
              <w:tabs>
                <w:tab w:val="left" w:pos="1418"/>
              </w:tabs>
              <w:snapToGrid w:val="0"/>
              <w:jc w:val="center"/>
              <w:rPr>
                <w:rFonts w:ascii="Times New Roman" w:hAnsi="Times New Roman" w:cs="Times New Roman"/>
                <w:color w:val="000000" w:themeColor="text1"/>
                <w:spacing w:val="20"/>
                <w:highlight w:val="none"/>
              </w:rPr>
            </w:pPr>
            <w:r>
              <w:rPr>
                <w:rFonts w:ascii="Times New Roman" w:hAnsi="Times New Roman" w:cs="Times New Roman"/>
                <w:color w:val="000000" w:themeColor="text1"/>
                <w:spacing w:val="20"/>
                <w:highlight w:val="none"/>
              </w:rPr>
              <w:t>内容描述</w:t>
            </w:r>
          </w:p>
        </w:tc>
        <w:tc>
          <w:tcPr>
            <w:tcW w:w="873" w:type="dxa"/>
            <w:tcBorders>
              <w:top w:val="single" w:color="auto" w:sz="4" w:space="0"/>
              <w:left w:val="single" w:color="auto" w:sz="4" w:space="0"/>
              <w:bottom w:val="single" w:color="auto" w:sz="4" w:space="0"/>
              <w:right w:val="single" w:color="auto" w:sz="4" w:space="0"/>
            </w:tcBorders>
            <w:vAlign w:val="center"/>
          </w:tcPr>
          <w:p w14:paraId="11BAA17B">
            <w:pPr>
              <w:tabs>
                <w:tab w:val="left" w:pos="1418"/>
              </w:tabs>
              <w:snapToGrid w:val="0"/>
              <w:jc w:val="center"/>
              <w:rPr>
                <w:rFonts w:ascii="Times New Roman" w:hAnsi="Times New Roman" w:cs="Times New Roman"/>
                <w:color w:val="000000" w:themeColor="text1"/>
                <w:spacing w:val="20"/>
                <w:highlight w:val="none"/>
              </w:rPr>
            </w:pPr>
            <w:r>
              <w:rPr>
                <w:rFonts w:ascii="Times New Roman" w:hAnsi="Times New Roman" w:cs="Times New Roman"/>
                <w:color w:val="000000" w:themeColor="text1"/>
                <w:spacing w:val="20"/>
                <w:highlight w:val="none"/>
              </w:rPr>
              <w:t>数量</w:t>
            </w:r>
          </w:p>
        </w:tc>
        <w:tc>
          <w:tcPr>
            <w:tcW w:w="1006" w:type="dxa"/>
            <w:tcBorders>
              <w:top w:val="single" w:color="auto" w:sz="4" w:space="0"/>
              <w:left w:val="single" w:color="auto" w:sz="4" w:space="0"/>
              <w:bottom w:val="single" w:color="auto" w:sz="4" w:space="0"/>
            </w:tcBorders>
            <w:vAlign w:val="center"/>
          </w:tcPr>
          <w:p w14:paraId="451F26D1">
            <w:pPr>
              <w:tabs>
                <w:tab w:val="left" w:pos="1418"/>
              </w:tabs>
              <w:snapToGrid w:val="0"/>
              <w:jc w:val="center"/>
              <w:rPr>
                <w:rFonts w:ascii="Times New Roman" w:hAnsi="Times New Roman" w:cs="Times New Roman"/>
                <w:color w:val="000000" w:themeColor="text1"/>
                <w:spacing w:val="20"/>
                <w:highlight w:val="none"/>
              </w:rPr>
            </w:pPr>
            <w:r>
              <w:rPr>
                <w:rFonts w:ascii="Times New Roman" w:hAnsi="Times New Roman" w:cs="Times New Roman"/>
                <w:color w:val="000000" w:themeColor="text1"/>
                <w:spacing w:val="20"/>
                <w:highlight w:val="none"/>
              </w:rPr>
              <w:t>单位</w:t>
            </w:r>
          </w:p>
        </w:tc>
        <w:tc>
          <w:tcPr>
            <w:tcW w:w="1006" w:type="dxa"/>
            <w:tcBorders>
              <w:top w:val="single" w:color="auto" w:sz="4" w:space="0"/>
              <w:left w:val="single" w:color="auto" w:sz="4" w:space="0"/>
              <w:bottom w:val="single" w:color="auto" w:sz="4" w:space="0"/>
            </w:tcBorders>
            <w:vAlign w:val="center"/>
          </w:tcPr>
          <w:p w14:paraId="0C7595DD">
            <w:pPr>
              <w:tabs>
                <w:tab w:val="left" w:pos="1418"/>
              </w:tabs>
              <w:snapToGrid w:val="0"/>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单价</w:t>
            </w:r>
          </w:p>
        </w:tc>
        <w:tc>
          <w:tcPr>
            <w:tcW w:w="1006" w:type="dxa"/>
            <w:tcBorders>
              <w:top w:val="single" w:color="auto" w:sz="4" w:space="0"/>
              <w:left w:val="single" w:color="auto" w:sz="4" w:space="0"/>
              <w:bottom w:val="single" w:color="auto" w:sz="4" w:space="0"/>
            </w:tcBorders>
            <w:vAlign w:val="center"/>
          </w:tcPr>
          <w:p w14:paraId="3D98D1CF">
            <w:pPr>
              <w:tabs>
                <w:tab w:val="left" w:pos="1418"/>
              </w:tabs>
              <w:snapToGrid w:val="0"/>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合价</w:t>
            </w:r>
          </w:p>
        </w:tc>
        <w:tc>
          <w:tcPr>
            <w:tcW w:w="1006" w:type="dxa"/>
            <w:tcBorders>
              <w:top w:val="single" w:color="auto" w:sz="4" w:space="0"/>
              <w:left w:val="single" w:color="auto" w:sz="4" w:space="0"/>
              <w:bottom w:val="single" w:color="auto" w:sz="4" w:space="0"/>
            </w:tcBorders>
            <w:vAlign w:val="center"/>
          </w:tcPr>
          <w:p w14:paraId="1AAC47DE">
            <w:pPr>
              <w:tabs>
                <w:tab w:val="left" w:pos="1418"/>
              </w:tabs>
              <w:snapToGrid w:val="0"/>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备注</w:t>
            </w:r>
          </w:p>
        </w:tc>
      </w:tr>
      <w:tr w14:paraId="09797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7A2D120B">
            <w:pPr>
              <w:pStyle w:val="12"/>
              <w:jc w:val="center"/>
              <w:rPr>
                <w:rFonts w:ascii="Times New Roman" w:hAnsi="Times New Roman" w:cs="Times New Roman"/>
                <w:color w:val="000000" w:themeColor="text1"/>
                <w:spacing w:val="20"/>
                <w:kern w:val="2"/>
                <w:sz w:val="21"/>
                <w:szCs w:val="21"/>
                <w:highlight w:val="none"/>
              </w:rPr>
            </w:pPr>
            <w:r>
              <w:rPr>
                <w:rFonts w:ascii="Times New Roman" w:hAnsi="Times New Roman" w:cs="Times New Roman"/>
                <w:color w:val="000000" w:themeColor="text1"/>
                <w:spacing w:val="20"/>
                <w:kern w:val="2"/>
                <w:sz w:val="21"/>
                <w:szCs w:val="21"/>
                <w:highlight w:val="none"/>
              </w:rPr>
              <w:t>1</w:t>
            </w:r>
          </w:p>
        </w:tc>
        <w:tc>
          <w:tcPr>
            <w:tcW w:w="1569" w:type="dxa"/>
            <w:tcBorders>
              <w:top w:val="single" w:color="auto" w:sz="4" w:space="0"/>
              <w:left w:val="single" w:color="auto" w:sz="4" w:space="0"/>
              <w:bottom w:val="single" w:color="auto" w:sz="4" w:space="0"/>
              <w:right w:val="single" w:color="auto" w:sz="4" w:space="0"/>
            </w:tcBorders>
            <w:vAlign w:val="center"/>
          </w:tcPr>
          <w:p w14:paraId="53D5CD41">
            <w:pPr>
              <w:pStyle w:val="12"/>
              <w:jc w:val="center"/>
              <w:rPr>
                <w:rFonts w:ascii="Times New Roman" w:hAnsi="Times New Roman" w:cs="Times New Roman"/>
                <w:color w:val="000000" w:themeColor="text1"/>
                <w:kern w:val="2"/>
                <w:sz w:val="21"/>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45B825E9">
            <w:pPr>
              <w:tabs>
                <w:tab w:val="left" w:pos="1418"/>
              </w:tabs>
              <w:snapToGrid w:val="0"/>
              <w:jc w:val="center"/>
              <w:rPr>
                <w:rFonts w:ascii="Times New Roman" w:hAnsi="Times New Roman" w:cs="Times New Roman"/>
                <w:color w:val="000000" w:themeColor="text1"/>
                <w:spacing w:val="20"/>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687D6052">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489BCD85">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1CC36821">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2F219504">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61D289EF">
            <w:pPr>
              <w:tabs>
                <w:tab w:val="left" w:pos="1418"/>
              </w:tabs>
              <w:snapToGrid w:val="0"/>
              <w:jc w:val="center"/>
              <w:rPr>
                <w:rFonts w:ascii="Times New Roman" w:hAnsi="Times New Roman" w:cs="Times New Roman"/>
                <w:color w:val="000000" w:themeColor="text1"/>
                <w:spacing w:val="20"/>
                <w:highlight w:val="none"/>
              </w:rPr>
            </w:pPr>
          </w:p>
        </w:tc>
      </w:tr>
      <w:tr w14:paraId="08D3E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276135F2">
            <w:pPr>
              <w:pStyle w:val="12"/>
              <w:jc w:val="center"/>
              <w:rPr>
                <w:rFonts w:ascii="Times New Roman" w:hAnsi="Times New Roman" w:cs="Times New Roman"/>
                <w:color w:val="000000" w:themeColor="text1"/>
                <w:spacing w:val="20"/>
                <w:kern w:val="2"/>
                <w:sz w:val="21"/>
                <w:szCs w:val="21"/>
                <w:highlight w:val="none"/>
              </w:rPr>
            </w:pPr>
            <w:r>
              <w:rPr>
                <w:rFonts w:ascii="Times New Roman" w:hAnsi="Times New Roman" w:cs="Times New Roman"/>
                <w:color w:val="000000" w:themeColor="text1"/>
                <w:spacing w:val="20"/>
                <w:kern w:val="2"/>
                <w:sz w:val="21"/>
                <w:szCs w:val="21"/>
                <w:highlight w:val="none"/>
              </w:rPr>
              <w:t>2</w:t>
            </w:r>
          </w:p>
        </w:tc>
        <w:tc>
          <w:tcPr>
            <w:tcW w:w="1569" w:type="dxa"/>
            <w:tcBorders>
              <w:top w:val="single" w:color="auto" w:sz="4" w:space="0"/>
              <w:left w:val="single" w:color="auto" w:sz="4" w:space="0"/>
              <w:bottom w:val="single" w:color="auto" w:sz="4" w:space="0"/>
              <w:right w:val="single" w:color="auto" w:sz="4" w:space="0"/>
            </w:tcBorders>
            <w:vAlign w:val="center"/>
          </w:tcPr>
          <w:p w14:paraId="7CEB18D4">
            <w:pPr>
              <w:pStyle w:val="12"/>
              <w:jc w:val="center"/>
              <w:rPr>
                <w:rFonts w:ascii="Times New Roman" w:hAnsi="Times New Roman" w:cs="Times New Roman"/>
                <w:color w:val="000000" w:themeColor="text1"/>
                <w:kern w:val="2"/>
                <w:sz w:val="21"/>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1DC8AA90">
            <w:pPr>
              <w:tabs>
                <w:tab w:val="left" w:pos="1418"/>
              </w:tabs>
              <w:snapToGrid w:val="0"/>
              <w:jc w:val="center"/>
              <w:rPr>
                <w:rFonts w:ascii="Times New Roman" w:hAnsi="Times New Roman" w:cs="Times New Roman"/>
                <w:color w:val="000000" w:themeColor="text1"/>
                <w:spacing w:val="20"/>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165472C8">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73511A26">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0EE771F3">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380A1165">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1621D336">
            <w:pPr>
              <w:tabs>
                <w:tab w:val="left" w:pos="1418"/>
              </w:tabs>
              <w:snapToGrid w:val="0"/>
              <w:jc w:val="center"/>
              <w:rPr>
                <w:rFonts w:ascii="Times New Roman" w:hAnsi="Times New Roman" w:cs="Times New Roman"/>
                <w:color w:val="000000" w:themeColor="text1"/>
                <w:spacing w:val="20"/>
                <w:highlight w:val="none"/>
              </w:rPr>
            </w:pPr>
          </w:p>
        </w:tc>
      </w:tr>
      <w:tr w14:paraId="64405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03FCD8AB">
            <w:pPr>
              <w:pStyle w:val="12"/>
              <w:jc w:val="center"/>
              <w:rPr>
                <w:rFonts w:ascii="Times New Roman" w:hAnsi="Times New Roman" w:cs="Times New Roman"/>
                <w:color w:val="000000" w:themeColor="text1"/>
                <w:spacing w:val="20"/>
                <w:kern w:val="2"/>
                <w:sz w:val="21"/>
                <w:szCs w:val="21"/>
                <w:highlight w:val="none"/>
              </w:rPr>
            </w:pPr>
            <w:r>
              <w:rPr>
                <w:rFonts w:ascii="Times New Roman" w:hAnsi="Times New Roman" w:cs="Times New Roman"/>
                <w:color w:val="000000" w:themeColor="text1"/>
                <w:spacing w:val="20"/>
                <w:kern w:val="2"/>
                <w:sz w:val="21"/>
                <w:szCs w:val="21"/>
                <w:highlight w:val="none"/>
              </w:rPr>
              <w:t>3</w:t>
            </w:r>
          </w:p>
        </w:tc>
        <w:tc>
          <w:tcPr>
            <w:tcW w:w="1569" w:type="dxa"/>
            <w:tcBorders>
              <w:top w:val="single" w:color="auto" w:sz="4" w:space="0"/>
              <w:left w:val="single" w:color="auto" w:sz="4" w:space="0"/>
              <w:bottom w:val="single" w:color="auto" w:sz="4" w:space="0"/>
              <w:right w:val="single" w:color="auto" w:sz="4" w:space="0"/>
            </w:tcBorders>
            <w:vAlign w:val="center"/>
          </w:tcPr>
          <w:p w14:paraId="6FDDC7DA">
            <w:pPr>
              <w:pStyle w:val="12"/>
              <w:jc w:val="center"/>
              <w:rPr>
                <w:rFonts w:ascii="Times New Roman" w:hAnsi="Times New Roman" w:cs="Times New Roman"/>
                <w:color w:val="000000" w:themeColor="text1"/>
                <w:kern w:val="2"/>
                <w:sz w:val="21"/>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5BBB7225">
            <w:pPr>
              <w:tabs>
                <w:tab w:val="left" w:pos="1418"/>
              </w:tabs>
              <w:snapToGrid w:val="0"/>
              <w:jc w:val="center"/>
              <w:rPr>
                <w:rFonts w:ascii="Times New Roman" w:hAnsi="Times New Roman" w:cs="Times New Roman"/>
                <w:color w:val="000000" w:themeColor="text1"/>
                <w:spacing w:val="20"/>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590C0273">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5DA11B19">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140BA221">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4DD9B5B0">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70C749B9">
            <w:pPr>
              <w:tabs>
                <w:tab w:val="left" w:pos="1418"/>
              </w:tabs>
              <w:snapToGrid w:val="0"/>
              <w:jc w:val="center"/>
              <w:rPr>
                <w:rFonts w:ascii="Times New Roman" w:hAnsi="Times New Roman" w:cs="Times New Roman"/>
                <w:color w:val="000000" w:themeColor="text1"/>
                <w:spacing w:val="20"/>
                <w:highlight w:val="none"/>
              </w:rPr>
            </w:pPr>
          </w:p>
        </w:tc>
      </w:tr>
      <w:tr w14:paraId="2A0CC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5D39FA52">
            <w:pPr>
              <w:pStyle w:val="12"/>
              <w:jc w:val="center"/>
              <w:rPr>
                <w:rFonts w:ascii="Times New Roman" w:hAnsi="Times New Roman" w:cs="Times New Roman"/>
                <w:color w:val="000000" w:themeColor="text1"/>
                <w:spacing w:val="20"/>
                <w:kern w:val="2"/>
                <w:sz w:val="21"/>
                <w:szCs w:val="21"/>
                <w:highlight w:val="none"/>
              </w:rPr>
            </w:pPr>
            <w:r>
              <w:rPr>
                <w:rFonts w:ascii="Times New Roman" w:hAnsi="Times New Roman" w:cs="Times New Roman"/>
                <w:color w:val="000000" w:themeColor="text1"/>
                <w:spacing w:val="20"/>
                <w:kern w:val="2"/>
                <w:sz w:val="21"/>
                <w:szCs w:val="21"/>
                <w:highlight w:val="none"/>
              </w:rPr>
              <w:t>4</w:t>
            </w:r>
          </w:p>
        </w:tc>
        <w:tc>
          <w:tcPr>
            <w:tcW w:w="1569" w:type="dxa"/>
            <w:tcBorders>
              <w:top w:val="single" w:color="auto" w:sz="4" w:space="0"/>
              <w:left w:val="single" w:color="auto" w:sz="4" w:space="0"/>
              <w:bottom w:val="single" w:color="auto" w:sz="4" w:space="0"/>
              <w:right w:val="single" w:color="auto" w:sz="4" w:space="0"/>
            </w:tcBorders>
            <w:vAlign w:val="center"/>
          </w:tcPr>
          <w:p w14:paraId="4F38D198">
            <w:pPr>
              <w:pStyle w:val="12"/>
              <w:jc w:val="center"/>
              <w:rPr>
                <w:rFonts w:ascii="Times New Roman" w:hAnsi="Times New Roman" w:cs="Times New Roman"/>
                <w:color w:val="000000" w:themeColor="text1"/>
                <w:kern w:val="2"/>
                <w:sz w:val="21"/>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55665547">
            <w:pPr>
              <w:tabs>
                <w:tab w:val="left" w:pos="1418"/>
              </w:tabs>
              <w:snapToGrid w:val="0"/>
              <w:jc w:val="center"/>
              <w:rPr>
                <w:rFonts w:ascii="Times New Roman" w:hAnsi="Times New Roman" w:cs="Times New Roman"/>
                <w:color w:val="000000" w:themeColor="text1"/>
                <w:spacing w:val="20"/>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2441C700">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52489645">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10058CB0">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292EDC47">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48FA99F1">
            <w:pPr>
              <w:tabs>
                <w:tab w:val="left" w:pos="1418"/>
              </w:tabs>
              <w:snapToGrid w:val="0"/>
              <w:jc w:val="center"/>
              <w:rPr>
                <w:rFonts w:ascii="Times New Roman" w:hAnsi="Times New Roman" w:cs="Times New Roman"/>
                <w:color w:val="000000" w:themeColor="text1"/>
                <w:spacing w:val="20"/>
                <w:highlight w:val="none"/>
              </w:rPr>
            </w:pPr>
          </w:p>
        </w:tc>
      </w:tr>
      <w:tr w14:paraId="1BEBA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604346F0">
            <w:pPr>
              <w:pStyle w:val="12"/>
              <w:jc w:val="center"/>
              <w:rPr>
                <w:rFonts w:ascii="Times New Roman" w:hAnsi="Times New Roman" w:cs="Times New Roman"/>
                <w:color w:val="000000" w:themeColor="text1"/>
                <w:spacing w:val="20"/>
                <w:kern w:val="2"/>
                <w:sz w:val="21"/>
                <w:szCs w:val="21"/>
                <w:highlight w:val="none"/>
              </w:rPr>
            </w:pPr>
            <w:r>
              <w:rPr>
                <w:rFonts w:ascii="Times New Roman" w:hAnsi="Times New Roman" w:cs="Times New Roman"/>
                <w:color w:val="000000" w:themeColor="text1"/>
                <w:spacing w:val="20"/>
                <w:highlight w:val="none"/>
              </w:rPr>
              <w:t>...</w:t>
            </w:r>
          </w:p>
        </w:tc>
        <w:tc>
          <w:tcPr>
            <w:tcW w:w="1569" w:type="dxa"/>
            <w:tcBorders>
              <w:top w:val="single" w:color="auto" w:sz="4" w:space="0"/>
              <w:left w:val="single" w:color="auto" w:sz="4" w:space="0"/>
              <w:bottom w:val="single" w:color="auto" w:sz="4" w:space="0"/>
              <w:right w:val="single" w:color="auto" w:sz="4" w:space="0"/>
            </w:tcBorders>
            <w:vAlign w:val="center"/>
          </w:tcPr>
          <w:p w14:paraId="0EC3B5A2">
            <w:pPr>
              <w:pStyle w:val="12"/>
              <w:jc w:val="center"/>
              <w:rPr>
                <w:rFonts w:ascii="Times New Roman" w:hAnsi="Times New Roman" w:cs="Times New Roman"/>
                <w:color w:val="000000" w:themeColor="text1"/>
                <w:kern w:val="2"/>
                <w:sz w:val="21"/>
                <w:szCs w:val="21"/>
                <w:highlight w:val="none"/>
              </w:rPr>
            </w:pPr>
          </w:p>
        </w:tc>
        <w:tc>
          <w:tcPr>
            <w:tcW w:w="1311" w:type="dxa"/>
            <w:tcBorders>
              <w:top w:val="single" w:color="auto" w:sz="4" w:space="0"/>
              <w:left w:val="single" w:color="auto" w:sz="4" w:space="0"/>
              <w:bottom w:val="single" w:color="auto" w:sz="4" w:space="0"/>
              <w:right w:val="single" w:color="auto" w:sz="4" w:space="0"/>
            </w:tcBorders>
            <w:vAlign w:val="center"/>
          </w:tcPr>
          <w:p w14:paraId="4B242EE8">
            <w:pPr>
              <w:tabs>
                <w:tab w:val="left" w:pos="1418"/>
              </w:tabs>
              <w:snapToGrid w:val="0"/>
              <w:jc w:val="center"/>
              <w:rPr>
                <w:rFonts w:ascii="Times New Roman" w:hAnsi="Times New Roman" w:cs="Times New Roman"/>
                <w:color w:val="000000" w:themeColor="text1"/>
                <w:spacing w:val="20"/>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46EBB8F1">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59AB5B0C">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1EBD07A3">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5806B9BB">
            <w:pPr>
              <w:tabs>
                <w:tab w:val="left" w:pos="1418"/>
              </w:tabs>
              <w:snapToGrid w:val="0"/>
              <w:jc w:val="center"/>
              <w:rPr>
                <w:rFonts w:ascii="Times New Roman" w:hAnsi="Times New Roman" w:cs="Times New Roman"/>
                <w:color w:val="000000" w:themeColor="text1"/>
                <w:spacing w:val="20"/>
                <w:highlight w:val="none"/>
              </w:rPr>
            </w:pPr>
          </w:p>
        </w:tc>
        <w:tc>
          <w:tcPr>
            <w:tcW w:w="1006" w:type="dxa"/>
            <w:tcBorders>
              <w:top w:val="single" w:color="auto" w:sz="4" w:space="0"/>
              <w:left w:val="single" w:color="auto" w:sz="4" w:space="0"/>
              <w:bottom w:val="single" w:color="auto" w:sz="4" w:space="0"/>
            </w:tcBorders>
            <w:vAlign w:val="center"/>
          </w:tcPr>
          <w:p w14:paraId="0D9DE2AA">
            <w:pPr>
              <w:tabs>
                <w:tab w:val="left" w:pos="1418"/>
              </w:tabs>
              <w:snapToGrid w:val="0"/>
              <w:jc w:val="center"/>
              <w:rPr>
                <w:rFonts w:ascii="Times New Roman" w:hAnsi="Times New Roman" w:cs="Times New Roman"/>
                <w:color w:val="000000" w:themeColor="text1"/>
                <w:spacing w:val="20"/>
                <w:highlight w:val="none"/>
              </w:rPr>
            </w:pPr>
          </w:p>
        </w:tc>
      </w:tr>
      <w:tr w14:paraId="75DFF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703" w:hRule="atLeast"/>
        </w:trPr>
        <w:tc>
          <w:tcPr>
            <w:tcW w:w="718" w:type="dxa"/>
            <w:tcBorders>
              <w:top w:val="single" w:color="auto" w:sz="4" w:space="0"/>
              <w:bottom w:val="single" w:color="auto" w:sz="4" w:space="0"/>
              <w:right w:val="single" w:color="auto" w:sz="4" w:space="0"/>
            </w:tcBorders>
            <w:vAlign w:val="center"/>
          </w:tcPr>
          <w:p w14:paraId="17E0F958">
            <w:pPr>
              <w:tabs>
                <w:tab w:val="left" w:pos="1418"/>
              </w:tabs>
              <w:snapToGrid w:val="0"/>
              <w:jc w:val="left"/>
              <w:rPr>
                <w:rFonts w:ascii="Times New Roman" w:hAnsi="Times New Roman" w:cs="Times New Roman"/>
                <w:color w:val="000000" w:themeColor="text1"/>
                <w:spacing w:val="20"/>
                <w:highlight w:val="none"/>
              </w:rPr>
            </w:pPr>
            <w:r>
              <w:rPr>
                <w:rFonts w:ascii="Times New Roman" w:hAnsi="Times New Roman" w:cs="Times New Roman"/>
                <w:color w:val="000000" w:themeColor="text1"/>
                <w:spacing w:val="20"/>
                <w:highlight w:val="none"/>
              </w:rPr>
              <w:t>投标总价</w:t>
            </w:r>
          </w:p>
        </w:tc>
        <w:tc>
          <w:tcPr>
            <w:tcW w:w="7777" w:type="dxa"/>
            <w:gridSpan w:val="7"/>
            <w:tcBorders>
              <w:top w:val="single" w:color="auto" w:sz="4" w:space="0"/>
              <w:left w:val="single" w:color="auto" w:sz="4" w:space="0"/>
              <w:bottom w:val="single" w:color="auto" w:sz="4" w:space="0"/>
            </w:tcBorders>
            <w:vAlign w:val="center"/>
          </w:tcPr>
          <w:p w14:paraId="73653F78">
            <w:pPr>
              <w:tabs>
                <w:tab w:val="left" w:pos="1418"/>
              </w:tabs>
              <w:snapToGrid w:val="0"/>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（小写）人民币元</w:t>
            </w:r>
          </w:p>
          <w:p w14:paraId="67712FE2">
            <w:pPr>
              <w:pStyle w:val="3"/>
              <w:jc w:val="left"/>
              <w:rPr>
                <w:rFonts w:ascii="Times New Roman" w:hAnsi="Times New Roman" w:cs="Times New Roman"/>
                <w:b w:val="0"/>
                <w:bCs w:val="0"/>
                <w:color w:val="000000" w:themeColor="text1"/>
                <w:kern w:val="2"/>
                <w:sz w:val="21"/>
                <w:szCs w:val="21"/>
                <w:highlight w:val="none"/>
              </w:rPr>
            </w:pPr>
            <w:r>
              <w:rPr>
                <w:rFonts w:ascii="Times New Roman" w:hAnsi="Times New Roman" w:cs="Times New Roman"/>
                <w:b w:val="0"/>
                <w:bCs w:val="0"/>
                <w:color w:val="000000" w:themeColor="text1"/>
                <w:kern w:val="2"/>
                <w:sz w:val="21"/>
                <w:szCs w:val="21"/>
                <w:highlight w:val="none"/>
              </w:rPr>
              <w:t>（大写）人民币元</w:t>
            </w:r>
          </w:p>
        </w:tc>
      </w:tr>
    </w:tbl>
    <w:p w14:paraId="21485D1D">
      <w:pPr>
        <w:spacing w:line="360" w:lineRule="auto"/>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注：1、要求细化以上各项费用的构成，根据实际需要可增删项目。</w:t>
      </w:r>
    </w:p>
    <w:p w14:paraId="66325033">
      <w:pPr>
        <w:spacing w:line="360" w:lineRule="auto"/>
        <w:ind w:firstLine="420" w:firstLineChars="200"/>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2、报价一经涂改，应在涂改处加盖单位公章或CA章或者法定代表人签字或授权代表签字，否则其投标作为无效标处理。</w:t>
      </w:r>
    </w:p>
    <w:p w14:paraId="778F4C1F">
      <w:pPr>
        <w:spacing w:line="360" w:lineRule="auto"/>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以上报价应与“开标一览表”中的“投标总价”相一致。</w:t>
      </w:r>
    </w:p>
    <w:p w14:paraId="62C0655E">
      <w:pPr>
        <w:spacing w:line="360" w:lineRule="auto"/>
        <w:ind w:firstLine="420" w:firstLineChars="200"/>
        <w:rPr>
          <w:rFonts w:ascii="Times New Roman" w:hAnsi="Times New Roman" w:cs="Times New Roman"/>
          <w:color w:val="000000" w:themeColor="text1"/>
          <w:highlight w:val="none"/>
        </w:rPr>
      </w:pPr>
    </w:p>
    <w:p w14:paraId="4CA00BEA">
      <w:pPr>
        <w:snapToGrid w:val="0"/>
        <w:spacing w:before="50" w:after="50" w:line="360" w:lineRule="auto"/>
        <w:rPr>
          <w:rFonts w:ascii="Times New Roman" w:hAnsi="Times New Roman" w:cs="Times New Roman"/>
          <w:color w:val="000000" w:themeColor="text1"/>
          <w:highlight w:val="none"/>
        </w:rPr>
      </w:pPr>
    </w:p>
    <w:p w14:paraId="184C446D">
      <w:pPr>
        <w:snapToGrid w:val="0"/>
        <w:spacing w:before="50" w:after="50" w:line="360" w:lineRule="auto"/>
        <w:rPr>
          <w:rFonts w:ascii="Times New Roman" w:hAnsi="Times New Roman" w:cs="Times New Roman"/>
          <w:color w:val="000000" w:themeColor="text1"/>
          <w:spacing w:val="20"/>
          <w:highlight w:val="none"/>
        </w:rPr>
      </w:pPr>
      <w:r>
        <w:rPr>
          <w:rFonts w:ascii="Times New Roman" w:hAnsi="Times New Roman" w:cs="Times New Roman"/>
          <w:color w:val="000000" w:themeColor="text1"/>
          <w:highlight w:val="none"/>
        </w:rPr>
        <w:t>法定代表人（签字或盖章）：</w:t>
      </w:r>
    </w:p>
    <w:p w14:paraId="08DA73B4">
      <w:pPr>
        <w:snapToGrid w:val="0"/>
        <w:spacing w:before="50" w:after="50" w:line="360" w:lineRule="auto"/>
        <w:rPr>
          <w:rFonts w:ascii="Times New Roman" w:hAnsi="Times New Roman" w:cs="Times New Roman"/>
          <w:color w:val="000000" w:themeColor="text1"/>
          <w:spacing w:val="20"/>
          <w:highlight w:val="none"/>
        </w:rPr>
      </w:pPr>
      <w:r>
        <w:rPr>
          <w:rFonts w:ascii="Times New Roman" w:hAnsi="Times New Roman" w:cs="Times New Roman"/>
          <w:color w:val="000000" w:themeColor="text1"/>
          <w:spacing w:val="20"/>
          <w:highlight w:val="none"/>
        </w:rPr>
        <w:t>投标人盖章：</w:t>
      </w:r>
    </w:p>
    <w:p w14:paraId="7E5BD4A2">
      <w:pPr>
        <w:snapToGrid w:val="0"/>
        <w:spacing w:before="50" w:after="50" w:line="360" w:lineRule="auto"/>
        <w:rPr>
          <w:rFonts w:ascii="Times New Roman" w:hAnsi="Times New Roman" w:cs="Times New Roman"/>
          <w:color w:val="000000" w:themeColor="text1"/>
          <w:spacing w:val="20"/>
          <w:highlight w:val="none"/>
          <w:u w:val="single"/>
        </w:rPr>
      </w:pPr>
      <w:r>
        <w:rPr>
          <w:rFonts w:ascii="Times New Roman" w:hAnsi="Times New Roman" w:cs="Times New Roman"/>
          <w:color w:val="000000" w:themeColor="text1"/>
          <w:spacing w:val="20"/>
          <w:highlight w:val="none"/>
        </w:rPr>
        <w:t>日期：</w:t>
      </w:r>
    </w:p>
    <w:p w14:paraId="04E0CB01">
      <w:pPr>
        <w:pStyle w:val="14"/>
        <w:rPr>
          <w:highlight w:val="none"/>
        </w:rPr>
        <w:sectPr>
          <w:headerReference r:id="rId5" w:type="default"/>
          <w:footerReference r:id="rId6" w:type="default"/>
          <w:pgSz w:w="11906" w:h="16838"/>
          <w:pgMar w:top="1440" w:right="1797" w:bottom="1440" w:left="1803" w:header="851" w:footer="992" w:gutter="0"/>
          <w:cols w:space="720" w:num="1"/>
          <w:docGrid w:type="lines" w:linePitch="319" w:charSpace="0"/>
        </w:sectPr>
      </w:pPr>
    </w:p>
    <w:p w14:paraId="3397B00E">
      <w:pPr>
        <w:autoSpaceDE w:val="0"/>
        <w:autoSpaceDN w:val="0"/>
        <w:adjustRightInd w:val="0"/>
        <w:spacing w:line="360" w:lineRule="auto"/>
        <w:outlineLvl w:val="1"/>
        <w:rPr>
          <w:rFonts w:ascii="宋体" w:hAnsi="宋体"/>
          <w:b/>
          <w:bCs/>
          <w:sz w:val="24"/>
          <w:highlight w:val="none"/>
        </w:rPr>
      </w:pPr>
      <w:r>
        <w:rPr>
          <w:rFonts w:hint="eastAsia" w:ascii="宋体" w:hAnsi="宋体"/>
          <w:b/>
          <w:bCs/>
          <w:highlight w:val="none"/>
          <w:lang w:val="en-US" w:eastAsia="zh-CN"/>
        </w:rPr>
        <w:t>13</w:t>
      </w:r>
      <w:r>
        <w:rPr>
          <w:rFonts w:hint="eastAsia" w:ascii="宋体" w:hAnsi="宋体"/>
          <w:b/>
          <w:bCs/>
          <w:highlight w:val="none"/>
        </w:rPr>
        <w:t>、</w:t>
      </w:r>
      <w:r>
        <w:rPr>
          <w:rFonts w:hint="eastAsia" w:ascii="宋体" w:hAnsi="宋体"/>
          <w:b/>
          <w:bCs/>
          <w:sz w:val="24"/>
          <w:highlight w:val="none"/>
        </w:rPr>
        <w:t>落实政府采购政策需满足的资格要求</w:t>
      </w:r>
    </w:p>
    <w:p w14:paraId="78EAF64A">
      <w:pPr>
        <w:pStyle w:val="12"/>
        <w:autoSpaceDE w:val="0"/>
        <w:autoSpaceDN w:val="0"/>
        <w:adjustRightInd w:val="0"/>
        <w:spacing w:line="360" w:lineRule="auto"/>
        <w:jc w:val="left"/>
        <w:rPr>
          <w:rFonts w:ascii="宋体"/>
          <w:highlight w:val="none"/>
        </w:rPr>
      </w:pPr>
      <w:r>
        <w:rPr>
          <w:rFonts w:hint="eastAsia" w:ascii="宋体" w:hAnsi="宋体"/>
          <w:b/>
          <w:bCs/>
          <w:highlight w:val="none"/>
          <w:lang w:val="en-US" w:eastAsia="zh-CN"/>
        </w:rPr>
        <w:t>13</w:t>
      </w:r>
      <w:r>
        <w:rPr>
          <w:rFonts w:hint="eastAsia" w:ascii="宋体" w:hAnsi="宋体"/>
          <w:b/>
          <w:bCs/>
          <w:highlight w:val="none"/>
        </w:rPr>
        <w:t>.1中小企业声明函</w:t>
      </w:r>
    </w:p>
    <w:p w14:paraId="21F26D0E">
      <w:pPr>
        <w:widowControl/>
        <w:jc w:val="center"/>
        <w:rPr>
          <w:rFonts w:hint="eastAsia" w:ascii="Times New Roman" w:hAnsi="Times New Roman" w:eastAsia="宋体"/>
          <w:sz w:val="22"/>
          <w:szCs w:val="22"/>
          <w:highlight w:val="none"/>
          <w:lang w:eastAsia="zh-CN"/>
        </w:rPr>
      </w:pPr>
      <w:r>
        <w:rPr>
          <w:rFonts w:ascii="Times New Roman" w:hAnsi="Times New Roman"/>
          <w:b/>
          <w:kern w:val="0"/>
          <w:sz w:val="22"/>
          <w:szCs w:val="22"/>
          <w:highlight w:val="none"/>
        </w:rPr>
        <w:t>中小企业声明函</w:t>
      </w:r>
      <w:r>
        <w:rPr>
          <w:rFonts w:hint="eastAsia" w:ascii="Times New Roman" w:hAnsi="Times New Roman"/>
          <w:b/>
          <w:kern w:val="0"/>
          <w:sz w:val="22"/>
          <w:szCs w:val="22"/>
          <w:highlight w:val="none"/>
          <w:lang w:eastAsia="zh-CN"/>
        </w:rPr>
        <w:t>（</w:t>
      </w:r>
      <w:r>
        <w:rPr>
          <w:rFonts w:hint="eastAsia" w:ascii="Times New Roman" w:hAnsi="Times New Roman"/>
          <w:b/>
          <w:kern w:val="0"/>
          <w:sz w:val="22"/>
          <w:szCs w:val="22"/>
          <w:highlight w:val="none"/>
          <w:lang w:val="en-US" w:eastAsia="zh-CN"/>
        </w:rPr>
        <w:t>服务</w:t>
      </w:r>
      <w:r>
        <w:rPr>
          <w:rFonts w:hint="eastAsia" w:ascii="Times New Roman" w:hAnsi="Times New Roman"/>
          <w:b/>
          <w:kern w:val="0"/>
          <w:sz w:val="22"/>
          <w:szCs w:val="22"/>
          <w:highlight w:val="none"/>
          <w:lang w:eastAsia="zh-CN"/>
        </w:rPr>
        <w:t>）</w:t>
      </w:r>
    </w:p>
    <w:p w14:paraId="44DF6E9A">
      <w:pPr>
        <w:widowControl/>
        <w:spacing w:line="360" w:lineRule="auto"/>
        <w:ind w:firstLine="420" w:firstLineChars="200"/>
        <w:rPr>
          <w:rFonts w:ascii="Times New Roman" w:hAnsi="Times New Roman"/>
          <w:szCs w:val="21"/>
          <w:highlight w:val="none"/>
        </w:rPr>
      </w:pPr>
      <w:r>
        <w:rPr>
          <w:rFonts w:ascii="Times New Roman" w:hAnsi="Times New Roman"/>
          <w:kern w:val="0"/>
          <w:szCs w:val="21"/>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B566039">
      <w:pPr>
        <w:widowControl/>
        <w:spacing w:line="360" w:lineRule="auto"/>
        <w:ind w:left="630" w:hanging="630" w:hangingChars="300"/>
        <w:jc w:val="left"/>
        <w:rPr>
          <w:rFonts w:ascii="Times New Roman" w:hAnsi="Times New Roman"/>
          <w:szCs w:val="21"/>
          <w:highlight w:val="none"/>
        </w:rPr>
      </w:pPr>
      <w:r>
        <w:rPr>
          <w:rFonts w:ascii="Times New Roman" w:hAnsi="Times New Roman"/>
          <w:kern w:val="0"/>
          <w:szCs w:val="21"/>
          <w:highlight w:val="none"/>
        </w:rPr>
        <w:t xml:space="preserve">1. </w:t>
      </w:r>
      <w:r>
        <w:rPr>
          <w:rFonts w:ascii="Times New Roman" w:hAnsi="Times New Roman"/>
          <w:kern w:val="0"/>
          <w:szCs w:val="21"/>
          <w:highlight w:val="none"/>
          <w:u w:val="single"/>
        </w:rPr>
        <w:t>（标的名称）</w:t>
      </w:r>
      <w:r>
        <w:rPr>
          <w:rFonts w:ascii="Times New Roman" w:hAnsi="Times New Roman"/>
          <w:kern w:val="0"/>
          <w:szCs w:val="21"/>
          <w:highlight w:val="none"/>
        </w:rPr>
        <w:t>，属于</w:t>
      </w:r>
      <w:r>
        <w:rPr>
          <w:rFonts w:ascii="Times New Roman" w:hAnsi="Times New Roman"/>
          <w:kern w:val="0"/>
          <w:szCs w:val="21"/>
          <w:highlight w:val="none"/>
          <w:u w:val="single"/>
        </w:rPr>
        <w:t>（采购文件中明确的所属行业）</w:t>
      </w:r>
      <w:r>
        <w:rPr>
          <w:rFonts w:ascii="Times New Roman" w:hAnsi="Times New Roman"/>
          <w:kern w:val="0"/>
          <w:szCs w:val="21"/>
          <w:highlight w:val="none"/>
        </w:rPr>
        <w:t>；承建（承接）企业为</w:t>
      </w:r>
      <w:r>
        <w:rPr>
          <w:rFonts w:ascii="Times New Roman" w:hAnsi="Times New Roman"/>
          <w:kern w:val="0"/>
          <w:szCs w:val="21"/>
          <w:highlight w:val="none"/>
          <w:u w:val="single"/>
        </w:rPr>
        <w:t>（企业名称）</w:t>
      </w:r>
      <w:r>
        <w:rPr>
          <w:rFonts w:ascii="Times New Roman" w:hAnsi="Times New Roman"/>
          <w:kern w:val="0"/>
          <w:szCs w:val="21"/>
          <w:highlight w:val="none"/>
        </w:rPr>
        <w:t>，从业人员</w:t>
      </w:r>
      <w:r>
        <w:rPr>
          <w:rFonts w:hint="eastAsia" w:ascii="Times New Roman" w:hAnsi="Times New Roman"/>
          <w:kern w:val="0"/>
          <w:szCs w:val="21"/>
          <w:highlight w:val="none"/>
          <w:u w:val="single"/>
          <w:lang w:val="en-US" w:eastAsia="zh-CN"/>
        </w:rPr>
        <w:t xml:space="preserve">   </w:t>
      </w:r>
      <w:r>
        <w:rPr>
          <w:rFonts w:ascii="Times New Roman" w:hAnsi="Times New Roman"/>
          <w:kern w:val="0"/>
          <w:szCs w:val="21"/>
          <w:highlight w:val="none"/>
        </w:rPr>
        <w:t>人</w:t>
      </w:r>
      <w:r>
        <w:rPr>
          <w:rFonts w:hint="eastAsia" w:ascii="Times New Roman" w:hAnsi="Times New Roman"/>
          <w:kern w:val="0"/>
          <w:szCs w:val="21"/>
          <w:highlight w:val="none"/>
          <w:lang w:eastAsia="zh-CN"/>
        </w:rPr>
        <w:t>，</w:t>
      </w:r>
      <w:r>
        <w:rPr>
          <w:rFonts w:ascii="Times New Roman" w:hAnsi="Times New Roman"/>
          <w:kern w:val="0"/>
          <w:szCs w:val="21"/>
          <w:highlight w:val="none"/>
        </w:rPr>
        <w:t>营业收入为</w:t>
      </w:r>
      <w:r>
        <w:rPr>
          <w:rFonts w:hint="eastAsia" w:ascii="Times New Roman" w:hAnsi="Times New Roman"/>
          <w:kern w:val="0"/>
          <w:szCs w:val="21"/>
          <w:highlight w:val="none"/>
          <w:lang w:val="en-US" w:eastAsia="zh-CN"/>
        </w:rPr>
        <w:t xml:space="preserve"> </w:t>
      </w:r>
      <w:r>
        <w:rPr>
          <w:rFonts w:hint="eastAsia" w:ascii="Times New Roman" w:hAnsi="Times New Roman"/>
          <w:kern w:val="0"/>
          <w:szCs w:val="21"/>
          <w:highlight w:val="none"/>
          <w:u w:val="single"/>
          <w:lang w:val="en-US" w:eastAsia="zh-CN"/>
        </w:rPr>
        <w:t xml:space="preserve">   </w:t>
      </w:r>
      <w:r>
        <w:rPr>
          <w:rFonts w:ascii="Times New Roman" w:hAnsi="Times New Roman"/>
          <w:kern w:val="0"/>
          <w:szCs w:val="21"/>
          <w:highlight w:val="none"/>
        </w:rPr>
        <w:t>万元，资产总额为</w:t>
      </w:r>
      <w:r>
        <w:rPr>
          <w:rFonts w:hint="eastAsia" w:ascii="Times New Roman" w:hAnsi="Times New Roman"/>
          <w:kern w:val="0"/>
          <w:szCs w:val="21"/>
          <w:highlight w:val="none"/>
          <w:u w:val="single"/>
          <w:lang w:val="en-US" w:eastAsia="zh-CN"/>
        </w:rPr>
        <w:t xml:space="preserve">     </w:t>
      </w:r>
      <w:r>
        <w:rPr>
          <w:rFonts w:ascii="Times New Roman" w:hAnsi="Times New Roman"/>
          <w:kern w:val="0"/>
          <w:szCs w:val="21"/>
          <w:highlight w:val="none"/>
        </w:rPr>
        <w:t>万元，属于（</w:t>
      </w:r>
      <w:r>
        <w:rPr>
          <w:rFonts w:ascii="Times New Roman" w:hAnsi="Times New Roman"/>
          <w:kern w:val="0"/>
          <w:szCs w:val="21"/>
          <w:highlight w:val="none"/>
          <w:u w:val="single"/>
        </w:rPr>
        <w:t>中型企业、小型企业、微型企业）</w:t>
      </w:r>
      <w:r>
        <w:rPr>
          <w:rFonts w:ascii="Times New Roman" w:hAnsi="Times New Roman"/>
          <w:kern w:val="0"/>
          <w:szCs w:val="21"/>
          <w:highlight w:val="none"/>
        </w:rPr>
        <w:t>；</w:t>
      </w:r>
    </w:p>
    <w:p w14:paraId="1B619E23">
      <w:pPr>
        <w:widowControl/>
        <w:spacing w:line="360" w:lineRule="auto"/>
        <w:rPr>
          <w:rFonts w:ascii="Times New Roman" w:hAnsi="Times New Roman"/>
          <w:szCs w:val="21"/>
          <w:highlight w:val="none"/>
        </w:rPr>
      </w:pPr>
      <w:r>
        <w:rPr>
          <w:rFonts w:ascii="Times New Roman" w:hAnsi="Times New Roman"/>
          <w:kern w:val="0"/>
          <w:szCs w:val="21"/>
          <w:highlight w:val="none"/>
        </w:rPr>
        <w:t>2.</w:t>
      </w:r>
      <w:r>
        <w:rPr>
          <w:rFonts w:ascii="Times New Roman" w:hAnsi="Times New Roman"/>
          <w:kern w:val="0"/>
          <w:szCs w:val="21"/>
          <w:highlight w:val="none"/>
          <w:u w:val="single"/>
        </w:rPr>
        <w:t>（标的名称）</w:t>
      </w:r>
      <w:r>
        <w:rPr>
          <w:rFonts w:ascii="Times New Roman" w:hAnsi="Times New Roman"/>
          <w:kern w:val="0"/>
          <w:szCs w:val="21"/>
          <w:highlight w:val="none"/>
        </w:rPr>
        <w:t>，属于（采购文件中明确的所属行业）；承建（承接）企业为（企业名称），从业人员人，营业收入为万元，资产总额为万元，属于（中型企业、小型企业、微型企业）；</w:t>
      </w:r>
    </w:p>
    <w:p w14:paraId="53E03FB1">
      <w:pPr>
        <w:widowControl/>
        <w:spacing w:line="360" w:lineRule="auto"/>
        <w:rPr>
          <w:rFonts w:ascii="Times New Roman" w:hAnsi="Times New Roman"/>
          <w:szCs w:val="21"/>
          <w:highlight w:val="none"/>
        </w:rPr>
      </w:pPr>
      <w:r>
        <w:rPr>
          <w:rFonts w:ascii="Times New Roman" w:hAnsi="Times New Roman"/>
          <w:kern w:val="0"/>
          <w:szCs w:val="21"/>
          <w:highlight w:val="none"/>
        </w:rPr>
        <w:t>……</w:t>
      </w:r>
    </w:p>
    <w:p w14:paraId="0D895686">
      <w:pPr>
        <w:widowControl/>
        <w:spacing w:line="360" w:lineRule="auto"/>
        <w:ind w:firstLine="420" w:firstLineChars="200"/>
        <w:rPr>
          <w:rFonts w:ascii="Times New Roman" w:hAnsi="Times New Roman"/>
          <w:szCs w:val="21"/>
          <w:highlight w:val="none"/>
        </w:rPr>
      </w:pPr>
      <w:r>
        <w:rPr>
          <w:rFonts w:ascii="Times New Roman" w:hAnsi="Times New Roman"/>
          <w:kern w:val="0"/>
          <w:szCs w:val="21"/>
          <w:highlight w:val="none"/>
        </w:rPr>
        <w:t>以上企业，不属于大企业的分支机构，不存在控股股东为大企业的情形，也不存在与大企业的负责人为同一人的情形。</w:t>
      </w:r>
    </w:p>
    <w:p w14:paraId="232E9662">
      <w:pPr>
        <w:widowControl/>
        <w:spacing w:line="360" w:lineRule="auto"/>
        <w:ind w:firstLine="420" w:firstLineChars="200"/>
        <w:rPr>
          <w:rFonts w:ascii="Times New Roman" w:hAnsi="Times New Roman"/>
          <w:szCs w:val="21"/>
          <w:highlight w:val="none"/>
        </w:rPr>
      </w:pPr>
      <w:r>
        <w:rPr>
          <w:rFonts w:ascii="Times New Roman" w:hAnsi="Times New Roman"/>
          <w:kern w:val="0"/>
          <w:szCs w:val="21"/>
          <w:highlight w:val="none"/>
        </w:rPr>
        <w:t>本企业对上述声明内容的真实性负责。如有虚假，将依法承担相应责任。</w:t>
      </w:r>
    </w:p>
    <w:p w14:paraId="11EA570E">
      <w:pPr>
        <w:widowControl/>
        <w:jc w:val="left"/>
        <w:rPr>
          <w:rFonts w:ascii="Times New Roman" w:hAnsi="Times New Roman"/>
          <w:kern w:val="0"/>
          <w:szCs w:val="21"/>
          <w:highlight w:val="none"/>
        </w:rPr>
      </w:pPr>
    </w:p>
    <w:p w14:paraId="2887DDD6">
      <w:pPr>
        <w:snapToGrid w:val="0"/>
        <w:spacing w:line="360" w:lineRule="auto"/>
        <w:ind w:firstLine="4730" w:firstLineChars="2150"/>
        <w:rPr>
          <w:rFonts w:ascii="宋体" w:hAnsi="宋体" w:cs="宋体"/>
          <w:kern w:val="0"/>
          <w:sz w:val="22"/>
          <w:szCs w:val="22"/>
          <w:highlight w:val="none"/>
          <w:lang w:val="zh-CN"/>
        </w:rPr>
      </w:pPr>
    </w:p>
    <w:p w14:paraId="74928E97">
      <w:pPr>
        <w:snapToGrid w:val="0"/>
        <w:spacing w:line="360" w:lineRule="auto"/>
        <w:ind w:firstLine="6300" w:firstLineChars="3000"/>
        <w:rPr>
          <w:rFonts w:ascii="宋体" w:hAnsi="宋体" w:cs="宋体"/>
          <w:kern w:val="0"/>
          <w:szCs w:val="21"/>
          <w:highlight w:val="none"/>
        </w:rPr>
      </w:pPr>
      <w:r>
        <w:rPr>
          <w:rFonts w:hint="eastAsia" w:ascii="宋体" w:hAnsi="宋体" w:cs="宋体"/>
          <w:kern w:val="0"/>
          <w:szCs w:val="21"/>
          <w:highlight w:val="none"/>
          <w:lang w:val="zh-CN"/>
        </w:rPr>
        <w:t>投标人名称（</w:t>
      </w:r>
      <w:r>
        <w:rPr>
          <w:rFonts w:hint="eastAsia" w:ascii="宋体" w:hAnsi="宋体" w:cs="宋体"/>
          <w:kern w:val="0"/>
          <w:szCs w:val="21"/>
          <w:highlight w:val="none"/>
          <w:lang w:val="en-US" w:eastAsia="zh-CN"/>
        </w:rPr>
        <w:t>盖</w:t>
      </w:r>
      <w:r>
        <w:rPr>
          <w:rFonts w:hint="eastAsia" w:ascii="宋体" w:hAnsi="宋体" w:cs="宋体"/>
          <w:kern w:val="0"/>
          <w:szCs w:val="21"/>
          <w:highlight w:val="none"/>
          <w:lang w:val="zh-CN"/>
        </w:rPr>
        <w:t>章)：</w:t>
      </w:r>
    </w:p>
    <w:p w14:paraId="025036E8">
      <w:pPr>
        <w:snapToGrid w:val="0"/>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lang w:val="zh-CN"/>
        </w:rPr>
        <w:t>日期</w:t>
      </w:r>
      <w:r>
        <w:rPr>
          <w:rFonts w:hint="eastAsia" w:ascii="宋体" w:hAnsi="宋体" w:cs="宋体"/>
          <w:kern w:val="0"/>
          <w:szCs w:val="21"/>
          <w:highlight w:val="none"/>
        </w:rPr>
        <w:t xml:space="preserve">：  年  </w:t>
      </w:r>
      <w:r>
        <w:rPr>
          <w:rFonts w:hint="eastAsia" w:ascii="宋体" w:hAnsi="宋体" w:cs="宋体"/>
          <w:kern w:val="0"/>
          <w:szCs w:val="21"/>
          <w:highlight w:val="none"/>
          <w:lang w:val="zh-CN"/>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lang w:val="zh-CN"/>
        </w:rPr>
        <w:t>日</w:t>
      </w:r>
    </w:p>
    <w:tbl>
      <w:tblPr>
        <w:tblStyle w:val="24"/>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298"/>
        <w:gridCol w:w="993"/>
        <w:gridCol w:w="1625"/>
        <w:gridCol w:w="1462"/>
        <w:gridCol w:w="1152"/>
      </w:tblGrid>
      <w:tr w14:paraId="4343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67" w:type="dxa"/>
            <w:vAlign w:val="center"/>
          </w:tcPr>
          <w:p w14:paraId="6D2A04A5">
            <w:pPr>
              <w:widowControl/>
              <w:wordWrap w:val="0"/>
              <w:spacing w:line="360" w:lineRule="atLeast"/>
              <w:jc w:val="center"/>
              <w:textAlignment w:val="center"/>
              <w:rPr>
                <w:highlight w:val="none"/>
              </w:rPr>
            </w:pPr>
            <w:r>
              <w:rPr>
                <w:rFonts w:ascii="Arial" w:hAnsi="Arial" w:cs="Arial"/>
                <w:b/>
                <w:bCs/>
                <w:kern w:val="0"/>
                <w:sz w:val="18"/>
                <w:szCs w:val="18"/>
                <w:highlight w:val="none"/>
              </w:rPr>
              <w:t>行业名称</w:t>
            </w:r>
          </w:p>
        </w:tc>
        <w:tc>
          <w:tcPr>
            <w:tcW w:w="1298" w:type="dxa"/>
            <w:vAlign w:val="center"/>
          </w:tcPr>
          <w:p w14:paraId="1DC0FB79">
            <w:pPr>
              <w:widowControl/>
              <w:wordWrap w:val="0"/>
              <w:spacing w:line="360" w:lineRule="atLeast"/>
              <w:jc w:val="center"/>
              <w:textAlignment w:val="center"/>
              <w:rPr>
                <w:highlight w:val="none"/>
              </w:rPr>
            </w:pPr>
            <w:r>
              <w:rPr>
                <w:rFonts w:ascii="Arial" w:hAnsi="Arial" w:cs="Arial"/>
                <w:b/>
                <w:bCs/>
                <w:kern w:val="0"/>
                <w:sz w:val="18"/>
                <w:szCs w:val="18"/>
                <w:highlight w:val="none"/>
              </w:rPr>
              <w:t>指标名称</w:t>
            </w:r>
          </w:p>
        </w:tc>
        <w:tc>
          <w:tcPr>
            <w:tcW w:w="993" w:type="dxa"/>
            <w:vAlign w:val="center"/>
          </w:tcPr>
          <w:p w14:paraId="12E4B67F">
            <w:pPr>
              <w:widowControl/>
              <w:wordWrap w:val="0"/>
              <w:spacing w:line="360" w:lineRule="atLeast"/>
              <w:jc w:val="center"/>
              <w:textAlignment w:val="center"/>
              <w:rPr>
                <w:highlight w:val="none"/>
              </w:rPr>
            </w:pPr>
            <w:r>
              <w:rPr>
                <w:rFonts w:ascii="Arial" w:hAnsi="Arial" w:cs="Arial"/>
                <w:b/>
                <w:bCs/>
                <w:kern w:val="0"/>
                <w:sz w:val="18"/>
                <w:szCs w:val="18"/>
                <w:highlight w:val="none"/>
              </w:rPr>
              <w:t>计量单位</w:t>
            </w:r>
          </w:p>
        </w:tc>
        <w:tc>
          <w:tcPr>
            <w:tcW w:w="1625" w:type="dxa"/>
            <w:vAlign w:val="center"/>
          </w:tcPr>
          <w:p w14:paraId="30FF8EDA">
            <w:pPr>
              <w:widowControl/>
              <w:wordWrap w:val="0"/>
              <w:spacing w:line="360" w:lineRule="atLeast"/>
              <w:jc w:val="center"/>
              <w:textAlignment w:val="center"/>
              <w:rPr>
                <w:highlight w:val="none"/>
              </w:rPr>
            </w:pPr>
            <w:r>
              <w:rPr>
                <w:rFonts w:ascii="Arial" w:hAnsi="Arial" w:cs="Arial"/>
                <w:b/>
                <w:bCs/>
                <w:kern w:val="0"/>
                <w:sz w:val="18"/>
                <w:szCs w:val="18"/>
                <w:highlight w:val="none"/>
              </w:rPr>
              <w:t>中型</w:t>
            </w:r>
          </w:p>
        </w:tc>
        <w:tc>
          <w:tcPr>
            <w:tcW w:w="1462" w:type="dxa"/>
            <w:vAlign w:val="center"/>
          </w:tcPr>
          <w:p w14:paraId="75263808">
            <w:pPr>
              <w:widowControl/>
              <w:wordWrap w:val="0"/>
              <w:spacing w:line="360" w:lineRule="atLeast"/>
              <w:jc w:val="center"/>
              <w:textAlignment w:val="center"/>
              <w:rPr>
                <w:highlight w:val="none"/>
              </w:rPr>
            </w:pPr>
            <w:r>
              <w:rPr>
                <w:rFonts w:ascii="Arial" w:hAnsi="Arial" w:cs="Arial"/>
                <w:b/>
                <w:bCs/>
                <w:kern w:val="0"/>
                <w:sz w:val="18"/>
                <w:szCs w:val="18"/>
                <w:highlight w:val="none"/>
              </w:rPr>
              <w:t>小型</w:t>
            </w:r>
          </w:p>
        </w:tc>
        <w:tc>
          <w:tcPr>
            <w:tcW w:w="1152" w:type="dxa"/>
            <w:vAlign w:val="center"/>
          </w:tcPr>
          <w:p w14:paraId="73805E6D">
            <w:pPr>
              <w:widowControl/>
              <w:wordWrap w:val="0"/>
              <w:spacing w:line="360" w:lineRule="atLeast"/>
              <w:jc w:val="center"/>
              <w:textAlignment w:val="center"/>
              <w:rPr>
                <w:highlight w:val="none"/>
              </w:rPr>
            </w:pPr>
            <w:r>
              <w:rPr>
                <w:rFonts w:ascii="Arial" w:hAnsi="Arial" w:cs="Arial"/>
                <w:b/>
                <w:bCs/>
                <w:kern w:val="0"/>
                <w:sz w:val="18"/>
                <w:szCs w:val="18"/>
                <w:highlight w:val="none"/>
              </w:rPr>
              <w:t>微型</w:t>
            </w:r>
          </w:p>
        </w:tc>
      </w:tr>
      <w:tr w14:paraId="2E1B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7" w:type="dxa"/>
            <w:vAlign w:val="center"/>
          </w:tcPr>
          <w:p w14:paraId="452D92AE">
            <w:pPr>
              <w:widowControl/>
              <w:wordWrap w:val="0"/>
              <w:spacing w:line="360" w:lineRule="atLeast"/>
              <w:jc w:val="center"/>
              <w:textAlignment w:val="center"/>
              <w:rPr>
                <w:rFonts w:hint="default" w:ascii="Arial" w:hAnsi="Arial" w:cs="Arial"/>
                <w:kern w:val="0"/>
                <w:sz w:val="18"/>
                <w:szCs w:val="18"/>
                <w:highlight w:val="none"/>
                <w:lang w:val="en-US" w:eastAsia="zh-CN"/>
              </w:rPr>
            </w:pPr>
            <w:r>
              <w:rPr>
                <w:rFonts w:hint="eastAsia" w:ascii="Arial" w:hAnsi="Arial" w:cs="Arial"/>
                <w:kern w:val="0"/>
                <w:sz w:val="18"/>
                <w:szCs w:val="18"/>
                <w:highlight w:val="none"/>
                <w:lang w:val="en-US" w:eastAsia="zh-CN"/>
              </w:rPr>
              <w:t>其他未列明行业</w:t>
            </w:r>
          </w:p>
        </w:tc>
        <w:tc>
          <w:tcPr>
            <w:tcW w:w="1298" w:type="dxa"/>
            <w:vAlign w:val="center"/>
          </w:tcPr>
          <w:p w14:paraId="296B64CD">
            <w:pPr>
              <w:widowControl/>
              <w:wordWrap w:val="0"/>
              <w:spacing w:line="360" w:lineRule="atLeast"/>
              <w:jc w:val="center"/>
              <w:textAlignment w:val="center"/>
              <w:rPr>
                <w:rFonts w:ascii="Arial" w:hAnsi="Arial" w:cs="Arial"/>
                <w:kern w:val="0"/>
                <w:sz w:val="18"/>
                <w:szCs w:val="18"/>
                <w:highlight w:val="none"/>
              </w:rPr>
            </w:pPr>
            <w:r>
              <w:rPr>
                <w:rFonts w:ascii="Arial" w:hAnsi="Arial" w:cs="Arial"/>
                <w:kern w:val="0"/>
                <w:sz w:val="18"/>
                <w:szCs w:val="18"/>
                <w:highlight w:val="none"/>
              </w:rPr>
              <w:t>从业人员</w:t>
            </w:r>
            <w:r>
              <w:rPr>
                <w:rFonts w:hint="eastAsia" w:ascii="Arial" w:hAnsi="Arial" w:cs="Arial"/>
                <w:kern w:val="0"/>
                <w:sz w:val="18"/>
                <w:szCs w:val="18"/>
                <w:highlight w:val="none"/>
                <w:lang w:eastAsia="zh-CN"/>
              </w:rPr>
              <w:t>（</w:t>
            </w:r>
            <w:r>
              <w:rPr>
                <w:rFonts w:ascii="Arial" w:hAnsi="Arial" w:cs="Arial"/>
                <w:kern w:val="0"/>
                <w:sz w:val="18"/>
                <w:szCs w:val="18"/>
                <w:highlight w:val="none"/>
              </w:rPr>
              <w:t>X)</w:t>
            </w:r>
          </w:p>
        </w:tc>
        <w:tc>
          <w:tcPr>
            <w:tcW w:w="993" w:type="dxa"/>
            <w:vAlign w:val="center"/>
          </w:tcPr>
          <w:p w14:paraId="144F78A0">
            <w:pPr>
              <w:widowControl/>
              <w:wordWrap w:val="0"/>
              <w:spacing w:line="360" w:lineRule="atLeast"/>
              <w:jc w:val="center"/>
              <w:textAlignment w:val="center"/>
              <w:rPr>
                <w:rFonts w:ascii="Arial" w:hAnsi="Arial" w:cs="Arial"/>
                <w:kern w:val="0"/>
                <w:sz w:val="18"/>
                <w:szCs w:val="18"/>
                <w:highlight w:val="none"/>
              </w:rPr>
            </w:pPr>
            <w:r>
              <w:rPr>
                <w:rFonts w:ascii="Arial" w:hAnsi="Arial" w:cs="Arial"/>
                <w:kern w:val="0"/>
                <w:sz w:val="18"/>
                <w:szCs w:val="18"/>
                <w:highlight w:val="none"/>
              </w:rPr>
              <w:t>人</w:t>
            </w:r>
          </w:p>
        </w:tc>
        <w:tc>
          <w:tcPr>
            <w:tcW w:w="1625" w:type="dxa"/>
            <w:vAlign w:val="center"/>
          </w:tcPr>
          <w:p w14:paraId="10C0A615">
            <w:pPr>
              <w:widowControl/>
              <w:wordWrap w:val="0"/>
              <w:spacing w:line="360" w:lineRule="atLeast"/>
              <w:jc w:val="center"/>
              <w:textAlignment w:val="center"/>
              <w:rPr>
                <w:rFonts w:ascii="Arial" w:hAnsi="Arial" w:cs="Arial"/>
                <w:kern w:val="0"/>
                <w:sz w:val="18"/>
                <w:szCs w:val="18"/>
                <w:highlight w:val="none"/>
              </w:rPr>
            </w:pPr>
            <w:r>
              <w:rPr>
                <w:rFonts w:ascii="Arial" w:hAnsi="Arial" w:cs="Arial"/>
                <w:kern w:val="0"/>
                <w:sz w:val="18"/>
                <w:szCs w:val="18"/>
                <w:highlight w:val="none"/>
              </w:rPr>
              <w:t>100≤X&lt;300</w:t>
            </w:r>
          </w:p>
        </w:tc>
        <w:tc>
          <w:tcPr>
            <w:tcW w:w="1462" w:type="dxa"/>
            <w:vAlign w:val="center"/>
          </w:tcPr>
          <w:p w14:paraId="128D0D27">
            <w:pPr>
              <w:widowControl/>
              <w:wordWrap w:val="0"/>
              <w:spacing w:line="360" w:lineRule="atLeast"/>
              <w:jc w:val="center"/>
              <w:textAlignment w:val="center"/>
              <w:rPr>
                <w:rFonts w:ascii="Arial" w:hAnsi="Arial" w:cs="Arial"/>
                <w:kern w:val="0"/>
                <w:sz w:val="18"/>
                <w:szCs w:val="18"/>
                <w:highlight w:val="none"/>
              </w:rPr>
            </w:pPr>
            <w:r>
              <w:rPr>
                <w:rFonts w:hint="default" w:ascii="Arial" w:hAnsi="Arial" w:cs="Arial"/>
                <w:kern w:val="0"/>
                <w:sz w:val="18"/>
                <w:szCs w:val="18"/>
                <w:highlight w:val="none"/>
              </w:rPr>
              <w:t>10≤X&lt;100</w:t>
            </w:r>
          </w:p>
        </w:tc>
        <w:tc>
          <w:tcPr>
            <w:tcW w:w="1152" w:type="dxa"/>
            <w:vAlign w:val="center"/>
          </w:tcPr>
          <w:p w14:paraId="43855BC2">
            <w:pPr>
              <w:widowControl/>
              <w:wordWrap w:val="0"/>
              <w:spacing w:line="360" w:lineRule="atLeast"/>
              <w:jc w:val="center"/>
              <w:textAlignment w:val="center"/>
              <w:rPr>
                <w:rFonts w:ascii="Arial" w:hAnsi="Arial" w:cs="Arial"/>
                <w:kern w:val="0"/>
                <w:sz w:val="18"/>
                <w:szCs w:val="18"/>
                <w:highlight w:val="none"/>
              </w:rPr>
            </w:pPr>
            <w:r>
              <w:rPr>
                <w:rFonts w:hint="default" w:ascii="Arial" w:hAnsi="Arial" w:cs="Arial"/>
                <w:kern w:val="0"/>
                <w:sz w:val="18"/>
                <w:szCs w:val="18"/>
                <w:highlight w:val="none"/>
              </w:rPr>
              <w:t>X&lt;10</w:t>
            </w:r>
          </w:p>
        </w:tc>
      </w:tr>
    </w:tbl>
    <w:p w14:paraId="2B4D9196">
      <w:pPr>
        <w:spacing w:line="400" w:lineRule="exact"/>
        <w:rPr>
          <w:rFonts w:ascii="Times New Roman" w:hAnsi="Times New Roman"/>
          <w:b/>
          <w:bCs/>
          <w:highlight w:val="none"/>
        </w:rPr>
      </w:pPr>
      <w:r>
        <w:rPr>
          <w:rFonts w:ascii="Times New Roman" w:hAnsi="Times New Roman"/>
          <w:b/>
          <w:bCs/>
          <w:highlight w:val="none"/>
        </w:rPr>
        <w:t>注：</w:t>
      </w:r>
    </w:p>
    <w:p w14:paraId="5B6DAFBF">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highlight w:val="none"/>
        </w:rPr>
      </w:pPr>
      <w:r>
        <w:rPr>
          <w:rFonts w:hint="eastAsia" w:ascii="宋体" w:hAnsi="宋体"/>
          <w:highlight w:val="none"/>
        </w:rPr>
        <w:t>1）</w:t>
      </w:r>
      <w:r>
        <w:rPr>
          <w:rFonts w:hint="eastAsia" w:ascii="宋体" w:hAnsi="宋体"/>
          <w:b/>
          <w:bCs/>
          <w:highlight w:val="none"/>
        </w:rPr>
        <w:t>“</w:t>
      </w:r>
      <w:r>
        <w:rPr>
          <w:rFonts w:hint="eastAsia" w:ascii="宋体" w:hAnsi="宋体"/>
          <w:b/>
          <w:bCs/>
          <w:highlight w:val="none"/>
          <w:u w:val="single"/>
        </w:rPr>
        <w:t>（采购文件中明确的所属行业）</w:t>
      </w:r>
      <w:r>
        <w:rPr>
          <w:rFonts w:hint="eastAsia" w:ascii="宋体" w:hAnsi="宋体"/>
          <w:b/>
          <w:bCs/>
          <w:highlight w:val="none"/>
        </w:rPr>
        <w:t>”</w:t>
      </w:r>
      <w:r>
        <w:rPr>
          <w:rFonts w:hint="eastAsia" w:ascii="宋体" w:hAnsi="宋体"/>
          <w:highlight w:val="none"/>
        </w:rPr>
        <w:t>按采购文件</w:t>
      </w:r>
      <w:r>
        <w:rPr>
          <w:rFonts w:hint="eastAsia" w:ascii="宋体" w:hAnsi="宋体"/>
          <w:b/>
          <w:bCs/>
          <w:highlight w:val="none"/>
        </w:rPr>
        <w:t>前附表</w:t>
      </w:r>
      <w:r>
        <w:rPr>
          <w:rFonts w:hint="eastAsia" w:ascii="宋体" w:hAnsi="宋体"/>
          <w:highlight w:val="none"/>
        </w:rPr>
        <w:t>中所明确的行业进行填写。</w:t>
      </w:r>
    </w:p>
    <w:p w14:paraId="1CAAF74B">
      <w:pPr>
        <w:pStyle w:val="12"/>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21"/>
          <w:highlight w:val="none"/>
          <w:u w:val="single"/>
        </w:rPr>
      </w:pPr>
      <w:r>
        <w:rPr>
          <w:rFonts w:hint="eastAsia" w:ascii="宋体" w:hAnsi="宋体"/>
          <w:b/>
          <w:bCs/>
          <w:sz w:val="21"/>
          <w:highlight w:val="none"/>
          <w:u w:val="single"/>
        </w:rPr>
        <w:t>如</w:t>
      </w:r>
      <w:r>
        <w:rPr>
          <w:rFonts w:hint="eastAsia" w:ascii="宋体" w:hAnsi="宋体"/>
          <w:sz w:val="21"/>
          <w:highlight w:val="none"/>
          <w:u w:val="single"/>
        </w:rPr>
        <w:t>“租赁和商务服务业”，填写“租赁业”或“商务服务业”或“服务业”均为</w:t>
      </w:r>
      <w:r>
        <w:rPr>
          <w:rFonts w:hint="eastAsia" w:ascii="宋体" w:hAnsi="宋体"/>
          <w:b/>
          <w:bCs/>
          <w:color w:val="FF0000"/>
          <w:sz w:val="21"/>
          <w:highlight w:val="none"/>
          <w:u w:val="single"/>
        </w:rPr>
        <w:t>错误</w:t>
      </w:r>
      <w:r>
        <w:rPr>
          <w:rFonts w:hint="eastAsia" w:ascii="宋体" w:hAnsi="宋体"/>
          <w:color w:val="FF0000"/>
          <w:sz w:val="21"/>
          <w:highlight w:val="none"/>
          <w:u w:val="single"/>
        </w:rPr>
        <w:t>。</w:t>
      </w:r>
    </w:p>
    <w:p w14:paraId="7E4A416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highlight w:val="none"/>
        </w:rPr>
      </w:pPr>
      <w:r>
        <w:rPr>
          <w:rFonts w:hint="eastAsia" w:ascii="宋体" w:hAnsi="宋体"/>
          <w:highlight w:val="none"/>
        </w:rPr>
        <w:t>2）中小企业划型标准按工信部联企业〔2011〕300号文件中所涉及指标1、从业人员；2、营业收入；3、资产总额等内容根据划分标准，标准内如未涉及的可不填写。</w:t>
      </w:r>
    </w:p>
    <w:p w14:paraId="6A5CEAE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highlight w:val="none"/>
        </w:rPr>
      </w:pPr>
      <w:r>
        <w:rPr>
          <w:rFonts w:hint="eastAsia" w:ascii="宋体" w:hAnsi="宋体"/>
          <w:highlight w:val="none"/>
        </w:rPr>
        <w:t>3）从业人员、营业收入、资产总额填报上一年度数据。无上一年度数据的新成立企业可不</w:t>
      </w:r>
      <w:r>
        <w:rPr>
          <w:rFonts w:ascii="宋体" w:hAnsi="宋体"/>
          <w:highlight w:val="none"/>
        </w:rPr>
        <w:t>填报。</w:t>
      </w:r>
    </w:p>
    <w:p w14:paraId="48FF586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highlight w:val="none"/>
        </w:rPr>
      </w:pPr>
      <w:r>
        <w:rPr>
          <w:rFonts w:hint="eastAsia" w:ascii="宋体" w:hAnsi="宋体"/>
          <w:highlight w:val="none"/>
        </w:rPr>
        <w:t>4</w:t>
      </w:r>
      <w:r>
        <w:rPr>
          <w:rFonts w:ascii="宋体" w:hAnsi="宋体"/>
          <w:highlight w:val="none"/>
        </w:rPr>
        <w:t>）中标单位的《中小企业声明函》将依法公示，提供虚假资料者取消中标资格，并承担一切责任。</w:t>
      </w:r>
    </w:p>
    <w:p w14:paraId="306C2019">
      <w:pPr>
        <w:pStyle w:val="12"/>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21"/>
          <w:highlight w:val="none"/>
        </w:rPr>
      </w:pPr>
      <w:r>
        <w:rPr>
          <w:rFonts w:hint="eastAsia" w:ascii="宋体" w:hAnsi="宋体"/>
          <w:sz w:val="21"/>
          <w:highlight w:val="none"/>
        </w:rPr>
        <w:t>5）</w:t>
      </w:r>
      <w:r>
        <w:rPr>
          <w:rFonts w:ascii="宋体" w:hAnsi="宋体"/>
          <w:sz w:val="21"/>
          <w:highlight w:val="none"/>
        </w:rPr>
        <w:t>中型和小型企业须同时满足所列指标的下限，否则下划一档；微型企业</w:t>
      </w:r>
      <w:r>
        <w:rPr>
          <w:rFonts w:hint="eastAsia" w:ascii="宋体" w:hAnsi="宋体"/>
          <w:sz w:val="21"/>
          <w:highlight w:val="none"/>
          <w:lang w:eastAsia="zh-CN"/>
        </w:rPr>
        <w:t>只需</w:t>
      </w:r>
      <w:r>
        <w:rPr>
          <w:rFonts w:ascii="宋体" w:hAnsi="宋体"/>
          <w:sz w:val="21"/>
          <w:highlight w:val="none"/>
        </w:rPr>
        <w:t>满足所列指标中的一项即可。</w:t>
      </w:r>
    </w:p>
    <w:p w14:paraId="2A52065D">
      <w:pPr>
        <w:pStyle w:val="12"/>
        <w:spacing w:line="360" w:lineRule="auto"/>
        <w:rPr>
          <w:rFonts w:ascii="宋体" w:hAnsi="宋体"/>
          <w:sz w:val="21"/>
          <w:highlight w:val="none"/>
        </w:rPr>
      </w:pPr>
    </w:p>
    <w:p w14:paraId="17094953">
      <w:pPr>
        <w:autoSpaceDE w:val="0"/>
        <w:autoSpaceDN w:val="0"/>
        <w:adjustRightInd w:val="0"/>
        <w:spacing w:line="360" w:lineRule="auto"/>
        <w:ind w:right="-341"/>
        <w:jc w:val="left"/>
        <w:rPr>
          <w:rFonts w:hint="eastAsia" w:ascii="宋体" w:hAnsi="宋体"/>
          <w:b/>
          <w:bCs/>
          <w:highlight w:val="none"/>
          <w:lang w:val="en-US" w:eastAsia="zh-CN"/>
        </w:rPr>
      </w:pPr>
    </w:p>
    <w:p w14:paraId="7E761DE5">
      <w:pPr>
        <w:autoSpaceDE w:val="0"/>
        <w:autoSpaceDN w:val="0"/>
        <w:adjustRightInd w:val="0"/>
        <w:spacing w:line="360" w:lineRule="auto"/>
        <w:ind w:right="-341"/>
        <w:jc w:val="left"/>
        <w:rPr>
          <w:rFonts w:ascii="宋体"/>
          <w:kern w:val="0"/>
          <w:highlight w:val="none"/>
        </w:rPr>
      </w:pPr>
      <w:r>
        <w:rPr>
          <w:rFonts w:hint="eastAsia" w:ascii="宋体" w:hAnsi="宋体"/>
          <w:b/>
          <w:bCs/>
          <w:highlight w:val="none"/>
          <w:lang w:val="en-US" w:eastAsia="zh-CN"/>
        </w:rPr>
        <w:t>13</w:t>
      </w:r>
      <w:r>
        <w:rPr>
          <w:rFonts w:hint="eastAsia" w:ascii="宋体" w:hAnsi="宋体"/>
          <w:b/>
          <w:bCs/>
          <w:highlight w:val="none"/>
        </w:rPr>
        <w:t>.2监狱企业声明函</w:t>
      </w:r>
    </w:p>
    <w:p w14:paraId="3796579E">
      <w:pPr>
        <w:ind w:firstLine="3373" w:firstLineChars="1400"/>
        <w:rPr>
          <w:rFonts w:ascii="宋体"/>
          <w:b/>
          <w:sz w:val="24"/>
          <w:highlight w:val="none"/>
        </w:rPr>
      </w:pPr>
    </w:p>
    <w:p w14:paraId="58F9724D">
      <w:pPr>
        <w:jc w:val="left"/>
        <w:rPr>
          <w:rFonts w:ascii="宋体"/>
          <w:kern w:val="0"/>
          <w:highlight w:val="none"/>
        </w:rPr>
      </w:pPr>
    </w:p>
    <w:p w14:paraId="455CA1A0">
      <w:pPr>
        <w:ind w:firstLine="3373" w:firstLineChars="1400"/>
        <w:rPr>
          <w:rFonts w:ascii="宋体"/>
          <w:b/>
          <w:sz w:val="24"/>
          <w:highlight w:val="none"/>
        </w:rPr>
      </w:pPr>
      <w:r>
        <w:rPr>
          <w:rFonts w:hint="eastAsia" w:ascii="宋体" w:hAnsi="宋体"/>
          <w:b/>
          <w:sz w:val="24"/>
          <w:highlight w:val="none"/>
        </w:rPr>
        <w:t>监狱企业声明函</w:t>
      </w:r>
    </w:p>
    <w:p w14:paraId="4DBCFFEA">
      <w:pPr>
        <w:ind w:firstLine="2835" w:firstLineChars="1350"/>
        <w:rPr>
          <w:rFonts w:ascii="宋体"/>
          <w:highlight w:val="none"/>
        </w:rPr>
      </w:pPr>
      <w:r>
        <w:rPr>
          <w:rFonts w:hint="eastAsia" w:ascii="宋体" w:hAnsi="宋体"/>
          <w:highlight w:val="none"/>
        </w:rPr>
        <w:t>【非监狱企业不用提供】</w:t>
      </w:r>
    </w:p>
    <w:p w14:paraId="7371025C">
      <w:pPr>
        <w:ind w:firstLine="480"/>
        <w:rPr>
          <w:rFonts w:ascii="宋体"/>
          <w:highlight w:val="none"/>
        </w:rPr>
      </w:pPr>
    </w:p>
    <w:p w14:paraId="010E4FC9">
      <w:pPr>
        <w:spacing w:line="360" w:lineRule="auto"/>
        <w:ind w:firstLine="525" w:firstLineChars="250"/>
        <w:rPr>
          <w:rFonts w:ascii="宋体"/>
          <w:highlight w:val="none"/>
        </w:rPr>
      </w:pPr>
    </w:p>
    <w:p w14:paraId="52835F1E">
      <w:pPr>
        <w:spacing w:line="360" w:lineRule="auto"/>
        <w:ind w:firstLine="525" w:firstLineChars="250"/>
        <w:rPr>
          <w:rFonts w:ascii="宋体"/>
          <w:highlight w:val="none"/>
        </w:rPr>
      </w:pPr>
      <w:r>
        <w:rPr>
          <w:rFonts w:hint="eastAsia" w:ascii="宋体" w:hAnsi="宋体"/>
          <w:highlight w:val="none"/>
        </w:rPr>
        <w:t>监狱企业参加政府采购活动时，应当提供由省级以上监狱管理企业郑重声明，根据《关于政府采购支持监狱企业发展有关问题的通知》（财库</w:t>
      </w:r>
      <w:r>
        <w:rPr>
          <w:rFonts w:ascii="宋体" w:hAnsi="宋体"/>
          <w:highlight w:val="none"/>
        </w:rPr>
        <w:t>[2014]68</w:t>
      </w:r>
      <w:r>
        <w:rPr>
          <w:rFonts w:hint="eastAsia" w:ascii="宋体" w:hAnsi="宋体"/>
          <w:highlight w:val="none"/>
        </w:rPr>
        <w:t>号）的规定，本企业为监狱企业。</w:t>
      </w:r>
    </w:p>
    <w:p w14:paraId="3E5C6403">
      <w:pPr>
        <w:spacing w:line="360" w:lineRule="auto"/>
        <w:ind w:firstLine="480"/>
        <w:rPr>
          <w:rFonts w:ascii="宋体"/>
          <w:highlight w:val="none"/>
        </w:rPr>
      </w:pPr>
      <w:r>
        <w:rPr>
          <w:rFonts w:hint="eastAsia" w:ascii="宋体" w:hAnsi="宋体"/>
          <w:highlight w:val="none"/>
        </w:rPr>
        <w:t>根据上述标准，我企业属于监狱企业的理由为：。</w:t>
      </w:r>
    </w:p>
    <w:p w14:paraId="7EB13781">
      <w:pPr>
        <w:spacing w:line="360" w:lineRule="auto"/>
        <w:ind w:firstLine="480"/>
        <w:rPr>
          <w:rFonts w:ascii="宋体"/>
          <w:highlight w:val="none"/>
        </w:rPr>
      </w:pPr>
      <w:r>
        <w:rPr>
          <w:rFonts w:hint="eastAsia" w:ascii="宋体" w:hAnsi="宋体"/>
          <w:highlight w:val="none"/>
        </w:rPr>
        <w:t>本企业为参加（项目名称：   ）（项目编号：）采购活动提供本企业的产品。</w:t>
      </w:r>
    </w:p>
    <w:p w14:paraId="50AE26C2">
      <w:pPr>
        <w:spacing w:line="360" w:lineRule="auto"/>
        <w:ind w:firstLine="480"/>
        <w:rPr>
          <w:rFonts w:ascii="宋体"/>
          <w:highlight w:val="none"/>
        </w:rPr>
      </w:pPr>
      <w:r>
        <w:rPr>
          <w:rFonts w:hint="eastAsia" w:ascii="宋体" w:hAnsi="宋体"/>
          <w:highlight w:val="none"/>
        </w:rPr>
        <w:t>本企业对上述声明的真实性负责。如有虚假，将依法承担相应责任。</w:t>
      </w:r>
    </w:p>
    <w:p w14:paraId="05FF8F90">
      <w:pPr>
        <w:spacing w:line="360" w:lineRule="auto"/>
        <w:ind w:firstLine="480"/>
        <w:rPr>
          <w:rFonts w:ascii="宋体"/>
          <w:highlight w:val="none"/>
        </w:rPr>
      </w:pPr>
    </w:p>
    <w:p w14:paraId="5EF71913">
      <w:pPr>
        <w:spacing w:line="360" w:lineRule="auto"/>
        <w:ind w:firstLine="480"/>
        <w:jc w:val="right"/>
        <w:rPr>
          <w:rFonts w:ascii="宋体"/>
          <w:highlight w:val="none"/>
        </w:rPr>
      </w:pPr>
      <w:r>
        <w:rPr>
          <w:rFonts w:hint="eastAsia" w:ascii="宋体" w:hAnsi="宋体"/>
          <w:highlight w:val="none"/>
        </w:rPr>
        <w:t>投标人名称（盖章）：</w:t>
      </w:r>
    </w:p>
    <w:p w14:paraId="22B7008C">
      <w:pPr>
        <w:spacing w:line="360" w:lineRule="auto"/>
        <w:ind w:firstLine="480"/>
        <w:jc w:val="right"/>
        <w:rPr>
          <w:rFonts w:ascii="宋体"/>
          <w:highlight w:val="none"/>
        </w:rPr>
      </w:pPr>
      <w:r>
        <w:rPr>
          <w:rFonts w:hint="eastAsia" w:ascii="宋体" w:hAnsi="宋体"/>
          <w:highlight w:val="none"/>
        </w:rPr>
        <w:t>日期：年月日</w:t>
      </w:r>
    </w:p>
    <w:p w14:paraId="20425502">
      <w:pPr>
        <w:spacing w:line="360" w:lineRule="auto"/>
        <w:ind w:firstLine="480"/>
        <w:rPr>
          <w:rFonts w:ascii="宋体"/>
          <w:highlight w:val="none"/>
        </w:rPr>
      </w:pPr>
    </w:p>
    <w:p w14:paraId="74D4A6AF">
      <w:pPr>
        <w:spacing w:line="360" w:lineRule="auto"/>
        <w:ind w:firstLine="480"/>
        <w:rPr>
          <w:rFonts w:ascii="宋体"/>
          <w:highlight w:val="none"/>
        </w:rPr>
      </w:pPr>
    </w:p>
    <w:p w14:paraId="2472BD2B">
      <w:pPr>
        <w:spacing w:line="360" w:lineRule="auto"/>
        <w:ind w:firstLine="480"/>
        <w:rPr>
          <w:rFonts w:ascii="宋体"/>
          <w:highlight w:val="none"/>
        </w:rPr>
      </w:pPr>
      <w:r>
        <w:rPr>
          <w:rFonts w:hint="eastAsia" w:ascii="宋体" w:hAnsi="宋体"/>
          <w:highlight w:val="none"/>
        </w:rPr>
        <w:t>投标人为监狱企业的提供此函。</w:t>
      </w:r>
    </w:p>
    <w:p w14:paraId="022439FD">
      <w:pPr>
        <w:spacing w:line="360" w:lineRule="auto"/>
        <w:ind w:firstLine="480"/>
        <w:rPr>
          <w:rFonts w:ascii="宋体"/>
          <w:highlight w:val="none"/>
        </w:rPr>
      </w:pPr>
      <w:r>
        <w:rPr>
          <w:rFonts w:hint="eastAsia" w:ascii="宋体" w:hAnsi="宋体"/>
          <w:highlight w:val="none"/>
        </w:rPr>
        <w:t>局、戒毒管理局（含新疆生产建设兵团）出具的属于监狱企业的证明文件。</w:t>
      </w:r>
    </w:p>
    <w:p w14:paraId="6DC3958A">
      <w:pPr>
        <w:spacing w:line="360" w:lineRule="auto"/>
        <w:ind w:firstLine="480"/>
        <w:rPr>
          <w:rFonts w:ascii="宋体"/>
          <w:highlight w:val="none"/>
        </w:rPr>
      </w:pPr>
      <w:r>
        <w:rPr>
          <w:rFonts w:hint="eastAsia" w:ascii="宋体" w:hAnsi="宋体"/>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6ECF72">
      <w:pPr>
        <w:spacing w:line="360" w:lineRule="auto"/>
        <w:ind w:firstLine="480"/>
        <w:rPr>
          <w:rFonts w:ascii="宋体"/>
          <w:highlight w:val="none"/>
        </w:rPr>
      </w:pPr>
    </w:p>
    <w:p w14:paraId="614B0C63">
      <w:pPr>
        <w:jc w:val="left"/>
        <w:rPr>
          <w:rFonts w:ascii="宋体" w:hAnsi="宋体"/>
          <w:b/>
          <w:bCs/>
          <w:highlight w:val="none"/>
        </w:rPr>
      </w:pPr>
      <w:r>
        <w:rPr>
          <w:rFonts w:ascii="宋体"/>
          <w:sz w:val="24"/>
          <w:highlight w:val="none"/>
        </w:rPr>
        <w:br w:type="page"/>
      </w:r>
      <w:r>
        <w:rPr>
          <w:rFonts w:hint="eastAsia" w:ascii="宋体" w:hAnsi="宋体"/>
          <w:b/>
          <w:bCs/>
          <w:highlight w:val="none"/>
        </w:rPr>
        <w:t>1</w:t>
      </w:r>
      <w:r>
        <w:rPr>
          <w:rFonts w:hint="eastAsia" w:ascii="宋体" w:hAnsi="宋体"/>
          <w:b/>
          <w:bCs/>
          <w:highlight w:val="none"/>
          <w:lang w:val="en-US" w:eastAsia="zh-CN"/>
        </w:rPr>
        <w:t>3</w:t>
      </w:r>
      <w:r>
        <w:rPr>
          <w:rFonts w:hint="eastAsia" w:ascii="宋体" w:hAnsi="宋体"/>
          <w:b/>
          <w:bCs/>
          <w:highlight w:val="none"/>
        </w:rPr>
        <w:t>.3残疾人福利性单位声明函</w:t>
      </w:r>
    </w:p>
    <w:p w14:paraId="16620346">
      <w:pPr>
        <w:jc w:val="left"/>
        <w:rPr>
          <w:rFonts w:ascii="宋体" w:hAnsi="宋体"/>
          <w:b/>
          <w:bCs/>
          <w:highlight w:val="none"/>
        </w:rPr>
      </w:pPr>
    </w:p>
    <w:p w14:paraId="2AB94AED">
      <w:pPr>
        <w:jc w:val="center"/>
        <w:rPr>
          <w:rFonts w:ascii="宋体"/>
          <w:sz w:val="24"/>
          <w:highlight w:val="none"/>
        </w:rPr>
      </w:pPr>
    </w:p>
    <w:p w14:paraId="64F455D6">
      <w:pPr>
        <w:jc w:val="center"/>
        <w:rPr>
          <w:rFonts w:ascii="宋体"/>
          <w:b/>
          <w:sz w:val="24"/>
          <w:highlight w:val="none"/>
        </w:rPr>
      </w:pPr>
      <w:r>
        <w:rPr>
          <w:rFonts w:hint="eastAsia" w:ascii="宋体" w:hAnsi="宋体"/>
          <w:b/>
          <w:sz w:val="24"/>
          <w:highlight w:val="none"/>
        </w:rPr>
        <w:t>残疾人福利性单位声明函</w:t>
      </w:r>
    </w:p>
    <w:p w14:paraId="677A99A4">
      <w:pPr>
        <w:pStyle w:val="12"/>
        <w:jc w:val="center"/>
        <w:rPr>
          <w:rFonts w:ascii="宋体"/>
          <w:sz w:val="21"/>
          <w:szCs w:val="21"/>
          <w:highlight w:val="none"/>
        </w:rPr>
      </w:pPr>
      <w:r>
        <w:rPr>
          <w:rFonts w:hint="eastAsia" w:ascii="宋体" w:hAnsi="宋体"/>
          <w:sz w:val="21"/>
          <w:szCs w:val="21"/>
          <w:highlight w:val="none"/>
        </w:rPr>
        <w:t>【非残疾人福利性单位不用提供】</w:t>
      </w:r>
    </w:p>
    <w:p w14:paraId="2156826C">
      <w:pPr>
        <w:spacing w:line="588" w:lineRule="exact"/>
        <w:rPr>
          <w:rFonts w:ascii="宋体"/>
          <w:b/>
          <w:spacing w:val="6"/>
          <w:highlight w:val="none"/>
        </w:rPr>
      </w:pPr>
    </w:p>
    <w:p w14:paraId="29BB51BF">
      <w:pPr>
        <w:snapToGrid w:val="0"/>
        <w:spacing w:line="360" w:lineRule="auto"/>
        <w:ind w:firstLine="420" w:firstLineChars="200"/>
        <w:rPr>
          <w:rFonts w:ascii="宋体"/>
          <w:highlight w:val="none"/>
        </w:rPr>
      </w:pPr>
      <w:r>
        <w:rPr>
          <w:rFonts w:hint="eastAsia" w:ascii="宋体" w:hAnsi="宋体"/>
          <w:highlight w:val="none"/>
        </w:rPr>
        <w:t>本单位郑重声明，根据《财政部民政部中国残疾人联合会关于促进残疾人就业政府采购政策的通知》（财库〔</w:t>
      </w:r>
      <w:r>
        <w:rPr>
          <w:rFonts w:ascii="宋体" w:hAnsi="宋体"/>
          <w:highlight w:val="none"/>
        </w:rPr>
        <w:t>2017</w:t>
      </w:r>
      <w:r>
        <w:rPr>
          <w:rFonts w:hint="eastAsia" w:ascii="宋体" w:hAnsi="宋体"/>
          <w:highlight w:val="none"/>
        </w:rPr>
        <w:t>〕</w:t>
      </w:r>
      <w:r>
        <w:rPr>
          <w:rFonts w:ascii="宋体" w:hAnsi="宋体"/>
          <w:highlight w:val="none"/>
        </w:rPr>
        <w:t>141</w:t>
      </w:r>
      <w:r>
        <w:rPr>
          <w:rFonts w:hint="eastAsia" w:ascii="宋体" w:hAnsi="宋体"/>
          <w:highlight w:val="none"/>
        </w:rPr>
        <w:t>号）的规定，本单位为符合条件的残疾人福利性单位，且本单位参加</w:t>
      </w:r>
      <w:r>
        <w:rPr>
          <w:rFonts w:ascii="宋体" w:hAnsi="宋体"/>
          <w:highlight w:val="none"/>
        </w:rPr>
        <w:t>______</w:t>
      </w:r>
      <w:r>
        <w:rPr>
          <w:rFonts w:hint="eastAsia" w:ascii="宋体" w:hAnsi="宋体"/>
          <w:highlight w:val="none"/>
        </w:rPr>
        <w:t>单位的</w:t>
      </w:r>
      <w:r>
        <w:rPr>
          <w:rFonts w:ascii="宋体" w:hAnsi="宋体"/>
          <w:highlight w:val="none"/>
        </w:rPr>
        <w:t>______</w:t>
      </w:r>
      <w:r>
        <w:rPr>
          <w:rFonts w:hint="eastAsia" w:ascii="宋体" w:hAnsi="宋体"/>
          <w:highlight w:val="none"/>
        </w:rPr>
        <w:t>项目采购活动提供本单位制造的货物（由本单位承担工程</w:t>
      </w:r>
      <w:r>
        <w:rPr>
          <w:rFonts w:ascii="宋体" w:hAnsi="宋体"/>
          <w:highlight w:val="none"/>
        </w:rPr>
        <w:t>/</w:t>
      </w:r>
      <w:r>
        <w:rPr>
          <w:rFonts w:hint="eastAsia" w:ascii="宋体" w:hAnsi="宋体"/>
          <w:highlight w:val="none"/>
        </w:rPr>
        <w:t>提供服务），或者提供其他残疾人福利性单位制造的货物（不包括使用非残疾人福利性单位注册商标的货物）。</w:t>
      </w:r>
    </w:p>
    <w:p w14:paraId="3F3B9808">
      <w:pPr>
        <w:snapToGrid w:val="0"/>
        <w:spacing w:line="360" w:lineRule="auto"/>
        <w:ind w:firstLine="420" w:firstLineChars="200"/>
        <w:rPr>
          <w:rFonts w:ascii="宋体"/>
          <w:highlight w:val="none"/>
        </w:rPr>
      </w:pPr>
      <w:r>
        <w:rPr>
          <w:rFonts w:hint="eastAsia" w:ascii="宋体" w:hAnsi="宋体"/>
          <w:highlight w:val="none"/>
        </w:rPr>
        <w:t>本单位对上述声明的真实性负责。如有虚假，将依法承担相应责任。</w:t>
      </w:r>
    </w:p>
    <w:p w14:paraId="08FA7012">
      <w:pPr>
        <w:snapToGrid w:val="0"/>
        <w:spacing w:line="360" w:lineRule="auto"/>
        <w:ind w:firstLine="420" w:firstLineChars="200"/>
        <w:rPr>
          <w:rFonts w:ascii="宋体"/>
          <w:highlight w:val="none"/>
        </w:rPr>
      </w:pPr>
    </w:p>
    <w:p w14:paraId="772520CD">
      <w:pPr>
        <w:snapToGrid w:val="0"/>
        <w:spacing w:line="360" w:lineRule="auto"/>
        <w:ind w:firstLine="420" w:firstLineChars="200"/>
        <w:rPr>
          <w:rFonts w:ascii="宋体"/>
          <w:highlight w:val="none"/>
        </w:rPr>
      </w:pPr>
    </w:p>
    <w:p w14:paraId="5A43FFE7">
      <w:pPr>
        <w:snapToGrid w:val="0"/>
        <w:spacing w:line="360" w:lineRule="auto"/>
        <w:ind w:firstLine="420" w:firstLineChars="200"/>
        <w:jc w:val="right"/>
        <w:rPr>
          <w:rFonts w:ascii="宋体"/>
          <w:highlight w:val="none"/>
        </w:rPr>
      </w:pPr>
      <w:r>
        <w:rPr>
          <w:rFonts w:hint="eastAsia" w:ascii="宋体" w:hAnsi="宋体"/>
          <w:highlight w:val="none"/>
        </w:rPr>
        <w:t>投标人名称（盖章）：</w:t>
      </w:r>
    </w:p>
    <w:p w14:paraId="1E15402B">
      <w:pPr>
        <w:snapToGrid w:val="0"/>
        <w:spacing w:line="360" w:lineRule="auto"/>
        <w:ind w:firstLine="420" w:firstLineChars="200"/>
        <w:jc w:val="right"/>
        <w:rPr>
          <w:rFonts w:ascii="宋体"/>
          <w:highlight w:val="none"/>
        </w:rPr>
      </w:pPr>
    </w:p>
    <w:p w14:paraId="58DA8FB9">
      <w:pPr>
        <w:snapToGrid w:val="0"/>
        <w:spacing w:line="360" w:lineRule="auto"/>
        <w:ind w:firstLine="420" w:firstLineChars="200"/>
        <w:jc w:val="right"/>
        <w:rPr>
          <w:rFonts w:ascii="宋体"/>
          <w:highlight w:val="none"/>
        </w:rPr>
      </w:pPr>
      <w:r>
        <w:rPr>
          <w:rFonts w:hint="eastAsia" w:ascii="宋体" w:hAnsi="宋体"/>
          <w:highlight w:val="none"/>
        </w:rPr>
        <w:t>日期：年月日</w:t>
      </w:r>
    </w:p>
    <w:p w14:paraId="4E7A7442">
      <w:pPr>
        <w:snapToGrid w:val="0"/>
        <w:spacing w:line="360" w:lineRule="auto"/>
        <w:ind w:firstLine="422" w:firstLineChars="200"/>
        <w:rPr>
          <w:rFonts w:ascii="宋体"/>
          <w:b/>
          <w:highlight w:val="none"/>
        </w:rPr>
      </w:pPr>
      <w:r>
        <w:rPr>
          <w:rFonts w:hint="eastAsia" w:ascii="宋体" w:hAnsi="宋体"/>
          <w:b/>
          <w:highlight w:val="none"/>
        </w:rPr>
        <w:t>注：中标投标人为残疾人福利性单位的，将随中标结果同时公告其《残疾人福利性单位声明函》，接受社会监督。</w:t>
      </w:r>
    </w:p>
    <w:p w14:paraId="490F1825">
      <w:pPr>
        <w:autoSpaceDE w:val="0"/>
        <w:autoSpaceDN w:val="0"/>
        <w:adjustRightInd w:val="0"/>
        <w:spacing w:line="360" w:lineRule="auto"/>
        <w:ind w:right="-341" w:firstLine="420" w:firstLineChars="200"/>
        <w:jc w:val="left"/>
        <w:rPr>
          <w:rFonts w:ascii="宋体"/>
          <w:kern w:val="0"/>
          <w:highlight w:val="none"/>
        </w:rPr>
      </w:pPr>
    </w:p>
    <w:p w14:paraId="0EE3126E">
      <w:pPr>
        <w:pStyle w:val="91"/>
        <w:spacing w:line="360" w:lineRule="auto"/>
        <w:ind w:firstLine="0"/>
        <w:jc w:val="left"/>
        <w:rPr>
          <w:rFonts w:hAnsi="宋体"/>
          <w:b/>
          <w:bCs/>
          <w:kern w:val="2"/>
          <w:sz w:val="21"/>
          <w:szCs w:val="21"/>
          <w:highlight w:val="none"/>
        </w:rPr>
      </w:pPr>
    </w:p>
    <w:p w14:paraId="0F9FE0ED">
      <w:pPr>
        <w:autoSpaceDE w:val="0"/>
        <w:autoSpaceDN w:val="0"/>
        <w:adjustRightInd w:val="0"/>
        <w:spacing w:line="360" w:lineRule="auto"/>
        <w:ind w:right="-341"/>
        <w:jc w:val="left"/>
        <w:rPr>
          <w:rFonts w:ascii="宋体"/>
          <w:b/>
          <w:bCs/>
          <w:highlight w:val="none"/>
        </w:rPr>
      </w:pPr>
    </w:p>
    <w:p w14:paraId="39DFAD38">
      <w:pPr>
        <w:pStyle w:val="12"/>
        <w:rPr>
          <w:rFonts w:ascii="宋体"/>
          <w:b/>
          <w:bCs/>
          <w:highlight w:val="none"/>
        </w:rPr>
      </w:pPr>
    </w:p>
    <w:p w14:paraId="7E7D3CE7">
      <w:pPr>
        <w:snapToGrid w:val="0"/>
        <w:spacing w:beforeLines="50" w:after="50"/>
        <w:rPr>
          <w:rFonts w:ascii="宋体"/>
          <w:highlight w:val="none"/>
        </w:rPr>
      </w:pPr>
    </w:p>
    <w:p w14:paraId="634DE337">
      <w:pPr>
        <w:pStyle w:val="12"/>
        <w:rPr>
          <w:highlight w:val="none"/>
        </w:rPr>
      </w:pPr>
    </w:p>
    <w:p w14:paraId="3A446B3E">
      <w:pPr>
        <w:pStyle w:val="12"/>
        <w:rPr>
          <w:highlight w:val="none"/>
        </w:rPr>
      </w:pPr>
    </w:p>
    <w:p w14:paraId="483E92F9">
      <w:pPr>
        <w:pStyle w:val="12"/>
        <w:rPr>
          <w:highlight w:val="none"/>
        </w:rPr>
      </w:pPr>
    </w:p>
    <w:p w14:paraId="7DAED5FD">
      <w:pPr>
        <w:pStyle w:val="12"/>
        <w:rPr>
          <w:highlight w:val="none"/>
        </w:rPr>
      </w:pPr>
    </w:p>
    <w:p w14:paraId="41D16D21">
      <w:pPr>
        <w:pStyle w:val="12"/>
        <w:rPr>
          <w:highlight w:val="none"/>
        </w:rPr>
      </w:pPr>
    </w:p>
    <w:p w14:paraId="1CBC760C">
      <w:pPr>
        <w:pStyle w:val="12"/>
        <w:rPr>
          <w:highlight w:val="none"/>
        </w:rPr>
      </w:pPr>
    </w:p>
    <w:p w14:paraId="41EA33B4">
      <w:pPr>
        <w:pStyle w:val="12"/>
        <w:rPr>
          <w:highlight w:val="none"/>
        </w:rPr>
      </w:pPr>
    </w:p>
    <w:p w14:paraId="0B48C21A">
      <w:pPr>
        <w:pStyle w:val="13"/>
        <w:ind w:firstLine="210"/>
        <w:rPr>
          <w:highlight w:val="none"/>
        </w:rPr>
      </w:pPr>
    </w:p>
    <w:p w14:paraId="0238E2CA">
      <w:pPr>
        <w:pStyle w:val="12"/>
        <w:rPr>
          <w:highlight w:val="none"/>
        </w:rPr>
      </w:pPr>
    </w:p>
    <w:p w14:paraId="4733350D">
      <w:pPr>
        <w:pStyle w:val="57"/>
        <w:snapToGrid w:val="0"/>
        <w:spacing w:before="156" w:after="156" w:line="500" w:lineRule="exact"/>
        <w:jc w:val="left"/>
        <w:rPr>
          <w:rFonts w:hAnsi="宋体" w:eastAsia="宋体" w:cs="Times New Roman"/>
          <w:b/>
          <w:bCs/>
          <w:spacing w:val="-4"/>
          <w:sz w:val="21"/>
          <w:szCs w:val="21"/>
          <w:highlight w:val="none"/>
        </w:rPr>
      </w:pPr>
      <w:r>
        <w:rPr>
          <w:highlight w:val="none"/>
        </w:rPr>
        <w:fldChar w:fldCharType="begin"/>
      </w:r>
      <w:r>
        <w:rPr>
          <w:highlight w:val="none"/>
        </w:rPr>
        <w:instrText xml:space="preserve"> HYPERLINK "mailto:16、请将A、B两表在投标截至后发送到107460151@qq.com,ben" </w:instrText>
      </w:r>
      <w:r>
        <w:rPr>
          <w:highlight w:val="none"/>
        </w:rPr>
        <w:fldChar w:fldCharType="separate"/>
      </w:r>
      <w:r>
        <w:rPr>
          <w:rStyle w:val="31"/>
          <w:rFonts w:hint="eastAsia" w:hAnsi="宋体" w:eastAsia="宋体" w:cs="Times New Roman"/>
          <w:b/>
          <w:bCs/>
          <w:color w:val="FF0000"/>
          <w:spacing w:val="-4"/>
          <w:sz w:val="21"/>
          <w:szCs w:val="21"/>
          <w:highlight w:val="none"/>
        </w:rPr>
        <w:t>1</w:t>
      </w:r>
      <w:r>
        <w:rPr>
          <w:rStyle w:val="31"/>
          <w:rFonts w:hint="eastAsia" w:hAnsi="宋体" w:eastAsia="宋体" w:cs="Times New Roman"/>
          <w:b/>
          <w:bCs/>
          <w:color w:val="FF0000"/>
          <w:spacing w:val="-4"/>
          <w:sz w:val="21"/>
          <w:szCs w:val="21"/>
          <w:highlight w:val="none"/>
          <w:lang w:val="en-US" w:eastAsia="zh-CN"/>
        </w:rPr>
        <w:t>4</w:t>
      </w:r>
      <w:r>
        <w:rPr>
          <w:rStyle w:val="31"/>
          <w:rFonts w:hint="eastAsia" w:hAnsi="宋体" w:eastAsia="宋体" w:cs="Times New Roman"/>
          <w:b/>
          <w:bCs/>
          <w:color w:val="FF0000"/>
          <w:spacing w:val="-4"/>
          <w:sz w:val="21"/>
          <w:szCs w:val="21"/>
          <w:highlight w:val="none"/>
        </w:rPr>
        <w:t>、声明书无需制作入投标文件中，只需在投标截止时间后尽快发送至41688047@qq.com</w:t>
      </w:r>
      <w:r>
        <w:rPr>
          <w:rFonts w:hint="eastAsia" w:hAnsi="宋体" w:eastAsia="宋体" w:cs="Times New Roman"/>
          <w:b/>
          <w:bCs/>
          <w:spacing w:val="-4"/>
          <w:sz w:val="21"/>
          <w:szCs w:val="21"/>
          <w:highlight w:val="none"/>
        </w:rPr>
        <w:t>邮箱</w:t>
      </w:r>
      <w:r>
        <w:rPr>
          <w:rFonts w:hint="eastAsia" w:hAnsi="宋体" w:eastAsia="宋体" w:cs="Times New Roman"/>
          <w:b/>
          <w:bCs/>
          <w:spacing w:val="-4"/>
          <w:sz w:val="21"/>
          <w:szCs w:val="21"/>
          <w:highlight w:val="none"/>
        </w:rPr>
        <w:fldChar w:fldCharType="end"/>
      </w:r>
      <w:r>
        <w:rPr>
          <w:rFonts w:hint="eastAsia" w:hAnsi="宋体" w:eastAsia="宋体" w:cs="Times New Roman"/>
          <w:b/>
          <w:bCs/>
          <w:spacing w:val="-4"/>
          <w:sz w:val="21"/>
          <w:szCs w:val="21"/>
          <w:highlight w:val="none"/>
        </w:rPr>
        <w:t>内。</w:t>
      </w:r>
    </w:p>
    <w:p w14:paraId="214CB4E3">
      <w:pPr>
        <w:pStyle w:val="163"/>
        <w:spacing w:line="440" w:lineRule="exact"/>
        <w:jc w:val="center"/>
        <w:rPr>
          <w:rFonts w:ascii="华文中宋" w:hAnsi="华文中宋" w:eastAsia="华文中宋"/>
          <w:sz w:val="28"/>
          <w:szCs w:val="28"/>
          <w:highlight w:val="none"/>
        </w:rPr>
      </w:pPr>
      <w:r>
        <w:rPr>
          <w:rFonts w:hint="eastAsia" w:ascii="华文中宋" w:hAnsi="华文中宋" w:eastAsia="华文中宋"/>
          <w:sz w:val="28"/>
          <w:szCs w:val="28"/>
          <w:highlight w:val="none"/>
        </w:rPr>
        <w:t>政府采购活动现场确认声明书</w:t>
      </w:r>
    </w:p>
    <w:p w14:paraId="0397C851">
      <w:pPr>
        <w:pStyle w:val="57"/>
        <w:snapToGrid w:val="0"/>
        <w:spacing w:before="156" w:after="156" w:line="440" w:lineRule="exact"/>
        <w:rPr>
          <w:rFonts w:hAnsi="宋体" w:eastAsia="宋体"/>
          <w:color w:val="000000"/>
          <w:spacing w:val="6"/>
          <w:sz w:val="21"/>
          <w:szCs w:val="21"/>
          <w:highlight w:val="none"/>
        </w:rPr>
      </w:pPr>
      <w:r>
        <w:rPr>
          <w:rFonts w:hint="eastAsia" w:hAnsi="宋体" w:eastAsia="宋体"/>
          <w:color w:val="000000"/>
          <w:spacing w:val="6"/>
          <w:sz w:val="21"/>
          <w:szCs w:val="21"/>
          <w:highlight w:val="none"/>
        </w:rPr>
        <w:t>浙江自贸区中昊工程管理有限公司：</w:t>
      </w:r>
    </w:p>
    <w:p w14:paraId="584E301F">
      <w:pPr>
        <w:pStyle w:val="57"/>
        <w:snapToGrid w:val="0"/>
        <w:spacing w:before="156" w:after="156" w:line="440" w:lineRule="exact"/>
        <w:ind w:firstLine="444" w:firstLineChars="200"/>
        <w:rPr>
          <w:rFonts w:hAnsi="宋体" w:eastAsia="宋体"/>
          <w:color w:val="000000"/>
          <w:spacing w:val="6"/>
          <w:sz w:val="21"/>
          <w:szCs w:val="21"/>
          <w:highlight w:val="none"/>
        </w:rPr>
      </w:pPr>
      <w:r>
        <w:rPr>
          <w:rFonts w:hint="eastAsia" w:hAnsi="宋体" w:eastAsia="宋体"/>
          <w:color w:val="000000"/>
          <w:spacing w:val="6"/>
          <w:sz w:val="21"/>
          <w:szCs w:val="21"/>
          <w:highlight w:val="none"/>
        </w:rPr>
        <w:t>本人（法定代表人姓名），参加</w:t>
      </w:r>
      <w:r>
        <w:rPr>
          <w:rFonts w:hint="eastAsia" w:hAnsi="宋体" w:eastAsia="宋体"/>
          <w:color w:val="000000"/>
          <w:sz w:val="21"/>
          <w:szCs w:val="21"/>
          <w:highlight w:val="none"/>
          <w:u w:val="single"/>
        </w:rPr>
        <w:t>《                》</w:t>
      </w:r>
      <w:r>
        <w:rPr>
          <w:rFonts w:hint="eastAsia" w:hAnsi="宋体" w:eastAsia="宋体"/>
          <w:color w:val="000000"/>
          <w:spacing w:val="6"/>
          <w:sz w:val="21"/>
          <w:szCs w:val="21"/>
          <w:highlight w:val="none"/>
          <w:u w:val="single"/>
        </w:rPr>
        <w:t>（编号：）</w:t>
      </w:r>
      <w:r>
        <w:rPr>
          <w:rFonts w:hint="eastAsia" w:hAnsi="宋体" w:eastAsia="宋体"/>
          <w:color w:val="000000"/>
          <w:spacing w:val="6"/>
          <w:sz w:val="21"/>
          <w:szCs w:val="21"/>
          <w:highlight w:val="none"/>
        </w:rPr>
        <w:t xml:space="preserve">政府采购活动，经确认，现就有关公平竞争事项郑重声明如下： </w:t>
      </w:r>
    </w:p>
    <w:p w14:paraId="65A34C3E">
      <w:pPr>
        <w:pStyle w:val="58"/>
        <w:widowControl/>
        <w:numPr>
          <w:ilvl w:val="0"/>
          <w:numId w:val="17"/>
        </w:numPr>
        <w:snapToGrid w:val="0"/>
        <w:spacing w:line="440" w:lineRule="exact"/>
        <w:ind w:firstLine="396" w:firstLineChars="189"/>
        <w:rPr>
          <w:rFonts w:ascii="宋体" w:hAnsi="宋体" w:cs="宋体"/>
          <w:color w:val="000000"/>
          <w:kern w:val="0"/>
          <w:highlight w:val="none"/>
        </w:rPr>
      </w:pPr>
      <w:r>
        <w:rPr>
          <w:rFonts w:hint="eastAsia" w:ascii="宋体" w:hAnsi="宋体" w:cs="宋体"/>
          <w:color w:val="000000"/>
          <w:kern w:val="0"/>
          <w:highlight w:val="none"/>
        </w:rPr>
        <w:t>本单位与采购人之间 □不存在利害关系 □存在下列利害关系：</w:t>
      </w:r>
    </w:p>
    <w:p w14:paraId="5E988F78">
      <w:pPr>
        <w:pStyle w:val="58"/>
        <w:widowControl/>
        <w:snapToGrid w:val="0"/>
        <w:spacing w:line="440" w:lineRule="exact"/>
        <w:rPr>
          <w:rFonts w:ascii="宋体" w:hAnsi="宋体" w:cs="宋体"/>
          <w:color w:val="000000"/>
          <w:kern w:val="0"/>
          <w:highlight w:val="none"/>
        </w:rPr>
      </w:pPr>
      <w:r>
        <w:rPr>
          <w:rFonts w:hint="eastAsia" w:ascii="宋体" w:hAnsi="宋体" w:cs="宋体"/>
          <w:color w:val="000000"/>
          <w:kern w:val="0"/>
          <w:highlight w:val="none"/>
        </w:rPr>
        <w:t xml:space="preserve">  A.投资关系    B.行政隶属关系    C.业务指导关系</w:t>
      </w:r>
    </w:p>
    <w:p w14:paraId="702A9EFE">
      <w:pPr>
        <w:pStyle w:val="58"/>
        <w:widowControl/>
        <w:snapToGrid w:val="0"/>
        <w:spacing w:line="440" w:lineRule="exact"/>
        <w:rPr>
          <w:rFonts w:ascii="宋体" w:hAnsi="宋体" w:cs="宋体"/>
          <w:color w:val="000000"/>
          <w:kern w:val="0"/>
          <w:highlight w:val="none"/>
        </w:rPr>
      </w:pPr>
      <w:r>
        <w:rPr>
          <w:rFonts w:hint="eastAsia" w:ascii="宋体" w:hAnsi="宋体" w:cs="宋体"/>
          <w:color w:val="000000"/>
          <w:kern w:val="0"/>
          <w:highlight w:val="none"/>
        </w:rPr>
        <w:t xml:space="preserve">  D.其他可能</w:t>
      </w:r>
      <w:r>
        <w:rPr>
          <w:rFonts w:hint="eastAsia" w:ascii="宋体" w:hAnsi="宋体" w:cs="宋体"/>
          <w:color w:val="000000"/>
          <w:highlight w:val="none"/>
        </w:rPr>
        <w:t>影响采购公正的</w:t>
      </w:r>
      <w:r>
        <w:rPr>
          <w:rFonts w:hint="eastAsia" w:ascii="宋体" w:hAnsi="宋体" w:cs="宋体"/>
          <w:color w:val="000000"/>
          <w:kern w:val="0"/>
          <w:highlight w:val="none"/>
        </w:rPr>
        <w:t>利害关系（如有，请如实说明） 。</w:t>
      </w:r>
    </w:p>
    <w:p w14:paraId="581542E3">
      <w:pPr>
        <w:pStyle w:val="58"/>
        <w:widowControl/>
        <w:numPr>
          <w:ilvl w:val="0"/>
          <w:numId w:val="17"/>
        </w:numPr>
        <w:snapToGrid w:val="0"/>
        <w:spacing w:line="440" w:lineRule="exact"/>
        <w:ind w:firstLine="396" w:firstLineChars="189"/>
        <w:rPr>
          <w:rFonts w:ascii="宋体" w:hAnsi="宋体" w:cs="宋体"/>
          <w:color w:val="000000"/>
          <w:kern w:val="0"/>
          <w:highlight w:val="none"/>
        </w:rPr>
      </w:pPr>
      <w:r>
        <w:rPr>
          <w:rFonts w:hint="eastAsia" w:ascii="宋体" w:hAnsi="宋体" w:cs="宋体"/>
          <w:color w:val="000000"/>
          <w:kern w:val="0"/>
          <w:highlight w:val="none"/>
        </w:rPr>
        <w:t>现已清楚知道参加本项目采购活动的其他所有供应商名称，本单位 □与其他所有供应商之间均不存在利害关系 □与 （供应商名称）之间存在下列利害关系：</w:t>
      </w:r>
    </w:p>
    <w:p w14:paraId="624D5365">
      <w:pPr>
        <w:pStyle w:val="57"/>
        <w:snapToGrid w:val="0"/>
        <w:spacing w:before="156" w:after="156" w:line="360" w:lineRule="exact"/>
        <w:rPr>
          <w:rFonts w:hAnsi="宋体" w:eastAsia="宋体"/>
          <w:color w:val="000000"/>
          <w:kern w:val="0"/>
          <w:sz w:val="21"/>
          <w:szCs w:val="21"/>
          <w:highlight w:val="none"/>
        </w:rPr>
      </w:pPr>
      <w:r>
        <w:rPr>
          <w:rFonts w:hint="eastAsia" w:hAnsi="宋体" w:eastAsia="宋体"/>
          <w:color w:val="000000"/>
          <w:kern w:val="0"/>
          <w:sz w:val="21"/>
          <w:szCs w:val="21"/>
          <w:highlight w:val="none"/>
        </w:rPr>
        <w:t xml:space="preserve">  A.法定代表人或负责人或实际控制人是同一人</w:t>
      </w:r>
    </w:p>
    <w:p w14:paraId="74CCB8B1">
      <w:pPr>
        <w:pStyle w:val="57"/>
        <w:snapToGrid w:val="0"/>
        <w:spacing w:before="156" w:after="156" w:line="360" w:lineRule="exact"/>
        <w:rPr>
          <w:rFonts w:hAnsi="宋体" w:eastAsia="宋体"/>
          <w:color w:val="000000"/>
          <w:spacing w:val="6"/>
          <w:sz w:val="21"/>
          <w:szCs w:val="21"/>
          <w:highlight w:val="none"/>
        </w:rPr>
      </w:pPr>
      <w:r>
        <w:rPr>
          <w:rFonts w:hint="eastAsia" w:hAnsi="宋体" w:eastAsia="宋体"/>
          <w:color w:val="000000"/>
          <w:kern w:val="0"/>
          <w:sz w:val="21"/>
          <w:szCs w:val="21"/>
          <w:highlight w:val="none"/>
        </w:rPr>
        <w:t xml:space="preserve">  B.法定代表人或负责人或实际控制人是夫妻关系</w:t>
      </w:r>
    </w:p>
    <w:p w14:paraId="402FF41D">
      <w:pPr>
        <w:pStyle w:val="57"/>
        <w:snapToGrid w:val="0"/>
        <w:spacing w:before="156" w:after="156" w:line="360" w:lineRule="exact"/>
        <w:rPr>
          <w:rFonts w:hAnsi="宋体" w:eastAsia="宋体"/>
          <w:color w:val="000000"/>
          <w:spacing w:val="6"/>
          <w:sz w:val="21"/>
          <w:szCs w:val="21"/>
          <w:highlight w:val="none"/>
        </w:rPr>
      </w:pPr>
      <w:r>
        <w:rPr>
          <w:rFonts w:hint="eastAsia" w:hAnsi="宋体" w:eastAsia="宋体"/>
          <w:color w:val="000000"/>
          <w:kern w:val="0"/>
          <w:sz w:val="21"/>
          <w:szCs w:val="21"/>
          <w:highlight w:val="none"/>
        </w:rPr>
        <w:t xml:space="preserve">  C.法定代表人或负责人或实际控制人是直系血亲关系</w:t>
      </w:r>
    </w:p>
    <w:p w14:paraId="4164947C">
      <w:pPr>
        <w:pStyle w:val="57"/>
        <w:snapToGrid w:val="0"/>
        <w:spacing w:before="156" w:after="156" w:line="360" w:lineRule="exact"/>
        <w:rPr>
          <w:rFonts w:hAnsi="宋体" w:eastAsia="宋体"/>
          <w:color w:val="000000"/>
          <w:spacing w:val="6"/>
          <w:sz w:val="21"/>
          <w:szCs w:val="21"/>
          <w:highlight w:val="none"/>
        </w:rPr>
      </w:pPr>
      <w:r>
        <w:rPr>
          <w:rFonts w:hint="eastAsia" w:hAnsi="宋体" w:eastAsia="宋体"/>
          <w:color w:val="000000"/>
          <w:kern w:val="0"/>
          <w:sz w:val="21"/>
          <w:szCs w:val="21"/>
          <w:highlight w:val="none"/>
        </w:rPr>
        <w:t xml:space="preserve">  D.法定代表人或负责人或实际控制人存在三代以内旁系血亲关系</w:t>
      </w:r>
    </w:p>
    <w:p w14:paraId="5583DAC1">
      <w:pPr>
        <w:pStyle w:val="57"/>
        <w:snapToGrid w:val="0"/>
        <w:spacing w:before="156" w:after="156" w:line="360" w:lineRule="exact"/>
        <w:rPr>
          <w:rFonts w:hAnsi="宋体" w:eastAsia="宋体"/>
          <w:color w:val="000000"/>
          <w:kern w:val="0"/>
          <w:sz w:val="21"/>
          <w:szCs w:val="21"/>
          <w:highlight w:val="none"/>
        </w:rPr>
      </w:pPr>
      <w:r>
        <w:rPr>
          <w:rFonts w:hint="eastAsia" w:hAnsi="宋体" w:eastAsia="宋体"/>
          <w:color w:val="000000"/>
          <w:kern w:val="0"/>
          <w:sz w:val="21"/>
          <w:szCs w:val="21"/>
          <w:highlight w:val="none"/>
        </w:rPr>
        <w:t xml:space="preserve">  E.法定代表人或负责人或实际控制人存在近姻亲关系</w:t>
      </w:r>
    </w:p>
    <w:p w14:paraId="4F3B38DB">
      <w:pPr>
        <w:pStyle w:val="57"/>
        <w:snapToGrid w:val="0"/>
        <w:spacing w:before="156" w:after="156" w:line="360" w:lineRule="exact"/>
        <w:rPr>
          <w:rFonts w:hAnsi="宋体" w:eastAsia="宋体"/>
          <w:color w:val="000000"/>
          <w:kern w:val="0"/>
          <w:sz w:val="21"/>
          <w:szCs w:val="21"/>
          <w:highlight w:val="none"/>
        </w:rPr>
      </w:pPr>
      <w:r>
        <w:rPr>
          <w:rFonts w:hint="eastAsia" w:hAnsi="宋体" w:eastAsia="宋体"/>
          <w:color w:val="000000"/>
          <w:kern w:val="0"/>
          <w:sz w:val="21"/>
          <w:szCs w:val="21"/>
          <w:highlight w:val="none"/>
        </w:rPr>
        <w:t xml:space="preserve">  F.法定代表人或负责人或实际控制人存在股份控制或实际控制关系</w:t>
      </w:r>
    </w:p>
    <w:p w14:paraId="0481CF9B">
      <w:pPr>
        <w:pStyle w:val="57"/>
        <w:snapToGrid w:val="0"/>
        <w:spacing w:before="156" w:after="156" w:line="360" w:lineRule="exact"/>
        <w:rPr>
          <w:rFonts w:hAnsi="宋体" w:eastAsia="宋体"/>
          <w:color w:val="000000"/>
          <w:kern w:val="0"/>
          <w:sz w:val="21"/>
          <w:szCs w:val="21"/>
          <w:highlight w:val="none"/>
        </w:rPr>
      </w:pPr>
      <w:r>
        <w:rPr>
          <w:rFonts w:hint="eastAsia" w:hAnsi="宋体" w:eastAsia="宋体"/>
          <w:color w:val="000000"/>
          <w:kern w:val="0"/>
          <w:sz w:val="21"/>
          <w:szCs w:val="21"/>
          <w:highlight w:val="none"/>
        </w:rPr>
        <w:t xml:space="preserve">  G.存在共同直接或间接投资设立子公司、联营企业和合营企业情况</w:t>
      </w:r>
    </w:p>
    <w:p w14:paraId="0C100A5F">
      <w:pPr>
        <w:pStyle w:val="57"/>
        <w:snapToGrid w:val="0"/>
        <w:spacing w:before="156" w:after="156" w:line="360" w:lineRule="exact"/>
        <w:rPr>
          <w:rFonts w:hAnsi="宋体" w:eastAsia="宋体"/>
          <w:color w:val="000000"/>
          <w:sz w:val="21"/>
          <w:szCs w:val="21"/>
          <w:highlight w:val="none"/>
        </w:rPr>
      </w:pPr>
      <w:r>
        <w:rPr>
          <w:rFonts w:hint="eastAsia" w:hAnsi="宋体" w:eastAsia="宋体"/>
          <w:color w:val="000000"/>
          <w:kern w:val="0"/>
          <w:sz w:val="21"/>
          <w:szCs w:val="21"/>
          <w:highlight w:val="none"/>
        </w:rPr>
        <w:t xml:space="preserve">  H.存在分级代理或代销关系、同一生产制造商关系、</w:t>
      </w:r>
      <w:r>
        <w:rPr>
          <w:rFonts w:hint="eastAsia" w:hAnsi="宋体" w:eastAsia="宋体"/>
          <w:color w:val="000000"/>
          <w:sz w:val="21"/>
          <w:szCs w:val="21"/>
          <w:highlight w:val="none"/>
        </w:rPr>
        <w:t>管理关系、重要业务（占主营业务收入50%以上）或重要财务往来关系（如融资）等其他实质性控制关系</w:t>
      </w:r>
    </w:p>
    <w:p w14:paraId="48A5CF09">
      <w:pPr>
        <w:pStyle w:val="57"/>
        <w:snapToGrid w:val="0"/>
        <w:spacing w:before="156" w:after="156" w:line="440" w:lineRule="exact"/>
        <w:rPr>
          <w:rFonts w:hAnsi="宋体" w:eastAsia="宋体"/>
          <w:color w:val="000000"/>
          <w:spacing w:val="6"/>
          <w:sz w:val="21"/>
          <w:szCs w:val="21"/>
          <w:highlight w:val="none"/>
        </w:rPr>
      </w:pPr>
      <w:r>
        <w:rPr>
          <w:rFonts w:hint="eastAsia" w:hAnsi="宋体" w:eastAsia="宋体"/>
          <w:color w:val="000000"/>
          <w:sz w:val="21"/>
          <w:szCs w:val="21"/>
          <w:highlight w:val="none"/>
        </w:rPr>
        <w:t xml:space="preserve">  I</w:t>
      </w:r>
      <w:r>
        <w:rPr>
          <w:rFonts w:hint="eastAsia" w:hAnsi="宋体" w:eastAsia="宋体"/>
          <w:color w:val="000000"/>
          <w:kern w:val="0"/>
          <w:sz w:val="21"/>
          <w:szCs w:val="21"/>
          <w:highlight w:val="none"/>
        </w:rPr>
        <w:t>.</w:t>
      </w:r>
      <w:r>
        <w:rPr>
          <w:rFonts w:hint="eastAsia" w:hAnsi="宋体" w:eastAsia="宋体"/>
          <w:color w:val="000000"/>
          <w:sz w:val="21"/>
          <w:szCs w:val="21"/>
          <w:highlight w:val="none"/>
        </w:rPr>
        <w:t>其他利害关系情况</w:t>
      </w:r>
      <w:r>
        <w:rPr>
          <w:rFonts w:hint="eastAsia" w:hAnsi="宋体" w:eastAsia="宋体"/>
          <w:color w:val="000000"/>
          <w:kern w:val="0"/>
          <w:sz w:val="21"/>
          <w:szCs w:val="21"/>
          <w:highlight w:val="none"/>
        </w:rPr>
        <w:t>。</w:t>
      </w:r>
    </w:p>
    <w:p w14:paraId="682D7A40">
      <w:pPr>
        <w:pStyle w:val="58"/>
        <w:widowControl/>
        <w:numPr>
          <w:ilvl w:val="0"/>
          <w:numId w:val="18"/>
        </w:numPr>
        <w:snapToGrid w:val="0"/>
        <w:spacing w:line="440" w:lineRule="exact"/>
        <w:ind w:firstLine="396" w:firstLineChars="189"/>
        <w:rPr>
          <w:rFonts w:ascii="宋体" w:hAnsi="宋体" w:cs="宋体"/>
          <w:color w:val="000000"/>
          <w:kern w:val="0"/>
          <w:highlight w:val="none"/>
        </w:rPr>
      </w:pPr>
      <w:r>
        <w:rPr>
          <w:rFonts w:hint="eastAsia" w:ascii="宋体" w:hAnsi="宋体" w:cs="宋体"/>
          <w:color w:val="000000"/>
          <w:highlight w:val="none"/>
        </w:rPr>
        <w:t>现已清楚知道并</w:t>
      </w:r>
      <w:r>
        <w:rPr>
          <w:rFonts w:hint="eastAsia" w:ascii="宋体" w:hAnsi="宋体" w:cs="宋体"/>
          <w:color w:val="000000"/>
          <w:kern w:val="0"/>
          <w:highlight w:val="none"/>
        </w:rPr>
        <w:t>严格遵守政府采购法律法规和现场纪律。</w:t>
      </w:r>
    </w:p>
    <w:p w14:paraId="68652B6D">
      <w:pPr>
        <w:pStyle w:val="58"/>
        <w:widowControl/>
        <w:numPr>
          <w:ilvl w:val="0"/>
          <w:numId w:val="18"/>
        </w:numPr>
        <w:snapToGrid w:val="0"/>
        <w:spacing w:line="440" w:lineRule="exact"/>
        <w:ind w:firstLine="396" w:firstLineChars="189"/>
        <w:rPr>
          <w:rFonts w:ascii="宋体" w:hAnsi="宋体" w:cs="宋体"/>
          <w:color w:val="000000"/>
          <w:kern w:val="0"/>
          <w:highlight w:val="none"/>
        </w:rPr>
      </w:pPr>
      <w:r>
        <w:rPr>
          <w:rFonts w:hint="eastAsia" w:ascii="宋体" w:hAnsi="宋体" w:cs="宋体"/>
          <w:color w:val="000000"/>
          <w:kern w:val="0"/>
          <w:highlight w:val="none"/>
        </w:rPr>
        <w:t xml:space="preserve">我发现供应商之间存在或可能存在上述第二条第项利害关系。   </w:t>
      </w:r>
    </w:p>
    <w:p w14:paraId="1F4A731C">
      <w:pPr>
        <w:pStyle w:val="58"/>
        <w:widowControl/>
        <w:snapToGrid w:val="0"/>
        <w:spacing w:line="440" w:lineRule="exact"/>
        <w:rPr>
          <w:rFonts w:ascii="宋体" w:hAnsi="宋体" w:cs="宋体"/>
          <w:color w:val="000000"/>
          <w:kern w:val="0"/>
          <w:highlight w:val="none"/>
        </w:rPr>
      </w:pPr>
    </w:p>
    <w:p w14:paraId="23094715">
      <w:pPr>
        <w:pStyle w:val="58"/>
        <w:widowControl/>
        <w:snapToGrid w:val="0"/>
        <w:spacing w:line="440" w:lineRule="exact"/>
        <w:rPr>
          <w:rFonts w:ascii="宋体" w:hAnsi="宋体" w:cs="宋体"/>
          <w:color w:val="000000"/>
          <w:kern w:val="0"/>
          <w:highlight w:val="none"/>
        </w:rPr>
      </w:pPr>
    </w:p>
    <w:p w14:paraId="5B9AA862">
      <w:pPr>
        <w:pStyle w:val="58"/>
        <w:widowControl/>
        <w:snapToGrid w:val="0"/>
        <w:spacing w:line="440" w:lineRule="exact"/>
        <w:jc w:val="center"/>
        <w:rPr>
          <w:rFonts w:ascii="宋体" w:hAnsi="宋体" w:cs="宋体"/>
          <w:color w:val="000000"/>
          <w:kern w:val="0"/>
          <w:highlight w:val="none"/>
        </w:rPr>
      </w:pPr>
      <w:r>
        <w:rPr>
          <w:rFonts w:hint="eastAsia" w:ascii="宋体" w:hAnsi="宋体" w:cs="宋体"/>
          <w:color w:val="000000"/>
          <w:kern w:val="0"/>
          <w:highlight w:val="none"/>
        </w:rPr>
        <w:t xml:space="preserve">                                        供应商：</w:t>
      </w:r>
      <w:r>
        <w:rPr>
          <w:rFonts w:hint="eastAsia" w:ascii="宋体" w:hAnsi="宋体" w:cs="宋体"/>
          <w:color w:val="000000"/>
          <w:kern w:val="0"/>
          <w:highlight w:val="none"/>
          <w:lang w:eastAsia="zh-CN"/>
        </w:rPr>
        <w:t>（</w:t>
      </w:r>
      <w:r>
        <w:rPr>
          <w:rFonts w:hint="eastAsia" w:ascii="宋体" w:hAnsi="宋体" w:cs="宋体"/>
          <w:color w:val="000000"/>
          <w:kern w:val="0"/>
          <w:highlight w:val="none"/>
        </w:rPr>
        <w:t>盖章)</w:t>
      </w:r>
    </w:p>
    <w:p w14:paraId="0834F0D4">
      <w:pPr>
        <w:pStyle w:val="57"/>
        <w:snapToGrid w:val="0"/>
        <w:spacing w:before="156" w:after="156" w:line="440" w:lineRule="exact"/>
        <w:ind w:firstLine="420" w:firstLineChars="200"/>
        <w:rPr>
          <w:highlight w:val="none"/>
        </w:rPr>
      </w:pPr>
      <w:r>
        <w:rPr>
          <w:rFonts w:hint="eastAsia" w:hAnsi="宋体" w:eastAsia="宋体"/>
          <w:color w:val="000000"/>
          <w:kern w:val="0"/>
          <w:sz w:val="21"/>
          <w:szCs w:val="21"/>
          <w:highlight w:val="none"/>
        </w:rPr>
        <w:t xml:space="preserve">                                                 202</w:t>
      </w:r>
      <w:r>
        <w:rPr>
          <w:rFonts w:hint="eastAsia" w:hAnsi="宋体" w:eastAsia="宋体"/>
          <w:color w:val="000000"/>
          <w:kern w:val="0"/>
          <w:sz w:val="21"/>
          <w:szCs w:val="21"/>
          <w:highlight w:val="none"/>
          <w:lang w:val="en-US" w:eastAsia="zh-CN"/>
        </w:rPr>
        <w:t>5</w:t>
      </w:r>
      <w:r>
        <w:rPr>
          <w:rFonts w:hint="eastAsia" w:hAnsi="宋体" w:eastAsia="宋体"/>
          <w:color w:val="000000"/>
          <w:kern w:val="0"/>
          <w:sz w:val="21"/>
          <w:szCs w:val="21"/>
          <w:highlight w:val="none"/>
        </w:rPr>
        <w:t>年   月   日</w:t>
      </w:r>
    </w:p>
    <w:p w14:paraId="5F06AADD">
      <w:pPr>
        <w:ind w:firstLine="420"/>
        <w:jc w:val="left"/>
        <w:rPr>
          <w:rFonts w:ascii="宋体"/>
          <w:highlight w:val="none"/>
        </w:rPr>
      </w:pPr>
      <w:r>
        <w:rPr>
          <w:rFonts w:hint="eastAsia" w:ascii="宋体" w:hAnsi="宋体"/>
          <w:b/>
          <w:bCs/>
          <w:highlight w:val="none"/>
        </w:rPr>
        <w:t>1</w:t>
      </w:r>
      <w:r>
        <w:rPr>
          <w:rFonts w:hint="eastAsia" w:ascii="宋体" w:hAnsi="宋体"/>
          <w:b/>
          <w:bCs/>
          <w:highlight w:val="none"/>
          <w:lang w:val="en-US" w:eastAsia="zh-CN"/>
        </w:rPr>
        <w:t>5</w:t>
      </w:r>
      <w:r>
        <w:rPr>
          <w:rFonts w:hint="eastAsia" w:ascii="宋体" w:hAnsi="宋体"/>
          <w:b/>
          <w:bCs/>
          <w:spacing w:val="-4"/>
          <w:highlight w:val="none"/>
        </w:rPr>
        <w:t>、政府采购投标人质疑函范本</w:t>
      </w:r>
    </w:p>
    <w:tbl>
      <w:tblPr>
        <w:tblStyle w:val="24"/>
        <w:tblW w:w="9299" w:type="dxa"/>
        <w:jc w:val="center"/>
        <w:tblCellSpacing w:w="0" w:type="dxa"/>
        <w:tblLayout w:type="fixed"/>
        <w:tblCellMar>
          <w:top w:w="0" w:type="dxa"/>
          <w:left w:w="0" w:type="dxa"/>
          <w:bottom w:w="0" w:type="dxa"/>
          <w:right w:w="0" w:type="dxa"/>
        </w:tblCellMar>
      </w:tblPr>
      <w:tblGrid>
        <w:gridCol w:w="9299"/>
      </w:tblGrid>
      <w:tr w14:paraId="7F2FCA60">
        <w:tblPrEx>
          <w:tblCellMar>
            <w:top w:w="0" w:type="dxa"/>
            <w:left w:w="0" w:type="dxa"/>
            <w:bottom w:w="0" w:type="dxa"/>
            <w:right w:w="0" w:type="dxa"/>
          </w:tblCellMar>
        </w:tblPrEx>
        <w:trPr>
          <w:tblCellSpacing w:w="0" w:type="dxa"/>
          <w:jc w:val="center"/>
        </w:trPr>
        <w:tc>
          <w:tcPr>
            <w:tcW w:w="9299" w:type="dxa"/>
            <w:vAlign w:val="center"/>
          </w:tcPr>
          <w:tbl>
            <w:tblPr>
              <w:tblStyle w:val="24"/>
              <w:tblW w:w="9299" w:type="dxa"/>
              <w:tblCellSpacing w:w="0" w:type="dxa"/>
              <w:tblInd w:w="0" w:type="dxa"/>
              <w:tblLayout w:type="fixed"/>
              <w:tblCellMar>
                <w:top w:w="0" w:type="dxa"/>
                <w:left w:w="0" w:type="dxa"/>
                <w:bottom w:w="0" w:type="dxa"/>
                <w:right w:w="0" w:type="dxa"/>
              </w:tblCellMar>
            </w:tblPr>
            <w:tblGrid>
              <w:gridCol w:w="9299"/>
            </w:tblGrid>
            <w:tr w14:paraId="310E18FE">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4"/>
                    <w:tblW w:w="7904" w:type="dxa"/>
                    <w:jc w:val="center"/>
                    <w:tblCellSpacing w:w="0" w:type="dxa"/>
                    <w:tblLayout w:type="fixed"/>
                    <w:tblCellMar>
                      <w:top w:w="0" w:type="dxa"/>
                      <w:left w:w="0" w:type="dxa"/>
                      <w:bottom w:w="0" w:type="dxa"/>
                      <w:right w:w="0" w:type="dxa"/>
                    </w:tblCellMar>
                  </w:tblPr>
                  <w:tblGrid>
                    <w:gridCol w:w="7904"/>
                  </w:tblGrid>
                  <w:tr w14:paraId="5DAE9980">
                    <w:tblPrEx>
                      <w:tblCellMar>
                        <w:top w:w="0" w:type="dxa"/>
                        <w:left w:w="0" w:type="dxa"/>
                        <w:bottom w:w="0" w:type="dxa"/>
                        <w:right w:w="0" w:type="dxa"/>
                      </w:tblCellMar>
                    </w:tblPrEx>
                    <w:trPr>
                      <w:tblCellSpacing w:w="0" w:type="dxa"/>
                      <w:jc w:val="center"/>
                    </w:trPr>
                    <w:tc>
                      <w:tcPr>
                        <w:tcW w:w="7904" w:type="dxa"/>
                        <w:vAlign w:val="center"/>
                      </w:tcPr>
                      <w:p w14:paraId="639B2081">
                        <w:pPr>
                          <w:spacing w:beforeAutospacing="1" w:afterAutospacing="1"/>
                          <w:ind w:firstLine="422"/>
                          <w:jc w:val="center"/>
                          <w:rPr>
                            <w:rFonts w:ascii="宋体"/>
                            <w:sz w:val="28"/>
                            <w:szCs w:val="28"/>
                            <w:highlight w:val="none"/>
                          </w:rPr>
                        </w:pPr>
                        <w:r>
                          <w:rPr>
                            <w:rFonts w:hint="eastAsia" w:ascii="宋体" w:hAnsi="宋体"/>
                            <w:b/>
                            <w:kern w:val="0"/>
                            <w:sz w:val="28"/>
                            <w:szCs w:val="28"/>
                            <w:highlight w:val="none"/>
                          </w:rPr>
                          <w:t>质疑函范本</w:t>
                        </w:r>
                      </w:p>
                      <w:p w14:paraId="6904227A">
                        <w:pPr>
                          <w:adjustRightInd w:val="0"/>
                          <w:snapToGrid w:val="0"/>
                          <w:spacing w:beforeLines="100" w:afterAutospacing="1"/>
                          <w:ind w:firstLine="420"/>
                          <w:jc w:val="left"/>
                          <w:rPr>
                            <w:rFonts w:ascii="宋体"/>
                            <w:highlight w:val="none"/>
                          </w:rPr>
                        </w:pPr>
                        <w:r>
                          <w:rPr>
                            <w:rFonts w:hint="eastAsia" w:ascii="宋体" w:hAnsi="宋体"/>
                            <w:bCs/>
                            <w:kern w:val="0"/>
                            <w:highlight w:val="none"/>
                          </w:rPr>
                          <w:t>一、质疑投标人基本信息</w:t>
                        </w:r>
                      </w:p>
                      <w:p w14:paraId="4DFEDD5F">
                        <w:pPr>
                          <w:adjustRightInd w:val="0"/>
                          <w:snapToGrid w:val="0"/>
                          <w:spacing w:beforeAutospacing="1" w:afterAutospacing="1"/>
                          <w:ind w:firstLine="420"/>
                          <w:jc w:val="left"/>
                          <w:rPr>
                            <w:rFonts w:ascii="宋体"/>
                            <w:highlight w:val="none"/>
                          </w:rPr>
                        </w:pPr>
                        <w:r>
                          <w:rPr>
                            <w:rFonts w:hint="eastAsia" w:ascii="宋体" w:hAnsi="宋体"/>
                            <w:kern w:val="0"/>
                            <w:highlight w:val="none"/>
                          </w:rPr>
                          <w:t>质疑投标人：</w:t>
                        </w:r>
                      </w:p>
                      <w:p w14:paraId="3278AD66">
                        <w:pPr>
                          <w:adjustRightInd w:val="0"/>
                          <w:snapToGrid w:val="0"/>
                          <w:spacing w:beforeAutospacing="1" w:afterAutospacing="1"/>
                          <w:ind w:firstLine="420"/>
                          <w:jc w:val="left"/>
                          <w:rPr>
                            <w:rFonts w:ascii="宋体"/>
                            <w:highlight w:val="none"/>
                          </w:rPr>
                        </w:pPr>
                        <w:r>
                          <w:rPr>
                            <w:rFonts w:hint="eastAsia" w:ascii="宋体" w:hAnsi="宋体"/>
                            <w:kern w:val="0"/>
                            <w:highlight w:val="none"/>
                          </w:rPr>
                          <w:t>地址：邮编：</w:t>
                        </w:r>
                      </w:p>
                      <w:p w14:paraId="1216868D">
                        <w:pPr>
                          <w:adjustRightInd w:val="0"/>
                          <w:snapToGrid w:val="0"/>
                          <w:spacing w:beforeAutospacing="1" w:afterAutospacing="1"/>
                          <w:ind w:firstLine="420"/>
                          <w:jc w:val="left"/>
                          <w:rPr>
                            <w:rFonts w:ascii="宋体"/>
                            <w:highlight w:val="none"/>
                          </w:rPr>
                        </w:pPr>
                        <w:r>
                          <w:rPr>
                            <w:rFonts w:hint="eastAsia" w:ascii="宋体" w:hAnsi="宋体"/>
                            <w:kern w:val="0"/>
                            <w:highlight w:val="none"/>
                          </w:rPr>
                          <w:t>联系人：联系电话：</w:t>
                        </w:r>
                      </w:p>
                      <w:p w14:paraId="010E0F4C">
                        <w:pPr>
                          <w:adjustRightInd w:val="0"/>
                          <w:snapToGrid w:val="0"/>
                          <w:spacing w:beforeAutospacing="1" w:afterAutospacing="1"/>
                          <w:ind w:firstLine="420"/>
                          <w:jc w:val="left"/>
                          <w:rPr>
                            <w:rFonts w:ascii="宋体"/>
                            <w:highlight w:val="none"/>
                          </w:rPr>
                        </w:pPr>
                        <w:r>
                          <w:rPr>
                            <w:rFonts w:hint="eastAsia" w:ascii="宋体" w:hAnsi="宋体"/>
                            <w:kern w:val="0"/>
                            <w:highlight w:val="none"/>
                          </w:rPr>
                          <w:t>授权代表：联系电话：</w:t>
                        </w:r>
                      </w:p>
                      <w:p w14:paraId="12A867BD">
                        <w:pPr>
                          <w:adjustRightInd w:val="0"/>
                          <w:snapToGrid w:val="0"/>
                          <w:spacing w:beforeAutospacing="1" w:afterAutospacing="1"/>
                          <w:ind w:firstLine="420"/>
                          <w:jc w:val="left"/>
                          <w:rPr>
                            <w:rFonts w:ascii="宋体"/>
                            <w:highlight w:val="none"/>
                          </w:rPr>
                        </w:pPr>
                        <w:r>
                          <w:rPr>
                            <w:rFonts w:hint="eastAsia" w:ascii="宋体" w:hAnsi="宋体"/>
                            <w:kern w:val="0"/>
                            <w:highlight w:val="none"/>
                          </w:rPr>
                          <w:t>地址：邮编：邮箱：</w:t>
                        </w:r>
                      </w:p>
                      <w:p w14:paraId="652FD52B">
                        <w:pPr>
                          <w:adjustRightInd w:val="0"/>
                          <w:snapToGrid w:val="0"/>
                          <w:spacing w:beforeAutospacing="1" w:afterAutospacing="1"/>
                          <w:ind w:firstLine="420"/>
                          <w:jc w:val="left"/>
                          <w:rPr>
                            <w:rFonts w:ascii="宋体"/>
                            <w:highlight w:val="none"/>
                          </w:rPr>
                        </w:pPr>
                        <w:r>
                          <w:rPr>
                            <w:rFonts w:hint="eastAsia" w:ascii="宋体" w:hAnsi="宋体"/>
                            <w:bCs/>
                            <w:kern w:val="0"/>
                            <w:highlight w:val="none"/>
                          </w:rPr>
                          <w:t>二、质疑项目基本情况</w:t>
                        </w:r>
                      </w:p>
                      <w:p w14:paraId="0B584191">
                        <w:pPr>
                          <w:adjustRightInd w:val="0"/>
                          <w:snapToGrid w:val="0"/>
                          <w:spacing w:beforeAutospacing="1" w:afterAutospacing="1"/>
                          <w:ind w:firstLine="420"/>
                          <w:jc w:val="left"/>
                          <w:rPr>
                            <w:rFonts w:ascii="宋体"/>
                            <w:highlight w:val="none"/>
                          </w:rPr>
                        </w:pPr>
                        <w:r>
                          <w:rPr>
                            <w:rFonts w:hint="eastAsia" w:ascii="宋体" w:hAnsi="宋体"/>
                            <w:kern w:val="0"/>
                            <w:highlight w:val="none"/>
                          </w:rPr>
                          <w:t>质疑项目的名称：</w:t>
                        </w:r>
                      </w:p>
                      <w:p w14:paraId="0A4A6278">
                        <w:pPr>
                          <w:adjustRightInd w:val="0"/>
                          <w:snapToGrid w:val="0"/>
                          <w:spacing w:beforeAutospacing="1" w:afterAutospacing="1"/>
                          <w:ind w:firstLine="420"/>
                          <w:jc w:val="left"/>
                          <w:rPr>
                            <w:rFonts w:ascii="宋体"/>
                            <w:highlight w:val="none"/>
                          </w:rPr>
                        </w:pPr>
                        <w:r>
                          <w:rPr>
                            <w:rFonts w:hint="eastAsia" w:ascii="宋体" w:hAnsi="宋体"/>
                            <w:kern w:val="0"/>
                            <w:highlight w:val="none"/>
                          </w:rPr>
                          <w:t>质疑项目的编号：包号：</w:t>
                        </w:r>
                      </w:p>
                      <w:p w14:paraId="546A59FA">
                        <w:pPr>
                          <w:adjustRightInd w:val="0"/>
                          <w:snapToGrid w:val="0"/>
                          <w:spacing w:beforeAutospacing="1" w:afterAutospacing="1"/>
                          <w:ind w:firstLine="420"/>
                          <w:jc w:val="left"/>
                          <w:rPr>
                            <w:rFonts w:ascii="宋体"/>
                            <w:highlight w:val="none"/>
                          </w:rPr>
                        </w:pPr>
                        <w:r>
                          <w:rPr>
                            <w:rFonts w:hint="eastAsia" w:ascii="宋体" w:hAnsi="宋体"/>
                            <w:kern w:val="0"/>
                            <w:highlight w:val="none"/>
                          </w:rPr>
                          <w:t>采购人名称：</w:t>
                        </w:r>
                      </w:p>
                      <w:p w14:paraId="3D049804">
                        <w:pPr>
                          <w:adjustRightInd w:val="0"/>
                          <w:snapToGrid w:val="0"/>
                          <w:spacing w:beforeAutospacing="1" w:afterAutospacing="1"/>
                          <w:ind w:firstLine="420"/>
                          <w:jc w:val="left"/>
                          <w:rPr>
                            <w:rFonts w:ascii="宋体"/>
                            <w:highlight w:val="none"/>
                          </w:rPr>
                        </w:pPr>
                        <w:r>
                          <w:rPr>
                            <w:rFonts w:hint="eastAsia" w:ascii="宋体" w:hAnsi="宋体"/>
                            <w:kern w:val="0"/>
                            <w:highlight w:val="none"/>
                          </w:rPr>
                          <w:t>采购文件获取日期：</w:t>
                        </w:r>
                      </w:p>
                      <w:p w14:paraId="0129B9FF">
                        <w:pPr>
                          <w:adjustRightInd w:val="0"/>
                          <w:snapToGrid w:val="0"/>
                          <w:spacing w:beforeAutospacing="1" w:afterAutospacing="1"/>
                          <w:ind w:firstLine="420"/>
                          <w:jc w:val="left"/>
                          <w:rPr>
                            <w:rFonts w:ascii="宋体"/>
                            <w:highlight w:val="none"/>
                          </w:rPr>
                        </w:pPr>
                        <w:r>
                          <w:rPr>
                            <w:rFonts w:hint="eastAsia" w:ascii="宋体" w:hAnsi="宋体"/>
                            <w:bCs/>
                            <w:kern w:val="0"/>
                            <w:highlight w:val="none"/>
                          </w:rPr>
                          <w:t>三、质疑事项具体内容</w:t>
                        </w:r>
                      </w:p>
                      <w:p w14:paraId="3A693889">
                        <w:pPr>
                          <w:adjustRightInd w:val="0"/>
                          <w:snapToGrid w:val="0"/>
                          <w:spacing w:beforeAutospacing="1" w:afterAutospacing="1"/>
                          <w:ind w:firstLine="420"/>
                          <w:jc w:val="left"/>
                          <w:rPr>
                            <w:rFonts w:ascii="宋体"/>
                            <w:highlight w:val="none"/>
                          </w:rPr>
                        </w:pPr>
                        <w:r>
                          <w:rPr>
                            <w:rFonts w:hint="eastAsia" w:ascii="宋体" w:hAnsi="宋体"/>
                            <w:kern w:val="0"/>
                            <w:highlight w:val="none"/>
                          </w:rPr>
                          <w:t>质疑事项</w:t>
                        </w:r>
                        <w:r>
                          <w:rPr>
                            <w:rFonts w:ascii="宋体" w:hAnsi="宋体"/>
                            <w:kern w:val="0"/>
                            <w:highlight w:val="none"/>
                          </w:rPr>
                          <w:t>1</w:t>
                        </w:r>
                        <w:r>
                          <w:rPr>
                            <w:rFonts w:hint="eastAsia" w:ascii="宋体" w:hAnsi="宋体"/>
                            <w:kern w:val="0"/>
                            <w:highlight w:val="none"/>
                          </w:rPr>
                          <w:t>：</w:t>
                        </w:r>
                      </w:p>
                      <w:p w14:paraId="0E040635">
                        <w:pPr>
                          <w:adjustRightInd w:val="0"/>
                          <w:snapToGrid w:val="0"/>
                          <w:spacing w:beforeAutospacing="1" w:afterAutospacing="1"/>
                          <w:ind w:firstLine="420"/>
                          <w:jc w:val="left"/>
                          <w:rPr>
                            <w:rFonts w:ascii="宋体"/>
                            <w:highlight w:val="none"/>
                          </w:rPr>
                        </w:pPr>
                        <w:r>
                          <w:rPr>
                            <w:rFonts w:hint="eastAsia" w:ascii="宋体" w:hAnsi="宋体"/>
                            <w:kern w:val="0"/>
                            <w:highlight w:val="none"/>
                          </w:rPr>
                          <w:t>事实依据：</w:t>
                        </w:r>
                      </w:p>
                      <w:p w14:paraId="29BEF866">
                        <w:pPr>
                          <w:adjustRightInd w:val="0"/>
                          <w:snapToGrid w:val="0"/>
                          <w:spacing w:beforeAutospacing="1" w:afterAutospacing="1"/>
                          <w:ind w:firstLine="420"/>
                          <w:jc w:val="left"/>
                          <w:rPr>
                            <w:rFonts w:ascii="宋体"/>
                            <w:highlight w:val="none"/>
                          </w:rPr>
                        </w:pPr>
                        <w:r>
                          <w:rPr>
                            <w:rFonts w:hint="eastAsia" w:ascii="宋体" w:hAnsi="宋体"/>
                            <w:kern w:val="0"/>
                            <w:highlight w:val="none"/>
                          </w:rPr>
                          <w:t>法律依据：</w:t>
                        </w:r>
                      </w:p>
                      <w:p w14:paraId="124E504E">
                        <w:pPr>
                          <w:adjustRightInd w:val="0"/>
                          <w:snapToGrid w:val="0"/>
                          <w:spacing w:beforeAutospacing="1" w:afterAutospacing="1"/>
                          <w:ind w:firstLine="420"/>
                          <w:jc w:val="left"/>
                          <w:rPr>
                            <w:rFonts w:ascii="宋体"/>
                            <w:highlight w:val="none"/>
                          </w:rPr>
                        </w:pPr>
                        <w:r>
                          <w:rPr>
                            <w:rFonts w:hint="eastAsia" w:ascii="宋体" w:hAnsi="宋体"/>
                            <w:kern w:val="0"/>
                            <w:highlight w:val="none"/>
                          </w:rPr>
                          <w:t>质疑事项</w:t>
                        </w:r>
                        <w:r>
                          <w:rPr>
                            <w:rFonts w:ascii="宋体" w:hAnsi="宋体"/>
                            <w:kern w:val="0"/>
                            <w:highlight w:val="none"/>
                          </w:rPr>
                          <w:t>2</w:t>
                        </w:r>
                      </w:p>
                      <w:p w14:paraId="0C12F9A5">
                        <w:pPr>
                          <w:adjustRightInd w:val="0"/>
                          <w:snapToGrid w:val="0"/>
                          <w:spacing w:beforeAutospacing="1" w:afterAutospacing="1"/>
                          <w:ind w:firstLine="420"/>
                          <w:jc w:val="left"/>
                          <w:rPr>
                            <w:rFonts w:ascii="宋体"/>
                            <w:highlight w:val="none"/>
                          </w:rPr>
                        </w:pPr>
                        <w:r>
                          <w:rPr>
                            <w:rFonts w:hint="eastAsia" w:ascii="宋体"/>
                            <w:kern w:val="0"/>
                            <w:highlight w:val="none"/>
                          </w:rPr>
                          <w:t>……</w:t>
                        </w:r>
                      </w:p>
                      <w:p w14:paraId="776CA63F">
                        <w:pPr>
                          <w:adjustRightInd w:val="0"/>
                          <w:snapToGrid w:val="0"/>
                          <w:spacing w:beforeAutospacing="1" w:afterAutospacing="1"/>
                          <w:ind w:firstLine="420"/>
                          <w:jc w:val="left"/>
                          <w:rPr>
                            <w:rFonts w:ascii="宋体"/>
                            <w:highlight w:val="none"/>
                          </w:rPr>
                        </w:pPr>
                        <w:r>
                          <w:rPr>
                            <w:rFonts w:hint="eastAsia" w:ascii="宋体" w:hAnsi="宋体"/>
                            <w:bCs/>
                            <w:kern w:val="0"/>
                            <w:highlight w:val="none"/>
                          </w:rPr>
                          <w:t>四、与质疑事项相关的质疑请求</w:t>
                        </w:r>
                      </w:p>
                      <w:p w14:paraId="05D18CC9">
                        <w:pPr>
                          <w:adjustRightInd w:val="0"/>
                          <w:snapToGrid w:val="0"/>
                          <w:spacing w:beforeAutospacing="1" w:afterAutospacing="1"/>
                          <w:ind w:firstLine="420"/>
                          <w:jc w:val="left"/>
                          <w:rPr>
                            <w:rFonts w:ascii="宋体"/>
                            <w:highlight w:val="none"/>
                          </w:rPr>
                        </w:pPr>
                        <w:r>
                          <w:rPr>
                            <w:rFonts w:hint="eastAsia" w:ascii="宋体" w:hAnsi="宋体"/>
                            <w:kern w:val="0"/>
                            <w:highlight w:val="none"/>
                          </w:rPr>
                          <w:t>请求：</w:t>
                        </w:r>
                      </w:p>
                      <w:p w14:paraId="1165F053">
                        <w:pPr>
                          <w:spacing w:beforeAutospacing="1" w:afterAutospacing="1"/>
                          <w:ind w:firstLine="420"/>
                          <w:jc w:val="left"/>
                          <w:rPr>
                            <w:rFonts w:ascii="宋体"/>
                            <w:highlight w:val="none"/>
                          </w:rPr>
                        </w:pPr>
                        <w:r>
                          <w:rPr>
                            <w:rFonts w:hint="eastAsia" w:ascii="宋体" w:hAnsi="宋体"/>
                            <w:kern w:val="0"/>
                            <w:highlight w:val="none"/>
                          </w:rPr>
                          <w:t>签字</w:t>
                        </w:r>
                        <w:r>
                          <w:rPr>
                            <w:rFonts w:hint="eastAsia" w:ascii="宋体" w:hAnsi="宋体"/>
                            <w:kern w:val="0"/>
                            <w:highlight w:val="none"/>
                            <w:lang w:eastAsia="zh-CN"/>
                          </w:rPr>
                          <w:t>（</w:t>
                        </w:r>
                        <w:r>
                          <w:rPr>
                            <w:rFonts w:hint="eastAsia" w:ascii="宋体" w:hAnsi="宋体"/>
                            <w:kern w:val="0"/>
                            <w:highlight w:val="none"/>
                          </w:rPr>
                          <w:t>签章</w:t>
                        </w:r>
                        <w:r>
                          <w:rPr>
                            <w:rFonts w:ascii="宋体" w:hAnsi="宋体"/>
                            <w:kern w:val="0"/>
                            <w:highlight w:val="none"/>
                          </w:rPr>
                          <w:t>)</w:t>
                        </w:r>
                        <w:r>
                          <w:rPr>
                            <w:rFonts w:hint="eastAsia" w:ascii="宋体" w:hAnsi="宋体"/>
                            <w:kern w:val="0"/>
                            <w:highlight w:val="none"/>
                          </w:rPr>
                          <w:t>：公章：</w:t>
                        </w:r>
                      </w:p>
                      <w:p w14:paraId="2D704C34">
                        <w:pPr>
                          <w:spacing w:beforeAutospacing="1" w:afterAutospacing="1"/>
                          <w:ind w:firstLine="420"/>
                          <w:jc w:val="left"/>
                          <w:rPr>
                            <w:rFonts w:ascii="宋体"/>
                            <w:highlight w:val="none"/>
                          </w:rPr>
                        </w:pPr>
                        <w:r>
                          <w:rPr>
                            <w:rFonts w:hint="eastAsia" w:ascii="宋体" w:hAnsi="宋体"/>
                            <w:kern w:val="0"/>
                            <w:highlight w:val="none"/>
                          </w:rPr>
                          <w:t>日期：</w:t>
                        </w:r>
                      </w:p>
                      <w:p w14:paraId="0A84FE9B">
                        <w:pPr>
                          <w:spacing w:beforeAutospacing="1" w:afterAutospacing="1"/>
                          <w:ind w:firstLine="422"/>
                          <w:jc w:val="left"/>
                          <w:rPr>
                            <w:rFonts w:ascii="宋体" w:hAnsi="宋体"/>
                            <w:b/>
                            <w:kern w:val="0"/>
                            <w:highlight w:val="none"/>
                          </w:rPr>
                        </w:pPr>
                      </w:p>
                      <w:p w14:paraId="1E16B927">
                        <w:pPr>
                          <w:spacing w:beforeAutospacing="1" w:afterAutospacing="1"/>
                          <w:ind w:firstLine="422"/>
                          <w:jc w:val="left"/>
                          <w:rPr>
                            <w:rFonts w:ascii="宋体"/>
                            <w:highlight w:val="none"/>
                          </w:rPr>
                        </w:pPr>
                        <w:r>
                          <w:rPr>
                            <w:rFonts w:hint="eastAsia" w:ascii="宋体" w:hAnsi="宋体"/>
                            <w:b/>
                            <w:kern w:val="0"/>
                            <w:highlight w:val="none"/>
                          </w:rPr>
                          <w:t>质疑函制作说明：</w:t>
                        </w:r>
                      </w:p>
                      <w:p w14:paraId="4839BDD1">
                        <w:pPr>
                          <w:spacing w:beforeAutospacing="1" w:afterAutospacing="1"/>
                          <w:ind w:firstLine="420"/>
                          <w:jc w:val="left"/>
                          <w:rPr>
                            <w:rFonts w:ascii="宋体"/>
                            <w:highlight w:val="none"/>
                          </w:rPr>
                        </w:pPr>
                        <w:r>
                          <w:rPr>
                            <w:rFonts w:ascii="宋体" w:hAnsi="宋体"/>
                            <w:kern w:val="0"/>
                            <w:highlight w:val="none"/>
                          </w:rPr>
                          <w:t>1.</w:t>
                        </w:r>
                        <w:r>
                          <w:rPr>
                            <w:rFonts w:hint="eastAsia" w:ascii="宋体" w:hAnsi="宋体"/>
                            <w:kern w:val="0"/>
                            <w:highlight w:val="none"/>
                          </w:rPr>
                          <w:t>投标人提出质疑时，应提交质疑函和必要的证明材料。</w:t>
                        </w:r>
                      </w:p>
                      <w:p w14:paraId="050E07F8">
                        <w:pPr>
                          <w:spacing w:beforeAutospacing="1" w:afterAutospacing="1"/>
                          <w:ind w:firstLine="420"/>
                          <w:jc w:val="left"/>
                          <w:rPr>
                            <w:rFonts w:ascii="宋体"/>
                            <w:highlight w:val="none"/>
                          </w:rPr>
                        </w:pPr>
                        <w:r>
                          <w:rPr>
                            <w:rFonts w:ascii="宋体" w:hAnsi="宋体"/>
                            <w:kern w:val="0"/>
                            <w:highlight w:val="none"/>
                          </w:rPr>
                          <w:t>2.</w:t>
                        </w:r>
                        <w:r>
                          <w:rPr>
                            <w:rFonts w:hint="eastAsia" w:ascii="宋体" w:hAnsi="宋体"/>
                            <w:kern w:val="0"/>
                            <w:highlight w:val="none"/>
                          </w:rPr>
                          <w:t>质疑投标人若委托代理人进行质疑的，质疑函应按要求列明</w:t>
                        </w:r>
                        <w:r>
                          <w:rPr>
                            <w:rFonts w:hint="eastAsia" w:ascii="宋体"/>
                            <w:kern w:val="0"/>
                            <w:highlight w:val="none"/>
                          </w:rPr>
                          <w:t>“</w:t>
                        </w:r>
                        <w:r>
                          <w:rPr>
                            <w:rFonts w:hint="eastAsia" w:ascii="宋体" w:hAnsi="宋体"/>
                            <w:kern w:val="0"/>
                            <w:highlight w:val="none"/>
                          </w:rPr>
                          <w:t>授权代表</w:t>
                        </w:r>
                        <w:r>
                          <w:rPr>
                            <w:rFonts w:hint="eastAsia" w:ascii="宋体"/>
                            <w:kern w:val="0"/>
                            <w:highlight w:val="none"/>
                          </w:rPr>
                          <w:t>”</w:t>
                        </w:r>
                        <w:r>
                          <w:rPr>
                            <w:rFonts w:hint="eastAsia" w:ascii="宋体" w:hAnsi="宋体"/>
                            <w:kern w:val="0"/>
                            <w:highlight w:val="none"/>
                          </w:rPr>
                          <w:t>的有关内容，并在附件中提交由质疑投标人签署的授权委托书。授权委托书应载明代理人的姓名或者名称、代理事项、具体权限、期限和相关事项。</w:t>
                        </w:r>
                      </w:p>
                      <w:p w14:paraId="0E851A87">
                        <w:pPr>
                          <w:spacing w:beforeAutospacing="1" w:afterAutospacing="1"/>
                          <w:ind w:firstLine="420"/>
                          <w:jc w:val="left"/>
                          <w:rPr>
                            <w:rFonts w:ascii="宋体"/>
                            <w:highlight w:val="none"/>
                          </w:rPr>
                        </w:pPr>
                        <w:r>
                          <w:rPr>
                            <w:rFonts w:ascii="宋体" w:hAnsi="宋体"/>
                            <w:kern w:val="0"/>
                            <w:highlight w:val="none"/>
                          </w:rPr>
                          <w:t>3.</w:t>
                        </w:r>
                        <w:r>
                          <w:rPr>
                            <w:rFonts w:hint="eastAsia" w:ascii="宋体" w:hAnsi="宋体"/>
                            <w:kern w:val="0"/>
                            <w:highlight w:val="none"/>
                          </w:rPr>
                          <w:t>质疑投标人若对项目的某一分包进行质疑，质疑函中应列明具体分包号。</w:t>
                        </w:r>
                      </w:p>
                      <w:p w14:paraId="5958F855">
                        <w:pPr>
                          <w:spacing w:beforeAutospacing="1" w:afterAutospacing="1"/>
                          <w:ind w:firstLine="420"/>
                          <w:jc w:val="left"/>
                          <w:rPr>
                            <w:rFonts w:ascii="宋体"/>
                            <w:highlight w:val="none"/>
                          </w:rPr>
                        </w:pPr>
                        <w:r>
                          <w:rPr>
                            <w:rFonts w:ascii="宋体" w:hAnsi="宋体"/>
                            <w:kern w:val="0"/>
                            <w:highlight w:val="none"/>
                          </w:rPr>
                          <w:t>4.</w:t>
                        </w:r>
                        <w:r>
                          <w:rPr>
                            <w:rFonts w:hint="eastAsia" w:ascii="宋体" w:hAnsi="宋体"/>
                            <w:kern w:val="0"/>
                            <w:highlight w:val="none"/>
                          </w:rPr>
                          <w:t>质疑函的质疑事项应具体、明确，并有必要的事实依据和法律依据。</w:t>
                        </w:r>
                      </w:p>
                      <w:p w14:paraId="60E6291F">
                        <w:pPr>
                          <w:spacing w:beforeAutospacing="1" w:afterAutospacing="1"/>
                          <w:ind w:firstLine="420"/>
                          <w:jc w:val="left"/>
                          <w:rPr>
                            <w:rFonts w:ascii="宋体"/>
                            <w:highlight w:val="none"/>
                          </w:rPr>
                        </w:pPr>
                        <w:r>
                          <w:rPr>
                            <w:rFonts w:ascii="宋体" w:hAnsi="宋体"/>
                            <w:kern w:val="0"/>
                            <w:highlight w:val="none"/>
                          </w:rPr>
                          <w:t>5.</w:t>
                        </w:r>
                        <w:r>
                          <w:rPr>
                            <w:rFonts w:hint="eastAsia" w:ascii="宋体" w:hAnsi="宋体"/>
                            <w:kern w:val="0"/>
                            <w:highlight w:val="none"/>
                          </w:rPr>
                          <w:t>质疑函的质疑请求应与质疑事项相关。</w:t>
                        </w:r>
                      </w:p>
                      <w:p w14:paraId="07D872F8">
                        <w:pPr>
                          <w:spacing w:before="100" w:beforeAutospacing="1" w:after="100" w:afterAutospacing="1"/>
                          <w:ind w:firstLine="420"/>
                          <w:jc w:val="left"/>
                          <w:rPr>
                            <w:rFonts w:ascii="宋体"/>
                            <w:highlight w:val="none"/>
                          </w:rPr>
                        </w:pPr>
                        <w:r>
                          <w:rPr>
                            <w:rFonts w:ascii="宋体" w:hAnsi="宋体"/>
                            <w:kern w:val="0"/>
                            <w:highlight w:val="none"/>
                          </w:rPr>
                          <w:t>6.</w:t>
                        </w:r>
                        <w:r>
                          <w:rPr>
                            <w:rFonts w:hint="eastAsia" w:ascii="宋体" w:hAnsi="宋体"/>
                            <w:kern w:val="0"/>
                            <w:highlight w:val="none"/>
                          </w:rPr>
                          <w:t>质疑投标人为自然人的，质疑函应由本人签字；质疑投标人为法人或者其他组织的，质疑函应由法定代表人、主要负责人，或者其授权代表签字或者盖章，并加盖公章。</w:t>
                        </w:r>
                      </w:p>
                    </w:tc>
                  </w:tr>
                </w:tbl>
                <w:p w14:paraId="424D9D1A">
                  <w:pPr>
                    <w:ind w:firstLine="360"/>
                    <w:jc w:val="center"/>
                    <w:rPr>
                      <w:rFonts w:ascii="宋体"/>
                      <w:sz w:val="18"/>
                      <w:szCs w:val="18"/>
                      <w:highlight w:val="none"/>
                    </w:rPr>
                  </w:pPr>
                </w:p>
              </w:tc>
            </w:tr>
          </w:tbl>
          <w:p w14:paraId="63FCD369">
            <w:pPr>
              <w:spacing w:line="432" w:lineRule="auto"/>
              <w:ind w:firstLine="360"/>
              <w:jc w:val="center"/>
              <w:rPr>
                <w:rFonts w:ascii="宋体"/>
                <w:sz w:val="18"/>
                <w:szCs w:val="18"/>
                <w:highlight w:val="none"/>
              </w:rPr>
            </w:pPr>
          </w:p>
        </w:tc>
      </w:tr>
    </w:tbl>
    <w:p w14:paraId="629FB401">
      <w:pPr>
        <w:pStyle w:val="12"/>
        <w:rPr>
          <w:rFonts w:ascii="Times New Roman" w:hAnsi="Times New Roman" w:cs="Times New Roman"/>
          <w:color w:val="000000" w:themeColor="text1"/>
          <w:sz w:val="21"/>
          <w:szCs w:val="21"/>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D8C8">
    <w:pPr>
      <w:pStyle w:val="20"/>
      <w:jc w:val="center"/>
    </w:pPr>
    <w:r>
      <w:pict>
        <v:shape id="文本框 1111" o:spid="_x0000_s307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UFSTzwEAAKsDAAAOAAAAAAAAAAEAIAAAAB4BAABkcnMv&#10;ZTJvRG9jLnhtbFBLBQYAAAAABgAGAFkBAABfBQAAAAA=&#10;">
          <v:path/>
          <v:fill on="f" focussize="0,0"/>
          <v:stroke on="f" joinstyle="miter"/>
          <v:imagedata o:title=""/>
          <o:lock v:ext="edit"/>
          <v:textbox inset="0mm,0mm,0mm,0mm" style="mso-fit-shape-to-text:t;">
            <w:txbxContent>
              <w:p w14:paraId="20A1D77F">
                <w:pPr>
                  <w:pStyle w:val="20"/>
                </w:pPr>
                <w:r>
                  <w:fldChar w:fldCharType="begin"/>
                </w:r>
                <w:r>
                  <w:instrText xml:space="preserve"> PAGE  \* MERGEFORMAT </w:instrText>
                </w:r>
                <w:r>
                  <w:fldChar w:fldCharType="separate"/>
                </w:r>
                <w:r>
                  <w:t>26</w:t>
                </w:r>
                <w:r>
                  <w:fldChar w:fldCharType="end"/>
                </w:r>
              </w:p>
            </w:txbxContent>
          </v:textbox>
        </v:shape>
      </w:pict>
    </w:r>
  </w:p>
  <w:p w14:paraId="5A606E15">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36B0C">
    <w:pPr>
      <w:pStyle w:val="20"/>
    </w:pPr>
    <w:r>
      <w:pict>
        <v:shape id="文本框 1110"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1YPZuzwEAAKsDAAAOAAAAAAAAAAEAIAAAAB4BAABkcnMv&#10;ZTJvRG9jLnhtbFBLBQYAAAAABgAGAFkBAABfBQAAAAA=&#10;">
          <v:path/>
          <v:fill on="f" focussize="0,0"/>
          <v:stroke on="f" joinstyle="miter"/>
          <v:imagedata o:title=""/>
          <o:lock v:ext="edit"/>
          <v:textbox inset="0mm,0mm,0mm,0mm" style="mso-fit-shape-to-text:t;">
            <w:txbxContent>
              <w:p w14:paraId="346DD7AD">
                <w:pPr>
                  <w:pStyle w:val="20"/>
                </w:pPr>
                <w:r>
                  <w:fldChar w:fldCharType="begin"/>
                </w:r>
                <w:r>
                  <w:instrText xml:space="preserve"> PAGE  \* MERGEFORMAT </w:instrText>
                </w:r>
                <w:r>
                  <w:fldChar w:fldCharType="separate"/>
                </w:r>
                <w:r>
                  <w:t>2</w:t>
                </w:r>
                <w:r>
                  <w:fldChar w:fldCharType="end"/>
                </w:r>
              </w:p>
            </w:txbxContent>
          </v:textbox>
        </v:shape>
      </w:pict>
    </w:r>
    <w:r>
      <w:pict>
        <v:shape id="文本框 1096"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EId3mzwEAAKsDAAAOAAAAAAAAAAEAIAAAAB4BAABkcnMv&#10;ZTJvRG9jLnhtbFBLBQYAAAAABgAGAFkBAABfBQAAAAA=&#10;">
          <v:path/>
          <v:fill on="f" focussize="0,0"/>
          <v:stroke on="f" joinstyle="miter"/>
          <v:imagedata o:title=""/>
          <o:lock v:ext="edit"/>
          <v:textbox inset="0mm,0mm,0mm,0mm" style="mso-fit-shape-to-text:t;">
            <w:txbxContent>
              <w:p w14:paraId="1196DC62">
                <w:pPr>
                  <w:pStyle w:val="20"/>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0D95">
    <w:pPr>
      <w:pStyle w:val="20"/>
      <w:rPr>
        <w:rFonts w:cs="Times New Roman"/>
      </w:rPr>
    </w:pPr>
    <w:r>
      <w:pict>
        <v:shape id="文本框 4" o:spid="_x0000_s3080" o:spt="202" type="#_x0000_t202" style="position:absolute;left:0pt;margin-top:0pt;height:12.2pt;width:10.1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988D155">
                <w:pPr>
                  <w:pStyle w:val="20"/>
                  <w:rPr>
                    <w:rFonts w:cs="Times New Roman"/>
                  </w:rPr>
                </w:pPr>
                <w:r>
                  <w:fldChar w:fldCharType="begin"/>
                </w:r>
                <w:r>
                  <w:instrText xml:space="preserve"> PAGE  \* MERGEFORMAT </w:instrText>
                </w:r>
                <w:r>
                  <w:fldChar w:fldCharType="separate"/>
                </w:r>
                <w:r>
                  <w:t>29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02A9">
    <w:pPr>
      <w:pStyle w:val="20"/>
      <w:rPr>
        <w:rFonts w:cs="Times New Roman"/>
      </w:rP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906C70D">
                <w:pPr>
                  <w:pStyle w:val="20"/>
                  <w:rPr>
                    <w:rFonts w:cs="Times New Roman"/>
                  </w:rPr>
                </w:pPr>
                <w:r>
                  <w:fldChar w:fldCharType="begin"/>
                </w:r>
                <w:r>
                  <w:instrText xml:space="preserve"> PAGE  \* MERGEFORMAT </w:instrText>
                </w:r>
                <w:r>
                  <w:fldChar w:fldCharType="separate"/>
                </w:r>
                <w:r>
                  <w:t>44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6C4B6">
    <w:pPr>
      <w:pStyle w:val="21"/>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48BC4">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5F7FF"/>
    <w:multiLevelType w:val="singleLevel"/>
    <w:tmpl w:val="8705F7FF"/>
    <w:lvl w:ilvl="0" w:tentative="0">
      <w:start w:val="1"/>
      <w:numFmt w:val="chineseCounting"/>
      <w:suff w:val="nothing"/>
      <w:lvlText w:val="%1、"/>
      <w:lvlJc w:val="left"/>
      <w:rPr>
        <w:rFonts w:hint="eastAsia"/>
      </w:rPr>
    </w:lvl>
  </w:abstractNum>
  <w:abstractNum w:abstractNumId="1">
    <w:nsid w:val="A74323CB"/>
    <w:multiLevelType w:val="singleLevel"/>
    <w:tmpl w:val="A74323CB"/>
    <w:lvl w:ilvl="0" w:tentative="0">
      <w:start w:val="6"/>
      <w:numFmt w:val="chineseCounting"/>
      <w:suff w:val="nothing"/>
      <w:lvlText w:val="第%1章、"/>
      <w:lvlJc w:val="left"/>
      <w:rPr>
        <w:rFonts w:hint="eastAsia"/>
      </w:rPr>
    </w:lvl>
  </w:abstractNum>
  <w:abstractNum w:abstractNumId="2">
    <w:nsid w:val="BBE99D0A"/>
    <w:multiLevelType w:val="singleLevel"/>
    <w:tmpl w:val="BBE99D0A"/>
    <w:lvl w:ilvl="0" w:tentative="0">
      <w:start w:val="1"/>
      <w:numFmt w:val="decimal"/>
      <w:suff w:val="nothing"/>
      <w:lvlText w:val="%1、"/>
      <w:lvlJc w:val="left"/>
    </w:lvl>
  </w:abstractNum>
  <w:abstractNum w:abstractNumId="3">
    <w:nsid w:val="D9824791"/>
    <w:multiLevelType w:val="singleLevel"/>
    <w:tmpl w:val="D9824791"/>
    <w:lvl w:ilvl="0" w:tentative="0">
      <w:start w:val="1"/>
      <w:numFmt w:val="decimal"/>
      <w:suff w:val="nothing"/>
      <w:lvlText w:val="（%1）"/>
      <w:lvlJc w:val="left"/>
    </w:lvl>
  </w:abstractNum>
  <w:abstractNum w:abstractNumId="4">
    <w:nsid w:val="0000000D"/>
    <w:multiLevelType w:val="multilevel"/>
    <w:tmpl w:val="0000000D"/>
    <w:lvl w:ilvl="0" w:tentative="0">
      <w:start w:val="1"/>
      <w:numFmt w:val="chineseCountingThousand"/>
      <w:suff w:val="space"/>
      <w:lvlText w:val="第%1章"/>
      <w:lvlJc w:val="left"/>
      <w:pPr>
        <w:ind w:left="224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82"/>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5">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12"/>
    <w:multiLevelType w:val="singleLevel"/>
    <w:tmpl w:val="00000012"/>
    <w:lvl w:ilvl="0" w:tentative="0">
      <w:start w:val="1"/>
      <w:numFmt w:val="decimal"/>
      <w:pStyle w:val="8"/>
      <w:lvlText w:val="%1."/>
      <w:lvlJc w:val="left"/>
      <w:pPr>
        <w:tabs>
          <w:tab w:val="left" w:pos="360"/>
        </w:tabs>
        <w:ind w:left="360" w:hanging="360"/>
      </w:pPr>
    </w:lvl>
  </w:abstractNum>
  <w:abstractNum w:abstractNumId="7">
    <w:nsid w:val="05AA85F5"/>
    <w:multiLevelType w:val="singleLevel"/>
    <w:tmpl w:val="05AA85F5"/>
    <w:lvl w:ilvl="0" w:tentative="0">
      <w:start w:val="1"/>
      <w:numFmt w:val="decimal"/>
      <w:suff w:val="nothing"/>
      <w:lvlText w:val="%1、"/>
      <w:lvlJc w:val="left"/>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0C8164EB"/>
    <w:multiLevelType w:val="multilevel"/>
    <w:tmpl w:val="0C8164EB"/>
    <w:lvl w:ilvl="0" w:tentative="0">
      <w:start w:val="4"/>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2C8B1D15"/>
    <w:multiLevelType w:val="singleLevel"/>
    <w:tmpl w:val="2C8B1D15"/>
    <w:lvl w:ilvl="0" w:tentative="0">
      <w:start w:val="1"/>
      <w:numFmt w:val="decimal"/>
      <w:suff w:val="nothing"/>
      <w:lvlText w:val="（%1）"/>
      <w:lvlJc w:val="left"/>
    </w:lvl>
  </w:abstractNum>
  <w:abstractNum w:abstractNumId="12">
    <w:nsid w:val="2F3820AD"/>
    <w:multiLevelType w:val="multilevel"/>
    <w:tmpl w:val="2F3820AD"/>
    <w:lvl w:ilvl="0" w:tentative="0">
      <w:start w:val="1"/>
      <w:numFmt w:val="chineseCountingThousand"/>
      <w:pStyle w:val="95"/>
      <w:suff w:val="space"/>
      <w:lvlText w:val="第%1章"/>
      <w:lvlJc w:val="left"/>
      <w:pPr>
        <w:ind w:left="3118" w:hanging="425"/>
      </w:pPr>
      <w:rPr>
        <w:rFonts w:hint="default" w:ascii="Times New Roman" w:hAnsi="Times New Roman" w:eastAsia="宋体"/>
        <w:b/>
        <w:bCs/>
        <w:i w:val="0"/>
        <w:iCs w:val="0"/>
        <w:sz w:val="36"/>
        <w:szCs w:val="36"/>
      </w:rPr>
    </w:lvl>
    <w:lvl w:ilvl="1" w:tentative="0">
      <w:start w:val="1"/>
      <w:numFmt w:val="decimal"/>
      <w:isLgl/>
      <w:suff w:val="space"/>
      <w:lvlText w:val="%1.%2"/>
      <w:lvlJc w:val="left"/>
      <w:pPr>
        <w:ind w:left="-1418" w:hanging="992"/>
      </w:pPr>
      <w:rPr>
        <w:rFonts w:hint="default" w:ascii="Times New Roman" w:hAnsi="Times New Roman" w:eastAsia="宋体"/>
        <w:b/>
        <w:bCs/>
        <w:i w:val="0"/>
        <w:iCs w:val="0"/>
        <w:sz w:val="32"/>
        <w:szCs w:val="32"/>
      </w:rPr>
    </w:lvl>
    <w:lvl w:ilvl="2" w:tentative="0">
      <w:start w:val="1"/>
      <w:numFmt w:val="decimal"/>
      <w:isLgl/>
      <w:suff w:val="space"/>
      <w:lvlText w:val="%1.%2.%3"/>
      <w:lvlJc w:val="left"/>
      <w:pPr>
        <w:ind w:left="-1275" w:hanging="1135"/>
      </w:pPr>
      <w:rPr>
        <w:b/>
        <w:bCs/>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bCs/>
        <w:i w:val="0"/>
        <w:iCs w:val="0"/>
        <w:sz w:val="21"/>
        <w:szCs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3">
    <w:nsid w:val="4DD4552D"/>
    <w:multiLevelType w:val="singleLevel"/>
    <w:tmpl w:val="4DD4552D"/>
    <w:lvl w:ilvl="0" w:tentative="0">
      <w:start w:val="1"/>
      <w:numFmt w:val="decimal"/>
      <w:lvlText w:val="%1."/>
      <w:lvlJc w:val="left"/>
      <w:pPr>
        <w:tabs>
          <w:tab w:val="left" w:pos="312"/>
        </w:tabs>
      </w:pPr>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62650AD1"/>
    <w:multiLevelType w:val="singleLevel"/>
    <w:tmpl w:val="62650AD1"/>
    <w:lvl w:ilvl="0" w:tentative="0">
      <w:start w:val="5"/>
      <w:numFmt w:val="chineseCounting"/>
      <w:suff w:val="nothing"/>
      <w:lvlText w:val="%1、"/>
      <w:lvlJc w:val="left"/>
    </w:lvl>
  </w:abstractNum>
  <w:abstractNum w:abstractNumId="17">
    <w:nsid w:val="7C246926"/>
    <w:multiLevelType w:val="singleLevel"/>
    <w:tmpl w:val="7C246926"/>
    <w:lvl w:ilvl="0" w:tentative="0">
      <w:start w:val="2"/>
      <w:numFmt w:val="decimal"/>
      <w:suff w:val="nothing"/>
      <w:lvlText w:val="%1、"/>
      <w:lvlJc w:val="left"/>
    </w:lvl>
  </w:abstractNum>
  <w:num w:numId="1">
    <w:abstractNumId w:val="6"/>
  </w:num>
  <w:num w:numId="2">
    <w:abstractNumId w:val="4"/>
  </w:num>
  <w:num w:numId="3">
    <w:abstractNumId w:val="12"/>
  </w:num>
  <w:num w:numId="4">
    <w:abstractNumId w:val="16"/>
  </w:num>
  <w:num w:numId="5">
    <w:abstractNumId w:val="0"/>
  </w:num>
  <w:num w:numId="6">
    <w:abstractNumId w:val="7"/>
  </w:num>
  <w:num w:numId="7">
    <w:abstractNumId w:val="5"/>
  </w:num>
  <w:num w:numId="8">
    <w:abstractNumId w:val="2"/>
  </w:num>
  <w:num w:numId="9">
    <w:abstractNumId w:val="10"/>
  </w:num>
  <w:num w:numId="10">
    <w:abstractNumId w:val="13"/>
  </w:num>
  <w:num w:numId="11">
    <w:abstractNumId w:val="8"/>
  </w:num>
  <w:num w:numId="12">
    <w:abstractNumId w:val="9"/>
  </w:num>
  <w:num w:numId="13">
    <w:abstractNumId w:val="3"/>
  </w:num>
  <w:num w:numId="14">
    <w:abstractNumId w:val="11"/>
  </w:num>
  <w:num w:numId="15">
    <w:abstractNumId w:val="1"/>
  </w:num>
  <w:num w:numId="16">
    <w:abstractNumId w:val="1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documentProtection w:enforcement="0"/>
  <w:defaultTabStop w:val="420"/>
  <w:doNotHyphenateCaps/>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2NhNGRiMDI1MzU0YjUxZjQ4ZGI3ZWZkOTdjMGI5YzAifQ=="/>
  </w:docVars>
  <w:rsids>
    <w:rsidRoot w:val="00AB5FE3"/>
    <w:rsid w:val="00080B07"/>
    <w:rsid w:val="00085E3F"/>
    <w:rsid w:val="000A6518"/>
    <w:rsid w:val="000C77EB"/>
    <w:rsid w:val="000E2FB6"/>
    <w:rsid w:val="000F6B12"/>
    <w:rsid w:val="00114D92"/>
    <w:rsid w:val="00125217"/>
    <w:rsid w:val="0013112C"/>
    <w:rsid w:val="00137FEA"/>
    <w:rsid w:val="00182178"/>
    <w:rsid w:val="001834CA"/>
    <w:rsid w:val="00186BF0"/>
    <w:rsid w:val="001C41A0"/>
    <w:rsid w:val="002212E3"/>
    <w:rsid w:val="002269DF"/>
    <w:rsid w:val="00246239"/>
    <w:rsid w:val="00276989"/>
    <w:rsid w:val="002839F2"/>
    <w:rsid w:val="002933E3"/>
    <w:rsid w:val="002A4192"/>
    <w:rsid w:val="002A4EC2"/>
    <w:rsid w:val="002C10E2"/>
    <w:rsid w:val="002E5228"/>
    <w:rsid w:val="002F1F12"/>
    <w:rsid w:val="00345A33"/>
    <w:rsid w:val="0037093F"/>
    <w:rsid w:val="00396788"/>
    <w:rsid w:val="003A2AE4"/>
    <w:rsid w:val="003D7403"/>
    <w:rsid w:val="004125C2"/>
    <w:rsid w:val="00422953"/>
    <w:rsid w:val="004B1D2F"/>
    <w:rsid w:val="004B636D"/>
    <w:rsid w:val="004C011E"/>
    <w:rsid w:val="004F705B"/>
    <w:rsid w:val="00500CB3"/>
    <w:rsid w:val="00502855"/>
    <w:rsid w:val="0050638A"/>
    <w:rsid w:val="00525867"/>
    <w:rsid w:val="005277DD"/>
    <w:rsid w:val="005529AF"/>
    <w:rsid w:val="005571CE"/>
    <w:rsid w:val="005B0AC2"/>
    <w:rsid w:val="005C2B58"/>
    <w:rsid w:val="005C368A"/>
    <w:rsid w:val="005D18B2"/>
    <w:rsid w:val="005D2854"/>
    <w:rsid w:val="005D6EB6"/>
    <w:rsid w:val="005E293A"/>
    <w:rsid w:val="005F4E0A"/>
    <w:rsid w:val="006140F3"/>
    <w:rsid w:val="00627BE8"/>
    <w:rsid w:val="0065712C"/>
    <w:rsid w:val="00671B9C"/>
    <w:rsid w:val="00680296"/>
    <w:rsid w:val="00695EAD"/>
    <w:rsid w:val="00696B6B"/>
    <w:rsid w:val="006A05E6"/>
    <w:rsid w:val="006B37F8"/>
    <w:rsid w:val="006D2DE6"/>
    <w:rsid w:val="006F0FED"/>
    <w:rsid w:val="006F1F2B"/>
    <w:rsid w:val="007123E2"/>
    <w:rsid w:val="00757577"/>
    <w:rsid w:val="00767C75"/>
    <w:rsid w:val="007E4CA5"/>
    <w:rsid w:val="00816A89"/>
    <w:rsid w:val="008404D4"/>
    <w:rsid w:val="0084405B"/>
    <w:rsid w:val="0085052E"/>
    <w:rsid w:val="00870FA5"/>
    <w:rsid w:val="0087765A"/>
    <w:rsid w:val="0089566F"/>
    <w:rsid w:val="008F1B3A"/>
    <w:rsid w:val="009166B9"/>
    <w:rsid w:val="00935718"/>
    <w:rsid w:val="00935D0C"/>
    <w:rsid w:val="0097186B"/>
    <w:rsid w:val="009E2AC8"/>
    <w:rsid w:val="00A72290"/>
    <w:rsid w:val="00AB5FE3"/>
    <w:rsid w:val="00AD5831"/>
    <w:rsid w:val="00AF113E"/>
    <w:rsid w:val="00B15E76"/>
    <w:rsid w:val="00B217EC"/>
    <w:rsid w:val="00B22F3B"/>
    <w:rsid w:val="00B27298"/>
    <w:rsid w:val="00B4695C"/>
    <w:rsid w:val="00B52256"/>
    <w:rsid w:val="00B76409"/>
    <w:rsid w:val="00BB5AA2"/>
    <w:rsid w:val="00BC0FED"/>
    <w:rsid w:val="00BE625F"/>
    <w:rsid w:val="00C21FA8"/>
    <w:rsid w:val="00C6409D"/>
    <w:rsid w:val="00C80A07"/>
    <w:rsid w:val="00CA788B"/>
    <w:rsid w:val="00CB57EA"/>
    <w:rsid w:val="00CE1B67"/>
    <w:rsid w:val="00CF186F"/>
    <w:rsid w:val="00D07048"/>
    <w:rsid w:val="00D154C0"/>
    <w:rsid w:val="00D32A95"/>
    <w:rsid w:val="00D70BBB"/>
    <w:rsid w:val="00DA6BD7"/>
    <w:rsid w:val="00DC19CB"/>
    <w:rsid w:val="00DC5A60"/>
    <w:rsid w:val="00DC5E6F"/>
    <w:rsid w:val="00DD4137"/>
    <w:rsid w:val="00E04D10"/>
    <w:rsid w:val="00E445B5"/>
    <w:rsid w:val="00E45870"/>
    <w:rsid w:val="00E5310F"/>
    <w:rsid w:val="00E6634A"/>
    <w:rsid w:val="00E93DE2"/>
    <w:rsid w:val="00EC49F7"/>
    <w:rsid w:val="00F04776"/>
    <w:rsid w:val="00F05877"/>
    <w:rsid w:val="00F35149"/>
    <w:rsid w:val="00F551AB"/>
    <w:rsid w:val="00F6462F"/>
    <w:rsid w:val="00FB2387"/>
    <w:rsid w:val="00FD444D"/>
    <w:rsid w:val="01017684"/>
    <w:rsid w:val="01057174"/>
    <w:rsid w:val="01097B50"/>
    <w:rsid w:val="012A4559"/>
    <w:rsid w:val="01346977"/>
    <w:rsid w:val="01433EA5"/>
    <w:rsid w:val="0147778C"/>
    <w:rsid w:val="015B1203"/>
    <w:rsid w:val="015E5112"/>
    <w:rsid w:val="017C0DF6"/>
    <w:rsid w:val="01875E80"/>
    <w:rsid w:val="01894F26"/>
    <w:rsid w:val="01B85F94"/>
    <w:rsid w:val="01C96157"/>
    <w:rsid w:val="01CD25C1"/>
    <w:rsid w:val="01CF1291"/>
    <w:rsid w:val="01D56D53"/>
    <w:rsid w:val="01E66FA5"/>
    <w:rsid w:val="02294804"/>
    <w:rsid w:val="02353A89"/>
    <w:rsid w:val="024E3222"/>
    <w:rsid w:val="024F520B"/>
    <w:rsid w:val="026E0D49"/>
    <w:rsid w:val="02713A03"/>
    <w:rsid w:val="02832E35"/>
    <w:rsid w:val="029C58B6"/>
    <w:rsid w:val="029D45D5"/>
    <w:rsid w:val="02A944BD"/>
    <w:rsid w:val="02AA61A0"/>
    <w:rsid w:val="02AD1871"/>
    <w:rsid w:val="02B0295F"/>
    <w:rsid w:val="02B06584"/>
    <w:rsid w:val="02DE7C7D"/>
    <w:rsid w:val="02DF1BCA"/>
    <w:rsid w:val="02E132C9"/>
    <w:rsid w:val="02E83A34"/>
    <w:rsid w:val="02E84657"/>
    <w:rsid w:val="02FA25DD"/>
    <w:rsid w:val="030516AD"/>
    <w:rsid w:val="03083A8B"/>
    <w:rsid w:val="030B47EA"/>
    <w:rsid w:val="03484815"/>
    <w:rsid w:val="03625911"/>
    <w:rsid w:val="036956D0"/>
    <w:rsid w:val="036B5288"/>
    <w:rsid w:val="037B2E73"/>
    <w:rsid w:val="037D1409"/>
    <w:rsid w:val="03857FB0"/>
    <w:rsid w:val="03940498"/>
    <w:rsid w:val="039E11BA"/>
    <w:rsid w:val="03B91543"/>
    <w:rsid w:val="03C113D7"/>
    <w:rsid w:val="03D42E2E"/>
    <w:rsid w:val="03D56637"/>
    <w:rsid w:val="03E06642"/>
    <w:rsid w:val="04071455"/>
    <w:rsid w:val="040A2CF3"/>
    <w:rsid w:val="040F2072"/>
    <w:rsid w:val="0422003D"/>
    <w:rsid w:val="04274596"/>
    <w:rsid w:val="0429177F"/>
    <w:rsid w:val="043833BC"/>
    <w:rsid w:val="04514153"/>
    <w:rsid w:val="04620439"/>
    <w:rsid w:val="046B3792"/>
    <w:rsid w:val="047E71AE"/>
    <w:rsid w:val="048110D0"/>
    <w:rsid w:val="048C54B6"/>
    <w:rsid w:val="049802FF"/>
    <w:rsid w:val="049C7DEF"/>
    <w:rsid w:val="049F7F45"/>
    <w:rsid w:val="04C97E11"/>
    <w:rsid w:val="04D1736D"/>
    <w:rsid w:val="04DA1079"/>
    <w:rsid w:val="04DF07ED"/>
    <w:rsid w:val="04DF5F2E"/>
    <w:rsid w:val="04F25C61"/>
    <w:rsid w:val="05025778"/>
    <w:rsid w:val="050B0AD1"/>
    <w:rsid w:val="05171224"/>
    <w:rsid w:val="051A0D14"/>
    <w:rsid w:val="05243941"/>
    <w:rsid w:val="052D23F2"/>
    <w:rsid w:val="05340EA7"/>
    <w:rsid w:val="053718C6"/>
    <w:rsid w:val="056819F2"/>
    <w:rsid w:val="056821C5"/>
    <w:rsid w:val="056A57F8"/>
    <w:rsid w:val="0574160C"/>
    <w:rsid w:val="05812800"/>
    <w:rsid w:val="05816FE5"/>
    <w:rsid w:val="05942874"/>
    <w:rsid w:val="05A351AD"/>
    <w:rsid w:val="05BB42A5"/>
    <w:rsid w:val="05CC64B2"/>
    <w:rsid w:val="05DA5047"/>
    <w:rsid w:val="05F443AB"/>
    <w:rsid w:val="06060C46"/>
    <w:rsid w:val="060A6FDB"/>
    <w:rsid w:val="06103E2E"/>
    <w:rsid w:val="06116586"/>
    <w:rsid w:val="06236C32"/>
    <w:rsid w:val="06395C70"/>
    <w:rsid w:val="06422A77"/>
    <w:rsid w:val="064249C6"/>
    <w:rsid w:val="06544AEA"/>
    <w:rsid w:val="06987B48"/>
    <w:rsid w:val="069C78C3"/>
    <w:rsid w:val="06A651EC"/>
    <w:rsid w:val="06A967F3"/>
    <w:rsid w:val="06AF79E8"/>
    <w:rsid w:val="06D16B2D"/>
    <w:rsid w:val="06D4354A"/>
    <w:rsid w:val="06E23B26"/>
    <w:rsid w:val="06F04422"/>
    <w:rsid w:val="06F74968"/>
    <w:rsid w:val="071D2DDA"/>
    <w:rsid w:val="07277465"/>
    <w:rsid w:val="072A6D53"/>
    <w:rsid w:val="073F2CB4"/>
    <w:rsid w:val="07464042"/>
    <w:rsid w:val="07493A01"/>
    <w:rsid w:val="075524D7"/>
    <w:rsid w:val="075A4F86"/>
    <w:rsid w:val="075B5D40"/>
    <w:rsid w:val="075D0324"/>
    <w:rsid w:val="07794699"/>
    <w:rsid w:val="0781507A"/>
    <w:rsid w:val="07857B54"/>
    <w:rsid w:val="07AB7467"/>
    <w:rsid w:val="07B026C9"/>
    <w:rsid w:val="07B05CEC"/>
    <w:rsid w:val="07B70A9C"/>
    <w:rsid w:val="07C252B9"/>
    <w:rsid w:val="07E67E2B"/>
    <w:rsid w:val="08053EFD"/>
    <w:rsid w:val="082276C9"/>
    <w:rsid w:val="08307282"/>
    <w:rsid w:val="08400BC7"/>
    <w:rsid w:val="08526B08"/>
    <w:rsid w:val="086C7918"/>
    <w:rsid w:val="08716E9D"/>
    <w:rsid w:val="0880311A"/>
    <w:rsid w:val="088F0D5E"/>
    <w:rsid w:val="089808CE"/>
    <w:rsid w:val="08A402AB"/>
    <w:rsid w:val="08B75C21"/>
    <w:rsid w:val="08BB636A"/>
    <w:rsid w:val="08BE7FAE"/>
    <w:rsid w:val="08C6543B"/>
    <w:rsid w:val="08DD77CD"/>
    <w:rsid w:val="08EE6740"/>
    <w:rsid w:val="08FB569F"/>
    <w:rsid w:val="090D306A"/>
    <w:rsid w:val="09102A46"/>
    <w:rsid w:val="092A4E1A"/>
    <w:rsid w:val="093323A4"/>
    <w:rsid w:val="093C394F"/>
    <w:rsid w:val="094A2521"/>
    <w:rsid w:val="09522F3E"/>
    <w:rsid w:val="09594501"/>
    <w:rsid w:val="0966277A"/>
    <w:rsid w:val="096919AA"/>
    <w:rsid w:val="096A2656"/>
    <w:rsid w:val="09756E61"/>
    <w:rsid w:val="097C1885"/>
    <w:rsid w:val="097F55EA"/>
    <w:rsid w:val="09905A49"/>
    <w:rsid w:val="09B87FD0"/>
    <w:rsid w:val="09B94BC9"/>
    <w:rsid w:val="09DD2A43"/>
    <w:rsid w:val="09E322D8"/>
    <w:rsid w:val="0A0720FF"/>
    <w:rsid w:val="0A0E4EFB"/>
    <w:rsid w:val="0A173A74"/>
    <w:rsid w:val="0A283ED3"/>
    <w:rsid w:val="0A402FCB"/>
    <w:rsid w:val="0A481E7F"/>
    <w:rsid w:val="0A6A2374"/>
    <w:rsid w:val="0A820F4B"/>
    <w:rsid w:val="0A8A2498"/>
    <w:rsid w:val="0AD41C47"/>
    <w:rsid w:val="0AD667A6"/>
    <w:rsid w:val="0AE0655C"/>
    <w:rsid w:val="0AE75B3C"/>
    <w:rsid w:val="0AF618DB"/>
    <w:rsid w:val="0AFD72A6"/>
    <w:rsid w:val="0B0C10FF"/>
    <w:rsid w:val="0B36617C"/>
    <w:rsid w:val="0B4D54FF"/>
    <w:rsid w:val="0B6D6042"/>
    <w:rsid w:val="0B7C44D7"/>
    <w:rsid w:val="0B7D1FFD"/>
    <w:rsid w:val="0B7F5716"/>
    <w:rsid w:val="0B805C41"/>
    <w:rsid w:val="0B901D30"/>
    <w:rsid w:val="0BC124ED"/>
    <w:rsid w:val="0BCA493E"/>
    <w:rsid w:val="0BD9544A"/>
    <w:rsid w:val="0BE14FCA"/>
    <w:rsid w:val="0BF57DE5"/>
    <w:rsid w:val="0BFA234D"/>
    <w:rsid w:val="0C0A7AA8"/>
    <w:rsid w:val="0C10060B"/>
    <w:rsid w:val="0C210272"/>
    <w:rsid w:val="0C232BA4"/>
    <w:rsid w:val="0C2B1A59"/>
    <w:rsid w:val="0C322DE7"/>
    <w:rsid w:val="0C356B74"/>
    <w:rsid w:val="0C460641"/>
    <w:rsid w:val="0C6C74AB"/>
    <w:rsid w:val="0C760F26"/>
    <w:rsid w:val="0C7B653C"/>
    <w:rsid w:val="0C8A2C92"/>
    <w:rsid w:val="0CA84E57"/>
    <w:rsid w:val="0CAA46BE"/>
    <w:rsid w:val="0CAA6E21"/>
    <w:rsid w:val="0CC22FE6"/>
    <w:rsid w:val="0CC3477E"/>
    <w:rsid w:val="0CCF0636"/>
    <w:rsid w:val="0CD22DCF"/>
    <w:rsid w:val="0CD93263"/>
    <w:rsid w:val="0CDF4D1D"/>
    <w:rsid w:val="0CE75980"/>
    <w:rsid w:val="0CEC743A"/>
    <w:rsid w:val="0D071E52"/>
    <w:rsid w:val="0D2E2F71"/>
    <w:rsid w:val="0D38442D"/>
    <w:rsid w:val="0D49488C"/>
    <w:rsid w:val="0D512DA1"/>
    <w:rsid w:val="0D5F3C89"/>
    <w:rsid w:val="0D63594E"/>
    <w:rsid w:val="0D6917CA"/>
    <w:rsid w:val="0D9378B6"/>
    <w:rsid w:val="0D9C676A"/>
    <w:rsid w:val="0D9F4AB0"/>
    <w:rsid w:val="0DA25D4B"/>
    <w:rsid w:val="0DAB19BF"/>
    <w:rsid w:val="0DB241E0"/>
    <w:rsid w:val="0DBC79F0"/>
    <w:rsid w:val="0DC83A03"/>
    <w:rsid w:val="0DCA6ABF"/>
    <w:rsid w:val="0DCC638D"/>
    <w:rsid w:val="0DDE4FD5"/>
    <w:rsid w:val="0DED2DF8"/>
    <w:rsid w:val="0DF464C0"/>
    <w:rsid w:val="0E0D7180"/>
    <w:rsid w:val="0E14400C"/>
    <w:rsid w:val="0E1F1149"/>
    <w:rsid w:val="0E3734AC"/>
    <w:rsid w:val="0E4F21C3"/>
    <w:rsid w:val="0E5434E9"/>
    <w:rsid w:val="0E5A1422"/>
    <w:rsid w:val="0E8116C4"/>
    <w:rsid w:val="0E943D45"/>
    <w:rsid w:val="0E9B3E36"/>
    <w:rsid w:val="0EA7186A"/>
    <w:rsid w:val="0EB35D57"/>
    <w:rsid w:val="0EDF7256"/>
    <w:rsid w:val="0F19203C"/>
    <w:rsid w:val="0F1D38DB"/>
    <w:rsid w:val="0F3B40A8"/>
    <w:rsid w:val="0F4079EA"/>
    <w:rsid w:val="0F423341"/>
    <w:rsid w:val="0F5E1AD0"/>
    <w:rsid w:val="0F7B4AA5"/>
    <w:rsid w:val="0F833E8F"/>
    <w:rsid w:val="0F933A20"/>
    <w:rsid w:val="0F9811B3"/>
    <w:rsid w:val="0FAC0BDF"/>
    <w:rsid w:val="0FAD48B7"/>
    <w:rsid w:val="0FB73D2F"/>
    <w:rsid w:val="0FBD6E6C"/>
    <w:rsid w:val="0FC85F3C"/>
    <w:rsid w:val="0FEB2934"/>
    <w:rsid w:val="0FED14FF"/>
    <w:rsid w:val="10134FA4"/>
    <w:rsid w:val="101F3682"/>
    <w:rsid w:val="10345380"/>
    <w:rsid w:val="1043602D"/>
    <w:rsid w:val="104C257C"/>
    <w:rsid w:val="10506D54"/>
    <w:rsid w:val="10523A58"/>
    <w:rsid w:val="10596B94"/>
    <w:rsid w:val="106B68C8"/>
    <w:rsid w:val="10740D11"/>
    <w:rsid w:val="107B51E5"/>
    <w:rsid w:val="1088779B"/>
    <w:rsid w:val="1091537A"/>
    <w:rsid w:val="10963D8A"/>
    <w:rsid w:val="113969C6"/>
    <w:rsid w:val="113F222E"/>
    <w:rsid w:val="11506A7F"/>
    <w:rsid w:val="11552DD2"/>
    <w:rsid w:val="116B3844"/>
    <w:rsid w:val="116E6670"/>
    <w:rsid w:val="11763776"/>
    <w:rsid w:val="11845A6D"/>
    <w:rsid w:val="118539B9"/>
    <w:rsid w:val="11867E5D"/>
    <w:rsid w:val="11997C48"/>
    <w:rsid w:val="119A7465"/>
    <w:rsid w:val="119B5EA3"/>
    <w:rsid w:val="11A96BDF"/>
    <w:rsid w:val="11BA7B07"/>
    <w:rsid w:val="11D24E50"/>
    <w:rsid w:val="11D434DA"/>
    <w:rsid w:val="11DE1B36"/>
    <w:rsid w:val="11DE3CD2"/>
    <w:rsid w:val="11EA22F1"/>
    <w:rsid w:val="11F67276"/>
    <w:rsid w:val="11F748B7"/>
    <w:rsid w:val="11FF376C"/>
    <w:rsid w:val="12047CB0"/>
    <w:rsid w:val="12091802"/>
    <w:rsid w:val="12237839"/>
    <w:rsid w:val="12267AD6"/>
    <w:rsid w:val="122B27B2"/>
    <w:rsid w:val="122F062D"/>
    <w:rsid w:val="123B56C1"/>
    <w:rsid w:val="12597031"/>
    <w:rsid w:val="12723D6D"/>
    <w:rsid w:val="127C6B6A"/>
    <w:rsid w:val="12802AFE"/>
    <w:rsid w:val="128B1675"/>
    <w:rsid w:val="128B5ABB"/>
    <w:rsid w:val="129031AF"/>
    <w:rsid w:val="12C624DB"/>
    <w:rsid w:val="12EA441C"/>
    <w:rsid w:val="130A5461"/>
    <w:rsid w:val="13333D5C"/>
    <w:rsid w:val="135567C5"/>
    <w:rsid w:val="136F1E65"/>
    <w:rsid w:val="13813C3C"/>
    <w:rsid w:val="13C22CA3"/>
    <w:rsid w:val="13CB6CFC"/>
    <w:rsid w:val="13D80F6B"/>
    <w:rsid w:val="13DA623E"/>
    <w:rsid w:val="13DE4113"/>
    <w:rsid w:val="13FC4407"/>
    <w:rsid w:val="1403423A"/>
    <w:rsid w:val="14035330"/>
    <w:rsid w:val="14086FAC"/>
    <w:rsid w:val="140E5EE8"/>
    <w:rsid w:val="14183B60"/>
    <w:rsid w:val="1428547C"/>
    <w:rsid w:val="142D2812"/>
    <w:rsid w:val="143309BD"/>
    <w:rsid w:val="144302DE"/>
    <w:rsid w:val="144E581F"/>
    <w:rsid w:val="145E6E6F"/>
    <w:rsid w:val="146B333A"/>
    <w:rsid w:val="147158F4"/>
    <w:rsid w:val="14771CDF"/>
    <w:rsid w:val="147A17CF"/>
    <w:rsid w:val="14893CDD"/>
    <w:rsid w:val="148E0DD7"/>
    <w:rsid w:val="1498706D"/>
    <w:rsid w:val="14A57E39"/>
    <w:rsid w:val="14A724C4"/>
    <w:rsid w:val="14B85D75"/>
    <w:rsid w:val="14BA5FFE"/>
    <w:rsid w:val="14BD6699"/>
    <w:rsid w:val="14CD72F8"/>
    <w:rsid w:val="14CF6317"/>
    <w:rsid w:val="14DC5FE6"/>
    <w:rsid w:val="14E1184E"/>
    <w:rsid w:val="14E82BDD"/>
    <w:rsid w:val="14F25809"/>
    <w:rsid w:val="14F349AF"/>
    <w:rsid w:val="151B4D60"/>
    <w:rsid w:val="153B5E8A"/>
    <w:rsid w:val="15421C87"/>
    <w:rsid w:val="1546345F"/>
    <w:rsid w:val="1548367B"/>
    <w:rsid w:val="155115F3"/>
    <w:rsid w:val="15581B10"/>
    <w:rsid w:val="155A7BF6"/>
    <w:rsid w:val="157D1577"/>
    <w:rsid w:val="158F1C8D"/>
    <w:rsid w:val="15914DE7"/>
    <w:rsid w:val="159211B8"/>
    <w:rsid w:val="1598133F"/>
    <w:rsid w:val="15A07014"/>
    <w:rsid w:val="15E82F71"/>
    <w:rsid w:val="15EC04AB"/>
    <w:rsid w:val="15F96A74"/>
    <w:rsid w:val="160930C8"/>
    <w:rsid w:val="162163A6"/>
    <w:rsid w:val="162639BD"/>
    <w:rsid w:val="162B2D81"/>
    <w:rsid w:val="16343BF3"/>
    <w:rsid w:val="164F1AD0"/>
    <w:rsid w:val="165C2036"/>
    <w:rsid w:val="165E3157"/>
    <w:rsid w:val="16922E00"/>
    <w:rsid w:val="16BA0531"/>
    <w:rsid w:val="16C864B5"/>
    <w:rsid w:val="16EC2D18"/>
    <w:rsid w:val="16FF39CF"/>
    <w:rsid w:val="17033CFE"/>
    <w:rsid w:val="17143B49"/>
    <w:rsid w:val="17216EDD"/>
    <w:rsid w:val="17242B35"/>
    <w:rsid w:val="1732515D"/>
    <w:rsid w:val="174642FC"/>
    <w:rsid w:val="175C51BC"/>
    <w:rsid w:val="175E421D"/>
    <w:rsid w:val="17604CAC"/>
    <w:rsid w:val="176474A1"/>
    <w:rsid w:val="176A1687"/>
    <w:rsid w:val="17740335"/>
    <w:rsid w:val="178A43F9"/>
    <w:rsid w:val="178D40EC"/>
    <w:rsid w:val="17920BDE"/>
    <w:rsid w:val="1796247C"/>
    <w:rsid w:val="17BB6387"/>
    <w:rsid w:val="17BD3EAD"/>
    <w:rsid w:val="17CF3BE0"/>
    <w:rsid w:val="17D56D11"/>
    <w:rsid w:val="17DE3E23"/>
    <w:rsid w:val="17F04282"/>
    <w:rsid w:val="18026B7E"/>
    <w:rsid w:val="1816180F"/>
    <w:rsid w:val="181A12FF"/>
    <w:rsid w:val="18311585"/>
    <w:rsid w:val="18392C19"/>
    <w:rsid w:val="183B1275"/>
    <w:rsid w:val="185A1BD3"/>
    <w:rsid w:val="18610CDC"/>
    <w:rsid w:val="18980476"/>
    <w:rsid w:val="18A137CE"/>
    <w:rsid w:val="18CF73E2"/>
    <w:rsid w:val="18D23988"/>
    <w:rsid w:val="18FE3E08"/>
    <w:rsid w:val="1908080B"/>
    <w:rsid w:val="19127B16"/>
    <w:rsid w:val="19866520"/>
    <w:rsid w:val="198D51E7"/>
    <w:rsid w:val="19A61090"/>
    <w:rsid w:val="19BD57DB"/>
    <w:rsid w:val="19C808E7"/>
    <w:rsid w:val="19CE059A"/>
    <w:rsid w:val="19DC4392"/>
    <w:rsid w:val="19DC6C9E"/>
    <w:rsid w:val="19F2280D"/>
    <w:rsid w:val="19FE3E37"/>
    <w:rsid w:val="1A071E95"/>
    <w:rsid w:val="1A1B4EBB"/>
    <w:rsid w:val="1A37265B"/>
    <w:rsid w:val="1A45145E"/>
    <w:rsid w:val="1A472BD2"/>
    <w:rsid w:val="1A5332B4"/>
    <w:rsid w:val="1A534654"/>
    <w:rsid w:val="1A55661F"/>
    <w:rsid w:val="1A8D2EA4"/>
    <w:rsid w:val="1AA2738A"/>
    <w:rsid w:val="1AA650CC"/>
    <w:rsid w:val="1AB64BE3"/>
    <w:rsid w:val="1ACA41CA"/>
    <w:rsid w:val="1ACB68E1"/>
    <w:rsid w:val="1ACD005B"/>
    <w:rsid w:val="1B140288"/>
    <w:rsid w:val="1B1A7C3C"/>
    <w:rsid w:val="1B1F5F7B"/>
    <w:rsid w:val="1B2304CB"/>
    <w:rsid w:val="1B23671D"/>
    <w:rsid w:val="1B300E3A"/>
    <w:rsid w:val="1B3C35B9"/>
    <w:rsid w:val="1B632FBD"/>
    <w:rsid w:val="1B6A4F0B"/>
    <w:rsid w:val="1B935B8A"/>
    <w:rsid w:val="1B950B3C"/>
    <w:rsid w:val="1B9C11F7"/>
    <w:rsid w:val="1B9E4E79"/>
    <w:rsid w:val="1BA11882"/>
    <w:rsid w:val="1BBE4697"/>
    <w:rsid w:val="1BC03F6C"/>
    <w:rsid w:val="1BC17CE4"/>
    <w:rsid w:val="1BC8151F"/>
    <w:rsid w:val="1BCE450B"/>
    <w:rsid w:val="1BD16179"/>
    <w:rsid w:val="1C0338F7"/>
    <w:rsid w:val="1C162336"/>
    <w:rsid w:val="1C177AEC"/>
    <w:rsid w:val="1C1C03C3"/>
    <w:rsid w:val="1C205F15"/>
    <w:rsid w:val="1C21335F"/>
    <w:rsid w:val="1C2423A1"/>
    <w:rsid w:val="1C2F4C4D"/>
    <w:rsid w:val="1C314524"/>
    <w:rsid w:val="1C3339B4"/>
    <w:rsid w:val="1C3B0ACB"/>
    <w:rsid w:val="1C4E5A1B"/>
    <w:rsid w:val="1C67119B"/>
    <w:rsid w:val="1C737230"/>
    <w:rsid w:val="1C7D180E"/>
    <w:rsid w:val="1C8378EA"/>
    <w:rsid w:val="1C862B65"/>
    <w:rsid w:val="1C8C707E"/>
    <w:rsid w:val="1CA76EDA"/>
    <w:rsid w:val="1CAD3695"/>
    <w:rsid w:val="1CAF4AE3"/>
    <w:rsid w:val="1CDA1373"/>
    <w:rsid w:val="1CDA2E0B"/>
    <w:rsid w:val="1CE0522F"/>
    <w:rsid w:val="1CEE2D5A"/>
    <w:rsid w:val="1CF85987"/>
    <w:rsid w:val="1D1A7363"/>
    <w:rsid w:val="1D331190"/>
    <w:rsid w:val="1D3E783E"/>
    <w:rsid w:val="1D546E21"/>
    <w:rsid w:val="1D706ABC"/>
    <w:rsid w:val="1D732E41"/>
    <w:rsid w:val="1D8A14F0"/>
    <w:rsid w:val="1D93759F"/>
    <w:rsid w:val="1D9E02DC"/>
    <w:rsid w:val="1DA767F2"/>
    <w:rsid w:val="1DB034A7"/>
    <w:rsid w:val="1DC835AB"/>
    <w:rsid w:val="1DDB7122"/>
    <w:rsid w:val="1DDF2920"/>
    <w:rsid w:val="1DED5743"/>
    <w:rsid w:val="1DF148B0"/>
    <w:rsid w:val="1DFC274A"/>
    <w:rsid w:val="1E021B0F"/>
    <w:rsid w:val="1E053DEB"/>
    <w:rsid w:val="1E2454A2"/>
    <w:rsid w:val="1E3B5B2B"/>
    <w:rsid w:val="1E5029D9"/>
    <w:rsid w:val="1E62130A"/>
    <w:rsid w:val="1E735BEA"/>
    <w:rsid w:val="1E870D71"/>
    <w:rsid w:val="1E9772EF"/>
    <w:rsid w:val="1EAC54E7"/>
    <w:rsid w:val="1EC45B21"/>
    <w:rsid w:val="1EDE6CD6"/>
    <w:rsid w:val="1EEE7042"/>
    <w:rsid w:val="1EF26B32"/>
    <w:rsid w:val="1F3A2287"/>
    <w:rsid w:val="1F417171"/>
    <w:rsid w:val="1F544CBA"/>
    <w:rsid w:val="1F624FA9"/>
    <w:rsid w:val="1F6A2B6C"/>
    <w:rsid w:val="1F9951FF"/>
    <w:rsid w:val="1F9D0AFB"/>
    <w:rsid w:val="1FD123FB"/>
    <w:rsid w:val="200F584A"/>
    <w:rsid w:val="201B6DAB"/>
    <w:rsid w:val="202D3B9A"/>
    <w:rsid w:val="205656B9"/>
    <w:rsid w:val="205B24B5"/>
    <w:rsid w:val="205E3D53"/>
    <w:rsid w:val="206B142F"/>
    <w:rsid w:val="20765541"/>
    <w:rsid w:val="20911160"/>
    <w:rsid w:val="20A07B84"/>
    <w:rsid w:val="20D34007"/>
    <w:rsid w:val="20EE50D7"/>
    <w:rsid w:val="20F841A8"/>
    <w:rsid w:val="20F87D04"/>
    <w:rsid w:val="20FA7F20"/>
    <w:rsid w:val="2100305C"/>
    <w:rsid w:val="21055788"/>
    <w:rsid w:val="21234C89"/>
    <w:rsid w:val="2125389D"/>
    <w:rsid w:val="212A1E87"/>
    <w:rsid w:val="212D20A3"/>
    <w:rsid w:val="213049DA"/>
    <w:rsid w:val="21460DAB"/>
    <w:rsid w:val="2150416A"/>
    <w:rsid w:val="21674E89"/>
    <w:rsid w:val="216830DB"/>
    <w:rsid w:val="216B497A"/>
    <w:rsid w:val="21747FCA"/>
    <w:rsid w:val="217703D3"/>
    <w:rsid w:val="218E6565"/>
    <w:rsid w:val="21915D17"/>
    <w:rsid w:val="21B225A8"/>
    <w:rsid w:val="21B93F30"/>
    <w:rsid w:val="21E20A5B"/>
    <w:rsid w:val="21E309B4"/>
    <w:rsid w:val="220902CB"/>
    <w:rsid w:val="222039B6"/>
    <w:rsid w:val="226B7039"/>
    <w:rsid w:val="227114A6"/>
    <w:rsid w:val="227546C9"/>
    <w:rsid w:val="22765384"/>
    <w:rsid w:val="22941CAE"/>
    <w:rsid w:val="22A77C33"/>
    <w:rsid w:val="22A87507"/>
    <w:rsid w:val="22AD4B1E"/>
    <w:rsid w:val="22B67BCB"/>
    <w:rsid w:val="22C04851"/>
    <w:rsid w:val="22EE5862"/>
    <w:rsid w:val="22F10DC9"/>
    <w:rsid w:val="22F469BA"/>
    <w:rsid w:val="233C7CDD"/>
    <w:rsid w:val="235E1CD0"/>
    <w:rsid w:val="237B7CED"/>
    <w:rsid w:val="239E59A9"/>
    <w:rsid w:val="23B348A8"/>
    <w:rsid w:val="23B80E3C"/>
    <w:rsid w:val="23C15C65"/>
    <w:rsid w:val="23C1633C"/>
    <w:rsid w:val="23D05919"/>
    <w:rsid w:val="23FD0C78"/>
    <w:rsid w:val="240F698F"/>
    <w:rsid w:val="24376D95"/>
    <w:rsid w:val="244F1E0A"/>
    <w:rsid w:val="24571B75"/>
    <w:rsid w:val="2471031E"/>
    <w:rsid w:val="247D1459"/>
    <w:rsid w:val="247E5FA4"/>
    <w:rsid w:val="248A3369"/>
    <w:rsid w:val="24912949"/>
    <w:rsid w:val="249E5066"/>
    <w:rsid w:val="24AA3E9F"/>
    <w:rsid w:val="24B108F5"/>
    <w:rsid w:val="24B55735"/>
    <w:rsid w:val="24B6025C"/>
    <w:rsid w:val="24CF0D7F"/>
    <w:rsid w:val="24D9457C"/>
    <w:rsid w:val="24E80B88"/>
    <w:rsid w:val="24E95C1F"/>
    <w:rsid w:val="24FF3D57"/>
    <w:rsid w:val="252C3253"/>
    <w:rsid w:val="252F5CBE"/>
    <w:rsid w:val="25437D28"/>
    <w:rsid w:val="25494FD2"/>
    <w:rsid w:val="25592D3B"/>
    <w:rsid w:val="255F65A3"/>
    <w:rsid w:val="2586533D"/>
    <w:rsid w:val="25893A50"/>
    <w:rsid w:val="25A77F4A"/>
    <w:rsid w:val="25B23A96"/>
    <w:rsid w:val="25B33FF6"/>
    <w:rsid w:val="25D04EC2"/>
    <w:rsid w:val="25D80104"/>
    <w:rsid w:val="25E6488B"/>
    <w:rsid w:val="25F767DC"/>
    <w:rsid w:val="26095AC3"/>
    <w:rsid w:val="260E1D77"/>
    <w:rsid w:val="261460CA"/>
    <w:rsid w:val="261750D0"/>
    <w:rsid w:val="261B0839"/>
    <w:rsid w:val="261D77F2"/>
    <w:rsid w:val="26202C71"/>
    <w:rsid w:val="26243349"/>
    <w:rsid w:val="2626473C"/>
    <w:rsid w:val="262F241A"/>
    <w:rsid w:val="26354676"/>
    <w:rsid w:val="263C0703"/>
    <w:rsid w:val="265D0DB0"/>
    <w:rsid w:val="2666750E"/>
    <w:rsid w:val="266D6A9E"/>
    <w:rsid w:val="267D2343"/>
    <w:rsid w:val="26904E9E"/>
    <w:rsid w:val="26951178"/>
    <w:rsid w:val="269577DC"/>
    <w:rsid w:val="269F1C1D"/>
    <w:rsid w:val="26DF59A2"/>
    <w:rsid w:val="26F40F6D"/>
    <w:rsid w:val="26FB7DAE"/>
    <w:rsid w:val="27003DB6"/>
    <w:rsid w:val="270311B0"/>
    <w:rsid w:val="270339F4"/>
    <w:rsid w:val="270A274C"/>
    <w:rsid w:val="272A498F"/>
    <w:rsid w:val="27595274"/>
    <w:rsid w:val="275A1718"/>
    <w:rsid w:val="275B2D9A"/>
    <w:rsid w:val="276460F3"/>
    <w:rsid w:val="27710810"/>
    <w:rsid w:val="277A7BA9"/>
    <w:rsid w:val="2786362E"/>
    <w:rsid w:val="27B16D5C"/>
    <w:rsid w:val="27B5694E"/>
    <w:rsid w:val="27CC6D8B"/>
    <w:rsid w:val="27F8683B"/>
    <w:rsid w:val="280865D8"/>
    <w:rsid w:val="28137B19"/>
    <w:rsid w:val="281F201A"/>
    <w:rsid w:val="282A79A9"/>
    <w:rsid w:val="28377363"/>
    <w:rsid w:val="283830DC"/>
    <w:rsid w:val="284101E2"/>
    <w:rsid w:val="286606C5"/>
    <w:rsid w:val="28674993"/>
    <w:rsid w:val="28802DC3"/>
    <w:rsid w:val="2881386A"/>
    <w:rsid w:val="28820DB5"/>
    <w:rsid w:val="28895693"/>
    <w:rsid w:val="28A546A3"/>
    <w:rsid w:val="28B409B4"/>
    <w:rsid w:val="28B41ED8"/>
    <w:rsid w:val="28C3509B"/>
    <w:rsid w:val="28CE01FC"/>
    <w:rsid w:val="28CE6D81"/>
    <w:rsid w:val="28E13773"/>
    <w:rsid w:val="28E148BA"/>
    <w:rsid w:val="28FE47BF"/>
    <w:rsid w:val="2916035C"/>
    <w:rsid w:val="29257B04"/>
    <w:rsid w:val="29276E05"/>
    <w:rsid w:val="29393DC8"/>
    <w:rsid w:val="29422940"/>
    <w:rsid w:val="295E4DC4"/>
    <w:rsid w:val="296A19BB"/>
    <w:rsid w:val="296A3769"/>
    <w:rsid w:val="29752839"/>
    <w:rsid w:val="29824F56"/>
    <w:rsid w:val="298962E5"/>
    <w:rsid w:val="29997709"/>
    <w:rsid w:val="29A07D32"/>
    <w:rsid w:val="29AE5D4B"/>
    <w:rsid w:val="29CC4423"/>
    <w:rsid w:val="29D46625"/>
    <w:rsid w:val="29D46E34"/>
    <w:rsid w:val="29D907E2"/>
    <w:rsid w:val="29DE206E"/>
    <w:rsid w:val="29E67293"/>
    <w:rsid w:val="29E76B67"/>
    <w:rsid w:val="29F81786"/>
    <w:rsid w:val="29FA31CB"/>
    <w:rsid w:val="2A0C4820"/>
    <w:rsid w:val="2A0E2346"/>
    <w:rsid w:val="2A1056ED"/>
    <w:rsid w:val="2A111E36"/>
    <w:rsid w:val="2A2860FB"/>
    <w:rsid w:val="2A407B09"/>
    <w:rsid w:val="2A4D53BF"/>
    <w:rsid w:val="2A5616A7"/>
    <w:rsid w:val="2A5967CA"/>
    <w:rsid w:val="2A7C3754"/>
    <w:rsid w:val="2A804C87"/>
    <w:rsid w:val="2A954AEA"/>
    <w:rsid w:val="2A992557"/>
    <w:rsid w:val="2A9B449A"/>
    <w:rsid w:val="2A9F5A76"/>
    <w:rsid w:val="2AD215C5"/>
    <w:rsid w:val="2AD32EA7"/>
    <w:rsid w:val="2ADE00B1"/>
    <w:rsid w:val="2AED4651"/>
    <w:rsid w:val="2AF14C71"/>
    <w:rsid w:val="2AF7727E"/>
    <w:rsid w:val="2B011EAB"/>
    <w:rsid w:val="2B06069C"/>
    <w:rsid w:val="2B163448"/>
    <w:rsid w:val="2B177920"/>
    <w:rsid w:val="2B24795B"/>
    <w:rsid w:val="2B2B10ED"/>
    <w:rsid w:val="2B312EE2"/>
    <w:rsid w:val="2B3E6C5B"/>
    <w:rsid w:val="2B4E77BD"/>
    <w:rsid w:val="2B5B5A5F"/>
    <w:rsid w:val="2B66442F"/>
    <w:rsid w:val="2B672C9E"/>
    <w:rsid w:val="2B701554"/>
    <w:rsid w:val="2B76668D"/>
    <w:rsid w:val="2B786611"/>
    <w:rsid w:val="2B7B0969"/>
    <w:rsid w:val="2B810700"/>
    <w:rsid w:val="2BA754F7"/>
    <w:rsid w:val="2BC2163A"/>
    <w:rsid w:val="2BF84388"/>
    <w:rsid w:val="2BF86F81"/>
    <w:rsid w:val="2C0B3E32"/>
    <w:rsid w:val="2C21254F"/>
    <w:rsid w:val="2C2E4F21"/>
    <w:rsid w:val="2C311F1A"/>
    <w:rsid w:val="2C33078A"/>
    <w:rsid w:val="2C4E2ECE"/>
    <w:rsid w:val="2C626979"/>
    <w:rsid w:val="2C6F5136"/>
    <w:rsid w:val="2C75006C"/>
    <w:rsid w:val="2C8608B9"/>
    <w:rsid w:val="2C8D7EA6"/>
    <w:rsid w:val="2C8E3C12"/>
    <w:rsid w:val="2CA07ACB"/>
    <w:rsid w:val="2CD535EF"/>
    <w:rsid w:val="2CF55A32"/>
    <w:rsid w:val="2CF73998"/>
    <w:rsid w:val="2D0055FC"/>
    <w:rsid w:val="2D127FD2"/>
    <w:rsid w:val="2D1759B5"/>
    <w:rsid w:val="2D2E5C65"/>
    <w:rsid w:val="2D355E3C"/>
    <w:rsid w:val="2D372583"/>
    <w:rsid w:val="2D393ACC"/>
    <w:rsid w:val="2D3C366E"/>
    <w:rsid w:val="2D6E1E26"/>
    <w:rsid w:val="2D7F7721"/>
    <w:rsid w:val="2D8A262B"/>
    <w:rsid w:val="2DB75A57"/>
    <w:rsid w:val="2DB96A6D"/>
    <w:rsid w:val="2DBD47AF"/>
    <w:rsid w:val="2DBF0527"/>
    <w:rsid w:val="2DCC2C44"/>
    <w:rsid w:val="2DDE64D3"/>
    <w:rsid w:val="2DE33AEA"/>
    <w:rsid w:val="2DEC299E"/>
    <w:rsid w:val="2DF950BB"/>
    <w:rsid w:val="2E0E500A"/>
    <w:rsid w:val="2E2E1209"/>
    <w:rsid w:val="2E3F51C4"/>
    <w:rsid w:val="2E41718E"/>
    <w:rsid w:val="2E424CB4"/>
    <w:rsid w:val="2E5538F0"/>
    <w:rsid w:val="2E6A0790"/>
    <w:rsid w:val="2E6A35C0"/>
    <w:rsid w:val="2E725599"/>
    <w:rsid w:val="2E9279E9"/>
    <w:rsid w:val="2E941FEB"/>
    <w:rsid w:val="2E975000"/>
    <w:rsid w:val="2E9D1EEA"/>
    <w:rsid w:val="2EA04A1F"/>
    <w:rsid w:val="2EB51040"/>
    <w:rsid w:val="2EB86D24"/>
    <w:rsid w:val="2EBC598F"/>
    <w:rsid w:val="2EDA6F81"/>
    <w:rsid w:val="2EE459AB"/>
    <w:rsid w:val="2EE87609"/>
    <w:rsid w:val="2EEE2746"/>
    <w:rsid w:val="2EF33724"/>
    <w:rsid w:val="2F1321AD"/>
    <w:rsid w:val="2F1475F5"/>
    <w:rsid w:val="2F1C3757"/>
    <w:rsid w:val="2F2C3963"/>
    <w:rsid w:val="2F64077E"/>
    <w:rsid w:val="2F650C5A"/>
    <w:rsid w:val="2F7D0FB0"/>
    <w:rsid w:val="2F9208AD"/>
    <w:rsid w:val="2FAC2CCD"/>
    <w:rsid w:val="2FB67708"/>
    <w:rsid w:val="2FD20D51"/>
    <w:rsid w:val="2FD951A4"/>
    <w:rsid w:val="2FDC0024"/>
    <w:rsid w:val="2FE14B66"/>
    <w:rsid w:val="30072505"/>
    <w:rsid w:val="30127F10"/>
    <w:rsid w:val="30136908"/>
    <w:rsid w:val="301A5EE8"/>
    <w:rsid w:val="30240B15"/>
    <w:rsid w:val="302503B5"/>
    <w:rsid w:val="30297EDA"/>
    <w:rsid w:val="3038011D"/>
    <w:rsid w:val="303B19BB"/>
    <w:rsid w:val="3043586B"/>
    <w:rsid w:val="30586A11"/>
    <w:rsid w:val="30590093"/>
    <w:rsid w:val="30601421"/>
    <w:rsid w:val="30711881"/>
    <w:rsid w:val="30776BDB"/>
    <w:rsid w:val="307B5DD0"/>
    <w:rsid w:val="3081702D"/>
    <w:rsid w:val="30A56449"/>
    <w:rsid w:val="30A9101A"/>
    <w:rsid w:val="30C61BCC"/>
    <w:rsid w:val="30CB2D3F"/>
    <w:rsid w:val="30D36097"/>
    <w:rsid w:val="30D8545C"/>
    <w:rsid w:val="30DE36D6"/>
    <w:rsid w:val="31090FB6"/>
    <w:rsid w:val="310F3573"/>
    <w:rsid w:val="311939C4"/>
    <w:rsid w:val="311F308B"/>
    <w:rsid w:val="3126183C"/>
    <w:rsid w:val="31264419"/>
    <w:rsid w:val="313B7B9E"/>
    <w:rsid w:val="31807FCD"/>
    <w:rsid w:val="31850497"/>
    <w:rsid w:val="318B71C3"/>
    <w:rsid w:val="31B163D9"/>
    <w:rsid w:val="31B22151"/>
    <w:rsid w:val="31B77767"/>
    <w:rsid w:val="31B9703B"/>
    <w:rsid w:val="31C43679"/>
    <w:rsid w:val="31D976DD"/>
    <w:rsid w:val="31DD71CE"/>
    <w:rsid w:val="31EC5663"/>
    <w:rsid w:val="31F27693"/>
    <w:rsid w:val="320B71D7"/>
    <w:rsid w:val="321D437C"/>
    <w:rsid w:val="323668DE"/>
    <w:rsid w:val="323808A8"/>
    <w:rsid w:val="323E76CC"/>
    <w:rsid w:val="32425283"/>
    <w:rsid w:val="32436F2A"/>
    <w:rsid w:val="324A4137"/>
    <w:rsid w:val="324F3A96"/>
    <w:rsid w:val="32674CE9"/>
    <w:rsid w:val="32773CA5"/>
    <w:rsid w:val="32891103"/>
    <w:rsid w:val="328A752A"/>
    <w:rsid w:val="32917FB8"/>
    <w:rsid w:val="32922901"/>
    <w:rsid w:val="32956F36"/>
    <w:rsid w:val="32AE7004"/>
    <w:rsid w:val="32C959A4"/>
    <w:rsid w:val="32DB1233"/>
    <w:rsid w:val="32E75E2A"/>
    <w:rsid w:val="32F61F10"/>
    <w:rsid w:val="33031326"/>
    <w:rsid w:val="3327506E"/>
    <w:rsid w:val="3328091C"/>
    <w:rsid w:val="332E5807"/>
    <w:rsid w:val="335D7E9A"/>
    <w:rsid w:val="335E60EC"/>
    <w:rsid w:val="336A5F84"/>
    <w:rsid w:val="336D0EA2"/>
    <w:rsid w:val="3374374B"/>
    <w:rsid w:val="33772A66"/>
    <w:rsid w:val="33824093"/>
    <w:rsid w:val="33883FA7"/>
    <w:rsid w:val="339438A7"/>
    <w:rsid w:val="33A33D0F"/>
    <w:rsid w:val="33BE6B8B"/>
    <w:rsid w:val="33C53157"/>
    <w:rsid w:val="33C96EAF"/>
    <w:rsid w:val="33D97E69"/>
    <w:rsid w:val="33E01FD7"/>
    <w:rsid w:val="33F26BDC"/>
    <w:rsid w:val="342414D8"/>
    <w:rsid w:val="34287D5C"/>
    <w:rsid w:val="343230D5"/>
    <w:rsid w:val="344632EE"/>
    <w:rsid w:val="344F012B"/>
    <w:rsid w:val="3467179E"/>
    <w:rsid w:val="346A0AC1"/>
    <w:rsid w:val="34796F56"/>
    <w:rsid w:val="34A32234"/>
    <w:rsid w:val="34AD4D1F"/>
    <w:rsid w:val="34B166F0"/>
    <w:rsid w:val="34B65AB4"/>
    <w:rsid w:val="34B779E1"/>
    <w:rsid w:val="34B86614"/>
    <w:rsid w:val="34DA5971"/>
    <w:rsid w:val="34EE2C2D"/>
    <w:rsid w:val="34FA62E8"/>
    <w:rsid w:val="350C1B78"/>
    <w:rsid w:val="350F3172"/>
    <w:rsid w:val="352F3985"/>
    <w:rsid w:val="353510CF"/>
    <w:rsid w:val="354C3F3F"/>
    <w:rsid w:val="355F0D48"/>
    <w:rsid w:val="355F5E90"/>
    <w:rsid w:val="356539A2"/>
    <w:rsid w:val="35814314"/>
    <w:rsid w:val="358D2CB9"/>
    <w:rsid w:val="35904557"/>
    <w:rsid w:val="359446FC"/>
    <w:rsid w:val="359C73A0"/>
    <w:rsid w:val="359E6C74"/>
    <w:rsid w:val="35A713E2"/>
    <w:rsid w:val="35B20971"/>
    <w:rsid w:val="35BC359E"/>
    <w:rsid w:val="35D73F34"/>
    <w:rsid w:val="35DE12FB"/>
    <w:rsid w:val="35E6309D"/>
    <w:rsid w:val="35E87382"/>
    <w:rsid w:val="35F0612F"/>
    <w:rsid w:val="360B2B82"/>
    <w:rsid w:val="361D0290"/>
    <w:rsid w:val="362D24BD"/>
    <w:rsid w:val="363C581C"/>
    <w:rsid w:val="36447687"/>
    <w:rsid w:val="36525CB0"/>
    <w:rsid w:val="3656754F"/>
    <w:rsid w:val="366255AA"/>
    <w:rsid w:val="36631C6B"/>
    <w:rsid w:val="36664456"/>
    <w:rsid w:val="36735CB8"/>
    <w:rsid w:val="36782E8C"/>
    <w:rsid w:val="367D0F7F"/>
    <w:rsid w:val="36806379"/>
    <w:rsid w:val="36B50FBE"/>
    <w:rsid w:val="36C24638"/>
    <w:rsid w:val="36C24E74"/>
    <w:rsid w:val="36CC5A63"/>
    <w:rsid w:val="36D30B9F"/>
    <w:rsid w:val="36D32E8A"/>
    <w:rsid w:val="36D4391E"/>
    <w:rsid w:val="3703398F"/>
    <w:rsid w:val="370535C9"/>
    <w:rsid w:val="37114410"/>
    <w:rsid w:val="371261F4"/>
    <w:rsid w:val="37135440"/>
    <w:rsid w:val="37425D25"/>
    <w:rsid w:val="374F7A97"/>
    <w:rsid w:val="375241BA"/>
    <w:rsid w:val="376C4B50"/>
    <w:rsid w:val="376E0E27"/>
    <w:rsid w:val="376E2FA9"/>
    <w:rsid w:val="377C4D93"/>
    <w:rsid w:val="378E2D18"/>
    <w:rsid w:val="37976D9A"/>
    <w:rsid w:val="379C4E4D"/>
    <w:rsid w:val="37B10506"/>
    <w:rsid w:val="37BF32DF"/>
    <w:rsid w:val="37CD33BF"/>
    <w:rsid w:val="37CE75B8"/>
    <w:rsid w:val="37D44BCF"/>
    <w:rsid w:val="37F27B04"/>
    <w:rsid w:val="37F761C9"/>
    <w:rsid w:val="380354B4"/>
    <w:rsid w:val="38082ACA"/>
    <w:rsid w:val="38147212"/>
    <w:rsid w:val="382A4C2C"/>
    <w:rsid w:val="383C2774"/>
    <w:rsid w:val="383D2C29"/>
    <w:rsid w:val="38412DE1"/>
    <w:rsid w:val="38415FDC"/>
    <w:rsid w:val="38502C1E"/>
    <w:rsid w:val="387463B2"/>
    <w:rsid w:val="387719FE"/>
    <w:rsid w:val="38AA5638"/>
    <w:rsid w:val="38B17AD7"/>
    <w:rsid w:val="38C8225A"/>
    <w:rsid w:val="38CA7D80"/>
    <w:rsid w:val="38D42B66"/>
    <w:rsid w:val="38E52E0C"/>
    <w:rsid w:val="38E84DAB"/>
    <w:rsid w:val="39017524"/>
    <w:rsid w:val="3914549F"/>
    <w:rsid w:val="39504333"/>
    <w:rsid w:val="39504729"/>
    <w:rsid w:val="3967781E"/>
    <w:rsid w:val="39677CC5"/>
    <w:rsid w:val="397475E6"/>
    <w:rsid w:val="397A17A6"/>
    <w:rsid w:val="39901AB2"/>
    <w:rsid w:val="39A86313"/>
    <w:rsid w:val="39B1489C"/>
    <w:rsid w:val="39CD6B09"/>
    <w:rsid w:val="39CE6256"/>
    <w:rsid w:val="39D8471E"/>
    <w:rsid w:val="39FF161A"/>
    <w:rsid w:val="3A032508"/>
    <w:rsid w:val="3A06303A"/>
    <w:rsid w:val="3A0A236E"/>
    <w:rsid w:val="3A100401"/>
    <w:rsid w:val="3A1F5EA9"/>
    <w:rsid w:val="3A285059"/>
    <w:rsid w:val="3A35391F"/>
    <w:rsid w:val="3A475E12"/>
    <w:rsid w:val="3A557B1D"/>
    <w:rsid w:val="3A5913BB"/>
    <w:rsid w:val="3A755F9C"/>
    <w:rsid w:val="3A881CA1"/>
    <w:rsid w:val="3A993EAE"/>
    <w:rsid w:val="3AA508F0"/>
    <w:rsid w:val="3AAC1E33"/>
    <w:rsid w:val="3AF82736"/>
    <w:rsid w:val="3AFE1F63"/>
    <w:rsid w:val="3B00217F"/>
    <w:rsid w:val="3B293484"/>
    <w:rsid w:val="3B2C087E"/>
    <w:rsid w:val="3B301429"/>
    <w:rsid w:val="3B385475"/>
    <w:rsid w:val="3B441AFA"/>
    <w:rsid w:val="3B4959E5"/>
    <w:rsid w:val="3B64626A"/>
    <w:rsid w:val="3B7641EF"/>
    <w:rsid w:val="3B7E14D2"/>
    <w:rsid w:val="3B860DF8"/>
    <w:rsid w:val="3BA40D5C"/>
    <w:rsid w:val="3BA66882"/>
    <w:rsid w:val="3BC1546A"/>
    <w:rsid w:val="3BC27434"/>
    <w:rsid w:val="3BD42E4E"/>
    <w:rsid w:val="3BE17176"/>
    <w:rsid w:val="3BE6207A"/>
    <w:rsid w:val="3BF73E41"/>
    <w:rsid w:val="3BFA097C"/>
    <w:rsid w:val="3C0B5D67"/>
    <w:rsid w:val="3C0E6E80"/>
    <w:rsid w:val="3C0F571D"/>
    <w:rsid w:val="3C265C15"/>
    <w:rsid w:val="3C3D6ABB"/>
    <w:rsid w:val="3C4F5745"/>
    <w:rsid w:val="3C636521"/>
    <w:rsid w:val="3C6B604E"/>
    <w:rsid w:val="3C6F136A"/>
    <w:rsid w:val="3C7626F9"/>
    <w:rsid w:val="3C920BB5"/>
    <w:rsid w:val="3CA71EE7"/>
    <w:rsid w:val="3CB212CE"/>
    <w:rsid w:val="3CB46D7D"/>
    <w:rsid w:val="3CD218F9"/>
    <w:rsid w:val="3CD63197"/>
    <w:rsid w:val="3CE0414D"/>
    <w:rsid w:val="3CE2453C"/>
    <w:rsid w:val="3CE31410"/>
    <w:rsid w:val="3CE8111C"/>
    <w:rsid w:val="3CEA279F"/>
    <w:rsid w:val="3CF25476"/>
    <w:rsid w:val="3CF96B37"/>
    <w:rsid w:val="3CFB0E50"/>
    <w:rsid w:val="3CFC0724"/>
    <w:rsid w:val="3D0752FB"/>
    <w:rsid w:val="3D115F7D"/>
    <w:rsid w:val="3D2959BD"/>
    <w:rsid w:val="3D435259"/>
    <w:rsid w:val="3D4A15BA"/>
    <w:rsid w:val="3D622C7D"/>
    <w:rsid w:val="3D831C9C"/>
    <w:rsid w:val="3D834756"/>
    <w:rsid w:val="3DA54993"/>
    <w:rsid w:val="3DB159B2"/>
    <w:rsid w:val="3DBA03C3"/>
    <w:rsid w:val="3DBF4D70"/>
    <w:rsid w:val="3DE25B6C"/>
    <w:rsid w:val="3DE3213E"/>
    <w:rsid w:val="3DEF139C"/>
    <w:rsid w:val="3E015FF2"/>
    <w:rsid w:val="3E0B2020"/>
    <w:rsid w:val="3E0E4BB3"/>
    <w:rsid w:val="3E235330"/>
    <w:rsid w:val="3E3D2DA2"/>
    <w:rsid w:val="3E501418"/>
    <w:rsid w:val="3E6509B9"/>
    <w:rsid w:val="3E945B9C"/>
    <w:rsid w:val="3EAE1708"/>
    <w:rsid w:val="3EB5502E"/>
    <w:rsid w:val="3EC3363A"/>
    <w:rsid w:val="3EC47912"/>
    <w:rsid w:val="3ECC393C"/>
    <w:rsid w:val="3ED522BB"/>
    <w:rsid w:val="3ED87FC6"/>
    <w:rsid w:val="3ED93269"/>
    <w:rsid w:val="3EDF0D37"/>
    <w:rsid w:val="3F1345E6"/>
    <w:rsid w:val="3F3146B5"/>
    <w:rsid w:val="3F3A646D"/>
    <w:rsid w:val="3F3B4CB4"/>
    <w:rsid w:val="3F414B4D"/>
    <w:rsid w:val="3F572FAD"/>
    <w:rsid w:val="3F707D68"/>
    <w:rsid w:val="3F7B1DD4"/>
    <w:rsid w:val="3F7D3D9E"/>
    <w:rsid w:val="3F8A03E9"/>
    <w:rsid w:val="3F9335C1"/>
    <w:rsid w:val="3F9B06C8"/>
    <w:rsid w:val="3F9F3283"/>
    <w:rsid w:val="3FA72BC9"/>
    <w:rsid w:val="3FAC6431"/>
    <w:rsid w:val="3FCC4B29"/>
    <w:rsid w:val="3FD84DCB"/>
    <w:rsid w:val="40153FD6"/>
    <w:rsid w:val="40204729"/>
    <w:rsid w:val="402257BC"/>
    <w:rsid w:val="40267F92"/>
    <w:rsid w:val="40327434"/>
    <w:rsid w:val="406C796F"/>
    <w:rsid w:val="407857B3"/>
    <w:rsid w:val="40864ED4"/>
    <w:rsid w:val="408A531C"/>
    <w:rsid w:val="40C32849"/>
    <w:rsid w:val="40C36F50"/>
    <w:rsid w:val="40CD7495"/>
    <w:rsid w:val="40D57A72"/>
    <w:rsid w:val="41087067"/>
    <w:rsid w:val="410B7187"/>
    <w:rsid w:val="41163086"/>
    <w:rsid w:val="415723CD"/>
    <w:rsid w:val="41605E0F"/>
    <w:rsid w:val="416426BC"/>
    <w:rsid w:val="41717932"/>
    <w:rsid w:val="41884E3E"/>
    <w:rsid w:val="41923B1D"/>
    <w:rsid w:val="419E7FFC"/>
    <w:rsid w:val="41A61BC7"/>
    <w:rsid w:val="41A76EB0"/>
    <w:rsid w:val="41BF0D08"/>
    <w:rsid w:val="41C45CB4"/>
    <w:rsid w:val="41C55588"/>
    <w:rsid w:val="41D9777C"/>
    <w:rsid w:val="422B5D33"/>
    <w:rsid w:val="423D7815"/>
    <w:rsid w:val="4251200C"/>
    <w:rsid w:val="4254775F"/>
    <w:rsid w:val="426923B8"/>
    <w:rsid w:val="427A6373"/>
    <w:rsid w:val="428138C2"/>
    <w:rsid w:val="429733C9"/>
    <w:rsid w:val="42AE24C0"/>
    <w:rsid w:val="42B431B4"/>
    <w:rsid w:val="42B80332"/>
    <w:rsid w:val="42B86E9B"/>
    <w:rsid w:val="42B8752D"/>
    <w:rsid w:val="42C442A5"/>
    <w:rsid w:val="42C55559"/>
    <w:rsid w:val="42CE79F1"/>
    <w:rsid w:val="42D00D65"/>
    <w:rsid w:val="42D25C32"/>
    <w:rsid w:val="42DD01B9"/>
    <w:rsid w:val="42DE4996"/>
    <w:rsid w:val="42DF267A"/>
    <w:rsid w:val="43361F5E"/>
    <w:rsid w:val="43431CD7"/>
    <w:rsid w:val="434C241E"/>
    <w:rsid w:val="43503578"/>
    <w:rsid w:val="43671945"/>
    <w:rsid w:val="436C6603"/>
    <w:rsid w:val="43880F63"/>
    <w:rsid w:val="43AC6A00"/>
    <w:rsid w:val="43B458B4"/>
    <w:rsid w:val="43BA278C"/>
    <w:rsid w:val="43D56F46"/>
    <w:rsid w:val="43FD3403"/>
    <w:rsid w:val="4410721F"/>
    <w:rsid w:val="4416460A"/>
    <w:rsid w:val="44285A31"/>
    <w:rsid w:val="443316B9"/>
    <w:rsid w:val="44445E39"/>
    <w:rsid w:val="445D6804"/>
    <w:rsid w:val="447B63D2"/>
    <w:rsid w:val="44971A6E"/>
    <w:rsid w:val="44A771C7"/>
    <w:rsid w:val="44AC3AC4"/>
    <w:rsid w:val="44B00772"/>
    <w:rsid w:val="44D65FFB"/>
    <w:rsid w:val="44E26451"/>
    <w:rsid w:val="44F85C75"/>
    <w:rsid w:val="45010FCD"/>
    <w:rsid w:val="4508410A"/>
    <w:rsid w:val="45136648"/>
    <w:rsid w:val="45234283"/>
    <w:rsid w:val="452B7DF8"/>
    <w:rsid w:val="45486BFC"/>
    <w:rsid w:val="45513D03"/>
    <w:rsid w:val="45634464"/>
    <w:rsid w:val="45704B69"/>
    <w:rsid w:val="45872DBD"/>
    <w:rsid w:val="4588524B"/>
    <w:rsid w:val="45A243E5"/>
    <w:rsid w:val="45A55DFD"/>
    <w:rsid w:val="45A73923"/>
    <w:rsid w:val="45AA6F6F"/>
    <w:rsid w:val="45AB2CE7"/>
    <w:rsid w:val="45B270D1"/>
    <w:rsid w:val="45C60138"/>
    <w:rsid w:val="45F251BA"/>
    <w:rsid w:val="45F4441B"/>
    <w:rsid w:val="46053EB3"/>
    <w:rsid w:val="461B1C1B"/>
    <w:rsid w:val="461C4D8C"/>
    <w:rsid w:val="461E495F"/>
    <w:rsid w:val="46456922"/>
    <w:rsid w:val="46476558"/>
    <w:rsid w:val="464A2500"/>
    <w:rsid w:val="464E1FF0"/>
    <w:rsid w:val="468477C0"/>
    <w:rsid w:val="46936983"/>
    <w:rsid w:val="46976762"/>
    <w:rsid w:val="469814BD"/>
    <w:rsid w:val="46A614B6"/>
    <w:rsid w:val="46B275C3"/>
    <w:rsid w:val="46D85D5E"/>
    <w:rsid w:val="46ED7A5B"/>
    <w:rsid w:val="46FF3D9B"/>
    <w:rsid w:val="47046B53"/>
    <w:rsid w:val="471E5E67"/>
    <w:rsid w:val="47227BB6"/>
    <w:rsid w:val="473A2575"/>
    <w:rsid w:val="47596E9F"/>
    <w:rsid w:val="47635FE4"/>
    <w:rsid w:val="4769525D"/>
    <w:rsid w:val="477978BE"/>
    <w:rsid w:val="478D317F"/>
    <w:rsid w:val="479908E7"/>
    <w:rsid w:val="4799373F"/>
    <w:rsid w:val="47AA2CDC"/>
    <w:rsid w:val="47AC4801"/>
    <w:rsid w:val="47CA0996"/>
    <w:rsid w:val="47EB2540"/>
    <w:rsid w:val="47EC2C8A"/>
    <w:rsid w:val="480A2FEC"/>
    <w:rsid w:val="480D1A37"/>
    <w:rsid w:val="480F1D14"/>
    <w:rsid w:val="48171857"/>
    <w:rsid w:val="481D7ECC"/>
    <w:rsid w:val="48281515"/>
    <w:rsid w:val="48390A7E"/>
    <w:rsid w:val="485E1830"/>
    <w:rsid w:val="48627FD5"/>
    <w:rsid w:val="486E697A"/>
    <w:rsid w:val="48776109"/>
    <w:rsid w:val="48861061"/>
    <w:rsid w:val="488F0FD1"/>
    <w:rsid w:val="489B5295"/>
    <w:rsid w:val="489B5A9B"/>
    <w:rsid w:val="48A0658E"/>
    <w:rsid w:val="48B00D40"/>
    <w:rsid w:val="48BA3564"/>
    <w:rsid w:val="48D367DD"/>
    <w:rsid w:val="48D70F76"/>
    <w:rsid w:val="48E40097"/>
    <w:rsid w:val="48E704DA"/>
    <w:rsid w:val="48F60818"/>
    <w:rsid w:val="4907693C"/>
    <w:rsid w:val="4919020E"/>
    <w:rsid w:val="491B335F"/>
    <w:rsid w:val="492434DC"/>
    <w:rsid w:val="492E090B"/>
    <w:rsid w:val="493059DD"/>
    <w:rsid w:val="493C1B97"/>
    <w:rsid w:val="493E1062"/>
    <w:rsid w:val="494B49DC"/>
    <w:rsid w:val="49521DF7"/>
    <w:rsid w:val="495B0E15"/>
    <w:rsid w:val="496B2EB9"/>
    <w:rsid w:val="4970361A"/>
    <w:rsid w:val="49803223"/>
    <w:rsid w:val="498455FF"/>
    <w:rsid w:val="499A60EA"/>
    <w:rsid w:val="49BB5BEF"/>
    <w:rsid w:val="49BE748D"/>
    <w:rsid w:val="49D96CC7"/>
    <w:rsid w:val="49F66C27"/>
    <w:rsid w:val="4A001822"/>
    <w:rsid w:val="4A083B20"/>
    <w:rsid w:val="4A273550"/>
    <w:rsid w:val="4A2F3EE7"/>
    <w:rsid w:val="4A31510E"/>
    <w:rsid w:val="4A372D9B"/>
    <w:rsid w:val="4A5C7865"/>
    <w:rsid w:val="4A671E62"/>
    <w:rsid w:val="4A742241"/>
    <w:rsid w:val="4A8D3803"/>
    <w:rsid w:val="4A8F0E29"/>
    <w:rsid w:val="4AB90BC8"/>
    <w:rsid w:val="4ABB0378"/>
    <w:rsid w:val="4ABB6284"/>
    <w:rsid w:val="4ABF34BD"/>
    <w:rsid w:val="4AC035F0"/>
    <w:rsid w:val="4ACC7988"/>
    <w:rsid w:val="4AD93E52"/>
    <w:rsid w:val="4AE4089B"/>
    <w:rsid w:val="4AEB42B2"/>
    <w:rsid w:val="4AEF0CFA"/>
    <w:rsid w:val="4AF3760A"/>
    <w:rsid w:val="4AF74789"/>
    <w:rsid w:val="4AFA62A3"/>
    <w:rsid w:val="4B0233A9"/>
    <w:rsid w:val="4B055688"/>
    <w:rsid w:val="4B062DD1"/>
    <w:rsid w:val="4B09298A"/>
    <w:rsid w:val="4B0B21E7"/>
    <w:rsid w:val="4B2A1177"/>
    <w:rsid w:val="4B3612A5"/>
    <w:rsid w:val="4B39238C"/>
    <w:rsid w:val="4B4139C7"/>
    <w:rsid w:val="4B490BF4"/>
    <w:rsid w:val="4B4E7520"/>
    <w:rsid w:val="4B804A1B"/>
    <w:rsid w:val="4B82523C"/>
    <w:rsid w:val="4B8A7E26"/>
    <w:rsid w:val="4B9C6077"/>
    <w:rsid w:val="4BA3441D"/>
    <w:rsid w:val="4BA95F1B"/>
    <w:rsid w:val="4BB516D1"/>
    <w:rsid w:val="4BC466DF"/>
    <w:rsid w:val="4BD42F98"/>
    <w:rsid w:val="4BDC6B42"/>
    <w:rsid w:val="4BE40D01"/>
    <w:rsid w:val="4BEA5395"/>
    <w:rsid w:val="4BEC5F10"/>
    <w:rsid w:val="4BFF390A"/>
    <w:rsid w:val="4C04250E"/>
    <w:rsid w:val="4C0F1393"/>
    <w:rsid w:val="4C127407"/>
    <w:rsid w:val="4C194E4E"/>
    <w:rsid w:val="4C1C6371"/>
    <w:rsid w:val="4C2832E3"/>
    <w:rsid w:val="4C286E40"/>
    <w:rsid w:val="4C2B46F8"/>
    <w:rsid w:val="4C30370E"/>
    <w:rsid w:val="4C393582"/>
    <w:rsid w:val="4C3C7F6D"/>
    <w:rsid w:val="4C8B1EE4"/>
    <w:rsid w:val="4C957A15"/>
    <w:rsid w:val="4CA23096"/>
    <w:rsid w:val="4CAA5AA7"/>
    <w:rsid w:val="4CC141A1"/>
    <w:rsid w:val="4CC254E6"/>
    <w:rsid w:val="4CD1117E"/>
    <w:rsid w:val="4CE216E4"/>
    <w:rsid w:val="4CE83F1B"/>
    <w:rsid w:val="4CF14716"/>
    <w:rsid w:val="4CF5766A"/>
    <w:rsid w:val="4CF733A7"/>
    <w:rsid w:val="4D0065ED"/>
    <w:rsid w:val="4D0E1A1E"/>
    <w:rsid w:val="4D137AF0"/>
    <w:rsid w:val="4D255144"/>
    <w:rsid w:val="4D295073"/>
    <w:rsid w:val="4D423F31"/>
    <w:rsid w:val="4D467EC5"/>
    <w:rsid w:val="4D477AD7"/>
    <w:rsid w:val="4D4834DA"/>
    <w:rsid w:val="4D53613E"/>
    <w:rsid w:val="4D5679DC"/>
    <w:rsid w:val="4D5A74CD"/>
    <w:rsid w:val="4D61509F"/>
    <w:rsid w:val="4D616426"/>
    <w:rsid w:val="4D6420F9"/>
    <w:rsid w:val="4D750DAA"/>
    <w:rsid w:val="4D8E77CF"/>
    <w:rsid w:val="4D9440F4"/>
    <w:rsid w:val="4DA14831"/>
    <w:rsid w:val="4DBB2ED3"/>
    <w:rsid w:val="4DBC3EDE"/>
    <w:rsid w:val="4DCE3A17"/>
    <w:rsid w:val="4DD07034"/>
    <w:rsid w:val="4DDC25D7"/>
    <w:rsid w:val="4DED0341"/>
    <w:rsid w:val="4DF711BF"/>
    <w:rsid w:val="4E1A7C42"/>
    <w:rsid w:val="4E37780E"/>
    <w:rsid w:val="4E3B4775"/>
    <w:rsid w:val="4E656129"/>
    <w:rsid w:val="4E676B5A"/>
    <w:rsid w:val="4E6B5B1A"/>
    <w:rsid w:val="4E9309AF"/>
    <w:rsid w:val="4E9609D8"/>
    <w:rsid w:val="4EB8120D"/>
    <w:rsid w:val="4ECA68D4"/>
    <w:rsid w:val="4EDB463D"/>
    <w:rsid w:val="4EEC23A6"/>
    <w:rsid w:val="4EF33D8C"/>
    <w:rsid w:val="4EF72139"/>
    <w:rsid w:val="4F040656"/>
    <w:rsid w:val="4F0A0A7E"/>
    <w:rsid w:val="4F1D07B2"/>
    <w:rsid w:val="4F361873"/>
    <w:rsid w:val="4F3678D3"/>
    <w:rsid w:val="4F4915A7"/>
    <w:rsid w:val="4F4A531F"/>
    <w:rsid w:val="4F4A7BC6"/>
    <w:rsid w:val="4F5D32A4"/>
    <w:rsid w:val="4F6208BA"/>
    <w:rsid w:val="4F705FA5"/>
    <w:rsid w:val="4F724D92"/>
    <w:rsid w:val="4F7800DE"/>
    <w:rsid w:val="4F884B92"/>
    <w:rsid w:val="4F9754F7"/>
    <w:rsid w:val="4FBA24A4"/>
    <w:rsid w:val="4FC32178"/>
    <w:rsid w:val="4FC82E13"/>
    <w:rsid w:val="4FE20516"/>
    <w:rsid w:val="500A67F9"/>
    <w:rsid w:val="502B33A2"/>
    <w:rsid w:val="50874A7C"/>
    <w:rsid w:val="508B3E41"/>
    <w:rsid w:val="5097309C"/>
    <w:rsid w:val="50AC11E4"/>
    <w:rsid w:val="50AC61A8"/>
    <w:rsid w:val="50AF15DC"/>
    <w:rsid w:val="50CC248F"/>
    <w:rsid w:val="50D502BD"/>
    <w:rsid w:val="50E020A0"/>
    <w:rsid w:val="50E10D82"/>
    <w:rsid w:val="50F1639A"/>
    <w:rsid w:val="50F733FB"/>
    <w:rsid w:val="50FF6E4E"/>
    <w:rsid w:val="51077140"/>
    <w:rsid w:val="51153A1E"/>
    <w:rsid w:val="512D7421"/>
    <w:rsid w:val="5186367E"/>
    <w:rsid w:val="51900019"/>
    <w:rsid w:val="51916E0F"/>
    <w:rsid w:val="51AB1001"/>
    <w:rsid w:val="51AF7DB0"/>
    <w:rsid w:val="51D13AD5"/>
    <w:rsid w:val="51D57E05"/>
    <w:rsid w:val="51DD06CC"/>
    <w:rsid w:val="51DD0D57"/>
    <w:rsid w:val="51FD1DA7"/>
    <w:rsid w:val="520619D1"/>
    <w:rsid w:val="5208275B"/>
    <w:rsid w:val="521C2FA3"/>
    <w:rsid w:val="522E6D9F"/>
    <w:rsid w:val="523302EC"/>
    <w:rsid w:val="526112FD"/>
    <w:rsid w:val="52611C89"/>
    <w:rsid w:val="527C7EE5"/>
    <w:rsid w:val="528141B3"/>
    <w:rsid w:val="52923265"/>
    <w:rsid w:val="52D53B6B"/>
    <w:rsid w:val="52F60D06"/>
    <w:rsid w:val="52FD1026"/>
    <w:rsid w:val="52FD4477"/>
    <w:rsid w:val="53041419"/>
    <w:rsid w:val="530E5635"/>
    <w:rsid w:val="53102204"/>
    <w:rsid w:val="53373E0C"/>
    <w:rsid w:val="53536E98"/>
    <w:rsid w:val="53735D8F"/>
    <w:rsid w:val="53762B86"/>
    <w:rsid w:val="537D5CC3"/>
    <w:rsid w:val="53875090"/>
    <w:rsid w:val="539531BF"/>
    <w:rsid w:val="539A2647"/>
    <w:rsid w:val="53B51F37"/>
    <w:rsid w:val="53B8319F"/>
    <w:rsid w:val="53C102A5"/>
    <w:rsid w:val="53C23E08"/>
    <w:rsid w:val="53C9715A"/>
    <w:rsid w:val="53DF072C"/>
    <w:rsid w:val="53DF697E"/>
    <w:rsid w:val="53E47DB0"/>
    <w:rsid w:val="53F51CFD"/>
    <w:rsid w:val="540006A2"/>
    <w:rsid w:val="542F5105"/>
    <w:rsid w:val="54324CFF"/>
    <w:rsid w:val="543F6C0C"/>
    <w:rsid w:val="544032D3"/>
    <w:rsid w:val="544E7B7F"/>
    <w:rsid w:val="545E41F2"/>
    <w:rsid w:val="546A563B"/>
    <w:rsid w:val="54712D44"/>
    <w:rsid w:val="547801D1"/>
    <w:rsid w:val="547A13B1"/>
    <w:rsid w:val="54895585"/>
    <w:rsid w:val="549C0E54"/>
    <w:rsid w:val="54A13C33"/>
    <w:rsid w:val="54BA5D29"/>
    <w:rsid w:val="550C4962"/>
    <w:rsid w:val="552535BC"/>
    <w:rsid w:val="55272BA3"/>
    <w:rsid w:val="5536081F"/>
    <w:rsid w:val="554B6B34"/>
    <w:rsid w:val="55627866"/>
    <w:rsid w:val="55841841"/>
    <w:rsid w:val="5587107B"/>
    <w:rsid w:val="5588094F"/>
    <w:rsid w:val="55913CA7"/>
    <w:rsid w:val="559519EA"/>
    <w:rsid w:val="55B04E29"/>
    <w:rsid w:val="55BA384A"/>
    <w:rsid w:val="55C027DF"/>
    <w:rsid w:val="55C56D42"/>
    <w:rsid w:val="55CB540B"/>
    <w:rsid w:val="55CD4CC5"/>
    <w:rsid w:val="55D20D5A"/>
    <w:rsid w:val="55E6645A"/>
    <w:rsid w:val="55E80046"/>
    <w:rsid w:val="55E95892"/>
    <w:rsid w:val="55E97640"/>
    <w:rsid w:val="55F36710"/>
    <w:rsid w:val="55F41F52"/>
    <w:rsid w:val="55F75F50"/>
    <w:rsid w:val="56121AE8"/>
    <w:rsid w:val="561D19DF"/>
    <w:rsid w:val="561E5560"/>
    <w:rsid w:val="56232D5F"/>
    <w:rsid w:val="562C577E"/>
    <w:rsid w:val="565F3DA6"/>
    <w:rsid w:val="56665134"/>
    <w:rsid w:val="566A7942"/>
    <w:rsid w:val="567F2F1E"/>
    <w:rsid w:val="56A812A9"/>
    <w:rsid w:val="56BC2FA6"/>
    <w:rsid w:val="56CB143B"/>
    <w:rsid w:val="57364B06"/>
    <w:rsid w:val="573C5E95"/>
    <w:rsid w:val="57633422"/>
    <w:rsid w:val="577218B7"/>
    <w:rsid w:val="57792C45"/>
    <w:rsid w:val="57AE0B41"/>
    <w:rsid w:val="57C57C38"/>
    <w:rsid w:val="57CD04DD"/>
    <w:rsid w:val="57DF1211"/>
    <w:rsid w:val="580C3AB9"/>
    <w:rsid w:val="58296419"/>
    <w:rsid w:val="585A59F8"/>
    <w:rsid w:val="58613E05"/>
    <w:rsid w:val="588B1398"/>
    <w:rsid w:val="58975E80"/>
    <w:rsid w:val="58AB1524"/>
    <w:rsid w:val="58AC500F"/>
    <w:rsid w:val="58BA3515"/>
    <w:rsid w:val="58BC103B"/>
    <w:rsid w:val="58D469B1"/>
    <w:rsid w:val="58E81E30"/>
    <w:rsid w:val="58FC1D80"/>
    <w:rsid w:val="59060509"/>
    <w:rsid w:val="590B0730"/>
    <w:rsid w:val="5915699E"/>
    <w:rsid w:val="591A3FB4"/>
    <w:rsid w:val="59242C49"/>
    <w:rsid w:val="59266DFD"/>
    <w:rsid w:val="592B1108"/>
    <w:rsid w:val="592E6217"/>
    <w:rsid w:val="593432C8"/>
    <w:rsid w:val="59457283"/>
    <w:rsid w:val="594D3F56"/>
    <w:rsid w:val="596B3E9E"/>
    <w:rsid w:val="59980D14"/>
    <w:rsid w:val="59A21A4A"/>
    <w:rsid w:val="59B9557B"/>
    <w:rsid w:val="59D6437F"/>
    <w:rsid w:val="59F629A7"/>
    <w:rsid w:val="59FA6C11"/>
    <w:rsid w:val="5A081E6B"/>
    <w:rsid w:val="5A1561AD"/>
    <w:rsid w:val="5A24734A"/>
    <w:rsid w:val="5A2F1CE1"/>
    <w:rsid w:val="5A334251"/>
    <w:rsid w:val="5A3D301B"/>
    <w:rsid w:val="5A427C66"/>
    <w:rsid w:val="5A582FE6"/>
    <w:rsid w:val="5A5A0B0C"/>
    <w:rsid w:val="5A5D05FC"/>
    <w:rsid w:val="5A64198B"/>
    <w:rsid w:val="5A6D2DC7"/>
    <w:rsid w:val="5A70032F"/>
    <w:rsid w:val="5A8042EB"/>
    <w:rsid w:val="5A8913F1"/>
    <w:rsid w:val="5A8E07B6"/>
    <w:rsid w:val="5AAA30C6"/>
    <w:rsid w:val="5AAF0F91"/>
    <w:rsid w:val="5AB26B9A"/>
    <w:rsid w:val="5ACD39D4"/>
    <w:rsid w:val="5AD64523"/>
    <w:rsid w:val="5ADA39FB"/>
    <w:rsid w:val="5AEA5C0E"/>
    <w:rsid w:val="5AEB79A9"/>
    <w:rsid w:val="5AEE2FDD"/>
    <w:rsid w:val="5B094184"/>
    <w:rsid w:val="5B0B62AA"/>
    <w:rsid w:val="5B0D460E"/>
    <w:rsid w:val="5B2410B1"/>
    <w:rsid w:val="5B2A6430"/>
    <w:rsid w:val="5B3E042E"/>
    <w:rsid w:val="5B5F095D"/>
    <w:rsid w:val="5B6E1487"/>
    <w:rsid w:val="5B6E19CE"/>
    <w:rsid w:val="5B750C78"/>
    <w:rsid w:val="5B7E4CCE"/>
    <w:rsid w:val="5BB26726"/>
    <w:rsid w:val="5BB64058"/>
    <w:rsid w:val="5BB71F8E"/>
    <w:rsid w:val="5BC05BF7"/>
    <w:rsid w:val="5BC57D15"/>
    <w:rsid w:val="5BE471B7"/>
    <w:rsid w:val="5BE77A78"/>
    <w:rsid w:val="5C050310"/>
    <w:rsid w:val="5C095D32"/>
    <w:rsid w:val="5C0C052C"/>
    <w:rsid w:val="5C0C22DA"/>
    <w:rsid w:val="5C114AE7"/>
    <w:rsid w:val="5C1D017A"/>
    <w:rsid w:val="5C292E8C"/>
    <w:rsid w:val="5C401F83"/>
    <w:rsid w:val="5C495BB6"/>
    <w:rsid w:val="5C5623E4"/>
    <w:rsid w:val="5C702869"/>
    <w:rsid w:val="5C7A5495"/>
    <w:rsid w:val="5C8B28B2"/>
    <w:rsid w:val="5C96110B"/>
    <w:rsid w:val="5C961809"/>
    <w:rsid w:val="5C9D2F32"/>
    <w:rsid w:val="5C9D6A42"/>
    <w:rsid w:val="5C9D73D6"/>
    <w:rsid w:val="5CC32C34"/>
    <w:rsid w:val="5CD01559"/>
    <w:rsid w:val="5CD21B87"/>
    <w:rsid w:val="5CD526CC"/>
    <w:rsid w:val="5CEB0141"/>
    <w:rsid w:val="5CFC234E"/>
    <w:rsid w:val="5D1B4AA0"/>
    <w:rsid w:val="5D1B72C3"/>
    <w:rsid w:val="5D2A0918"/>
    <w:rsid w:val="5D311666"/>
    <w:rsid w:val="5D33021A"/>
    <w:rsid w:val="5D3A05F2"/>
    <w:rsid w:val="5D3A654F"/>
    <w:rsid w:val="5D4E323E"/>
    <w:rsid w:val="5D5578CC"/>
    <w:rsid w:val="5D5D4C8F"/>
    <w:rsid w:val="5D5E0913"/>
    <w:rsid w:val="5D6726BF"/>
    <w:rsid w:val="5D7057B5"/>
    <w:rsid w:val="5D720862"/>
    <w:rsid w:val="5D786ECF"/>
    <w:rsid w:val="5D87485E"/>
    <w:rsid w:val="5D8A4A6A"/>
    <w:rsid w:val="5D99787E"/>
    <w:rsid w:val="5D9F0F2C"/>
    <w:rsid w:val="5DE41F49"/>
    <w:rsid w:val="5DE833AE"/>
    <w:rsid w:val="5DF23751"/>
    <w:rsid w:val="5DF70D68"/>
    <w:rsid w:val="5DFF4107"/>
    <w:rsid w:val="5E005E6E"/>
    <w:rsid w:val="5E070FAB"/>
    <w:rsid w:val="5E086AD1"/>
    <w:rsid w:val="5E176D14"/>
    <w:rsid w:val="5E244AC4"/>
    <w:rsid w:val="5E2B55C7"/>
    <w:rsid w:val="5E3E30A1"/>
    <w:rsid w:val="5E421FE3"/>
    <w:rsid w:val="5E4B2AFB"/>
    <w:rsid w:val="5E7C6FCE"/>
    <w:rsid w:val="5E875C48"/>
    <w:rsid w:val="5E8B67AA"/>
    <w:rsid w:val="5E922527"/>
    <w:rsid w:val="5E986608"/>
    <w:rsid w:val="5EB804F7"/>
    <w:rsid w:val="5EBC040D"/>
    <w:rsid w:val="5ED3385A"/>
    <w:rsid w:val="5EFC6636"/>
    <w:rsid w:val="5F027F30"/>
    <w:rsid w:val="5F06135B"/>
    <w:rsid w:val="5F0A1575"/>
    <w:rsid w:val="5F120299"/>
    <w:rsid w:val="5F1D65AC"/>
    <w:rsid w:val="5F2C67EF"/>
    <w:rsid w:val="5F585836"/>
    <w:rsid w:val="5F593A88"/>
    <w:rsid w:val="5F626D0D"/>
    <w:rsid w:val="5F64242D"/>
    <w:rsid w:val="5F750196"/>
    <w:rsid w:val="5F7C7776"/>
    <w:rsid w:val="5F816366"/>
    <w:rsid w:val="5F8B79B9"/>
    <w:rsid w:val="5FE1759B"/>
    <w:rsid w:val="6000600D"/>
    <w:rsid w:val="600734E4"/>
    <w:rsid w:val="601B0D3D"/>
    <w:rsid w:val="60213E7A"/>
    <w:rsid w:val="6024544B"/>
    <w:rsid w:val="60336139"/>
    <w:rsid w:val="603A3D21"/>
    <w:rsid w:val="603D0A2D"/>
    <w:rsid w:val="6045400C"/>
    <w:rsid w:val="60511E26"/>
    <w:rsid w:val="60590F43"/>
    <w:rsid w:val="60681AA9"/>
    <w:rsid w:val="6071095D"/>
    <w:rsid w:val="607A18F4"/>
    <w:rsid w:val="6086463A"/>
    <w:rsid w:val="608758BD"/>
    <w:rsid w:val="608904EF"/>
    <w:rsid w:val="608E03E0"/>
    <w:rsid w:val="60997B1C"/>
    <w:rsid w:val="60A933D2"/>
    <w:rsid w:val="60C90799"/>
    <w:rsid w:val="60E455D3"/>
    <w:rsid w:val="60E530F9"/>
    <w:rsid w:val="60F27F20"/>
    <w:rsid w:val="60F82E2D"/>
    <w:rsid w:val="61073070"/>
    <w:rsid w:val="610F5757"/>
    <w:rsid w:val="611021EE"/>
    <w:rsid w:val="61181F1A"/>
    <w:rsid w:val="611B4D6D"/>
    <w:rsid w:val="61204131"/>
    <w:rsid w:val="613227E2"/>
    <w:rsid w:val="613911BD"/>
    <w:rsid w:val="614222FA"/>
    <w:rsid w:val="61502C69"/>
    <w:rsid w:val="616F5625"/>
    <w:rsid w:val="617A5F38"/>
    <w:rsid w:val="619522AC"/>
    <w:rsid w:val="61971C4F"/>
    <w:rsid w:val="6199278C"/>
    <w:rsid w:val="619D1C98"/>
    <w:rsid w:val="619D39D4"/>
    <w:rsid w:val="61AC2B03"/>
    <w:rsid w:val="61AC4E6E"/>
    <w:rsid w:val="61B054B5"/>
    <w:rsid w:val="61B40758"/>
    <w:rsid w:val="61BD1FD9"/>
    <w:rsid w:val="61C3343B"/>
    <w:rsid w:val="61D71060"/>
    <w:rsid w:val="61E91174"/>
    <w:rsid w:val="61F26A64"/>
    <w:rsid w:val="62037CDB"/>
    <w:rsid w:val="620D6DAC"/>
    <w:rsid w:val="62195750"/>
    <w:rsid w:val="621D6A10"/>
    <w:rsid w:val="621F43E9"/>
    <w:rsid w:val="62377985"/>
    <w:rsid w:val="62490D6C"/>
    <w:rsid w:val="624E0C70"/>
    <w:rsid w:val="625C563D"/>
    <w:rsid w:val="62652744"/>
    <w:rsid w:val="626562A0"/>
    <w:rsid w:val="626A5FAC"/>
    <w:rsid w:val="6272702E"/>
    <w:rsid w:val="628801E0"/>
    <w:rsid w:val="62917C5D"/>
    <w:rsid w:val="6294085A"/>
    <w:rsid w:val="62A72D5C"/>
    <w:rsid w:val="62B1716A"/>
    <w:rsid w:val="62D653F0"/>
    <w:rsid w:val="62D90A3C"/>
    <w:rsid w:val="62DB0C58"/>
    <w:rsid w:val="62E91CEB"/>
    <w:rsid w:val="62FF66F4"/>
    <w:rsid w:val="630264ED"/>
    <w:rsid w:val="630B0357"/>
    <w:rsid w:val="630E63DB"/>
    <w:rsid w:val="6311467A"/>
    <w:rsid w:val="6356208C"/>
    <w:rsid w:val="636054C6"/>
    <w:rsid w:val="637644DD"/>
    <w:rsid w:val="63953DDD"/>
    <w:rsid w:val="63A469EA"/>
    <w:rsid w:val="63AB062A"/>
    <w:rsid w:val="63AE2FFE"/>
    <w:rsid w:val="63BE1D63"/>
    <w:rsid w:val="63C27722"/>
    <w:rsid w:val="63CD46A6"/>
    <w:rsid w:val="63FF0976"/>
    <w:rsid w:val="640B4148"/>
    <w:rsid w:val="640D3E00"/>
    <w:rsid w:val="640E501C"/>
    <w:rsid w:val="644D348F"/>
    <w:rsid w:val="64591E34"/>
    <w:rsid w:val="647E5D3F"/>
    <w:rsid w:val="64805613"/>
    <w:rsid w:val="64A96E72"/>
    <w:rsid w:val="64BF4696"/>
    <w:rsid w:val="64FE5D20"/>
    <w:rsid w:val="65031DA0"/>
    <w:rsid w:val="65051FBC"/>
    <w:rsid w:val="650E0E71"/>
    <w:rsid w:val="65121B32"/>
    <w:rsid w:val="651B7C8F"/>
    <w:rsid w:val="65242442"/>
    <w:rsid w:val="652B51EE"/>
    <w:rsid w:val="65323908"/>
    <w:rsid w:val="653308D7"/>
    <w:rsid w:val="654C4C64"/>
    <w:rsid w:val="65574C16"/>
    <w:rsid w:val="656A066E"/>
    <w:rsid w:val="656A1E1F"/>
    <w:rsid w:val="65736B9E"/>
    <w:rsid w:val="65823C65"/>
    <w:rsid w:val="658313F4"/>
    <w:rsid w:val="659333F2"/>
    <w:rsid w:val="65981DC9"/>
    <w:rsid w:val="659A2704"/>
    <w:rsid w:val="65AE3408"/>
    <w:rsid w:val="65C1502B"/>
    <w:rsid w:val="65CC4888"/>
    <w:rsid w:val="65D92444"/>
    <w:rsid w:val="65DF45BB"/>
    <w:rsid w:val="65F71905"/>
    <w:rsid w:val="660109D5"/>
    <w:rsid w:val="66061B48"/>
    <w:rsid w:val="66071552"/>
    <w:rsid w:val="660D2ED6"/>
    <w:rsid w:val="661701F9"/>
    <w:rsid w:val="661803E3"/>
    <w:rsid w:val="66256220"/>
    <w:rsid w:val="662F1EA6"/>
    <w:rsid w:val="66383CCB"/>
    <w:rsid w:val="663C1574"/>
    <w:rsid w:val="664A412A"/>
    <w:rsid w:val="665F4929"/>
    <w:rsid w:val="6678677C"/>
    <w:rsid w:val="668A2779"/>
    <w:rsid w:val="669C130A"/>
    <w:rsid w:val="66A1774D"/>
    <w:rsid w:val="66A82BFF"/>
    <w:rsid w:val="66BC4EBD"/>
    <w:rsid w:val="66C043ED"/>
    <w:rsid w:val="66D653F4"/>
    <w:rsid w:val="66E31E89"/>
    <w:rsid w:val="66F2244D"/>
    <w:rsid w:val="66F87439"/>
    <w:rsid w:val="67082C60"/>
    <w:rsid w:val="67220C03"/>
    <w:rsid w:val="67283D40"/>
    <w:rsid w:val="673B7F17"/>
    <w:rsid w:val="67406A5C"/>
    <w:rsid w:val="67423054"/>
    <w:rsid w:val="674432D5"/>
    <w:rsid w:val="674D79C1"/>
    <w:rsid w:val="675B4115"/>
    <w:rsid w:val="675D7E8D"/>
    <w:rsid w:val="6760469D"/>
    <w:rsid w:val="676517E2"/>
    <w:rsid w:val="67670D0C"/>
    <w:rsid w:val="676A0C1E"/>
    <w:rsid w:val="676F6E46"/>
    <w:rsid w:val="67786A75"/>
    <w:rsid w:val="678278F4"/>
    <w:rsid w:val="67975157"/>
    <w:rsid w:val="67A45E41"/>
    <w:rsid w:val="67A7735B"/>
    <w:rsid w:val="67B975D6"/>
    <w:rsid w:val="67D30150"/>
    <w:rsid w:val="67D55C76"/>
    <w:rsid w:val="67D57485"/>
    <w:rsid w:val="67FA52BC"/>
    <w:rsid w:val="6810519A"/>
    <w:rsid w:val="68195B59"/>
    <w:rsid w:val="68243893"/>
    <w:rsid w:val="682F12D7"/>
    <w:rsid w:val="686F7E78"/>
    <w:rsid w:val="688354E1"/>
    <w:rsid w:val="689E075E"/>
    <w:rsid w:val="68B06C88"/>
    <w:rsid w:val="68E343C2"/>
    <w:rsid w:val="68F726B8"/>
    <w:rsid w:val="68FB69BA"/>
    <w:rsid w:val="69024763"/>
    <w:rsid w:val="69196036"/>
    <w:rsid w:val="69216C99"/>
    <w:rsid w:val="69372BDB"/>
    <w:rsid w:val="69390486"/>
    <w:rsid w:val="6942733B"/>
    <w:rsid w:val="694A4441"/>
    <w:rsid w:val="69610F46"/>
    <w:rsid w:val="69700C8D"/>
    <w:rsid w:val="69863531"/>
    <w:rsid w:val="69BB116B"/>
    <w:rsid w:val="69E24997"/>
    <w:rsid w:val="69E40206"/>
    <w:rsid w:val="69E6795F"/>
    <w:rsid w:val="69E949AA"/>
    <w:rsid w:val="69F0323B"/>
    <w:rsid w:val="69F06D97"/>
    <w:rsid w:val="69FA0761"/>
    <w:rsid w:val="69FB39BE"/>
    <w:rsid w:val="6A1031D1"/>
    <w:rsid w:val="6A2A2D10"/>
    <w:rsid w:val="6A2E5B11"/>
    <w:rsid w:val="6A4315BC"/>
    <w:rsid w:val="6A457745"/>
    <w:rsid w:val="6A494202"/>
    <w:rsid w:val="6A682DD1"/>
    <w:rsid w:val="6A8120E5"/>
    <w:rsid w:val="6A8862C9"/>
    <w:rsid w:val="6A904857"/>
    <w:rsid w:val="6ABD7D4C"/>
    <w:rsid w:val="6AC931FE"/>
    <w:rsid w:val="6ADC731B"/>
    <w:rsid w:val="6ADE7537"/>
    <w:rsid w:val="6AFB1E97"/>
    <w:rsid w:val="6AFD4626"/>
    <w:rsid w:val="6B054AC4"/>
    <w:rsid w:val="6B0A032C"/>
    <w:rsid w:val="6B2C045B"/>
    <w:rsid w:val="6B2C11AC"/>
    <w:rsid w:val="6B535DB3"/>
    <w:rsid w:val="6B572E46"/>
    <w:rsid w:val="6B746EEE"/>
    <w:rsid w:val="6B760935"/>
    <w:rsid w:val="6B881251"/>
    <w:rsid w:val="6B953323"/>
    <w:rsid w:val="6BA047ED"/>
    <w:rsid w:val="6BA75B7B"/>
    <w:rsid w:val="6BBF43C6"/>
    <w:rsid w:val="6BCA74BB"/>
    <w:rsid w:val="6BEC7A32"/>
    <w:rsid w:val="6BEF307E"/>
    <w:rsid w:val="6C0C3C2F"/>
    <w:rsid w:val="6C16685D"/>
    <w:rsid w:val="6C1F5711"/>
    <w:rsid w:val="6C4E4249"/>
    <w:rsid w:val="6C537AB1"/>
    <w:rsid w:val="6C580C23"/>
    <w:rsid w:val="6C8068BA"/>
    <w:rsid w:val="6C84446E"/>
    <w:rsid w:val="6C8A5741"/>
    <w:rsid w:val="6C922387"/>
    <w:rsid w:val="6C9B3261"/>
    <w:rsid w:val="6CA200F0"/>
    <w:rsid w:val="6CA53765"/>
    <w:rsid w:val="6CA95923"/>
    <w:rsid w:val="6CC160A5"/>
    <w:rsid w:val="6CC664D5"/>
    <w:rsid w:val="6CDE53C7"/>
    <w:rsid w:val="6CE16E6B"/>
    <w:rsid w:val="6CEF734A"/>
    <w:rsid w:val="6CF546C4"/>
    <w:rsid w:val="6CFB3AF1"/>
    <w:rsid w:val="6D176D30"/>
    <w:rsid w:val="6D18386D"/>
    <w:rsid w:val="6D193E61"/>
    <w:rsid w:val="6D2C308A"/>
    <w:rsid w:val="6D367056"/>
    <w:rsid w:val="6D400E0B"/>
    <w:rsid w:val="6D481511"/>
    <w:rsid w:val="6D602485"/>
    <w:rsid w:val="6DA02882"/>
    <w:rsid w:val="6DB5165F"/>
    <w:rsid w:val="6DBC3FF9"/>
    <w:rsid w:val="6DC9002B"/>
    <w:rsid w:val="6DD50263"/>
    <w:rsid w:val="6DD644F6"/>
    <w:rsid w:val="6DDB7D5E"/>
    <w:rsid w:val="6DE035C6"/>
    <w:rsid w:val="6DF66946"/>
    <w:rsid w:val="6DFC2975"/>
    <w:rsid w:val="6E076DA5"/>
    <w:rsid w:val="6E0879B1"/>
    <w:rsid w:val="6E144856"/>
    <w:rsid w:val="6E6B2787"/>
    <w:rsid w:val="6E95077A"/>
    <w:rsid w:val="6EBC7C0D"/>
    <w:rsid w:val="6EC802E2"/>
    <w:rsid w:val="6ECB35E8"/>
    <w:rsid w:val="6EE05F40"/>
    <w:rsid w:val="6EE42C42"/>
    <w:rsid w:val="6F07038F"/>
    <w:rsid w:val="6F1C062E"/>
    <w:rsid w:val="6F2B7743"/>
    <w:rsid w:val="6F390C30"/>
    <w:rsid w:val="6F484F7F"/>
    <w:rsid w:val="6F5E0C47"/>
    <w:rsid w:val="6F60676D"/>
    <w:rsid w:val="6F6B1BBA"/>
    <w:rsid w:val="6F765F90"/>
    <w:rsid w:val="6F7E1F94"/>
    <w:rsid w:val="6F836549"/>
    <w:rsid w:val="6F881820"/>
    <w:rsid w:val="6F926644"/>
    <w:rsid w:val="6F9F7F11"/>
    <w:rsid w:val="6FAD2495"/>
    <w:rsid w:val="6FB47FBD"/>
    <w:rsid w:val="6FBE16E5"/>
    <w:rsid w:val="6FDC182B"/>
    <w:rsid w:val="701B0DA6"/>
    <w:rsid w:val="701B6F23"/>
    <w:rsid w:val="701F51F2"/>
    <w:rsid w:val="7024037A"/>
    <w:rsid w:val="702552C0"/>
    <w:rsid w:val="702A0B29"/>
    <w:rsid w:val="702C48A1"/>
    <w:rsid w:val="703F2826"/>
    <w:rsid w:val="705931BC"/>
    <w:rsid w:val="706D2594"/>
    <w:rsid w:val="7086127D"/>
    <w:rsid w:val="708B7819"/>
    <w:rsid w:val="708C3591"/>
    <w:rsid w:val="709A0BC4"/>
    <w:rsid w:val="709D12FB"/>
    <w:rsid w:val="709F3AFD"/>
    <w:rsid w:val="70A24B63"/>
    <w:rsid w:val="70A82A98"/>
    <w:rsid w:val="70AB7EBB"/>
    <w:rsid w:val="70BD0600"/>
    <w:rsid w:val="70C47768"/>
    <w:rsid w:val="70DC62C7"/>
    <w:rsid w:val="70E621FB"/>
    <w:rsid w:val="70EE7DA8"/>
    <w:rsid w:val="70F03B20"/>
    <w:rsid w:val="70F55374"/>
    <w:rsid w:val="710B2708"/>
    <w:rsid w:val="71155335"/>
    <w:rsid w:val="71275759"/>
    <w:rsid w:val="712B4B58"/>
    <w:rsid w:val="713A2FED"/>
    <w:rsid w:val="718C21D5"/>
    <w:rsid w:val="719E59C1"/>
    <w:rsid w:val="71C7296C"/>
    <w:rsid w:val="71D14601"/>
    <w:rsid w:val="71DE1484"/>
    <w:rsid w:val="71E7082E"/>
    <w:rsid w:val="71E82A49"/>
    <w:rsid w:val="72071122"/>
    <w:rsid w:val="72071742"/>
    <w:rsid w:val="721B585C"/>
    <w:rsid w:val="72357033"/>
    <w:rsid w:val="723B1271"/>
    <w:rsid w:val="724779A2"/>
    <w:rsid w:val="7249798C"/>
    <w:rsid w:val="72693B8A"/>
    <w:rsid w:val="72823F46"/>
    <w:rsid w:val="728B1D53"/>
    <w:rsid w:val="728F7B7A"/>
    <w:rsid w:val="72B476B5"/>
    <w:rsid w:val="72C54B39"/>
    <w:rsid w:val="72E96A79"/>
    <w:rsid w:val="72FE3B94"/>
    <w:rsid w:val="732D2E0A"/>
    <w:rsid w:val="73397A01"/>
    <w:rsid w:val="734168B5"/>
    <w:rsid w:val="73441F01"/>
    <w:rsid w:val="7349576A"/>
    <w:rsid w:val="73610D05"/>
    <w:rsid w:val="739F299E"/>
    <w:rsid w:val="73A34E7A"/>
    <w:rsid w:val="73B01E4B"/>
    <w:rsid w:val="73BC418E"/>
    <w:rsid w:val="73E94496"/>
    <w:rsid w:val="73FF57AE"/>
    <w:rsid w:val="74130AE8"/>
    <w:rsid w:val="74381A66"/>
    <w:rsid w:val="74443CD1"/>
    <w:rsid w:val="74454183"/>
    <w:rsid w:val="744974A0"/>
    <w:rsid w:val="746C0889"/>
    <w:rsid w:val="74737FFE"/>
    <w:rsid w:val="74B15375"/>
    <w:rsid w:val="74C06141"/>
    <w:rsid w:val="74CC7A87"/>
    <w:rsid w:val="74D13C69"/>
    <w:rsid w:val="74DD616A"/>
    <w:rsid w:val="74F073C7"/>
    <w:rsid w:val="74F80580"/>
    <w:rsid w:val="752C32FA"/>
    <w:rsid w:val="753F5076"/>
    <w:rsid w:val="754C286D"/>
    <w:rsid w:val="75535D0D"/>
    <w:rsid w:val="757F6816"/>
    <w:rsid w:val="75AE302D"/>
    <w:rsid w:val="75B00DA7"/>
    <w:rsid w:val="75BE5F9B"/>
    <w:rsid w:val="75C630A2"/>
    <w:rsid w:val="75C9401B"/>
    <w:rsid w:val="75DC4D0C"/>
    <w:rsid w:val="75E654F2"/>
    <w:rsid w:val="761C08FD"/>
    <w:rsid w:val="76366479"/>
    <w:rsid w:val="76391AC6"/>
    <w:rsid w:val="764C3F15"/>
    <w:rsid w:val="766A7EC3"/>
    <w:rsid w:val="766C390F"/>
    <w:rsid w:val="76A00FB7"/>
    <w:rsid w:val="76AA1C34"/>
    <w:rsid w:val="76CA6BC2"/>
    <w:rsid w:val="76D17F50"/>
    <w:rsid w:val="76EC2CDC"/>
    <w:rsid w:val="76F70CB7"/>
    <w:rsid w:val="770B5EB1"/>
    <w:rsid w:val="7728483D"/>
    <w:rsid w:val="775F730A"/>
    <w:rsid w:val="77674410"/>
    <w:rsid w:val="778D1204"/>
    <w:rsid w:val="778F4829"/>
    <w:rsid w:val="77BC650A"/>
    <w:rsid w:val="77CC1AAF"/>
    <w:rsid w:val="77D93560"/>
    <w:rsid w:val="77DE3442"/>
    <w:rsid w:val="77E15385"/>
    <w:rsid w:val="78056103"/>
    <w:rsid w:val="78322C70"/>
    <w:rsid w:val="785250C1"/>
    <w:rsid w:val="786E54E1"/>
    <w:rsid w:val="78767001"/>
    <w:rsid w:val="78774B27"/>
    <w:rsid w:val="78786727"/>
    <w:rsid w:val="78801C2E"/>
    <w:rsid w:val="7896095C"/>
    <w:rsid w:val="78AD314C"/>
    <w:rsid w:val="78BB2C66"/>
    <w:rsid w:val="78C034AA"/>
    <w:rsid w:val="78C34651"/>
    <w:rsid w:val="78CD68DC"/>
    <w:rsid w:val="78CF599E"/>
    <w:rsid w:val="78D41F79"/>
    <w:rsid w:val="78DD2BDC"/>
    <w:rsid w:val="78E22D0F"/>
    <w:rsid w:val="791D1542"/>
    <w:rsid w:val="7943763C"/>
    <w:rsid w:val="795D275F"/>
    <w:rsid w:val="796E5F2A"/>
    <w:rsid w:val="79921C19"/>
    <w:rsid w:val="79A731EA"/>
    <w:rsid w:val="79D833A4"/>
    <w:rsid w:val="79DF4732"/>
    <w:rsid w:val="79E24222"/>
    <w:rsid w:val="79F20909"/>
    <w:rsid w:val="79F23DFF"/>
    <w:rsid w:val="79F77CCE"/>
    <w:rsid w:val="7A010B4C"/>
    <w:rsid w:val="7A080AFF"/>
    <w:rsid w:val="7A0D74F1"/>
    <w:rsid w:val="7A26770A"/>
    <w:rsid w:val="7A301431"/>
    <w:rsid w:val="7A3859C3"/>
    <w:rsid w:val="7A547CF7"/>
    <w:rsid w:val="7A594A27"/>
    <w:rsid w:val="7A670D6C"/>
    <w:rsid w:val="7A730598"/>
    <w:rsid w:val="7A747570"/>
    <w:rsid w:val="7A772BBC"/>
    <w:rsid w:val="7A7B26AD"/>
    <w:rsid w:val="7A8D0632"/>
    <w:rsid w:val="7A9D627D"/>
    <w:rsid w:val="7AA43575"/>
    <w:rsid w:val="7AAF2356"/>
    <w:rsid w:val="7AB43D46"/>
    <w:rsid w:val="7AC04563"/>
    <w:rsid w:val="7AD973D3"/>
    <w:rsid w:val="7B0B276E"/>
    <w:rsid w:val="7B0C250C"/>
    <w:rsid w:val="7B205002"/>
    <w:rsid w:val="7B22521E"/>
    <w:rsid w:val="7B227F5D"/>
    <w:rsid w:val="7B29241F"/>
    <w:rsid w:val="7B3B169A"/>
    <w:rsid w:val="7B403A09"/>
    <w:rsid w:val="7B5E6E40"/>
    <w:rsid w:val="7B656EB9"/>
    <w:rsid w:val="7B690757"/>
    <w:rsid w:val="7B6E0463"/>
    <w:rsid w:val="7B71585E"/>
    <w:rsid w:val="7B755C7A"/>
    <w:rsid w:val="7B875081"/>
    <w:rsid w:val="7B893390"/>
    <w:rsid w:val="7B8E4662"/>
    <w:rsid w:val="7B963516"/>
    <w:rsid w:val="7B9A3006"/>
    <w:rsid w:val="7B9C3FC0"/>
    <w:rsid w:val="7BC11AA2"/>
    <w:rsid w:val="7BD71231"/>
    <w:rsid w:val="7BE14BE3"/>
    <w:rsid w:val="7BF2699E"/>
    <w:rsid w:val="7C10151B"/>
    <w:rsid w:val="7C176405"/>
    <w:rsid w:val="7C1E59E5"/>
    <w:rsid w:val="7C2A7CC7"/>
    <w:rsid w:val="7C5B389B"/>
    <w:rsid w:val="7C601EE9"/>
    <w:rsid w:val="7C6B6751"/>
    <w:rsid w:val="7C7C095E"/>
    <w:rsid w:val="7C8141C6"/>
    <w:rsid w:val="7C8E3DDA"/>
    <w:rsid w:val="7CA12173"/>
    <w:rsid w:val="7CB1500B"/>
    <w:rsid w:val="7CC035C4"/>
    <w:rsid w:val="7CD76053"/>
    <w:rsid w:val="7CE34539"/>
    <w:rsid w:val="7CEE4F92"/>
    <w:rsid w:val="7CF11B65"/>
    <w:rsid w:val="7CF60710"/>
    <w:rsid w:val="7CF93D5D"/>
    <w:rsid w:val="7CFD4C58"/>
    <w:rsid w:val="7D060228"/>
    <w:rsid w:val="7D16490F"/>
    <w:rsid w:val="7D1739BB"/>
    <w:rsid w:val="7D2A690E"/>
    <w:rsid w:val="7D3D4B76"/>
    <w:rsid w:val="7D4551F4"/>
    <w:rsid w:val="7D5232A5"/>
    <w:rsid w:val="7D5D078F"/>
    <w:rsid w:val="7D6B2EAC"/>
    <w:rsid w:val="7D8E0949"/>
    <w:rsid w:val="7D9B4E14"/>
    <w:rsid w:val="7DA550A9"/>
    <w:rsid w:val="7DAA5057"/>
    <w:rsid w:val="7DC4436B"/>
    <w:rsid w:val="7DCA7E7E"/>
    <w:rsid w:val="7DCB56F9"/>
    <w:rsid w:val="7DD369A2"/>
    <w:rsid w:val="7DE22A43"/>
    <w:rsid w:val="7DF10ED8"/>
    <w:rsid w:val="7E115E8E"/>
    <w:rsid w:val="7E21356B"/>
    <w:rsid w:val="7E4A0AE0"/>
    <w:rsid w:val="7E526461"/>
    <w:rsid w:val="7E633B84"/>
    <w:rsid w:val="7E747B3F"/>
    <w:rsid w:val="7EB048EF"/>
    <w:rsid w:val="7EB8613D"/>
    <w:rsid w:val="7EC05102"/>
    <w:rsid w:val="7EEB5927"/>
    <w:rsid w:val="7EED71F8"/>
    <w:rsid w:val="7EEE2D18"/>
    <w:rsid w:val="7F072F79"/>
    <w:rsid w:val="7F2C21C7"/>
    <w:rsid w:val="7F3C5156"/>
    <w:rsid w:val="7F4C4463"/>
    <w:rsid w:val="7F4E66AC"/>
    <w:rsid w:val="7F517E80"/>
    <w:rsid w:val="7F5D4A77"/>
    <w:rsid w:val="7F610B64"/>
    <w:rsid w:val="7F6A2CF0"/>
    <w:rsid w:val="7F6F3664"/>
    <w:rsid w:val="7FAE7080"/>
    <w:rsid w:val="7FBD085D"/>
    <w:rsid w:val="7FC00B62"/>
    <w:rsid w:val="7FC40652"/>
    <w:rsid w:val="7FD5285F"/>
    <w:rsid w:val="7FE46423"/>
    <w:rsid w:val="7FF627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ocked="1"/>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2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8"/>
    <w:qFormat/>
    <w:uiPriority w:val="99"/>
    <w:pPr>
      <w:keepNext/>
      <w:keepLines/>
      <w:spacing w:line="360" w:lineRule="auto"/>
      <w:outlineLvl w:val="1"/>
    </w:pPr>
    <w:rPr>
      <w:rFonts w:ascii="Cambria" w:hAnsi="Cambria" w:cs="Cambria"/>
      <w:b/>
      <w:bCs/>
      <w:kern w:val="0"/>
      <w:sz w:val="32"/>
      <w:szCs w:val="32"/>
    </w:rPr>
  </w:style>
  <w:style w:type="paragraph" w:styleId="4">
    <w:name w:val="heading 3"/>
    <w:basedOn w:val="1"/>
    <w:next w:val="1"/>
    <w:link w:val="39"/>
    <w:qFormat/>
    <w:uiPriority w:val="99"/>
    <w:pPr>
      <w:keepNext/>
      <w:keepLines/>
      <w:outlineLvl w:val="2"/>
    </w:pPr>
    <w:rPr>
      <w:b/>
      <w:bCs/>
      <w:kern w:val="0"/>
      <w:sz w:val="32"/>
      <w:szCs w:val="32"/>
    </w:rPr>
  </w:style>
  <w:style w:type="paragraph" w:styleId="5">
    <w:name w:val="heading 4"/>
    <w:basedOn w:val="1"/>
    <w:next w:val="1"/>
    <w:link w:val="40"/>
    <w:qFormat/>
    <w:locked/>
    <w:uiPriority w:val="99"/>
    <w:pPr>
      <w:keepNext/>
      <w:keepLines/>
      <w:spacing w:before="280" w:after="290" w:line="376" w:lineRule="auto"/>
      <w:outlineLvl w:val="3"/>
    </w:pPr>
    <w:rPr>
      <w:rFonts w:ascii="Cambria" w:hAnsi="Cambria" w:cs="Cambria"/>
      <w:b/>
      <w:bCs/>
      <w:sz w:val="28"/>
      <w:szCs w:val="28"/>
    </w:rPr>
  </w:style>
  <w:style w:type="paragraph" w:styleId="6">
    <w:name w:val="heading 5"/>
    <w:basedOn w:val="1"/>
    <w:next w:val="1"/>
    <w:link w:val="41"/>
    <w:qFormat/>
    <w:locked/>
    <w:uiPriority w:val="99"/>
    <w:pPr>
      <w:keepNext/>
      <w:keepLines/>
      <w:spacing w:before="280" w:after="290" w:line="376" w:lineRule="auto"/>
      <w:outlineLvl w:val="4"/>
    </w:pPr>
    <w:rPr>
      <w:b/>
      <w:bCs/>
      <w:sz w:val="28"/>
      <w:szCs w:val="28"/>
    </w:rPr>
  </w:style>
  <w:style w:type="paragraph" w:styleId="7">
    <w:name w:val="heading 6"/>
    <w:basedOn w:val="1"/>
    <w:next w:val="1"/>
    <w:link w:val="42"/>
    <w:qFormat/>
    <w:locked/>
    <w:uiPriority w:val="99"/>
    <w:pPr>
      <w:keepNext/>
      <w:keepLines/>
      <w:spacing w:before="240" w:after="64" w:line="320" w:lineRule="auto"/>
      <w:outlineLvl w:val="5"/>
    </w:pPr>
    <w:rPr>
      <w:rFonts w:ascii="Cambria" w:hAnsi="Cambria" w:cs="Cambria"/>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next w:val="1"/>
    <w:qFormat/>
    <w:uiPriority w:val="99"/>
    <w:pPr>
      <w:ind w:firstLine="488"/>
    </w:pPr>
  </w:style>
  <w:style w:type="paragraph" w:styleId="10">
    <w:name w:val="caption"/>
    <w:basedOn w:val="1"/>
    <w:next w:val="1"/>
    <w:qFormat/>
    <w:locked/>
    <w:uiPriority w:val="99"/>
    <w:rPr>
      <w:rFonts w:ascii="Arial" w:hAnsi="Arial" w:eastAsia="黑体" w:cs="Arial"/>
      <w:kern w:val="0"/>
      <w:sz w:val="20"/>
      <w:szCs w:val="20"/>
    </w:rPr>
  </w:style>
  <w:style w:type="paragraph" w:styleId="11">
    <w:name w:val="annotation text"/>
    <w:basedOn w:val="1"/>
    <w:link w:val="45"/>
    <w:semiHidden/>
    <w:qFormat/>
    <w:uiPriority w:val="99"/>
    <w:pPr>
      <w:jc w:val="left"/>
    </w:pPr>
    <w:rPr>
      <w:sz w:val="24"/>
      <w:szCs w:val="24"/>
    </w:rPr>
  </w:style>
  <w:style w:type="paragraph" w:styleId="12">
    <w:name w:val="Body Text"/>
    <w:basedOn w:val="1"/>
    <w:next w:val="13"/>
    <w:link w:val="43"/>
    <w:qFormat/>
    <w:uiPriority w:val="99"/>
    <w:pPr>
      <w:spacing w:after="120"/>
    </w:pPr>
    <w:rPr>
      <w:kern w:val="0"/>
      <w:sz w:val="24"/>
      <w:szCs w:val="24"/>
    </w:rPr>
  </w:style>
  <w:style w:type="paragraph" w:styleId="13">
    <w:name w:val="Body Text First Indent"/>
    <w:basedOn w:val="12"/>
    <w:next w:val="14"/>
    <w:link w:val="44"/>
    <w:qFormat/>
    <w:uiPriority w:val="99"/>
    <w:pPr>
      <w:ind w:firstLine="420" w:firstLineChars="100"/>
    </w:pPr>
    <w:rPr>
      <w:rFonts w:ascii="Times New Roman" w:hAnsi="Times New Roman" w:cs="Times New Roman"/>
      <w:sz w:val="21"/>
      <w:szCs w:val="21"/>
    </w:rPr>
  </w:style>
  <w:style w:type="paragraph" w:styleId="14">
    <w:name w:val="toc 6"/>
    <w:basedOn w:val="1"/>
    <w:next w:val="1"/>
    <w:unhideWhenUsed/>
    <w:qFormat/>
    <w:uiPriority w:val="0"/>
    <w:pPr>
      <w:ind w:left="2100" w:leftChars="1000"/>
    </w:pPr>
  </w:style>
  <w:style w:type="paragraph" w:styleId="15">
    <w:name w:val="Body Text Indent"/>
    <w:basedOn w:val="1"/>
    <w:next w:val="1"/>
    <w:link w:val="46"/>
    <w:qFormat/>
    <w:uiPriority w:val="99"/>
    <w:pPr>
      <w:spacing w:line="480" w:lineRule="exact"/>
      <w:ind w:firstLine="570"/>
    </w:pPr>
    <w:rPr>
      <w:kern w:val="0"/>
      <w:sz w:val="20"/>
      <w:szCs w:val="20"/>
    </w:rPr>
  </w:style>
  <w:style w:type="paragraph" w:styleId="16">
    <w:name w:val="List 2"/>
    <w:basedOn w:val="1"/>
    <w:qFormat/>
    <w:uiPriority w:val="99"/>
    <w:pPr>
      <w:ind w:left="840" w:hanging="420"/>
    </w:pPr>
  </w:style>
  <w:style w:type="paragraph" w:styleId="17">
    <w:name w:val="Plain Text"/>
    <w:basedOn w:val="1"/>
    <w:next w:val="1"/>
    <w:link w:val="47"/>
    <w:qFormat/>
    <w:uiPriority w:val="99"/>
    <w:rPr>
      <w:rFonts w:ascii="宋体" w:hAnsi="Courier New" w:cs="宋体"/>
      <w:kern w:val="0"/>
      <w:sz w:val="20"/>
      <w:szCs w:val="20"/>
    </w:rPr>
  </w:style>
  <w:style w:type="paragraph" w:styleId="18">
    <w:name w:val="Body Text Indent 2"/>
    <w:basedOn w:val="1"/>
    <w:link w:val="48"/>
    <w:qFormat/>
    <w:uiPriority w:val="99"/>
    <w:pPr>
      <w:snapToGrid w:val="0"/>
      <w:ind w:firstLine="542" w:firstLineChars="225"/>
    </w:pPr>
    <w:rPr>
      <w:kern w:val="0"/>
      <w:sz w:val="20"/>
      <w:szCs w:val="20"/>
    </w:rPr>
  </w:style>
  <w:style w:type="paragraph" w:styleId="19">
    <w:name w:val="Balloon Text"/>
    <w:basedOn w:val="1"/>
    <w:link w:val="49"/>
    <w:semiHidden/>
    <w:qFormat/>
    <w:uiPriority w:val="99"/>
    <w:rPr>
      <w:sz w:val="18"/>
      <w:szCs w:val="18"/>
    </w:rPr>
  </w:style>
  <w:style w:type="paragraph" w:styleId="20">
    <w:name w:val="footer"/>
    <w:basedOn w:val="1"/>
    <w:link w:val="50"/>
    <w:qFormat/>
    <w:uiPriority w:val="99"/>
    <w:pPr>
      <w:widowControl/>
      <w:tabs>
        <w:tab w:val="center" w:pos="4153"/>
        <w:tab w:val="right" w:pos="8306"/>
      </w:tabs>
      <w:overflowPunct w:val="0"/>
      <w:autoSpaceDE w:val="0"/>
      <w:autoSpaceDN w:val="0"/>
      <w:adjustRightInd w:val="0"/>
      <w:textAlignment w:val="baseline"/>
    </w:pPr>
    <w:rPr>
      <w:kern w:val="0"/>
      <w:sz w:val="18"/>
      <w:szCs w:val="18"/>
    </w:rPr>
  </w:style>
  <w:style w:type="paragraph" w:styleId="21">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2">
    <w:name w:val="Normal (Web)"/>
    <w:basedOn w:val="1"/>
    <w:qFormat/>
    <w:uiPriority w:val="99"/>
    <w:pPr>
      <w:spacing w:before="100" w:beforeAutospacing="1" w:after="100" w:afterAutospacing="1"/>
      <w:jc w:val="left"/>
    </w:pPr>
    <w:rPr>
      <w:kern w:val="0"/>
      <w:sz w:val="24"/>
      <w:szCs w:val="24"/>
    </w:rPr>
  </w:style>
  <w:style w:type="paragraph" w:styleId="23">
    <w:name w:val="Title"/>
    <w:basedOn w:val="1"/>
    <w:next w:val="1"/>
    <w:qFormat/>
    <w:locked/>
    <w:uiPriority w:val="0"/>
    <w:pPr>
      <w:spacing w:before="240" w:after="60"/>
      <w:jc w:val="center"/>
      <w:outlineLvl w:val="0"/>
    </w:pPr>
    <w:rPr>
      <w:rFonts w:ascii="Cambria" w:hAnsi="Cambria"/>
      <w:b/>
      <w:bCs/>
      <w:sz w:val="32"/>
      <w:szCs w:val="32"/>
    </w:rPr>
  </w:style>
  <w:style w:type="table" w:styleId="25">
    <w:name w:val="Table Grid"/>
    <w:basedOn w:val="24"/>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style>
  <w:style w:type="character" w:styleId="28">
    <w:name w:val="page number"/>
    <w:basedOn w:val="26"/>
    <w:qFormat/>
    <w:uiPriority w:val="99"/>
  </w:style>
  <w:style w:type="character" w:styleId="29">
    <w:name w:val="FollowedHyperlink"/>
    <w:unhideWhenUsed/>
    <w:qFormat/>
    <w:uiPriority w:val="0"/>
    <w:rPr>
      <w:color w:val="3177FD"/>
      <w:u w:val="none"/>
    </w:rPr>
  </w:style>
  <w:style w:type="character" w:styleId="30">
    <w:name w:val="HTML Definition"/>
    <w:unhideWhenUsed/>
    <w:qFormat/>
    <w:uiPriority w:val="0"/>
    <w:rPr>
      <w:i/>
    </w:rPr>
  </w:style>
  <w:style w:type="character" w:styleId="31">
    <w:name w:val="Hyperlink"/>
    <w:qFormat/>
    <w:uiPriority w:val="99"/>
    <w:rPr>
      <w:color w:val="3177FD"/>
      <w:u w:val="none"/>
    </w:rPr>
  </w:style>
  <w:style w:type="character" w:styleId="32">
    <w:name w:val="HTML Code"/>
    <w:unhideWhenUsed/>
    <w:qFormat/>
    <w:uiPriority w:val="0"/>
    <w:rPr>
      <w:rFonts w:ascii="Consolas" w:hAnsi="Consolas" w:eastAsia="Consolas" w:cs="Consolas"/>
      <w:sz w:val="21"/>
      <w:szCs w:val="21"/>
    </w:rPr>
  </w:style>
  <w:style w:type="character" w:styleId="33">
    <w:name w:val="annotation reference"/>
    <w:semiHidden/>
    <w:qFormat/>
    <w:uiPriority w:val="99"/>
    <w:rPr>
      <w:sz w:val="21"/>
      <w:szCs w:val="21"/>
    </w:rPr>
  </w:style>
  <w:style w:type="character" w:styleId="34">
    <w:name w:val="HTML Keyboard"/>
    <w:unhideWhenUsed/>
    <w:qFormat/>
    <w:uiPriority w:val="0"/>
    <w:rPr>
      <w:rFonts w:hint="default" w:ascii="Consolas" w:hAnsi="Consolas" w:eastAsia="Consolas" w:cs="Consolas"/>
      <w:sz w:val="21"/>
      <w:szCs w:val="21"/>
    </w:rPr>
  </w:style>
  <w:style w:type="character" w:styleId="35">
    <w:name w:val="HTML Sample"/>
    <w:unhideWhenUsed/>
    <w:qFormat/>
    <w:uiPriority w:val="0"/>
    <w:rPr>
      <w:rFonts w:hint="default" w:ascii="Consolas" w:hAnsi="Consolas" w:eastAsia="Consolas" w:cs="Consolas"/>
      <w:sz w:val="21"/>
      <w:szCs w:val="21"/>
    </w:rPr>
  </w:style>
  <w:style w:type="paragraph" w:customStyle="1" w:styleId="36">
    <w:name w:val="表格文字"/>
    <w:basedOn w:val="1"/>
    <w:next w:val="12"/>
    <w:qFormat/>
    <w:uiPriority w:val="0"/>
    <w:pPr>
      <w:ind w:firstLine="200" w:firstLineChars="200"/>
    </w:pPr>
    <w:rPr>
      <w:rFonts w:ascii="Arial" w:hAnsi="Arial"/>
      <w:spacing w:val="-5"/>
      <w:kern w:val="0"/>
      <w:sz w:val="24"/>
      <w:szCs w:val="20"/>
    </w:rPr>
  </w:style>
  <w:style w:type="character" w:customStyle="1" w:styleId="37">
    <w:name w:val="Heading 1 Char"/>
    <w:qFormat/>
    <w:locked/>
    <w:uiPriority w:val="99"/>
    <w:rPr>
      <w:rFonts w:eastAsia="宋体"/>
      <w:b/>
      <w:bCs/>
      <w:kern w:val="44"/>
      <w:sz w:val="44"/>
      <w:szCs w:val="44"/>
      <w:lang w:val="en-US" w:eastAsia="zh-CN"/>
    </w:rPr>
  </w:style>
  <w:style w:type="character" w:customStyle="1" w:styleId="38">
    <w:name w:val="标题 2 Char"/>
    <w:link w:val="3"/>
    <w:semiHidden/>
    <w:qFormat/>
    <w:locked/>
    <w:uiPriority w:val="99"/>
    <w:rPr>
      <w:rFonts w:ascii="Cambria" w:hAnsi="Cambria" w:eastAsia="宋体" w:cs="Cambria"/>
      <w:b/>
      <w:bCs/>
      <w:sz w:val="32"/>
      <w:szCs w:val="32"/>
    </w:rPr>
  </w:style>
  <w:style w:type="character" w:customStyle="1" w:styleId="39">
    <w:name w:val="标题 3 Char"/>
    <w:link w:val="4"/>
    <w:semiHidden/>
    <w:qFormat/>
    <w:locked/>
    <w:uiPriority w:val="99"/>
    <w:rPr>
      <w:rFonts w:ascii="Calibri" w:hAnsi="Calibri" w:cs="Calibri"/>
      <w:b/>
      <w:bCs/>
      <w:sz w:val="32"/>
      <w:szCs w:val="32"/>
    </w:rPr>
  </w:style>
  <w:style w:type="character" w:customStyle="1" w:styleId="40">
    <w:name w:val="标题 4 Char"/>
    <w:link w:val="5"/>
    <w:semiHidden/>
    <w:qFormat/>
    <w:locked/>
    <w:uiPriority w:val="99"/>
    <w:rPr>
      <w:rFonts w:ascii="Cambria" w:hAnsi="Cambria" w:eastAsia="宋体" w:cs="Cambria"/>
      <w:b/>
      <w:bCs/>
      <w:kern w:val="2"/>
      <w:sz w:val="28"/>
      <w:szCs w:val="28"/>
    </w:rPr>
  </w:style>
  <w:style w:type="character" w:customStyle="1" w:styleId="41">
    <w:name w:val="标题 5 Char"/>
    <w:link w:val="6"/>
    <w:semiHidden/>
    <w:qFormat/>
    <w:locked/>
    <w:uiPriority w:val="99"/>
    <w:rPr>
      <w:rFonts w:ascii="Calibri" w:hAnsi="Calibri" w:cs="Calibri"/>
      <w:b/>
      <w:bCs/>
      <w:kern w:val="2"/>
      <w:sz w:val="28"/>
      <w:szCs w:val="28"/>
    </w:rPr>
  </w:style>
  <w:style w:type="character" w:customStyle="1" w:styleId="42">
    <w:name w:val="标题 6 Char"/>
    <w:link w:val="7"/>
    <w:semiHidden/>
    <w:qFormat/>
    <w:locked/>
    <w:uiPriority w:val="99"/>
    <w:rPr>
      <w:rFonts w:ascii="Cambria" w:hAnsi="Cambria" w:eastAsia="宋体" w:cs="Cambria"/>
      <w:b/>
      <w:bCs/>
      <w:kern w:val="2"/>
      <w:sz w:val="24"/>
      <w:szCs w:val="24"/>
    </w:rPr>
  </w:style>
  <w:style w:type="character" w:customStyle="1" w:styleId="43">
    <w:name w:val="正文文本 Char"/>
    <w:link w:val="12"/>
    <w:semiHidden/>
    <w:qFormat/>
    <w:locked/>
    <w:uiPriority w:val="99"/>
    <w:rPr>
      <w:rFonts w:ascii="Calibri" w:hAnsi="Calibri" w:cs="Calibri"/>
      <w:sz w:val="24"/>
      <w:szCs w:val="24"/>
    </w:rPr>
  </w:style>
  <w:style w:type="character" w:customStyle="1" w:styleId="44">
    <w:name w:val="正文首行缩进 Char"/>
    <w:link w:val="13"/>
    <w:semiHidden/>
    <w:qFormat/>
    <w:uiPriority w:val="99"/>
    <w:rPr>
      <w:rFonts w:ascii="Calibri" w:hAnsi="Calibri" w:cs="Calibri"/>
      <w:sz w:val="24"/>
      <w:szCs w:val="21"/>
    </w:rPr>
  </w:style>
  <w:style w:type="character" w:customStyle="1" w:styleId="45">
    <w:name w:val="批注文字 Char"/>
    <w:link w:val="11"/>
    <w:semiHidden/>
    <w:qFormat/>
    <w:locked/>
    <w:uiPriority w:val="99"/>
    <w:rPr>
      <w:rFonts w:ascii="Calibri" w:hAnsi="Calibri" w:cs="Calibri"/>
      <w:kern w:val="2"/>
      <w:sz w:val="24"/>
      <w:szCs w:val="24"/>
    </w:rPr>
  </w:style>
  <w:style w:type="character" w:customStyle="1" w:styleId="46">
    <w:name w:val="正文文本缩进 Char"/>
    <w:link w:val="15"/>
    <w:semiHidden/>
    <w:qFormat/>
    <w:locked/>
    <w:uiPriority w:val="99"/>
    <w:rPr>
      <w:rFonts w:ascii="Calibri" w:hAnsi="Calibri" w:cs="Calibri"/>
      <w:sz w:val="24"/>
      <w:szCs w:val="24"/>
    </w:rPr>
  </w:style>
  <w:style w:type="character" w:customStyle="1" w:styleId="47">
    <w:name w:val="纯文本 Char1"/>
    <w:link w:val="17"/>
    <w:semiHidden/>
    <w:qFormat/>
    <w:locked/>
    <w:uiPriority w:val="99"/>
    <w:rPr>
      <w:rFonts w:ascii="宋体" w:hAnsi="Courier New" w:cs="宋体"/>
      <w:sz w:val="21"/>
      <w:szCs w:val="21"/>
    </w:rPr>
  </w:style>
  <w:style w:type="character" w:customStyle="1" w:styleId="48">
    <w:name w:val="正文文本缩进 2 Char"/>
    <w:link w:val="18"/>
    <w:semiHidden/>
    <w:qFormat/>
    <w:locked/>
    <w:uiPriority w:val="99"/>
    <w:rPr>
      <w:rFonts w:ascii="Calibri" w:hAnsi="Calibri" w:cs="Calibri"/>
      <w:sz w:val="24"/>
      <w:szCs w:val="24"/>
    </w:rPr>
  </w:style>
  <w:style w:type="character" w:customStyle="1" w:styleId="49">
    <w:name w:val="批注框文本 Char1"/>
    <w:link w:val="19"/>
    <w:qFormat/>
    <w:locked/>
    <w:uiPriority w:val="99"/>
    <w:rPr>
      <w:rFonts w:ascii="Calibri" w:hAnsi="Calibri" w:cs="Calibri"/>
      <w:kern w:val="2"/>
      <w:sz w:val="18"/>
      <w:szCs w:val="18"/>
    </w:rPr>
  </w:style>
  <w:style w:type="character" w:customStyle="1" w:styleId="50">
    <w:name w:val="页脚 Char"/>
    <w:link w:val="20"/>
    <w:semiHidden/>
    <w:qFormat/>
    <w:locked/>
    <w:uiPriority w:val="99"/>
    <w:rPr>
      <w:rFonts w:ascii="Calibri" w:hAnsi="Calibri" w:cs="Calibri"/>
      <w:sz w:val="18"/>
      <w:szCs w:val="18"/>
    </w:rPr>
  </w:style>
  <w:style w:type="character" w:customStyle="1" w:styleId="51">
    <w:name w:val="页眉 Char"/>
    <w:link w:val="21"/>
    <w:semiHidden/>
    <w:qFormat/>
    <w:locked/>
    <w:uiPriority w:val="99"/>
    <w:rPr>
      <w:rFonts w:ascii="Calibri" w:hAnsi="Calibri" w:cs="Calibri"/>
      <w:sz w:val="18"/>
      <w:szCs w:val="18"/>
    </w:rPr>
  </w:style>
  <w:style w:type="paragraph" w:customStyle="1" w:styleId="52">
    <w:name w:val="正文（首行缩进2字符）"/>
    <w:basedOn w:val="1"/>
    <w:qFormat/>
    <w:uiPriority w:val="99"/>
    <w:pPr>
      <w:spacing w:line="360" w:lineRule="auto"/>
      <w:ind w:firstLine="420" w:firstLineChars="200"/>
    </w:pPr>
  </w:style>
  <w:style w:type="character" w:customStyle="1" w:styleId="53">
    <w:name w:val="标题 1 Char"/>
    <w:link w:val="2"/>
    <w:qFormat/>
    <w:locked/>
    <w:uiPriority w:val="99"/>
    <w:rPr>
      <w:rFonts w:ascii="Calibri" w:hAnsi="Calibri" w:cs="Calibri"/>
      <w:b/>
      <w:bCs/>
      <w:kern w:val="44"/>
      <w:sz w:val="44"/>
      <w:szCs w:val="44"/>
    </w:rPr>
  </w:style>
  <w:style w:type="character" w:customStyle="1" w:styleId="54">
    <w:name w:val="批注主题 Char"/>
    <w:link w:val="55"/>
    <w:semiHidden/>
    <w:qFormat/>
    <w:locked/>
    <w:uiPriority w:val="99"/>
    <w:rPr>
      <w:rFonts w:ascii="Calibri" w:hAnsi="Calibri" w:cs="Calibri"/>
      <w:b/>
      <w:bCs/>
      <w:kern w:val="2"/>
      <w:sz w:val="24"/>
      <w:szCs w:val="24"/>
    </w:rPr>
  </w:style>
  <w:style w:type="paragraph" w:customStyle="1" w:styleId="55">
    <w:name w:val="批注主题1"/>
    <w:basedOn w:val="11"/>
    <w:next w:val="11"/>
    <w:link w:val="54"/>
    <w:qFormat/>
    <w:uiPriority w:val="99"/>
    <w:rPr>
      <w:b/>
      <w:bCs/>
    </w:rPr>
  </w:style>
  <w:style w:type="character" w:customStyle="1" w:styleId="56">
    <w:name w:val="纯文本 Char"/>
    <w:link w:val="57"/>
    <w:semiHidden/>
    <w:qFormat/>
    <w:locked/>
    <w:uiPriority w:val="99"/>
    <w:rPr>
      <w:rFonts w:ascii="宋体" w:hAnsi="Courier New" w:eastAsia="Times New Roman" w:cs="宋体"/>
      <w:kern w:val="2"/>
      <w:sz w:val="24"/>
      <w:szCs w:val="24"/>
    </w:rPr>
  </w:style>
  <w:style w:type="paragraph" w:customStyle="1" w:styleId="57">
    <w:name w:val="纯文本1"/>
    <w:basedOn w:val="58"/>
    <w:link w:val="56"/>
    <w:qFormat/>
    <w:uiPriority w:val="99"/>
    <w:pPr>
      <w:spacing w:beforeLines="50" w:afterLines="50" w:line="400" w:lineRule="exact"/>
    </w:pPr>
    <w:rPr>
      <w:rFonts w:ascii="宋体" w:hAnsi="Courier New" w:eastAsia="Times New Roman" w:cs="宋体"/>
      <w:sz w:val="24"/>
      <w:szCs w:val="24"/>
    </w:rPr>
  </w:style>
  <w:style w:type="paragraph" w:customStyle="1" w:styleId="58">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9">
    <w:name w:val="批注框文本 Char"/>
    <w:link w:val="60"/>
    <w:semiHidden/>
    <w:qFormat/>
    <w:locked/>
    <w:uiPriority w:val="99"/>
    <w:rPr>
      <w:rFonts w:ascii="Calibri" w:hAnsi="Calibri" w:cs="Calibri"/>
      <w:kern w:val="2"/>
      <w:sz w:val="18"/>
      <w:szCs w:val="18"/>
    </w:rPr>
  </w:style>
  <w:style w:type="paragraph" w:customStyle="1" w:styleId="60">
    <w:name w:val="批注框文本1"/>
    <w:basedOn w:val="1"/>
    <w:link w:val="59"/>
    <w:qFormat/>
    <w:uiPriority w:val="99"/>
    <w:rPr>
      <w:sz w:val="18"/>
      <w:szCs w:val="18"/>
    </w:rPr>
  </w:style>
  <w:style w:type="paragraph" w:customStyle="1" w:styleId="61">
    <w:name w:val="正文文本缩进1"/>
    <w:basedOn w:val="1"/>
    <w:qFormat/>
    <w:uiPriority w:val="99"/>
    <w:pPr>
      <w:spacing w:line="200" w:lineRule="exact"/>
      <w:ind w:firstLine="301"/>
    </w:pPr>
    <w:rPr>
      <w:rFonts w:ascii="宋体" w:hAnsi="Courier New" w:cs="宋体"/>
      <w:spacing w:val="-4"/>
      <w:kern w:val="0"/>
      <w:sz w:val="18"/>
      <w:szCs w:val="18"/>
    </w:rPr>
  </w:style>
  <w:style w:type="paragraph" w:customStyle="1" w:styleId="62">
    <w:name w:val="纯文本2"/>
    <w:basedOn w:val="1"/>
    <w:qFormat/>
    <w:uiPriority w:val="99"/>
    <w:rPr>
      <w:rFonts w:ascii="宋体" w:hAnsi="Courier New" w:eastAsia="Times New Roman" w:cs="宋体"/>
      <w:sz w:val="30"/>
      <w:szCs w:val="30"/>
    </w:rPr>
  </w:style>
  <w:style w:type="paragraph" w:customStyle="1" w:styleId="63">
    <w:name w:val="普通(网站)1"/>
    <w:basedOn w:val="1"/>
    <w:qFormat/>
    <w:uiPriority w:val="99"/>
    <w:pPr>
      <w:spacing w:beforeAutospacing="1" w:afterAutospacing="1"/>
      <w:jc w:val="left"/>
    </w:pPr>
    <w:rPr>
      <w:kern w:val="0"/>
      <w:sz w:val="24"/>
      <w:szCs w:val="24"/>
    </w:rPr>
  </w:style>
  <w:style w:type="paragraph" w:customStyle="1" w:styleId="64">
    <w:name w:val="正文缩进1"/>
    <w:basedOn w:val="1"/>
    <w:qFormat/>
    <w:uiPriority w:val="99"/>
    <w:pPr>
      <w:ind w:firstLine="420" w:firstLineChars="200"/>
    </w:pPr>
  </w:style>
  <w:style w:type="paragraph" w:customStyle="1" w:styleId="65">
    <w:name w:val="正文文本 31"/>
    <w:basedOn w:val="1"/>
    <w:qFormat/>
    <w:uiPriority w:val="99"/>
    <w:pPr>
      <w:spacing w:after="120"/>
    </w:pPr>
    <w:rPr>
      <w:kern w:val="0"/>
      <w:sz w:val="16"/>
      <w:szCs w:val="16"/>
    </w:rPr>
  </w:style>
  <w:style w:type="paragraph" w:customStyle="1" w:styleId="66">
    <w:name w:val="正文文本缩进11"/>
    <w:basedOn w:val="1"/>
    <w:qFormat/>
    <w:uiPriority w:val="99"/>
    <w:pPr>
      <w:spacing w:line="200" w:lineRule="exact"/>
      <w:ind w:firstLine="301"/>
    </w:pPr>
  </w:style>
  <w:style w:type="paragraph" w:customStyle="1" w:styleId="67">
    <w:name w:val="文本块1"/>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68">
    <w:name w:val="正文文本缩进 21"/>
    <w:basedOn w:val="1"/>
    <w:qFormat/>
    <w:uiPriority w:val="99"/>
    <w:pPr>
      <w:snapToGrid w:val="0"/>
      <w:ind w:firstLine="542" w:firstLineChars="225"/>
    </w:pPr>
    <w:rPr>
      <w:kern w:val="0"/>
      <w:sz w:val="24"/>
      <w:szCs w:val="24"/>
    </w:rPr>
  </w:style>
  <w:style w:type="paragraph" w:customStyle="1" w:styleId="69">
    <w:name w:val="正文文本缩进 31"/>
    <w:basedOn w:val="1"/>
    <w:qFormat/>
    <w:uiPriority w:val="99"/>
    <w:pPr>
      <w:snapToGrid w:val="0"/>
      <w:ind w:firstLine="480" w:firstLineChars="200"/>
      <w:jc w:val="left"/>
    </w:pPr>
    <w:rPr>
      <w:rFonts w:ascii="??_GB2312" w:hAnsi="宋体" w:eastAsia="Times New Roman" w:cs="??_GB2312"/>
      <w:color w:val="000000"/>
      <w:sz w:val="24"/>
      <w:szCs w:val="24"/>
    </w:rPr>
  </w:style>
  <w:style w:type="paragraph" w:customStyle="1" w:styleId="70">
    <w:name w:val="普通(网站)11"/>
    <w:basedOn w:val="1"/>
    <w:qFormat/>
    <w:uiPriority w:val="99"/>
    <w:pPr>
      <w:widowControl/>
      <w:spacing w:beforeAutospacing="1" w:afterAutospacing="1"/>
      <w:jc w:val="left"/>
    </w:pPr>
    <w:rPr>
      <w:rFonts w:ascii="宋体" w:hAnsi="宋体" w:cs="宋体"/>
      <w:kern w:val="0"/>
      <w:sz w:val="24"/>
      <w:szCs w:val="24"/>
    </w:rPr>
  </w:style>
  <w:style w:type="paragraph" w:customStyle="1" w:styleId="71">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2">
    <w:name w:val="Default"/>
    <w:next w:val="73"/>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4">
    <w:name w:val="列表 21"/>
    <w:basedOn w:val="1"/>
    <w:qFormat/>
    <w:uiPriority w:val="99"/>
    <w:pPr>
      <w:ind w:left="200" w:leftChars="200" w:hanging="200" w:hangingChars="200"/>
    </w:pPr>
    <w:rPr>
      <w:sz w:val="28"/>
      <w:szCs w:val="28"/>
    </w:rPr>
  </w:style>
  <w:style w:type="paragraph" w:customStyle="1" w:styleId="75">
    <w:name w:val="默认段落字体 Para Char Char Char Char Char Char Char Char Char1 Char Char Char Char"/>
    <w:basedOn w:val="1"/>
    <w:qFormat/>
    <w:uiPriority w:val="99"/>
    <w:rPr>
      <w:rFonts w:ascii="Tahoma" w:hAnsi="Tahoma" w:cs="Tahoma"/>
      <w:sz w:val="24"/>
      <w:szCs w:val="24"/>
    </w:rPr>
  </w:style>
  <w:style w:type="paragraph" w:customStyle="1" w:styleId="76">
    <w:name w:val="纯文本21"/>
    <w:basedOn w:val="1"/>
    <w:qFormat/>
    <w:uiPriority w:val="99"/>
    <w:pPr>
      <w:spacing w:beforeLines="50" w:afterLines="50" w:line="400" w:lineRule="exact"/>
    </w:pPr>
    <w:rPr>
      <w:rFonts w:ascii="宋体" w:hAnsi="Courier New" w:cs="宋体"/>
    </w:rPr>
  </w:style>
  <w:style w:type="paragraph" w:customStyle="1" w:styleId="77">
    <w:name w:val="彩色列表 - 强调文字颜色 11"/>
    <w:basedOn w:val="1"/>
    <w:qFormat/>
    <w:uiPriority w:val="99"/>
    <w:pPr>
      <w:ind w:firstLine="420" w:firstLineChars="200"/>
    </w:pPr>
  </w:style>
  <w:style w:type="paragraph" w:customStyle="1" w:styleId="78">
    <w:name w:val="修订1"/>
    <w:qFormat/>
    <w:uiPriority w:val="99"/>
    <w:rPr>
      <w:rFonts w:ascii="Calibri" w:hAnsi="Calibri" w:eastAsia="宋体" w:cs="Calibri"/>
      <w:kern w:val="2"/>
      <w:sz w:val="21"/>
      <w:szCs w:val="21"/>
      <w:lang w:val="en-US" w:eastAsia="zh-CN" w:bidi="ar-SA"/>
    </w:rPr>
  </w:style>
  <w:style w:type="paragraph" w:customStyle="1" w:styleId="79">
    <w:name w:val="列出段落1"/>
    <w:basedOn w:val="1"/>
    <w:qFormat/>
    <w:uiPriority w:val="99"/>
    <w:pPr>
      <w:ind w:firstLine="420" w:firstLineChars="200"/>
    </w:pPr>
  </w:style>
  <w:style w:type="paragraph" w:customStyle="1" w:styleId="80">
    <w:name w:val="纯文本3"/>
    <w:basedOn w:val="1"/>
    <w:qFormat/>
    <w:uiPriority w:val="99"/>
    <w:pPr>
      <w:adjustRightInd w:val="0"/>
      <w:textAlignment w:val="baseline"/>
    </w:pPr>
    <w:rPr>
      <w:rFonts w:ascii="宋体" w:hAnsi="Courier New" w:eastAsia="楷体_GB2312" w:cs="宋体"/>
      <w:sz w:val="26"/>
      <w:szCs w:val="26"/>
    </w:rPr>
  </w:style>
  <w:style w:type="paragraph" w:customStyle="1" w:styleId="81">
    <w:name w:val="表内文字"/>
    <w:basedOn w:val="1"/>
    <w:qFormat/>
    <w:uiPriority w:val="99"/>
    <w:pPr>
      <w:tabs>
        <w:tab w:val="left" w:pos="1418"/>
      </w:tabs>
      <w:spacing w:line="360" w:lineRule="auto"/>
      <w:jc w:val="center"/>
    </w:pPr>
    <w:rPr>
      <w:rFonts w:ascii="??_GB2312" w:eastAsia="Times New Roman" w:cs="??_GB2312"/>
      <w:spacing w:val="-20"/>
      <w:kern w:val="0"/>
      <w:sz w:val="24"/>
      <w:szCs w:val="24"/>
    </w:rPr>
  </w:style>
  <w:style w:type="paragraph" w:customStyle="1" w:styleId="82">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cs="Times New Roman"/>
      <w:w w:val="105"/>
      <w:kern w:val="0"/>
      <w:sz w:val="24"/>
      <w:szCs w:val="24"/>
    </w:rPr>
  </w:style>
  <w:style w:type="paragraph" w:customStyle="1" w:styleId="83">
    <w:name w:val="纯文本4"/>
    <w:basedOn w:val="1"/>
    <w:qFormat/>
    <w:uiPriority w:val="99"/>
    <w:pPr>
      <w:adjustRightInd w:val="0"/>
      <w:textAlignment w:val="baseline"/>
    </w:pPr>
    <w:rPr>
      <w:rFonts w:ascii="宋体" w:hAnsi="Courier New" w:eastAsia="楷体_GB2312" w:cs="宋体"/>
      <w:sz w:val="26"/>
      <w:szCs w:val="26"/>
    </w:rPr>
  </w:style>
  <w:style w:type="paragraph" w:customStyle="1" w:styleId="84">
    <w:name w:val="Table Paragraph"/>
    <w:basedOn w:val="1"/>
    <w:qFormat/>
    <w:uiPriority w:val="99"/>
    <w:pPr>
      <w:jc w:val="left"/>
    </w:pPr>
    <w:rPr>
      <w:kern w:val="0"/>
      <w:sz w:val="22"/>
      <w:szCs w:val="22"/>
      <w:lang w:eastAsia="en-US"/>
    </w:rPr>
  </w:style>
  <w:style w:type="character" w:customStyle="1" w:styleId="85">
    <w:name w:val="批注引用1"/>
    <w:qFormat/>
    <w:uiPriority w:val="99"/>
    <w:rPr>
      <w:sz w:val="21"/>
      <w:szCs w:val="21"/>
    </w:rPr>
  </w:style>
  <w:style w:type="character" w:customStyle="1" w:styleId="86">
    <w:name w:val="标题 2 Char Char"/>
    <w:qFormat/>
    <w:uiPriority w:val="99"/>
    <w:rPr>
      <w:rFonts w:eastAsia="宋体"/>
      <w:kern w:val="2"/>
      <w:sz w:val="28"/>
      <w:szCs w:val="28"/>
      <w:lang w:val="en-US" w:eastAsia="zh-CN"/>
    </w:rPr>
  </w:style>
  <w:style w:type="paragraph" w:customStyle="1" w:styleId="87">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88">
    <w:name w:val="列表段落1"/>
    <w:basedOn w:val="1"/>
    <w:qFormat/>
    <w:uiPriority w:val="99"/>
    <w:pPr>
      <w:ind w:firstLine="420" w:firstLineChars="200"/>
    </w:pPr>
  </w:style>
  <w:style w:type="paragraph" w:customStyle="1" w:styleId="89">
    <w:name w:val="纯文本5"/>
    <w:basedOn w:val="1"/>
    <w:qFormat/>
    <w:uiPriority w:val="99"/>
    <w:rPr>
      <w:rFonts w:ascii="宋体" w:hAnsi="Courier New" w:eastAsia="Times New Roman" w:cs="宋体"/>
      <w:sz w:val="30"/>
      <w:szCs w:val="30"/>
    </w:rPr>
  </w:style>
  <w:style w:type="paragraph" w:customStyle="1" w:styleId="90">
    <w:name w:val="文本块2"/>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91">
    <w:name w:val="正文文本缩进2"/>
    <w:basedOn w:val="1"/>
    <w:qFormat/>
    <w:uiPriority w:val="99"/>
    <w:pPr>
      <w:spacing w:line="200" w:lineRule="exact"/>
      <w:ind w:firstLine="301"/>
    </w:pPr>
    <w:rPr>
      <w:rFonts w:ascii="宋体" w:hAnsi="Courier New" w:cs="宋体"/>
      <w:spacing w:val="-4"/>
      <w:kern w:val="0"/>
      <w:sz w:val="18"/>
      <w:szCs w:val="18"/>
    </w:rPr>
  </w:style>
  <w:style w:type="paragraph" w:customStyle="1" w:styleId="92">
    <w:name w:val="正文文本 32"/>
    <w:basedOn w:val="1"/>
    <w:qFormat/>
    <w:uiPriority w:val="99"/>
    <w:pPr>
      <w:spacing w:after="120"/>
    </w:pPr>
    <w:rPr>
      <w:kern w:val="0"/>
      <w:sz w:val="16"/>
      <w:szCs w:val="16"/>
    </w:rPr>
  </w:style>
  <w:style w:type="paragraph" w:customStyle="1" w:styleId="93">
    <w:name w:val="Body Text Indent1"/>
    <w:basedOn w:val="1"/>
    <w:qFormat/>
    <w:uiPriority w:val="99"/>
    <w:pPr>
      <w:spacing w:line="200" w:lineRule="exact"/>
      <w:ind w:firstLine="301"/>
    </w:pPr>
    <w:rPr>
      <w:rFonts w:ascii="宋体" w:hAnsi="Courier New" w:cs="宋体"/>
      <w:spacing w:val="-4"/>
      <w:kern w:val="0"/>
      <w:sz w:val="18"/>
      <w:szCs w:val="18"/>
    </w:rPr>
  </w:style>
  <w:style w:type="paragraph" w:customStyle="1" w:styleId="94">
    <w:name w:val="List Paragraph1"/>
    <w:basedOn w:val="1"/>
    <w:qFormat/>
    <w:uiPriority w:val="99"/>
    <w:pPr>
      <w:ind w:firstLine="420" w:firstLineChars="200"/>
    </w:pPr>
  </w:style>
  <w:style w:type="paragraph" w:customStyle="1" w:styleId="95">
    <w:name w:val="GG标题2"/>
    <w:basedOn w:val="3"/>
    <w:next w:val="96"/>
    <w:qFormat/>
    <w:uiPriority w:val="99"/>
    <w:pPr>
      <w:numPr>
        <w:ilvl w:val="0"/>
        <w:numId w:val="3"/>
      </w:numPr>
      <w:spacing w:line="312" w:lineRule="auto"/>
    </w:pPr>
    <w:rPr>
      <w:rFonts w:ascii="Times New Roman" w:hAnsi="Times New Roman" w:cs="Times New Roman"/>
    </w:rPr>
  </w:style>
  <w:style w:type="paragraph" w:customStyle="1" w:styleId="96">
    <w:name w:val="GG正文2"/>
    <w:basedOn w:val="1"/>
    <w:qFormat/>
    <w:uiPriority w:val="99"/>
    <w:pPr>
      <w:ind w:firstLine="200"/>
    </w:pPr>
    <w:rPr>
      <w:rFonts w:ascii="Times New Roman" w:hAnsi="Times New Roman" w:cs="Times New Roman"/>
      <w:kern w:val="21"/>
    </w:rPr>
  </w:style>
  <w:style w:type="paragraph" w:customStyle="1" w:styleId="97">
    <w:name w:val="标题 81"/>
    <w:basedOn w:val="1"/>
    <w:qFormat/>
    <w:uiPriority w:val="99"/>
    <w:pPr>
      <w:autoSpaceDE w:val="0"/>
      <w:autoSpaceDN w:val="0"/>
      <w:ind w:left="636"/>
      <w:jc w:val="left"/>
      <w:outlineLvl w:val="8"/>
    </w:pPr>
    <w:rPr>
      <w:rFonts w:ascii="宋体" w:hAnsi="宋体" w:cs="宋体"/>
      <w:b/>
      <w:bCs/>
      <w:kern w:val="0"/>
      <w:lang w:val="zh-CN"/>
    </w:rPr>
  </w:style>
  <w:style w:type="paragraph" w:customStyle="1" w:styleId="98">
    <w:name w:val="列出段落2"/>
    <w:basedOn w:val="1"/>
    <w:qFormat/>
    <w:uiPriority w:val="99"/>
    <w:pPr>
      <w:ind w:firstLine="420" w:firstLineChars="200"/>
    </w:pPr>
  </w:style>
  <w:style w:type="paragraph" w:customStyle="1" w:styleId="99">
    <w:name w:val="GG标题1"/>
    <w:basedOn w:val="2"/>
    <w:next w:val="96"/>
    <w:qFormat/>
    <w:uiPriority w:val="99"/>
    <w:pPr>
      <w:spacing w:beforeLines="150" w:afterLines="100" w:line="312" w:lineRule="auto"/>
      <w:ind w:left="3118" w:hanging="425"/>
      <w:jc w:val="center"/>
    </w:pPr>
    <w:rPr>
      <w:rFonts w:ascii="Times New Roman" w:hAnsi="Times New Roman" w:cs="Times New Roman"/>
      <w:sz w:val="36"/>
      <w:szCs w:val="36"/>
    </w:rPr>
  </w:style>
  <w:style w:type="paragraph" w:customStyle="1" w:styleId="100">
    <w:name w:val="GG标题3"/>
    <w:basedOn w:val="4"/>
    <w:next w:val="96"/>
    <w:qFormat/>
    <w:uiPriority w:val="99"/>
    <w:pPr>
      <w:spacing w:line="312" w:lineRule="auto"/>
      <w:ind w:left="-1275" w:hanging="1135"/>
    </w:pPr>
    <w:rPr>
      <w:rFonts w:ascii="Times New Roman" w:hAnsi="Times New Roman" w:cs="Times New Roman"/>
      <w:kern w:val="2"/>
      <w:sz w:val="30"/>
      <w:szCs w:val="30"/>
    </w:rPr>
  </w:style>
  <w:style w:type="paragraph" w:customStyle="1" w:styleId="101">
    <w:name w:val="GG标题4"/>
    <w:basedOn w:val="5"/>
    <w:next w:val="96"/>
    <w:qFormat/>
    <w:uiPriority w:val="99"/>
    <w:pPr>
      <w:spacing w:before="0" w:after="0" w:line="312" w:lineRule="auto"/>
    </w:pPr>
    <w:rPr>
      <w:rFonts w:ascii="Times New Roman" w:hAnsi="Times New Roman" w:cs="Times New Roman"/>
    </w:rPr>
  </w:style>
  <w:style w:type="paragraph" w:customStyle="1" w:styleId="102">
    <w:name w:val="GG标题5"/>
    <w:basedOn w:val="6"/>
    <w:next w:val="96"/>
    <w:qFormat/>
    <w:uiPriority w:val="99"/>
    <w:pPr>
      <w:spacing w:before="0" w:after="0" w:line="312" w:lineRule="auto"/>
    </w:pPr>
    <w:rPr>
      <w:rFonts w:ascii="Times New Roman" w:hAnsi="Times New Roman" w:cs="Times New Roman"/>
      <w:i/>
      <w:iCs/>
      <w:sz w:val="24"/>
      <w:szCs w:val="24"/>
    </w:rPr>
  </w:style>
  <w:style w:type="paragraph" w:customStyle="1" w:styleId="103">
    <w:name w:val="GG标题6"/>
    <w:basedOn w:val="7"/>
    <w:next w:val="96"/>
    <w:qFormat/>
    <w:uiPriority w:val="99"/>
    <w:pPr>
      <w:spacing w:before="0" w:after="0" w:line="312" w:lineRule="auto"/>
    </w:pPr>
    <w:rPr>
      <w:rFonts w:ascii="Times New Roman" w:hAnsi="Times New Roman" w:cs="Times New Roman"/>
      <w:sz w:val="21"/>
      <w:szCs w:val="21"/>
    </w:rPr>
  </w:style>
  <w:style w:type="paragraph" w:customStyle="1" w:styleId="104">
    <w:name w:val="List Paragraph2"/>
    <w:basedOn w:val="1"/>
    <w:qFormat/>
    <w:uiPriority w:val="99"/>
    <w:pPr>
      <w:ind w:firstLine="420" w:firstLineChars="200"/>
    </w:pPr>
  </w:style>
  <w:style w:type="paragraph" w:customStyle="1" w:styleId="105">
    <w:name w:val="正文2"/>
    <w:basedOn w:val="1"/>
    <w:qFormat/>
    <w:uiPriority w:val="99"/>
    <w:pPr>
      <w:spacing w:before="156" w:line="360" w:lineRule="auto"/>
      <w:ind w:firstLine="510" w:firstLineChars="200"/>
    </w:pPr>
    <w:rPr>
      <w:sz w:val="24"/>
      <w:szCs w:val="24"/>
    </w:rPr>
  </w:style>
  <w:style w:type="paragraph" w:customStyle="1" w:styleId="106">
    <w:name w:val="列出段落3"/>
    <w:basedOn w:val="1"/>
    <w:qFormat/>
    <w:uiPriority w:val="99"/>
    <w:pPr>
      <w:ind w:firstLine="420" w:firstLineChars="200"/>
    </w:pPr>
  </w:style>
  <w:style w:type="paragraph" w:customStyle="1" w:styleId="107">
    <w:name w:val="列出段落4"/>
    <w:basedOn w:val="1"/>
    <w:qFormat/>
    <w:uiPriority w:val="99"/>
    <w:pPr>
      <w:ind w:firstLine="420" w:firstLineChars="200"/>
    </w:pPr>
  </w:style>
  <w:style w:type="paragraph" w:customStyle="1" w:styleId="108">
    <w:name w:val="[Normal]"/>
    <w:qFormat/>
    <w:uiPriority w:val="99"/>
    <w:rPr>
      <w:rFonts w:ascii="宋体" w:hAnsi="宋体" w:eastAsia="宋体" w:cs="宋体"/>
      <w:sz w:val="24"/>
      <w:szCs w:val="24"/>
      <w:lang w:val="zh-CN" w:eastAsia="zh-CN" w:bidi="ar-SA"/>
    </w:rPr>
  </w:style>
  <w:style w:type="paragraph" w:customStyle="1" w:styleId="109">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110">
    <w:name w:val="DAS正文"/>
    <w:basedOn w:val="1"/>
    <w:qFormat/>
    <w:uiPriority w:val="99"/>
    <w:pPr>
      <w:spacing w:line="360" w:lineRule="auto"/>
      <w:ind w:right="181" w:firstLine="480" w:firstLineChars="200"/>
    </w:pPr>
    <w:rPr>
      <w:rFonts w:ascii="Verdana" w:hAnsi="Verdana" w:cs="Verdana"/>
      <w:sz w:val="24"/>
      <w:szCs w:val="24"/>
    </w:rPr>
  </w:style>
  <w:style w:type="paragraph" w:customStyle="1" w:styleId="111">
    <w:name w:val="Normal Indent1"/>
    <w:basedOn w:val="1"/>
    <w:qFormat/>
    <w:uiPriority w:val="0"/>
    <w:pPr>
      <w:ind w:firstLine="420" w:firstLineChars="200"/>
    </w:pPr>
  </w:style>
  <w:style w:type="paragraph" w:customStyle="1" w:styleId="112">
    <w:name w:val="报告正文"/>
    <w:qFormat/>
    <w:uiPriority w:val="0"/>
    <w:pPr>
      <w:spacing w:line="360" w:lineRule="auto"/>
      <w:ind w:firstLine="200" w:firstLineChars="200"/>
      <w:jc w:val="both"/>
    </w:pPr>
    <w:rPr>
      <w:rFonts w:ascii="Calibri" w:hAnsi="Calibri" w:eastAsia="仿宋" w:cs="黑体"/>
      <w:kern w:val="2"/>
      <w:sz w:val="28"/>
      <w:szCs w:val="22"/>
      <w:lang w:val="en-US" w:eastAsia="zh-CN" w:bidi="ar-SA"/>
    </w:rPr>
  </w:style>
  <w:style w:type="paragraph" w:customStyle="1" w:styleId="113">
    <w:name w:val="列出段落5"/>
    <w:basedOn w:val="1"/>
    <w:qFormat/>
    <w:uiPriority w:val="34"/>
    <w:pPr>
      <w:ind w:firstLine="420" w:firstLineChars="200"/>
    </w:pPr>
  </w:style>
  <w:style w:type="character" w:customStyle="1" w:styleId="114">
    <w:name w:val="ant-select-tree-checkbox"/>
    <w:basedOn w:val="26"/>
    <w:qFormat/>
    <w:uiPriority w:val="0"/>
  </w:style>
  <w:style w:type="character" w:customStyle="1" w:styleId="115">
    <w:name w:val="change-camera-place"/>
    <w:qFormat/>
    <w:uiPriority w:val="0"/>
    <w:rPr>
      <w:color w:val="3177FD"/>
    </w:rPr>
  </w:style>
  <w:style w:type="character" w:customStyle="1" w:styleId="116">
    <w:name w:val="last-of-type"/>
    <w:qFormat/>
    <w:uiPriority w:val="0"/>
    <w:rPr>
      <w:color w:val="FF4A44"/>
      <w:sz w:val="27"/>
      <w:szCs w:val="27"/>
    </w:rPr>
  </w:style>
  <w:style w:type="character" w:customStyle="1" w:styleId="117">
    <w:name w:val="last-child6"/>
    <w:basedOn w:val="26"/>
    <w:qFormat/>
    <w:uiPriority w:val="0"/>
  </w:style>
  <w:style w:type="character" w:customStyle="1" w:styleId="118">
    <w:name w:val="last-child7"/>
    <w:basedOn w:val="26"/>
    <w:qFormat/>
    <w:uiPriority w:val="0"/>
  </w:style>
  <w:style w:type="character" w:customStyle="1" w:styleId="119">
    <w:name w:val="last-child8"/>
    <w:basedOn w:val="26"/>
    <w:qFormat/>
    <w:uiPriority w:val="0"/>
  </w:style>
  <w:style w:type="character" w:customStyle="1" w:styleId="120">
    <w:name w:val="last-child9"/>
    <w:basedOn w:val="26"/>
    <w:qFormat/>
    <w:uiPriority w:val="0"/>
  </w:style>
  <w:style w:type="character" w:customStyle="1" w:styleId="121">
    <w:name w:val="first-child5"/>
    <w:basedOn w:val="26"/>
    <w:qFormat/>
    <w:uiPriority w:val="0"/>
  </w:style>
  <w:style w:type="character" w:customStyle="1" w:styleId="122">
    <w:name w:val="ant-input52"/>
    <w:basedOn w:val="26"/>
    <w:qFormat/>
    <w:uiPriority w:val="0"/>
  </w:style>
  <w:style w:type="character" w:customStyle="1" w:styleId="123">
    <w:name w:val="current"/>
    <w:qFormat/>
    <w:uiPriority w:val="0"/>
    <w:rPr>
      <w:color w:val="00C1DE"/>
    </w:rPr>
  </w:style>
  <w:style w:type="character" w:customStyle="1" w:styleId="124">
    <w:name w:val="current1"/>
    <w:qFormat/>
    <w:uiPriority w:val="0"/>
    <w:rPr>
      <w:color w:val="00C1DE"/>
    </w:rPr>
  </w:style>
  <w:style w:type="character" w:customStyle="1" w:styleId="125">
    <w:name w:val="ant-radio+*"/>
    <w:basedOn w:val="26"/>
    <w:qFormat/>
    <w:uiPriority w:val="0"/>
  </w:style>
  <w:style w:type="character" w:customStyle="1" w:styleId="126">
    <w:name w:val="ant-tree-checkbox2"/>
    <w:basedOn w:val="26"/>
    <w:qFormat/>
    <w:uiPriority w:val="0"/>
  </w:style>
  <w:style w:type="character" w:customStyle="1" w:styleId="127">
    <w:name w:val="ant-tree-switcher"/>
    <w:basedOn w:val="26"/>
    <w:qFormat/>
    <w:uiPriority w:val="0"/>
  </w:style>
  <w:style w:type="character" w:customStyle="1" w:styleId="128">
    <w:name w:val="ant-tree-iconele"/>
    <w:basedOn w:val="26"/>
    <w:qFormat/>
    <w:uiPriority w:val="0"/>
  </w:style>
  <w:style w:type="character" w:customStyle="1" w:styleId="129">
    <w:name w:val="ant-tree-icon_loading"/>
    <w:qFormat/>
    <w:uiPriority w:val="0"/>
    <w:rPr>
      <w:shd w:val="clear" w:color="auto" w:fill="FFFFFF"/>
    </w:rPr>
  </w:style>
  <w:style w:type="character" w:customStyle="1" w:styleId="130">
    <w:name w:val="info-label"/>
    <w:qFormat/>
    <w:uiPriority w:val="0"/>
    <w:rPr>
      <w:b/>
    </w:rPr>
  </w:style>
  <w:style w:type="character" w:customStyle="1" w:styleId="131">
    <w:name w:val="info-content"/>
    <w:qFormat/>
    <w:uiPriority w:val="0"/>
    <w:rPr>
      <w:color w:val="808080"/>
    </w:rPr>
  </w:style>
  <w:style w:type="character" w:customStyle="1" w:styleId="132">
    <w:name w:val="ant-select-tree-switcher"/>
    <w:basedOn w:val="26"/>
    <w:qFormat/>
    <w:uiPriority w:val="0"/>
  </w:style>
  <w:style w:type="character" w:customStyle="1" w:styleId="133">
    <w:name w:val="ant-select-tree-iconele"/>
    <w:basedOn w:val="26"/>
    <w:qFormat/>
    <w:uiPriority w:val="0"/>
  </w:style>
  <w:style w:type="character" w:customStyle="1" w:styleId="134">
    <w:name w:val="temp"/>
    <w:basedOn w:val="26"/>
    <w:qFormat/>
    <w:uiPriority w:val="0"/>
  </w:style>
  <w:style w:type="character" w:customStyle="1" w:styleId="135">
    <w:name w:val="ant-badge-status-dot2"/>
    <w:qFormat/>
    <w:uiPriority w:val="0"/>
    <w:rPr>
      <w:shd w:val="clear" w:color="auto" w:fill="FFFFFF"/>
    </w:rPr>
  </w:style>
  <w:style w:type="character" w:customStyle="1" w:styleId="136">
    <w:name w:val="all-fit-info"/>
    <w:qFormat/>
    <w:uiPriority w:val="0"/>
    <w:rPr>
      <w:color w:val="939393"/>
    </w:rPr>
  </w:style>
  <w:style w:type="character" w:customStyle="1" w:styleId="137">
    <w:name w:val="all-fit-info1"/>
    <w:qFormat/>
    <w:uiPriority w:val="0"/>
    <w:rPr>
      <w:color w:val="939393"/>
    </w:rPr>
  </w:style>
  <w:style w:type="character" w:customStyle="1" w:styleId="138">
    <w:name w:val="all-fit-info2"/>
    <w:qFormat/>
    <w:uiPriority w:val="0"/>
    <w:rPr>
      <w:color w:val="939393"/>
    </w:rPr>
  </w:style>
  <w:style w:type="character" w:customStyle="1" w:styleId="139">
    <w:name w:val="label2"/>
    <w:basedOn w:val="26"/>
    <w:qFormat/>
    <w:uiPriority w:val="0"/>
  </w:style>
  <w:style w:type="character" w:customStyle="1" w:styleId="140">
    <w:name w:val="content10"/>
    <w:basedOn w:val="26"/>
    <w:qFormat/>
    <w:uiPriority w:val="0"/>
  </w:style>
  <w:style w:type="character" w:customStyle="1" w:styleId="141">
    <w:name w:val="tag-type"/>
    <w:qFormat/>
    <w:uiPriority w:val="0"/>
    <w:rPr>
      <w:color w:val="FFFFFF"/>
      <w:sz w:val="18"/>
      <w:szCs w:val="18"/>
      <w:shd w:val="clear" w:color="auto" w:fill="317FFD"/>
    </w:rPr>
  </w:style>
  <w:style w:type="character" w:customStyle="1" w:styleId="142">
    <w:name w:val="tag-type1"/>
    <w:qFormat/>
    <w:uiPriority w:val="0"/>
    <w:rPr>
      <w:color w:val="FFFFFF"/>
      <w:sz w:val="18"/>
      <w:szCs w:val="18"/>
      <w:shd w:val="clear" w:color="auto" w:fill="317FFD"/>
    </w:rPr>
  </w:style>
  <w:style w:type="character" w:customStyle="1" w:styleId="143">
    <w:name w:val="hover10"/>
    <w:qFormat/>
    <w:uiPriority w:val="0"/>
    <w:rPr>
      <w:color w:val="3177FD"/>
    </w:rPr>
  </w:style>
  <w:style w:type="character" w:customStyle="1" w:styleId="144">
    <w:name w:val="ant-form-item-children1"/>
    <w:basedOn w:val="26"/>
    <w:qFormat/>
    <w:uiPriority w:val="0"/>
  </w:style>
  <w:style w:type="character" w:customStyle="1" w:styleId="145">
    <w:name w:val="ant-tree-checkbox"/>
    <w:basedOn w:val="26"/>
    <w:qFormat/>
    <w:uiPriority w:val="0"/>
  </w:style>
  <w:style w:type="character" w:customStyle="1" w:styleId="146">
    <w:name w:val="last-child4"/>
    <w:basedOn w:val="26"/>
    <w:qFormat/>
    <w:uiPriority w:val="0"/>
  </w:style>
  <w:style w:type="character" w:customStyle="1" w:styleId="147">
    <w:name w:val="last-child5"/>
    <w:basedOn w:val="26"/>
    <w:qFormat/>
    <w:uiPriority w:val="0"/>
  </w:style>
  <w:style w:type="character" w:customStyle="1" w:styleId="148">
    <w:name w:val="temp1"/>
    <w:basedOn w:val="26"/>
    <w:qFormat/>
    <w:uiPriority w:val="0"/>
  </w:style>
  <w:style w:type="character" w:customStyle="1" w:styleId="149">
    <w:name w:val="temp2"/>
    <w:basedOn w:val="26"/>
    <w:qFormat/>
    <w:uiPriority w:val="0"/>
  </w:style>
  <w:style w:type="character" w:customStyle="1" w:styleId="150">
    <w:name w:val="ant-select-tree-checkbox2"/>
    <w:basedOn w:val="26"/>
    <w:qFormat/>
    <w:uiPriority w:val="0"/>
  </w:style>
  <w:style w:type="character" w:customStyle="1" w:styleId="151">
    <w:name w:val="last-child2"/>
    <w:basedOn w:val="26"/>
    <w:qFormat/>
    <w:uiPriority w:val="0"/>
  </w:style>
  <w:style w:type="character" w:customStyle="1" w:styleId="152">
    <w:name w:val="last-child3"/>
    <w:basedOn w:val="26"/>
    <w:qFormat/>
    <w:uiPriority w:val="0"/>
  </w:style>
  <w:style w:type="character" w:customStyle="1" w:styleId="153">
    <w:name w:val="label"/>
    <w:basedOn w:val="26"/>
    <w:qFormat/>
    <w:uiPriority w:val="0"/>
  </w:style>
  <w:style w:type="character" w:customStyle="1" w:styleId="154">
    <w:name w:val="temp6"/>
    <w:basedOn w:val="26"/>
    <w:qFormat/>
    <w:uiPriority w:val="0"/>
  </w:style>
  <w:style w:type="character" w:customStyle="1" w:styleId="155">
    <w:name w:val="temp7"/>
    <w:basedOn w:val="26"/>
    <w:qFormat/>
    <w:uiPriority w:val="0"/>
  </w:style>
  <w:style w:type="character" w:customStyle="1" w:styleId="156">
    <w:name w:val="temp8"/>
    <w:basedOn w:val="26"/>
    <w:qFormat/>
    <w:uiPriority w:val="0"/>
  </w:style>
  <w:style w:type="character" w:customStyle="1" w:styleId="157">
    <w:name w:val="content"/>
    <w:basedOn w:val="26"/>
    <w:qFormat/>
    <w:uiPriority w:val="0"/>
  </w:style>
  <w:style w:type="character" w:customStyle="1" w:styleId="158">
    <w:name w:val="last-child"/>
    <w:basedOn w:val="26"/>
    <w:qFormat/>
    <w:uiPriority w:val="0"/>
  </w:style>
  <w:style w:type="character" w:customStyle="1" w:styleId="159">
    <w:name w:val="last-child1"/>
    <w:basedOn w:val="26"/>
    <w:qFormat/>
    <w:uiPriority w:val="0"/>
  </w:style>
  <w:style w:type="character" w:customStyle="1" w:styleId="160">
    <w:name w:val="first-child"/>
    <w:basedOn w:val="26"/>
    <w:qFormat/>
    <w:uiPriority w:val="0"/>
  </w:style>
  <w:style w:type="character" w:customStyle="1" w:styleId="161">
    <w:name w:val="first-child4"/>
    <w:basedOn w:val="26"/>
    <w:qFormat/>
    <w:uiPriority w:val="0"/>
  </w:style>
  <w:style w:type="character" w:customStyle="1" w:styleId="162">
    <w:name w:val="hover11"/>
    <w:qFormat/>
    <w:uiPriority w:val="0"/>
    <w:rPr>
      <w:color w:val="3177FD"/>
    </w:rPr>
  </w:style>
  <w:style w:type="paragraph" w:styleId="163">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64">
    <w:name w:val="纯文本6"/>
    <w:basedOn w:val="1"/>
    <w:qFormat/>
    <w:uiPriority w:val="0"/>
    <w:rPr>
      <w:rFonts w:ascii="宋体" w:hAnsi="Courier New" w:eastAsia="仿宋_GB2312"/>
      <w:sz w:val="30"/>
    </w:rPr>
  </w:style>
  <w:style w:type="paragraph" w:styleId="16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customShpInfo spid="_x0000_s3076"/>
    <customShpInfo spid="_x0000_s3075"/>
    <customShpInfo spid="_x0000_s308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16027</Words>
  <Characters>17092</Characters>
  <Lines>197</Lines>
  <Paragraphs>55</Paragraphs>
  <TotalTime>4</TotalTime>
  <ScaleCrop>false</ScaleCrop>
  <LinksUpToDate>false</LinksUpToDate>
  <CharactersWithSpaces>17275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2019-09-19T02:36:00Z</dcterms:created>
  <dc:creator>胖丁</dc:creator>
  <cp:lastModifiedBy>妮妮</cp:lastModifiedBy>
  <cp:lastPrinted>2022-04-13T06:05:00Z</cp:lastPrinted>
  <dcterms:modified xsi:type="dcterms:W3CDTF">2025-07-17T07:03:08Z</dcterms:modified>
  <dc:title>xbany</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766687E3DF394DE88A7F07B91FDD001F</vt:lpwstr>
  </property>
  <property fmtid="{D5CDD505-2E9C-101B-9397-08002B2CF9AE}" pid="4" name="KSOTemplateDocerSaveRecord">
    <vt:lpwstr>eyJoZGlkIjoiY2NhNGRiMDI1MzU0YjUxZjQ4ZGI3ZWZkOTdjMGI5YzAiLCJ1c2VySWQiOiI1MTE2MjIwOTkifQ==</vt:lpwstr>
  </property>
</Properties>
</file>