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1E33F">
      <w:pPr>
        <w:rPr>
          <w:rFonts w:hint="eastAsia" w:ascii="宋体" w:hAnsi="宋体" w:cs="Times New Roman"/>
          <w:kern w:val="2"/>
          <w:sz w:val="21"/>
          <w:lang w:val="en-US" w:eastAsia="zh-CN" w:bidi="ar-SA"/>
        </w:rPr>
      </w:pPr>
      <w:r>
        <w:rPr>
          <w:rFonts w:hint="eastAsia" w:ascii="宋体" w:hAnsi="宋体" w:cs="Times New Roman"/>
          <w:kern w:val="2"/>
          <w:sz w:val="21"/>
          <w:lang w:val="en-US" w:eastAsia="zh-CN" w:bidi="ar-SA"/>
        </w:rPr>
        <w:t xml:space="preserve"> </w:t>
      </w:r>
    </w:p>
    <w:p w14:paraId="553B2318">
      <w:pPr>
        <w:pStyle w:val="3"/>
        <w:snapToGrid w:val="0"/>
        <w:spacing w:before="120" w:after="120" w:line="360" w:lineRule="auto"/>
        <w:jc w:val="both"/>
        <w:outlineLvl w:val="9"/>
        <w:rPr>
          <w:rFonts w:hint="eastAsia" w:hAnsi="宋体" w:eastAsia="宋体" w:cs="宋体"/>
          <w:b w:val="0"/>
          <w:bCs/>
          <w:spacing w:val="57"/>
          <w:sz w:val="56"/>
          <w:szCs w:val="56"/>
          <w:lang w:eastAsia="zh-CN"/>
        </w:rPr>
      </w:pPr>
      <w:bookmarkStart w:id="0" w:name="_Toc6415"/>
    </w:p>
    <w:bookmarkEnd w:id="0"/>
    <w:p w14:paraId="55D279C7">
      <w:pPr>
        <w:pStyle w:val="3"/>
        <w:snapToGrid w:val="0"/>
        <w:spacing w:before="120" w:after="120" w:line="360" w:lineRule="auto"/>
        <w:jc w:val="center"/>
        <w:outlineLvl w:val="9"/>
        <w:rPr>
          <w:rFonts w:hAnsi="宋体" w:eastAsia="宋体" w:cs="宋体"/>
          <w:b w:val="0"/>
          <w:bCs/>
          <w:spacing w:val="57"/>
          <w:sz w:val="84"/>
          <w:szCs w:val="84"/>
        </w:rPr>
      </w:pPr>
      <w:r>
        <w:rPr>
          <w:rFonts w:hint="eastAsia" w:hAnsi="宋体" w:eastAsia="宋体" w:cs="宋体"/>
          <w:b w:val="0"/>
          <w:bCs/>
          <w:spacing w:val="57"/>
          <w:sz w:val="56"/>
          <w:szCs w:val="56"/>
          <w:lang w:eastAsia="zh-CN"/>
        </w:rPr>
        <w:t>岱山县数据服务中心应用系统国产化适配改造项目（标段一）</w:t>
      </w:r>
    </w:p>
    <w:p w14:paraId="6197C07C">
      <w:pPr>
        <w:pStyle w:val="3"/>
        <w:snapToGrid w:val="0"/>
        <w:spacing w:before="120" w:after="120" w:line="360" w:lineRule="auto"/>
        <w:jc w:val="both"/>
        <w:rPr>
          <w:rFonts w:hint="eastAsia" w:hAnsi="宋体" w:eastAsia="宋体" w:cs="宋体"/>
          <w:bCs/>
          <w:sz w:val="84"/>
          <w:szCs w:val="84"/>
        </w:rPr>
      </w:pPr>
    </w:p>
    <w:p w14:paraId="2597D1A6">
      <w:pPr>
        <w:rPr>
          <w:rFonts w:hint="eastAsia"/>
        </w:rPr>
      </w:pPr>
    </w:p>
    <w:p w14:paraId="123FE25C">
      <w:pPr>
        <w:pStyle w:val="3"/>
        <w:snapToGrid w:val="0"/>
        <w:spacing w:before="120" w:after="120" w:line="360" w:lineRule="auto"/>
        <w:jc w:val="center"/>
        <w:rPr>
          <w:rFonts w:hAnsi="宋体" w:eastAsia="宋体" w:cs="宋体"/>
          <w:b/>
          <w:sz w:val="84"/>
          <w:szCs w:val="84"/>
        </w:rPr>
      </w:pPr>
      <w:r>
        <w:rPr>
          <w:rFonts w:hint="eastAsia" w:hAnsi="宋体" w:eastAsia="宋体" w:cs="宋体"/>
          <w:bCs/>
          <w:sz w:val="84"/>
          <w:szCs w:val="84"/>
        </w:rPr>
        <w:t>招标文件</w:t>
      </w:r>
    </w:p>
    <w:p w14:paraId="6F76747E">
      <w:pPr>
        <w:pStyle w:val="100"/>
        <w:widowControl w:val="0"/>
        <w:spacing w:line="720" w:lineRule="auto"/>
        <w:rPr>
          <w:rFonts w:hint="eastAsia" w:ascii="宋体" w:hAnsi="宋体" w:cs="宋体"/>
          <w:sz w:val="28"/>
          <w:szCs w:val="28"/>
        </w:rPr>
      </w:pPr>
    </w:p>
    <w:p w14:paraId="1E48E3AE">
      <w:pPr>
        <w:pStyle w:val="100"/>
        <w:widowControl w:val="0"/>
        <w:spacing w:line="720" w:lineRule="auto"/>
        <w:ind w:left="0" w:leftChars="0" w:firstLine="840" w:firstLineChars="300"/>
        <w:rPr>
          <w:rFonts w:hint="eastAsia" w:ascii="宋体" w:hAnsi="宋体" w:eastAsia="宋体" w:cs="宋体"/>
          <w:sz w:val="28"/>
          <w:szCs w:val="28"/>
          <w:lang w:val="en-US" w:eastAsia="zh-CN"/>
        </w:rPr>
      </w:pPr>
      <w:r>
        <w:rPr>
          <w:rFonts w:hint="eastAsia" w:ascii="宋体" w:hAnsi="宋体" w:cs="宋体"/>
          <w:sz w:val="28"/>
          <w:szCs w:val="28"/>
        </w:rPr>
        <w:t>项目编号：0773-2541GNZSFWGK1687</w:t>
      </w:r>
    </w:p>
    <w:p w14:paraId="329661A1">
      <w:pPr>
        <w:spacing w:line="720" w:lineRule="auto"/>
        <w:ind w:left="0" w:leftChars="0" w:firstLine="840" w:firstLineChars="300"/>
        <w:rPr>
          <w:rFonts w:hint="eastAsia" w:ascii="宋体" w:hAnsi="宋体" w:eastAsia="宋体" w:cs="宋体"/>
          <w:sz w:val="28"/>
          <w:szCs w:val="28"/>
          <w:lang w:eastAsia="zh-CN"/>
        </w:rPr>
      </w:pPr>
      <w:r>
        <w:rPr>
          <w:rFonts w:hint="eastAsia" w:ascii="宋体" w:hAnsi="宋体" w:cs="宋体"/>
          <w:sz w:val="28"/>
          <w:szCs w:val="28"/>
        </w:rPr>
        <w:t>项目名称：</w:t>
      </w:r>
      <w:r>
        <w:rPr>
          <w:rFonts w:hint="eastAsia" w:ascii="宋体" w:hAnsi="宋体" w:cs="宋体"/>
          <w:sz w:val="28"/>
          <w:szCs w:val="28"/>
          <w:lang w:eastAsia="zh-CN"/>
        </w:rPr>
        <w:t>岱山县数据服务中心应用系统国产化适配改造项目（标段一）</w:t>
      </w:r>
    </w:p>
    <w:p w14:paraId="6A3AEFCF">
      <w:pPr>
        <w:spacing w:line="720" w:lineRule="auto"/>
        <w:ind w:left="0" w:leftChars="0" w:firstLine="840" w:firstLineChars="300"/>
        <w:rPr>
          <w:rFonts w:ascii="宋体" w:hAnsi="宋体" w:cs="宋体"/>
          <w:sz w:val="28"/>
          <w:szCs w:val="28"/>
        </w:rPr>
      </w:pPr>
      <w:r>
        <w:rPr>
          <w:rFonts w:hint="eastAsia" w:ascii="宋体" w:hAnsi="宋体" w:cs="宋体"/>
          <w:sz w:val="28"/>
          <w:szCs w:val="28"/>
        </w:rPr>
        <w:t>采 购 人：</w:t>
      </w:r>
      <w:r>
        <w:rPr>
          <w:rFonts w:hint="eastAsia" w:ascii="宋体" w:hAnsi="宋体" w:cs="宋体"/>
          <w:sz w:val="28"/>
          <w:szCs w:val="28"/>
          <w:lang w:eastAsia="zh-CN"/>
        </w:rPr>
        <w:t>岱山县数据服务中心</w:t>
      </w:r>
      <w:r>
        <w:rPr>
          <w:rFonts w:hint="eastAsia" w:ascii="宋体" w:hAnsi="宋体" w:cs="宋体"/>
          <w:sz w:val="28"/>
          <w:szCs w:val="28"/>
        </w:rPr>
        <w:t>（盖章）</w:t>
      </w:r>
    </w:p>
    <w:p w14:paraId="06D7A57D">
      <w:pPr>
        <w:spacing w:line="720" w:lineRule="auto"/>
        <w:ind w:left="0" w:leftChars="0" w:firstLine="840" w:firstLineChars="300"/>
        <w:rPr>
          <w:rFonts w:ascii="宋体" w:hAnsi="宋体" w:cs="宋体"/>
          <w:sz w:val="28"/>
          <w:szCs w:val="28"/>
        </w:rPr>
      </w:pPr>
      <w:r>
        <w:rPr>
          <w:rFonts w:hint="eastAsia" w:ascii="宋体" w:hAnsi="宋体" w:cs="宋体"/>
          <w:sz w:val="28"/>
          <w:szCs w:val="28"/>
        </w:rPr>
        <w:t>代理机构：中金招标有限责任公司（盖章）</w:t>
      </w:r>
    </w:p>
    <w:p w14:paraId="5C56FAC3">
      <w:pPr>
        <w:spacing w:line="720" w:lineRule="auto"/>
        <w:ind w:left="0" w:leftChars="0" w:firstLine="840" w:firstLineChars="300"/>
        <w:rPr>
          <w:rFonts w:hint="default" w:hAnsi="宋体" w:cs="宋体"/>
          <w:bCs/>
          <w:sz w:val="28"/>
          <w:szCs w:val="28"/>
          <w:lang w:val="en-US"/>
        </w:rPr>
        <w:sectPr>
          <w:headerReference r:id="rId4" w:type="first"/>
          <w:footerReference r:id="rId6" w:type="first"/>
          <w:headerReference r:id="rId3" w:type="default"/>
          <w:footerReference r:id="rId5" w:type="default"/>
          <w:pgSz w:w="11906" w:h="16838"/>
          <w:pgMar w:top="992" w:right="1191" w:bottom="992" w:left="1191" w:header="851" w:footer="794" w:gutter="0"/>
          <w:pgNumType w:start="0"/>
          <w:cols w:space="720" w:num="1"/>
          <w:titlePg/>
          <w:docGrid w:type="lines" w:linePitch="312" w:charSpace="0"/>
        </w:sectPr>
      </w:pPr>
      <w:r>
        <w:rPr>
          <w:rFonts w:hint="eastAsia" w:hAnsi="宋体" w:cs="宋体"/>
          <w:bCs/>
          <w:sz w:val="28"/>
          <w:szCs w:val="28"/>
        </w:rPr>
        <w:t>日    期：</w:t>
      </w:r>
      <w:r>
        <w:rPr>
          <w:rFonts w:hint="eastAsia" w:hAnsi="宋体" w:cs="宋体"/>
          <w:bCs/>
          <w:sz w:val="28"/>
          <w:szCs w:val="28"/>
          <w:highlight w:val="none"/>
        </w:rPr>
        <w:t>二〇二</w:t>
      </w:r>
      <w:r>
        <w:rPr>
          <w:rFonts w:hint="eastAsia" w:hAnsi="宋体" w:cs="宋体"/>
          <w:bCs/>
          <w:sz w:val="28"/>
          <w:szCs w:val="28"/>
          <w:highlight w:val="none"/>
          <w:lang w:val="en-US" w:eastAsia="zh-CN"/>
        </w:rPr>
        <w:t>五</w:t>
      </w:r>
      <w:r>
        <w:rPr>
          <w:rFonts w:hint="eastAsia" w:hAnsi="宋体" w:cs="宋体"/>
          <w:bCs/>
          <w:sz w:val="28"/>
          <w:szCs w:val="28"/>
          <w:highlight w:val="none"/>
        </w:rPr>
        <w:t>年</w:t>
      </w:r>
      <w:r>
        <w:rPr>
          <w:rFonts w:hint="eastAsia" w:hAnsi="宋体" w:cs="宋体"/>
          <w:bCs/>
          <w:sz w:val="28"/>
          <w:szCs w:val="28"/>
          <w:highlight w:val="none"/>
          <w:lang w:val="en-US" w:eastAsia="zh-CN"/>
        </w:rPr>
        <w:t>七月</w:t>
      </w:r>
    </w:p>
    <w:p w14:paraId="36908254">
      <w:pPr>
        <w:pStyle w:val="3"/>
        <w:spacing w:before="120" w:after="120" w:line="600" w:lineRule="auto"/>
        <w:jc w:val="center"/>
        <w:outlineLvl w:val="9"/>
        <w:rPr>
          <w:rFonts w:hAnsi="宋体" w:eastAsia="宋体" w:cs="宋体"/>
          <w:sz w:val="36"/>
          <w:szCs w:val="36"/>
        </w:rPr>
      </w:pPr>
      <w:bookmarkStart w:id="1" w:name="_Toc25967"/>
      <w:bookmarkStart w:id="2" w:name="_Toc16089"/>
      <w:r>
        <w:rPr>
          <w:rFonts w:hint="eastAsia" w:hAnsi="宋体" w:eastAsia="宋体" w:cs="宋体"/>
          <w:sz w:val="36"/>
          <w:szCs w:val="36"/>
        </w:rPr>
        <w:t>目    录</w:t>
      </w:r>
      <w:bookmarkEnd w:id="1"/>
      <w:bookmarkEnd w:id="2"/>
    </w:p>
    <w:p w14:paraId="1160FC0D">
      <w:pPr>
        <w:spacing w:before="120" w:line="552" w:lineRule="auto"/>
        <w:ind w:firstLine="840" w:firstLineChars="300"/>
        <w:outlineLvl w:val="9"/>
        <w:rPr>
          <w:rFonts w:ascii="宋体" w:hAnsi="宋体" w:cs="宋体"/>
          <w:sz w:val="28"/>
          <w:szCs w:val="28"/>
        </w:rPr>
      </w:pPr>
      <w:bookmarkStart w:id="3" w:name="_Toc28293"/>
      <w:bookmarkStart w:id="4" w:name="_Toc37"/>
      <w:r>
        <w:rPr>
          <w:rFonts w:hint="eastAsia" w:ascii="宋体" w:hAnsi="宋体" w:cs="宋体"/>
          <w:sz w:val="28"/>
          <w:szCs w:val="28"/>
        </w:rPr>
        <w:t>第一章  招标公告</w:t>
      </w:r>
      <w:bookmarkEnd w:id="3"/>
      <w:bookmarkEnd w:id="4"/>
    </w:p>
    <w:p w14:paraId="1D399BDE">
      <w:pPr>
        <w:spacing w:before="120" w:line="552" w:lineRule="auto"/>
        <w:ind w:firstLine="840" w:firstLineChars="300"/>
        <w:rPr>
          <w:rFonts w:ascii="宋体" w:hAnsi="宋体" w:cs="宋体"/>
          <w:sz w:val="28"/>
          <w:szCs w:val="28"/>
        </w:rPr>
      </w:pPr>
      <w:r>
        <w:rPr>
          <w:rFonts w:hint="eastAsia" w:ascii="宋体" w:hAnsi="宋体" w:cs="宋体"/>
          <w:sz w:val="28"/>
          <w:szCs w:val="28"/>
        </w:rPr>
        <w:t>第二章  采购需求</w:t>
      </w:r>
    </w:p>
    <w:p w14:paraId="4A34B0BB">
      <w:pPr>
        <w:spacing w:before="120" w:line="552" w:lineRule="auto"/>
        <w:ind w:firstLine="840" w:firstLineChars="300"/>
        <w:rPr>
          <w:rFonts w:ascii="宋体" w:hAnsi="宋体" w:cs="宋体"/>
          <w:sz w:val="28"/>
          <w:szCs w:val="28"/>
        </w:rPr>
      </w:pPr>
      <w:r>
        <w:rPr>
          <w:rFonts w:hint="eastAsia" w:ascii="宋体" w:hAnsi="宋体" w:cs="宋体"/>
          <w:sz w:val="28"/>
          <w:szCs w:val="28"/>
        </w:rPr>
        <w:t>第三章  投标人须知</w:t>
      </w:r>
    </w:p>
    <w:p w14:paraId="20F77FFC">
      <w:pPr>
        <w:spacing w:before="120" w:line="552" w:lineRule="auto"/>
        <w:ind w:firstLine="1960" w:firstLineChars="700"/>
        <w:rPr>
          <w:rFonts w:ascii="宋体" w:hAnsi="宋体" w:cs="宋体"/>
          <w:sz w:val="28"/>
          <w:szCs w:val="28"/>
        </w:rPr>
      </w:pPr>
      <w:r>
        <w:rPr>
          <w:rFonts w:hint="eastAsia" w:ascii="宋体" w:hAnsi="宋体" w:cs="宋体"/>
          <w:sz w:val="28"/>
          <w:szCs w:val="28"/>
        </w:rPr>
        <w:t xml:space="preserve">前附表 </w:t>
      </w:r>
    </w:p>
    <w:p w14:paraId="3E785E7A">
      <w:pPr>
        <w:spacing w:before="120" w:line="552" w:lineRule="auto"/>
        <w:ind w:firstLine="1400" w:firstLineChars="500"/>
        <w:rPr>
          <w:rFonts w:ascii="宋体" w:hAnsi="宋体" w:cs="宋体"/>
          <w:sz w:val="28"/>
          <w:szCs w:val="28"/>
        </w:rPr>
      </w:pPr>
      <w:r>
        <w:rPr>
          <w:rFonts w:hint="eastAsia" w:ascii="宋体" w:hAnsi="宋体" w:cs="宋体"/>
          <w:sz w:val="28"/>
          <w:szCs w:val="28"/>
        </w:rPr>
        <w:t>一、总 则</w:t>
      </w:r>
    </w:p>
    <w:p w14:paraId="27C5E90E">
      <w:pPr>
        <w:spacing w:before="120" w:line="552" w:lineRule="auto"/>
        <w:ind w:firstLine="1400" w:firstLineChars="500"/>
        <w:rPr>
          <w:rFonts w:ascii="宋体" w:hAnsi="宋体" w:cs="宋体"/>
          <w:sz w:val="28"/>
          <w:szCs w:val="28"/>
        </w:rPr>
      </w:pPr>
      <w:r>
        <w:rPr>
          <w:rFonts w:hint="eastAsia" w:ascii="宋体" w:hAnsi="宋体" w:cs="宋体"/>
          <w:sz w:val="28"/>
          <w:szCs w:val="28"/>
        </w:rPr>
        <w:t>二、招标文件</w:t>
      </w:r>
    </w:p>
    <w:p w14:paraId="051B9990">
      <w:pPr>
        <w:spacing w:before="120" w:line="552" w:lineRule="auto"/>
        <w:ind w:firstLine="1400" w:firstLineChars="500"/>
        <w:rPr>
          <w:rFonts w:ascii="宋体" w:hAnsi="宋体" w:cs="宋体"/>
          <w:sz w:val="28"/>
          <w:szCs w:val="28"/>
        </w:rPr>
      </w:pPr>
      <w:r>
        <w:rPr>
          <w:rFonts w:hint="eastAsia" w:ascii="宋体" w:hAnsi="宋体" w:cs="宋体"/>
          <w:sz w:val="28"/>
          <w:szCs w:val="28"/>
        </w:rPr>
        <w:t>三、投标文件的编制</w:t>
      </w:r>
    </w:p>
    <w:p w14:paraId="1E7E18BE">
      <w:pPr>
        <w:spacing w:before="120" w:line="552" w:lineRule="auto"/>
        <w:ind w:firstLine="1400" w:firstLineChars="500"/>
        <w:rPr>
          <w:rFonts w:ascii="宋体" w:hAnsi="宋体" w:cs="宋体"/>
          <w:sz w:val="28"/>
          <w:szCs w:val="28"/>
        </w:rPr>
      </w:pPr>
      <w:r>
        <w:rPr>
          <w:rFonts w:hint="eastAsia" w:ascii="宋体" w:hAnsi="宋体" w:cs="宋体"/>
          <w:sz w:val="28"/>
          <w:szCs w:val="28"/>
        </w:rPr>
        <w:t>四、开标</w:t>
      </w:r>
    </w:p>
    <w:p w14:paraId="1117AE0B">
      <w:pPr>
        <w:spacing w:before="120" w:line="552" w:lineRule="auto"/>
        <w:ind w:firstLine="1400" w:firstLineChars="500"/>
        <w:rPr>
          <w:rFonts w:ascii="宋体" w:hAnsi="宋体" w:cs="宋体"/>
          <w:sz w:val="28"/>
          <w:szCs w:val="28"/>
        </w:rPr>
      </w:pPr>
      <w:r>
        <w:rPr>
          <w:rFonts w:hint="eastAsia" w:ascii="宋体" w:hAnsi="宋体" w:cs="宋体"/>
          <w:sz w:val="28"/>
          <w:szCs w:val="28"/>
        </w:rPr>
        <w:t>五、评标</w:t>
      </w:r>
    </w:p>
    <w:p w14:paraId="5147F735">
      <w:pPr>
        <w:spacing w:before="120" w:line="552" w:lineRule="auto"/>
        <w:ind w:firstLine="1400" w:firstLineChars="500"/>
        <w:rPr>
          <w:rFonts w:ascii="宋体" w:hAnsi="宋体" w:cs="宋体"/>
          <w:sz w:val="28"/>
          <w:szCs w:val="28"/>
        </w:rPr>
      </w:pPr>
      <w:r>
        <w:rPr>
          <w:rFonts w:hint="eastAsia" w:ascii="宋体" w:hAnsi="宋体" w:cs="宋体"/>
          <w:sz w:val="28"/>
          <w:szCs w:val="28"/>
        </w:rPr>
        <w:t>六、废标</w:t>
      </w:r>
    </w:p>
    <w:p w14:paraId="265E44CE">
      <w:pPr>
        <w:spacing w:before="120" w:line="552" w:lineRule="auto"/>
        <w:ind w:firstLine="1400" w:firstLineChars="500"/>
        <w:rPr>
          <w:rFonts w:ascii="宋体" w:hAnsi="宋体" w:cs="宋体"/>
          <w:sz w:val="28"/>
          <w:szCs w:val="28"/>
        </w:rPr>
      </w:pPr>
      <w:r>
        <w:rPr>
          <w:rFonts w:hint="eastAsia" w:ascii="宋体" w:hAnsi="宋体" w:cs="宋体"/>
          <w:sz w:val="28"/>
          <w:szCs w:val="28"/>
        </w:rPr>
        <w:t>七、定标</w:t>
      </w:r>
    </w:p>
    <w:p w14:paraId="47C26BDD">
      <w:pPr>
        <w:spacing w:before="120" w:line="552" w:lineRule="auto"/>
        <w:ind w:firstLine="1400" w:firstLineChars="500"/>
        <w:rPr>
          <w:rFonts w:ascii="宋体" w:hAnsi="宋体" w:cs="宋体"/>
          <w:sz w:val="28"/>
          <w:szCs w:val="28"/>
        </w:rPr>
      </w:pPr>
      <w:r>
        <w:rPr>
          <w:rFonts w:hint="eastAsia" w:ascii="宋体" w:hAnsi="宋体" w:cs="宋体"/>
          <w:sz w:val="28"/>
          <w:szCs w:val="28"/>
        </w:rPr>
        <w:t>八、合同授予</w:t>
      </w:r>
    </w:p>
    <w:p w14:paraId="6DF8EE1A">
      <w:pPr>
        <w:spacing w:before="120" w:line="552" w:lineRule="auto"/>
        <w:ind w:firstLine="840" w:firstLineChars="300"/>
        <w:rPr>
          <w:rFonts w:ascii="宋体" w:hAnsi="宋体" w:cs="宋体"/>
          <w:sz w:val="28"/>
          <w:szCs w:val="28"/>
        </w:rPr>
      </w:pPr>
      <w:r>
        <w:rPr>
          <w:rFonts w:hint="eastAsia" w:ascii="宋体" w:hAnsi="宋体" w:cs="宋体"/>
          <w:sz w:val="28"/>
          <w:szCs w:val="28"/>
        </w:rPr>
        <w:t>第四章  评标办法及标准</w:t>
      </w:r>
    </w:p>
    <w:p w14:paraId="7E32F121">
      <w:pPr>
        <w:spacing w:before="120" w:line="552" w:lineRule="auto"/>
        <w:ind w:firstLine="840" w:firstLineChars="300"/>
        <w:rPr>
          <w:rFonts w:ascii="宋体" w:hAnsi="宋体" w:cs="宋体"/>
          <w:sz w:val="28"/>
          <w:szCs w:val="28"/>
        </w:rPr>
      </w:pPr>
      <w:r>
        <w:rPr>
          <w:rFonts w:hint="eastAsia" w:ascii="宋体" w:hAnsi="宋体" w:cs="宋体"/>
          <w:sz w:val="28"/>
          <w:szCs w:val="28"/>
        </w:rPr>
        <w:t>第五章  合同主要条款</w:t>
      </w:r>
    </w:p>
    <w:p w14:paraId="7146ABE3">
      <w:pPr>
        <w:spacing w:before="120" w:line="552" w:lineRule="auto"/>
        <w:ind w:firstLine="840" w:firstLineChars="300"/>
        <w:rPr>
          <w:rFonts w:ascii="宋体" w:hAnsi="宋体" w:cs="宋体"/>
          <w:sz w:val="24"/>
          <w:szCs w:val="24"/>
        </w:rPr>
      </w:pPr>
      <w:r>
        <w:rPr>
          <w:rFonts w:hint="eastAsia" w:ascii="宋体" w:hAnsi="宋体" w:cs="宋体"/>
          <w:sz w:val="28"/>
          <w:szCs w:val="28"/>
        </w:rPr>
        <w:t>第六章  投标文件组成</w:t>
      </w:r>
    </w:p>
    <w:p w14:paraId="73D5A66F">
      <w:pPr>
        <w:jc w:val="center"/>
        <w:outlineLvl w:val="9"/>
        <w:rPr>
          <w:rFonts w:hint="eastAsia" w:ascii="宋体" w:hAnsi="宋体" w:cs="宋体"/>
          <w:b/>
          <w:sz w:val="28"/>
          <w:szCs w:val="28"/>
        </w:rPr>
        <w:sectPr>
          <w:headerReference r:id="rId7" w:type="first"/>
          <w:footerReference r:id="rId8" w:type="default"/>
          <w:pgSz w:w="11906" w:h="16838"/>
          <w:pgMar w:top="992" w:right="1191" w:bottom="992" w:left="1191" w:header="851" w:footer="794" w:gutter="0"/>
          <w:pgNumType w:fmt="decimal" w:start="1"/>
          <w:cols w:space="720" w:num="1"/>
          <w:docGrid w:type="lines" w:linePitch="312" w:charSpace="0"/>
        </w:sectPr>
      </w:pPr>
      <w:bookmarkStart w:id="5" w:name="OLE_LINK1"/>
    </w:p>
    <w:p w14:paraId="381A36B9">
      <w:pPr>
        <w:jc w:val="center"/>
        <w:outlineLvl w:val="0"/>
        <w:rPr>
          <w:rFonts w:ascii="宋体" w:hAnsi="宋体" w:cs="宋体"/>
          <w:b/>
          <w:sz w:val="28"/>
          <w:szCs w:val="28"/>
        </w:rPr>
      </w:pPr>
      <w:bookmarkStart w:id="6" w:name="_Toc26821"/>
      <w:bookmarkStart w:id="7" w:name="_Toc11348"/>
      <w:bookmarkStart w:id="8" w:name="_Toc20313"/>
      <w:r>
        <w:rPr>
          <w:rFonts w:hint="eastAsia" w:ascii="宋体" w:hAnsi="宋体" w:cs="宋体"/>
          <w:b/>
          <w:sz w:val="28"/>
          <w:szCs w:val="28"/>
        </w:rPr>
        <w:t xml:space="preserve">第一章 </w:t>
      </w:r>
      <w:bookmarkStart w:id="9" w:name="OLE_LINK3"/>
      <w:bookmarkStart w:id="10" w:name="OLE_LINK4"/>
      <w:bookmarkStart w:id="11" w:name="OLE_LINK2"/>
      <w:r>
        <w:rPr>
          <w:rFonts w:hint="eastAsia" w:ascii="宋体" w:hAnsi="宋体" w:cs="宋体"/>
          <w:b/>
          <w:sz w:val="28"/>
          <w:szCs w:val="28"/>
        </w:rPr>
        <w:t xml:space="preserve"> 招标公告</w:t>
      </w:r>
      <w:bookmarkEnd w:id="6"/>
      <w:bookmarkEnd w:id="7"/>
      <w:bookmarkEnd w:id="8"/>
    </w:p>
    <w:bookmarkEnd w:id="5"/>
    <w:bookmarkEnd w:id="9"/>
    <w:bookmarkEnd w:id="10"/>
    <w:bookmarkEnd w:id="11"/>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5B0D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3E530BDC">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项目概况</w:t>
            </w:r>
            <w:r>
              <w:rPr>
                <w:rFonts w:hint="eastAsia" w:ascii="宋体" w:hAnsi="宋体" w:eastAsia="宋体" w:cs="宋体"/>
                <w:i w:val="0"/>
                <w:iCs w:val="0"/>
                <w:caps w:val="0"/>
                <w:color w:val="000000"/>
                <w:spacing w:val="0"/>
                <w:sz w:val="21"/>
                <w:szCs w:val="21"/>
              </w:rPr>
              <w:t>        </w:t>
            </w:r>
          </w:p>
          <w:p w14:paraId="10A7139B">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b/>
                <w:bCs/>
                <w:i w:val="0"/>
                <w:iCs w:val="0"/>
                <w:caps w:val="0"/>
                <w:color w:val="000000"/>
                <w:spacing w:val="0"/>
                <w:sz w:val="21"/>
                <w:szCs w:val="21"/>
                <w:vertAlign w:val="baseline"/>
              </w:rPr>
            </w:pPr>
            <w:r>
              <w:rPr>
                <w:rFonts w:hint="eastAsia" w:ascii="宋体" w:hAnsi="宋体" w:eastAsia="宋体" w:cs="宋体"/>
                <w:b w:val="0"/>
                <w:bCs w:val="0"/>
                <w:i w:val="0"/>
                <w:iCs w:val="0"/>
                <w:caps w:val="0"/>
                <w:color w:val="000000"/>
                <w:spacing w:val="0"/>
                <w:sz w:val="21"/>
                <w:szCs w:val="21"/>
                <w:vertAlign w:val="baseline"/>
              </w:rPr>
              <w:t>岱山县数据服务中心应用系统国产化适配改造项目（标段一）招标项目的潜在投标人应在浙江政府采购网http://zfcg.czt.zj.gov.cn/（用“政采云”注册账号、密码登录系统后获取招标文件）（下载）招标文件，并于2025年07月28日 09:00（北京时间）前递交（上传）投标文件。     </w:t>
            </w:r>
          </w:p>
        </w:tc>
      </w:tr>
    </w:tbl>
    <w:p w14:paraId="516CC46B">
      <w:pPr>
        <w:pStyle w:val="28"/>
        <w:keepNext w:val="0"/>
        <w:keepLines w:val="0"/>
        <w:widowControl/>
        <w:suppressLineNumbers w:val="0"/>
        <w:spacing w:before="300" w:beforeAutospacing="0" w:after="0" w:afterAutospacing="0" w:line="360" w:lineRule="auto"/>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一、项目基本情况</w:t>
      </w:r>
    </w:p>
    <w:p w14:paraId="3D0AB6F9">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项目编号：0773-2541GNZSFWGK1687</w:t>
      </w:r>
    </w:p>
    <w:p w14:paraId="69AD1516">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项目名称：岱山县数据服务中心应用系统国产化适配改造项目（标段一）</w:t>
      </w:r>
    </w:p>
    <w:p w14:paraId="715E3024">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预算金额（元）：3802000</w:t>
      </w:r>
      <w:bookmarkStart w:id="56" w:name="_GoBack"/>
      <w:bookmarkEnd w:id="56"/>
    </w:p>
    <w:p w14:paraId="037D63BD">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最高限价（元）：3406000</w:t>
      </w:r>
    </w:p>
    <w:p w14:paraId="20BD3F6F">
      <w:pPr>
        <w:keepNext w:val="0"/>
        <w:keepLines w:val="0"/>
        <w:widowControl/>
        <w:suppressLineNumbers w:val="0"/>
        <w:spacing w:line="360" w:lineRule="auto"/>
        <w:ind w:lef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采购需求：  </w:t>
      </w:r>
    </w:p>
    <w:p w14:paraId="1469704F">
      <w:pPr>
        <w:pStyle w:val="28"/>
        <w:keepNext w:val="0"/>
        <w:keepLines w:val="0"/>
        <w:widowControl/>
        <w:suppressLineNumbers w:val="0"/>
        <w:spacing w:before="300" w:beforeAutospacing="0" w:after="30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标项名称：</w:t>
      </w:r>
      <w:r>
        <w:rPr>
          <w:rFonts w:hint="eastAsia" w:ascii="宋体" w:hAnsi="宋体" w:eastAsia="宋体" w:cs="宋体"/>
          <w:b w:val="0"/>
          <w:bCs w:val="0"/>
          <w:i w:val="0"/>
          <w:iCs w:val="0"/>
          <w:caps w:val="0"/>
          <w:color w:val="000000"/>
          <w:spacing w:val="0"/>
          <w:sz w:val="21"/>
          <w:szCs w:val="21"/>
          <w:shd w:val="clear" w:fill="F7F7F7"/>
        </w:rPr>
        <w:t>岱山县数据服务中心应用系统国产化适配改造项目（标段一）</w:t>
      </w:r>
      <w:r>
        <w:rPr>
          <w:rFonts w:hint="eastAsia" w:ascii="宋体" w:hAnsi="宋体" w:eastAsia="宋体" w:cs="宋体"/>
          <w:i w:val="0"/>
          <w:iCs w:val="0"/>
          <w:caps w:val="0"/>
          <w:color w:val="000000"/>
          <w:spacing w:val="0"/>
          <w:sz w:val="21"/>
          <w:szCs w:val="21"/>
          <w:shd w:val="clear" w:fill="F7F7F7"/>
        </w:rPr>
        <w:t>    </w:t>
      </w:r>
    </w:p>
    <w:p w14:paraId="6BF79377">
      <w:pPr>
        <w:pStyle w:val="28"/>
        <w:keepNext w:val="0"/>
        <w:keepLines w:val="0"/>
        <w:widowControl/>
        <w:suppressLineNumbers w:val="0"/>
        <w:spacing w:before="300" w:beforeAutospacing="0" w:after="30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数量：</w:t>
      </w:r>
      <w:r>
        <w:rPr>
          <w:rFonts w:hint="eastAsia" w:ascii="宋体" w:hAnsi="宋体" w:eastAsia="宋体" w:cs="宋体"/>
          <w:b w:val="0"/>
          <w:bCs w:val="0"/>
          <w:i w:val="0"/>
          <w:iCs w:val="0"/>
          <w:caps w:val="0"/>
          <w:color w:val="000000"/>
          <w:spacing w:val="0"/>
          <w:sz w:val="21"/>
          <w:szCs w:val="21"/>
          <w:shd w:val="clear" w:fill="F7F7F7"/>
        </w:rPr>
        <w:t>1</w:t>
      </w:r>
      <w:r>
        <w:rPr>
          <w:rFonts w:hint="eastAsia" w:ascii="宋体" w:hAnsi="宋体" w:eastAsia="宋体" w:cs="宋体"/>
          <w:i w:val="0"/>
          <w:iCs w:val="0"/>
          <w:caps w:val="0"/>
          <w:color w:val="000000"/>
          <w:spacing w:val="0"/>
          <w:sz w:val="21"/>
          <w:szCs w:val="21"/>
          <w:shd w:val="clear" w:fill="F7F7F7"/>
        </w:rPr>
        <w:t>    </w:t>
      </w:r>
    </w:p>
    <w:p w14:paraId="0009083A">
      <w:pPr>
        <w:pStyle w:val="28"/>
        <w:keepNext w:val="0"/>
        <w:keepLines w:val="0"/>
        <w:widowControl/>
        <w:suppressLineNumbers w:val="0"/>
        <w:spacing w:before="300" w:beforeAutospacing="0" w:after="30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预算金额（元）：</w:t>
      </w:r>
      <w:r>
        <w:rPr>
          <w:rFonts w:hint="eastAsia" w:ascii="宋体" w:hAnsi="宋体" w:eastAsia="宋体" w:cs="宋体"/>
          <w:b w:val="0"/>
          <w:bCs w:val="0"/>
          <w:i w:val="0"/>
          <w:iCs w:val="0"/>
          <w:caps w:val="0"/>
          <w:color w:val="000000"/>
          <w:spacing w:val="0"/>
          <w:sz w:val="21"/>
          <w:szCs w:val="21"/>
          <w:shd w:val="clear" w:fill="F7F7F7"/>
        </w:rPr>
        <w:t>3802000</w:t>
      </w:r>
      <w:r>
        <w:rPr>
          <w:rFonts w:hint="eastAsia" w:ascii="宋体" w:hAnsi="宋体" w:eastAsia="宋体" w:cs="宋体"/>
          <w:i w:val="0"/>
          <w:iCs w:val="0"/>
          <w:caps w:val="0"/>
          <w:color w:val="000000"/>
          <w:spacing w:val="0"/>
          <w:sz w:val="21"/>
          <w:szCs w:val="21"/>
          <w:shd w:val="clear" w:fill="F7F7F7"/>
        </w:rPr>
        <w:t>    </w:t>
      </w:r>
    </w:p>
    <w:p w14:paraId="20F9BDD2">
      <w:pPr>
        <w:pStyle w:val="28"/>
        <w:keepNext w:val="0"/>
        <w:keepLines w:val="0"/>
        <w:widowControl/>
        <w:suppressLineNumbers w:val="0"/>
        <w:spacing w:before="300" w:beforeAutospacing="0" w:after="30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简要规格描述或项目基本概况介绍、用途：</w:t>
      </w:r>
      <w:r>
        <w:rPr>
          <w:rFonts w:hint="eastAsia" w:ascii="宋体" w:hAnsi="宋体" w:eastAsia="宋体" w:cs="宋体"/>
          <w:b w:val="0"/>
          <w:bCs w:val="0"/>
          <w:i w:val="0"/>
          <w:iCs w:val="0"/>
          <w:caps w:val="0"/>
          <w:color w:val="000000"/>
          <w:spacing w:val="0"/>
          <w:sz w:val="21"/>
          <w:szCs w:val="21"/>
          <w:shd w:val="clear" w:fill="F7F7F7"/>
        </w:rPr>
        <w:t>详见采购文件</w:t>
      </w:r>
      <w:r>
        <w:rPr>
          <w:rFonts w:hint="eastAsia" w:ascii="宋体" w:hAnsi="宋体" w:eastAsia="宋体" w:cs="宋体"/>
          <w:i w:val="0"/>
          <w:iCs w:val="0"/>
          <w:caps w:val="0"/>
          <w:color w:val="000000"/>
          <w:spacing w:val="0"/>
          <w:sz w:val="21"/>
          <w:szCs w:val="21"/>
          <w:shd w:val="clear" w:fill="F7F7F7"/>
        </w:rPr>
        <w:t>    </w:t>
      </w:r>
    </w:p>
    <w:p w14:paraId="0263ACBC">
      <w:pPr>
        <w:pStyle w:val="28"/>
        <w:keepNext w:val="0"/>
        <w:keepLines w:val="0"/>
        <w:widowControl/>
        <w:suppressLineNumbers w:val="0"/>
        <w:spacing w:before="300" w:beforeAutospacing="0" w:after="30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备注：    </w:t>
      </w:r>
    </w:p>
    <w:p w14:paraId="0D77D473">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合同履约期限：标项 1，合同签订后3个月内完成各个平台的改造并初验，初验通过后进入试运行，试运行3个月后无任何问题，进行终验。</w:t>
      </w:r>
    </w:p>
    <w:p w14:paraId="69A7CFF2">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本项目（否）接受联合体投标。</w:t>
      </w:r>
    </w:p>
    <w:p w14:paraId="5C86C0FE">
      <w:pPr>
        <w:pStyle w:val="28"/>
        <w:keepNext w:val="0"/>
        <w:keepLines w:val="0"/>
        <w:widowControl/>
        <w:suppressLineNumbers w:val="0"/>
        <w:spacing w:before="300" w:beforeAutospacing="0" w:after="0" w:afterAutospacing="0" w:line="360" w:lineRule="auto"/>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二、申请人的资格要求：</w:t>
      </w:r>
    </w:p>
    <w:p w14:paraId="4173EFE1">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14:paraId="61CD9FED">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2.落实政府采购政策需满足的资格要求：标项1：无</w:t>
      </w:r>
    </w:p>
    <w:p w14:paraId="58548077">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3.本项目的特定资格要求：无</w:t>
      </w:r>
    </w:p>
    <w:p w14:paraId="790A1025">
      <w:pPr>
        <w:pStyle w:val="28"/>
        <w:keepNext w:val="0"/>
        <w:keepLines w:val="0"/>
        <w:widowControl/>
        <w:suppressLineNumbers w:val="0"/>
        <w:spacing w:before="300" w:beforeAutospacing="0" w:after="0" w:afterAutospacing="0" w:line="360" w:lineRule="auto"/>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三、获取招标文件</w:t>
      </w:r>
    </w:p>
    <w:p w14:paraId="3BA1E45C">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时间：/至2025年07月28日 ，每天上午00:00至12:00 ，下午12:00至23:59（北京时间，线上获取法定节假日均可，线下获取文件法定节假日除外）</w:t>
      </w:r>
    </w:p>
    <w:p w14:paraId="2D4AA4F8">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地点（网址）：浙江政府采购网http://zfcg.czt.zj.gov.cn/（用“政采云”注册账号、密码登录系统后获取招标文件）</w:t>
      </w:r>
    </w:p>
    <w:p w14:paraId="70BFD6B8">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95763</w:t>
      </w:r>
    </w:p>
    <w:p w14:paraId="00F2E895">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售价（元）：0</w:t>
      </w:r>
    </w:p>
    <w:p w14:paraId="2214B69B">
      <w:pPr>
        <w:pStyle w:val="28"/>
        <w:keepNext w:val="0"/>
        <w:keepLines w:val="0"/>
        <w:widowControl/>
        <w:suppressLineNumbers w:val="0"/>
        <w:spacing w:before="300" w:beforeAutospacing="0" w:after="0" w:afterAutospacing="0" w:line="360" w:lineRule="auto"/>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四、提交投标文件截止时间、开标时间和地点</w:t>
      </w:r>
    </w:p>
    <w:p w14:paraId="7C0F3526">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提交投标文件截止时间：2025年07月28日 09:00（北京时间）</w:t>
      </w:r>
    </w:p>
    <w:p w14:paraId="1D2439CA">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投标地点（网址）：①本项目不要求供应商授权代表参加现场开标、开启投标文件活动。②投标人将加密的电子版投标文件于投标截止时间前上传到政采云系统中。③投标人可以选择递交备份投标文件。备份投标文件须密封完好，注明投标人单位名称，并于投标截止时间前递交，否则采购代理机构将拒收。具体递交方式为开标日前通过邮寄、专人等形式送达采购代理机构地址或开标当天专人送达开标地点（联系人：龚思铮；联系方式：17377684037）。</w:t>
      </w:r>
    </w:p>
    <w:p w14:paraId="6FCA9062">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开标时间：2025年07月28日 09:00</w:t>
      </w:r>
    </w:p>
    <w:p w14:paraId="269A6CB8">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开标地点（网址）：岱山县高亭镇星河路250号3楼（交通大楼裙楼3楼）</w:t>
      </w:r>
    </w:p>
    <w:p w14:paraId="09266C4F">
      <w:pPr>
        <w:pStyle w:val="28"/>
        <w:keepNext w:val="0"/>
        <w:keepLines w:val="0"/>
        <w:widowControl/>
        <w:suppressLineNumbers w:val="0"/>
        <w:spacing w:before="300" w:beforeAutospacing="0" w:after="0" w:afterAutospacing="0" w:line="360" w:lineRule="auto"/>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五、公告期限</w:t>
      </w:r>
    </w:p>
    <w:p w14:paraId="6B8DB33B">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自本公告发布之日起5个工作日。</w:t>
      </w:r>
    </w:p>
    <w:p w14:paraId="770DEE92">
      <w:pPr>
        <w:pStyle w:val="28"/>
        <w:keepNext w:val="0"/>
        <w:keepLines w:val="0"/>
        <w:widowControl/>
        <w:suppressLineNumbers w:val="0"/>
        <w:spacing w:before="300" w:beforeAutospacing="0" w:after="0" w:afterAutospacing="0" w:line="360" w:lineRule="auto"/>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六、其他补充事宜</w:t>
      </w:r>
    </w:p>
    <w:p w14:paraId="1B395BC1">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1EA6135">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EFB677C">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660626C">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p>
    <w:p w14:paraId="70178551">
      <w:pPr>
        <w:pStyle w:val="28"/>
        <w:keepNext w:val="0"/>
        <w:keepLines w:val="0"/>
        <w:widowControl/>
        <w:suppressLineNumbers w:val="0"/>
        <w:spacing w:before="300" w:beforeAutospacing="0" w:after="0" w:afterAutospacing="0" w:line="360" w:lineRule="auto"/>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七、对本次采购提出询问、质疑、投诉，请按以下方式联系</w:t>
      </w:r>
    </w:p>
    <w:p w14:paraId="2B8E5FD4">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1.采购人信息</w:t>
      </w:r>
    </w:p>
    <w:p w14:paraId="18F50F33">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称：岱山县数据服务中心</w:t>
      </w:r>
    </w:p>
    <w:p w14:paraId="2E7D4982">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址：浙江省岱山县高亭镇兰秀大道475号</w:t>
      </w:r>
    </w:p>
    <w:p w14:paraId="158FB647">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传    真：</w:t>
      </w:r>
    </w:p>
    <w:p w14:paraId="07720E95">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项目联系人（询问）：汪潇</w:t>
      </w:r>
    </w:p>
    <w:p w14:paraId="69FE0CD2">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项目联系方式（询问）：0580-7338939</w:t>
      </w:r>
    </w:p>
    <w:p w14:paraId="34AB40B7">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质疑联系人：王伟达</w:t>
      </w:r>
    </w:p>
    <w:p w14:paraId="7C5BEC33">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质疑联系方式：0580-7338939</w:t>
      </w:r>
    </w:p>
    <w:p w14:paraId="43B16C57">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2.采购代理机构信息</w:t>
      </w:r>
    </w:p>
    <w:p w14:paraId="197B6DAC">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称：中金招标有限责任公司</w:t>
      </w:r>
    </w:p>
    <w:p w14:paraId="334F75E5">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址：舟山市定海区海天大道998号知青创客428室</w:t>
      </w:r>
    </w:p>
    <w:p w14:paraId="609FE374">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传    真：</w:t>
      </w:r>
    </w:p>
    <w:p w14:paraId="07B5ABC7">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项目联系人（询问）：龚思铮</w:t>
      </w:r>
    </w:p>
    <w:p w14:paraId="1202F27A">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项目联系方式（询问）：0580-2260620/17377684037</w:t>
      </w:r>
    </w:p>
    <w:p w14:paraId="7C3D9A37">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质疑联系人：蔡真鹏</w:t>
      </w:r>
    </w:p>
    <w:p w14:paraId="75BF1A77">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质疑联系方式：19106800108</w:t>
      </w:r>
    </w:p>
    <w:p w14:paraId="1C3AB65E">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w:t>
      </w:r>
      <w:r>
        <w:rPr>
          <w:rStyle w:val="41"/>
          <w:rFonts w:hint="eastAsia" w:ascii="宋体" w:hAnsi="宋体" w:eastAsia="宋体" w:cs="宋体"/>
          <w:i w:val="0"/>
          <w:iCs w:val="0"/>
          <w:caps w:val="0"/>
          <w:color w:val="000000"/>
          <w:spacing w:val="0"/>
          <w:sz w:val="21"/>
          <w:szCs w:val="21"/>
        </w:rPr>
        <w:t>同级政府采购监督管理部门</w:t>
      </w:r>
    </w:p>
    <w:p w14:paraId="2E8B0D19">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称：岱山县财政局政府采购监管科</w:t>
      </w:r>
    </w:p>
    <w:p w14:paraId="48F0A236">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址：岱山县高亭镇鱼山大道671号</w:t>
      </w:r>
    </w:p>
    <w:p w14:paraId="5C5E0C18">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传    真：</w:t>
      </w:r>
    </w:p>
    <w:p w14:paraId="199543A0">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联 系 人：徐先生</w:t>
      </w:r>
    </w:p>
    <w:p w14:paraId="25EB0F68">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监督投诉电话：0580-4472749</w:t>
      </w:r>
    </w:p>
    <w:p w14:paraId="65E96338">
      <w:pPr>
        <w:keepNext w:val="0"/>
        <w:keepLines w:val="0"/>
        <w:widowControl/>
        <w:suppressLineNumbers w:val="0"/>
        <w:spacing w:line="360" w:lineRule="auto"/>
        <w:ind w:lef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 </w:t>
      </w:r>
    </w:p>
    <w:p w14:paraId="48888D69">
      <w:pPr>
        <w:pStyle w:val="28"/>
        <w:keepNext w:val="0"/>
        <w:keepLines w:val="0"/>
        <w:widowControl/>
        <w:suppressLineNumbers w:val="0"/>
        <w:spacing w:before="60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若对项目采购电子交易系统操作有疑问，可登录政采云（https://www.zcygov.cn/），点击右侧咨询小采，获取采小蜜智能服务管家帮助，或拨打政采云服务热线95763获取热线服务帮助。</w:t>
      </w:r>
    </w:p>
    <w:p w14:paraId="1AB91165">
      <w:pPr>
        <w:pStyle w:val="28"/>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CA问题联系电话（人工）：汇信CA 400-888-4636；天谷CA 400-087-8198。</w:t>
      </w:r>
    </w:p>
    <w:p w14:paraId="438C91EB">
      <w:pPr>
        <w:widowControl/>
        <w:spacing w:line="360" w:lineRule="auto"/>
        <w:ind w:firstLine="562" w:firstLineChars="200"/>
        <w:jc w:val="center"/>
        <w:outlineLvl w:val="0"/>
        <w:rPr>
          <w:rFonts w:ascii="宋体" w:hAnsi="宋体" w:cs="宋体"/>
          <w:kern w:val="0"/>
          <w:szCs w:val="21"/>
        </w:rPr>
      </w:pPr>
      <w:r>
        <w:rPr>
          <w:rFonts w:hint="eastAsia" w:ascii="宋体" w:hAnsi="宋体" w:cs="宋体"/>
          <w:b/>
          <w:sz w:val="28"/>
          <w:szCs w:val="28"/>
        </w:rPr>
        <w:br w:type="page"/>
      </w:r>
      <w:bookmarkStart w:id="12" w:name="_Toc15524"/>
      <w:bookmarkStart w:id="13" w:name="_Toc24192"/>
      <w:bookmarkStart w:id="14" w:name="_Toc23129"/>
      <w:bookmarkStart w:id="15" w:name="_Toc15530"/>
      <w:bookmarkStart w:id="16" w:name="_Toc6305"/>
      <w:bookmarkStart w:id="17" w:name="_Toc263083258"/>
      <w:bookmarkStart w:id="18" w:name="_Toc517442217"/>
      <w:bookmarkStart w:id="19" w:name="_Toc37423705"/>
      <w:r>
        <w:rPr>
          <w:rFonts w:hint="eastAsia" w:ascii="宋体" w:hAnsi="宋体" w:cs="宋体"/>
          <w:b/>
          <w:sz w:val="28"/>
          <w:szCs w:val="28"/>
        </w:rPr>
        <w:t>第二章  采购需求</w:t>
      </w:r>
      <w:bookmarkEnd w:id="12"/>
      <w:bookmarkEnd w:id="13"/>
      <w:bookmarkEnd w:id="14"/>
    </w:p>
    <w:bookmarkEnd w:id="15"/>
    <w:bookmarkEnd w:id="16"/>
    <w:bookmarkEnd w:id="17"/>
    <w:bookmarkEnd w:id="18"/>
    <w:bookmarkEnd w:id="19"/>
    <w:p w14:paraId="03965A5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kern w:val="2"/>
          <w:sz w:val="21"/>
          <w:szCs w:val="21"/>
          <w:lang w:val="en-US" w:eastAsia="zh-CN" w:bidi="ar-SA"/>
        </w:rPr>
        <w:t>一、</w:t>
      </w:r>
      <w:r>
        <w:rPr>
          <w:rFonts w:hint="eastAsia" w:ascii="宋体" w:hAnsi="宋体" w:eastAsia="宋体" w:cs="宋体"/>
          <w:b/>
          <w:bCs/>
          <w:sz w:val="21"/>
          <w:szCs w:val="21"/>
          <w:lang w:val="en-US" w:eastAsia="zh-CN"/>
        </w:rPr>
        <w:t>建设目标</w:t>
      </w:r>
    </w:p>
    <w:p w14:paraId="765335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根据</w:t>
      </w:r>
      <w:r>
        <w:rPr>
          <w:rFonts w:hint="eastAsia" w:ascii="宋体" w:hAnsi="宋体" w:eastAsia="宋体" w:cs="宋体"/>
          <w:sz w:val="21"/>
          <w:szCs w:val="21"/>
          <w:lang w:val="en-US" w:eastAsia="zh-CN"/>
        </w:rPr>
        <w:t>国务院《关于加强数字政府建设的指导意见》和《“十四五”推进国家政务信息化规划》等文件要求，深化政府部门信息系统信创建设，推进国产化替代，全面采用信创技术和产品，减少对外部技术的依赖，提高信息系统的自主可控性和安全性。</w:t>
      </w:r>
      <w:r>
        <w:rPr>
          <w:rFonts w:hint="eastAsia" w:ascii="宋体" w:hAnsi="宋体" w:eastAsia="宋体" w:cs="宋体"/>
          <w:color w:val="000000" w:themeColor="text1"/>
          <w:sz w:val="21"/>
          <w:szCs w:val="21"/>
          <w14:textFill>
            <w14:solidFill>
              <w14:schemeClr w14:val="tx1"/>
            </w14:solidFill>
          </w14:textFill>
        </w:rPr>
        <w:t>以实现高水平科技自立自强为统领，以持续深化政府数字化转型为抓手，以关键核心技术自主可控为主线，通过基础软硬件全面安可替代、上层平台软件对国产化环境全面适配改造，从根本上提升</w:t>
      </w:r>
      <w:r>
        <w:rPr>
          <w:rFonts w:hint="eastAsia" w:ascii="宋体" w:hAnsi="宋体" w:eastAsia="宋体" w:cs="宋体"/>
          <w:color w:val="000000" w:themeColor="text1"/>
          <w:sz w:val="21"/>
          <w:szCs w:val="21"/>
          <w:lang w:val="en-US" w:eastAsia="zh-CN"/>
          <w14:textFill>
            <w14:solidFill>
              <w14:schemeClr w14:val="tx1"/>
            </w14:solidFill>
          </w14:textFill>
        </w:rPr>
        <w:t>应用</w:t>
      </w:r>
      <w:r>
        <w:rPr>
          <w:rFonts w:hint="eastAsia" w:ascii="宋体" w:hAnsi="宋体" w:eastAsia="宋体" w:cs="宋体"/>
          <w:color w:val="000000" w:themeColor="text1"/>
          <w:sz w:val="21"/>
          <w:szCs w:val="21"/>
          <w14:textFill>
            <w14:solidFill>
              <w14:schemeClr w14:val="tx1"/>
            </w14:solidFill>
          </w14:textFill>
        </w:rPr>
        <w:t>整体安全水平，早日破除关键核心技术“卡脖子”风险隐患。</w:t>
      </w:r>
    </w:p>
    <w:p w14:paraId="10C0C8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具体到本项目，通过数据</w:t>
      </w:r>
      <w:r>
        <w:rPr>
          <w:rFonts w:hint="eastAsia" w:ascii="宋体" w:hAnsi="宋体" w:eastAsia="宋体" w:cs="宋体"/>
          <w:sz w:val="21"/>
          <w:szCs w:val="21"/>
          <w:lang w:eastAsia="zh-CN"/>
        </w:rPr>
        <w:t>迁移、</w:t>
      </w:r>
      <w:r>
        <w:rPr>
          <w:rFonts w:hint="eastAsia" w:ascii="宋体" w:hAnsi="宋体" w:eastAsia="宋体" w:cs="宋体"/>
          <w:sz w:val="21"/>
          <w:szCs w:val="21"/>
          <w:lang w:val="en-US" w:eastAsia="zh-CN"/>
        </w:rPr>
        <w:t>系统适配、架构调整等方式，基于国产服务器和终端，采用国产</w:t>
      </w:r>
      <w:r>
        <w:rPr>
          <w:rFonts w:hint="eastAsia" w:ascii="宋体" w:hAnsi="宋体" w:eastAsia="宋体" w:cs="宋体"/>
          <w:sz w:val="21"/>
          <w:szCs w:val="21"/>
          <w:lang w:eastAsia="zh-CN"/>
        </w:rPr>
        <w:t>操作系统和数据库，减少对国外技术的依赖，提高信息技术的自主可控能力，</w:t>
      </w:r>
      <w:r>
        <w:rPr>
          <w:rFonts w:hint="eastAsia" w:ascii="宋体" w:hAnsi="宋体" w:eastAsia="宋体" w:cs="宋体"/>
          <w:sz w:val="21"/>
          <w:szCs w:val="21"/>
          <w:lang w:val="en-US" w:eastAsia="zh-CN"/>
        </w:rPr>
        <w:t>并</w:t>
      </w:r>
      <w:r>
        <w:rPr>
          <w:rFonts w:hint="eastAsia" w:ascii="宋体" w:hAnsi="宋体" w:eastAsia="宋体" w:cs="宋体"/>
          <w:sz w:val="21"/>
          <w:szCs w:val="21"/>
          <w:lang w:eastAsia="zh-CN"/>
        </w:rPr>
        <w:t>强化数据安全，确保关键信息和数据不会被外部</w:t>
      </w:r>
      <w:r>
        <w:rPr>
          <w:rFonts w:hint="eastAsia" w:ascii="宋体" w:hAnsi="宋体" w:eastAsia="宋体" w:cs="宋体"/>
          <w:sz w:val="21"/>
          <w:szCs w:val="21"/>
          <w:lang w:val="en-US" w:eastAsia="zh-CN"/>
        </w:rPr>
        <w:t>人员</w:t>
      </w:r>
      <w:r>
        <w:rPr>
          <w:rFonts w:hint="eastAsia" w:ascii="宋体" w:hAnsi="宋体" w:eastAsia="宋体" w:cs="宋体"/>
          <w:sz w:val="21"/>
          <w:szCs w:val="21"/>
          <w:lang w:eastAsia="zh-CN"/>
        </w:rPr>
        <w:t>操控或窃取，</w:t>
      </w:r>
      <w:r>
        <w:rPr>
          <w:rFonts w:hint="eastAsia" w:ascii="宋体" w:hAnsi="宋体" w:eastAsia="宋体" w:cs="宋体"/>
          <w:sz w:val="21"/>
          <w:szCs w:val="21"/>
        </w:rPr>
        <w:t>降低数据泄露和系统被攻击的风险</w:t>
      </w:r>
      <w:r>
        <w:rPr>
          <w:rFonts w:hint="eastAsia" w:ascii="宋体" w:hAnsi="宋体" w:eastAsia="宋体" w:cs="宋体"/>
          <w:sz w:val="21"/>
          <w:szCs w:val="21"/>
          <w:lang w:eastAsia="zh-CN"/>
        </w:rPr>
        <w:t>，通过优化系统架构和数据处理流程，提高系统的响应速度和稳定性，</w:t>
      </w:r>
      <w:r>
        <w:rPr>
          <w:rFonts w:hint="eastAsia" w:ascii="宋体" w:hAnsi="宋体" w:eastAsia="宋体" w:cs="宋体"/>
          <w:sz w:val="21"/>
          <w:szCs w:val="21"/>
          <w:lang w:val="en-US" w:eastAsia="zh-CN"/>
        </w:rPr>
        <w:t>保障</w:t>
      </w:r>
      <w:r>
        <w:rPr>
          <w:rFonts w:hint="eastAsia" w:ascii="宋体" w:hAnsi="宋体" w:eastAsia="宋体" w:cs="宋体"/>
          <w:sz w:val="21"/>
          <w:szCs w:val="21"/>
        </w:rPr>
        <w:t>业务的连续性和稳定性</w:t>
      </w:r>
      <w:r>
        <w:rPr>
          <w:rFonts w:hint="eastAsia" w:ascii="宋体" w:hAnsi="宋体" w:eastAsia="宋体" w:cs="宋体"/>
          <w:sz w:val="21"/>
          <w:szCs w:val="21"/>
          <w:lang w:eastAsia="zh-CN"/>
        </w:rPr>
        <w:t>，确保在信创改造后，系统的</w:t>
      </w:r>
      <w:r>
        <w:rPr>
          <w:rFonts w:hint="eastAsia" w:ascii="宋体" w:hAnsi="宋体" w:eastAsia="宋体" w:cs="宋体"/>
          <w:sz w:val="21"/>
          <w:szCs w:val="21"/>
          <w:lang w:val="en-US" w:eastAsia="zh-CN"/>
        </w:rPr>
        <w:t>使用体验</w:t>
      </w:r>
      <w:r>
        <w:rPr>
          <w:rFonts w:hint="eastAsia" w:ascii="宋体" w:hAnsi="宋体" w:eastAsia="宋体" w:cs="宋体"/>
          <w:sz w:val="21"/>
          <w:szCs w:val="21"/>
          <w:lang w:eastAsia="zh-CN"/>
        </w:rPr>
        <w:t>不低于甚至优于原有系统，提升用户</w:t>
      </w:r>
      <w:r>
        <w:rPr>
          <w:rFonts w:hint="eastAsia" w:ascii="宋体" w:hAnsi="宋体" w:eastAsia="宋体" w:cs="宋体"/>
          <w:sz w:val="21"/>
          <w:szCs w:val="21"/>
          <w:lang w:val="en-US" w:eastAsia="zh-CN"/>
        </w:rPr>
        <w:t>满意度</w:t>
      </w:r>
      <w:r>
        <w:rPr>
          <w:rFonts w:hint="eastAsia" w:ascii="宋体" w:hAnsi="宋体" w:eastAsia="宋体" w:cs="宋体"/>
          <w:sz w:val="21"/>
          <w:szCs w:val="21"/>
          <w:lang w:eastAsia="zh-CN"/>
        </w:rPr>
        <w:t>。</w:t>
      </w:r>
      <w:r>
        <w:rPr>
          <w:rFonts w:hint="eastAsia" w:ascii="宋体" w:hAnsi="宋体" w:eastAsia="宋体" w:cs="宋体"/>
          <w:color w:val="000000" w:themeColor="text1"/>
          <w:sz w:val="21"/>
          <w:szCs w:val="21"/>
          <w14:textFill>
            <w14:solidFill>
              <w14:schemeClr w14:val="tx1"/>
            </w14:solidFill>
          </w14:textFill>
        </w:rPr>
        <w:t>通过对平台进行国产化环境软件进行适配改造，使平台能运行在国产化操作系统设备，以及适配国产化数据库，最大限度完成国产化适配改造，提高数据安全性、平台稳定性和服务可靠性，使得本项目涉及</w:t>
      </w:r>
      <w:r>
        <w:rPr>
          <w:rFonts w:hint="eastAsia" w:ascii="宋体" w:hAnsi="宋体" w:eastAsia="宋体" w:cs="宋体"/>
          <w:color w:val="000000" w:themeColor="text1"/>
          <w:sz w:val="21"/>
          <w:szCs w:val="21"/>
          <w:lang w:val="en-US" w:eastAsia="zh-CN"/>
          <w14:textFill>
            <w14:solidFill>
              <w14:schemeClr w14:val="tx1"/>
            </w14:solidFill>
          </w14:textFill>
        </w:rPr>
        <w:t>各系统</w:t>
      </w:r>
      <w:r>
        <w:rPr>
          <w:rFonts w:hint="eastAsia" w:ascii="宋体" w:hAnsi="宋体" w:eastAsia="宋体" w:cs="宋体"/>
          <w:color w:val="000000" w:themeColor="text1"/>
          <w:sz w:val="21"/>
          <w:szCs w:val="21"/>
          <w14:textFill>
            <w14:solidFill>
              <w14:schemeClr w14:val="tx1"/>
            </w14:solidFill>
          </w14:textFill>
        </w:rPr>
        <w:t>在安全可靠的环境下运行。</w:t>
      </w:r>
    </w:p>
    <w:p w14:paraId="1629990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kern w:val="2"/>
          <w:sz w:val="21"/>
          <w:szCs w:val="21"/>
          <w:lang w:val="en-US" w:eastAsia="zh-CN" w:bidi="ar-SA"/>
        </w:rPr>
        <w:t>二、</w:t>
      </w:r>
      <w:r>
        <w:rPr>
          <w:rFonts w:hint="eastAsia" w:ascii="宋体" w:hAnsi="宋体" w:eastAsia="宋体" w:cs="宋体"/>
          <w:b/>
          <w:bCs/>
          <w:sz w:val="21"/>
          <w:szCs w:val="21"/>
          <w:lang w:val="en-US" w:eastAsia="zh-CN"/>
        </w:rPr>
        <w:t>建设内容</w:t>
      </w:r>
    </w:p>
    <w:p w14:paraId="35C838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本次</w:t>
      </w:r>
      <w:r>
        <w:rPr>
          <w:rFonts w:hint="eastAsia" w:ascii="宋体" w:hAnsi="宋体" w:eastAsia="宋体" w:cs="宋体"/>
          <w:color w:val="000000" w:themeColor="text1"/>
          <w:sz w:val="21"/>
          <w:szCs w:val="21"/>
          <w:lang w:eastAsia="zh-CN"/>
          <w14:textFill>
            <w14:solidFill>
              <w14:schemeClr w14:val="tx1"/>
            </w14:solidFill>
          </w14:textFill>
        </w:rPr>
        <w:t>县数据服务中心应用系统信创改造项目主要</w:t>
      </w:r>
      <w:r>
        <w:rPr>
          <w:rFonts w:hint="eastAsia" w:ascii="宋体" w:hAnsi="宋体" w:eastAsia="宋体" w:cs="宋体"/>
          <w:color w:val="000000" w:themeColor="text1"/>
          <w:sz w:val="21"/>
          <w:szCs w:val="21"/>
          <w14:textFill>
            <w14:solidFill>
              <w14:schemeClr w14:val="tx1"/>
            </w14:solidFill>
          </w14:textFill>
        </w:rPr>
        <w:t>完成"</w:t>
      </w:r>
      <w:r>
        <w:rPr>
          <w:rFonts w:hint="eastAsia" w:ascii="宋体" w:hAnsi="宋体"/>
          <w:bCs/>
          <w:szCs w:val="21"/>
          <w:lang w:val="en-US" w:eastAsia="zh-CN"/>
        </w:rPr>
        <w:t>4个平台国产化改造及链路</w:t>
      </w:r>
      <w:r>
        <w:rPr>
          <w:rFonts w:hint="eastAsia" w:ascii="宋体" w:hAnsi="宋体" w:eastAsia="宋体" w:cs="宋体"/>
          <w:color w:val="000000" w:themeColor="text1"/>
          <w:sz w:val="21"/>
          <w:szCs w:val="21"/>
          <w14:textFill>
            <w14:solidFill>
              <w14:schemeClr w14:val="tx1"/>
            </w14:solidFill>
          </w14:textFill>
        </w:rPr>
        <w:t>"的改造适配工作</w:t>
      </w:r>
      <w:r>
        <w:rPr>
          <w:rFonts w:hint="eastAsia" w:ascii="宋体" w:hAnsi="宋体" w:eastAsia="宋体" w:cs="宋体"/>
          <w:color w:val="000000" w:themeColor="text1"/>
          <w:sz w:val="21"/>
          <w:szCs w:val="21"/>
          <w:lang w:eastAsia="zh-CN"/>
          <w14:textFill>
            <w14:solidFill>
              <w14:schemeClr w14:val="tx1"/>
            </w14:solidFill>
          </w14:textFill>
        </w:rPr>
        <w:t>。</w:t>
      </w:r>
    </w:p>
    <w:p w14:paraId="682371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在确保信息和系统安全的前提下，对一体化智能化公共数据平台、</w:t>
      </w:r>
      <w:r>
        <w:rPr>
          <w:rFonts w:hint="eastAsia" w:ascii="宋体" w:hAnsi="宋体" w:eastAsia="宋体" w:cs="宋体"/>
          <w:sz w:val="21"/>
          <w:szCs w:val="21"/>
          <w:highlight w:val="none"/>
          <w:lang w:val="en-US" w:eastAsia="zh-CN"/>
        </w:rPr>
        <w:t>岱山县基层数据通及全息档案数据产品、舟山市岱山县智慧海上一体化平台系统</w:t>
      </w:r>
      <w:r>
        <w:rPr>
          <w:rFonts w:hint="eastAsia" w:ascii="宋体" w:hAnsi="宋体" w:eastAsia="宋体" w:cs="宋体"/>
          <w:color w:val="000000" w:themeColor="text1"/>
          <w:sz w:val="21"/>
          <w:szCs w:val="21"/>
          <w:lang w:val="en-US" w:eastAsia="zh-CN"/>
          <w14:textFill>
            <w14:solidFill>
              <w14:schemeClr w14:val="tx1"/>
            </w14:solidFill>
          </w14:textFill>
        </w:rPr>
        <w:t>及</w:t>
      </w:r>
      <w:r>
        <w:rPr>
          <w:rFonts w:hint="eastAsia" w:ascii="宋体" w:hAnsi="宋体" w:eastAsia="宋体" w:cs="宋体"/>
          <w:color w:val="000000" w:themeColor="text1"/>
          <w:sz w:val="21"/>
          <w:szCs w:val="21"/>
          <w:lang w:eastAsia="zh-CN"/>
          <w14:textFill>
            <w14:solidFill>
              <w14:schemeClr w14:val="tx1"/>
            </w14:solidFill>
          </w14:textFill>
        </w:rPr>
        <w:t>岱山县机关内部“最多跑一次”平台</w:t>
      </w:r>
      <w:r>
        <w:rPr>
          <w:rFonts w:hint="eastAsia" w:ascii="宋体" w:hAnsi="宋体" w:eastAsia="宋体" w:cs="宋体"/>
          <w:color w:val="000000" w:themeColor="text1"/>
          <w:sz w:val="21"/>
          <w:szCs w:val="21"/>
          <w14:textFill>
            <w14:solidFill>
              <w14:schemeClr w14:val="tx1"/>
            </w14:solidFill>
          </w14:textFill>
        </w:rPr>
        <w:t>进行国产化适配改造，</w:t>
      </w:r>
      <w:r>
        <w:rPr>
          <w:rFonts w:hint="eastAsia" w:ascii="宋体" w:hAnsi="宋体" w:eastAsia="宋体" w:cs="宋体"/>
          <w:color w:val="000000" w:themeColor="text1"/>
          <w:sz w:val="21"/>
          <w:szCs w:val="21"/>
          <w:lang w:val="en-US" w:eastAsia="zh-CN"/>
          <w14:textFill>
            <w14:solidFill>
              <w14:schemeClr w14:val="tx1"/>
            </w14:solidFill>
          </w14:textFill>
        </w:rPr>
        <w:t>改造完成后迁移至北蝉机房信创云区域，</w:t>
      </w:r>
      <w:r>
        <w:rPr>
          <w:rFonts w:hint="eastAsia" w:ascii="宋体" w:hAnsi="宋体" w:eastAsia="宋体" w:cs="宋体"/>
          <w:color w:val="000000" w:themeColor="text1"/>
          <w:sz w:val="21"/>
          <w:szCs w:val="21"/>
          <w14:textFill>
            <w14:solidFill>
              <w14:schemeClr w14:val="tx1"/>
            </w14:solidFill>
          </w14:textFill>
        </w:rPr>
        <w:t>打造自主可控的技术体系。</w:t>
      </w:r>
    </w:p>
    <w:p w14:paraId="3E0E7F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其中</w:t>
      </w:r>
      <w:r>
        <w:rPr>
          <w:rFonts w:hint="eastAsia" w:ascii="宋体" w:hAnsi="宋体" w:eastAsia="宋体" w:cs="宋体"/>
          <w:color w:val="000000" w:themeColor="text1"/>
          <w:sz w:val="21"/>
          <w:szCs w:val="21"/>
          <w:lang w:eastAsia="zh-CN"/>
          <w14:textFill>
            <w14:solidFill>
              <w14:schemeClr w14:val="tx1"/>
            </w14:solidFill>
          </w14:textFill>
        </w:rPr>
        <w:t>岱山县机关内部“最多跑一次”平台</w:t>
      </w:r>
      <w:r>
        <w:rPr>
          <w:rFonts w:hint="eastAsia" w:ascii="宋体" w:hAnsi="宋体" w:eastAsia="宋体" w:cs="宋体"/>
          <w:color w:val="000000" w:themeColor="text1"/>
          <w:sz w:val="21"/>
          <w:szCs w:val="21"/>
          <w:lang w:val="en-US" w:eastAsia="zh-CN"/>
          <w14:textFill>
            <w14:solidFill>
              <w14:schemeClr w14:val="tx1"/>
            </w14:solidFill>
          </w14:textFill>
        </w:rPr>
        <w:t>需进行服务平台升级、应用支撑服务升级、机关内部“最多跑一次”平台实施配置升级以进一步提高内部服务效率。</w:t>
      </w:r>
    </w:p>
    <w:p w14:paraId="7F630931">
      <w:pPr>
        <w:pStyle w:val="5"/>
        <w:numPr>
          <w:ilvl w:val="0"/>
          <w:numId w:val="0"/>
        </w:numPr>
        <w:spacing w:line="360" w:lineRule="auto"/>
        <w:outlineLvl w:val="1"/>
        <w:rPr>
          <w:rFonts w:hint="eastAsia" w:ascii="宋体" w:hAnsi="宋体" w:eastAsia="宋体" w:cs="宋体"/>
          <w:b/>
          <w:bCs/>
          <w:sz w:val="21"/>
          <w:szCs w:val="21"/>
          <w:lang w:val="en-US" w:eastAsia="zh-CN"/>
        </w:rPr>
      </w:pPr>
      <w:r>
        <w:rPr>
          <w:rFonts w:hint="eastAsia" w:ascii="宋体" w:hAnsi="宋体" w:eastAsia="宋体" w:cs="宋体"/>
          <w:b/>
          <w:bCs/>
          <w:kern w:val="2"/>
          <w:sz w:val="21"/>
          <w:szCs w:val="21"/>
          <w:lang w:val="en-US" w:eastAsia="zh-CN" w:bidi="ar-SA"/>
        </w:rPr>
        <w:t>三、</w:t>
      </w:r>
      <w:r>
        <w:rPr>
          <w:rFonts w:hint="eastAsia" w:ascii="宋体" w:hAnsi="宋体" w:eastAsia="宋体" w:cs="宋体"/>
          <w:b/>
          <w:bCs/>
          <w:sz w:val="21"/>
          <w:szCs w:val="21"/>
          <w:lang w:val="en-US" w:eastAsia="zh-CN"/>
        </w:rPr>
        <w:t>改造涉及平台清单</w:t>
      </w:r>
    </w:p>
    <w:tbl>
      <w:tblPr>
        <w:tblStyle w:val="3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2"/>
        <w:gridCol w:w="7726"/>
      </w:tblGrid>
      <w:tr w14:paraId="182E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vAlign w:val="center"/>
          </w:tcPr>
          <w:p w14:paraId="2279FC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序号</w:t>
            </w:r>
          </w:p>
        </w:tc>
        <w:tc>
          <w:tcPr>
            <w:tcW w:w="3966" w:type="pct"/>
            <w:vAlign w:val="center"/>
          </w:tcPr>
          <w:p w14:paraId="26DF34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内容</w:t>
            </w:r>
          </w:p>
        </w:tc>
      </w:tr>
      <w:tr w14:paraId="7053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tcPr>
          <w:p w14:paraId="10B215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w:t>
            </w:r>
          </w:p>
        </w:tc>
        <w:tc>
          <w:tcPr>
            <w:tcW w:w="3966" w:type="pct"/>
          </w:tcPr>
          <w:p w14:paraId="5EE8CA5F">
            <w:pPr>
              <w:pStyle w:val="31"/>
              <w:keepNext w:val="0"/>
              <w:keepLines w:val="0"/>
              <w:suppressLineNumbers w:val="0"/>
              <w:spacing w:before="0" w:beforeAutospacing="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平台国产化适配改造</w:t>
            </w:r>
          </w:p>
        </w:tc>
      </w:tr>
      <w:tr w14:paraId="1A9D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tcPr>
          <w:p w14:paraId="677AEB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w:t>
            </w:r>
          </w:p>
        </w:tc>
        <w:tc>
          <w:tcPr>
            <w:tcW w:w="3966" w:type="pct"/>
          </w:tcPr>
          <w:p w14:paraId="4CD4A595">
            <w:pPr>
              <w:pStyle w:val="31"/>
              <w:keepNext w:val="0"/>
              <w:keepLines w:val="0"/>
              <w:suppressLineNumbers w:val="0"/>
              <w:spacing w:before="0" w:beforeAutospacing="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一体化智能化公共数据平台改造</w:t>
            </w:r>
          </w:p>
        </w:tc>
      </w:tr>
      <w:tr w14:paraId="19C1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vAlign w:val="center"/>
          </w:tcPr>
          <w:p w14:paraId="566BE6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w:t>
            </w:r>
          </w:p>
        </w:tc>
        <w:tc>
          <w:tcPr>
            <w:tcW w:w="3966" w:type="pct"/>
          </w:tcPr>
          <w:p w14:paraId="74F723A3">
            <w:pPr>
              <w:pStyle w:val="31"/>
              <w:keepNext w:val="0"/>
              <w:keepLines w:val="0"/>
              <w:suppressLineNumbers w:val="0"/>
              <w:spacing w:before="0" w:beforeAutospacing="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highlight w:val="none"/>
                <w:lang w:val="en-US" w:eastAsia="zh-CN"/>
              </w:rPr>
              <w:t>岱山县基层数据通及全息档案数据产品改造</w:t>
            </w:r>
          </w:p>
        </w:tc>
      </w:tr>
      <w:tr w14:paraId="41C8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vAlign w:val="center"/>
          </w:tcPr>
          <w:p w14:paraId="423E1BE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w:t>
            </w:r>
          </w:p>
        </w:tc>
        <w:tc>
          <w:tcPr>
            <w:tcW w:w="3966" w:type="pct"/>
          </w:tcPr>
          <w:p w14:paraId="430FC5B5">
            <w:pPr>
              <w:pStyle w:val="31"/>
              <w:keepNext w:val="0"/>
              <w:keepLines w:val="0"/>
              <w:suppressLineNumbers w:val="0"/>
              <w:spacing w:before="0" w:beforeAutospacing="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highlight w:val="none"/>
                <w:lang w:val="en-US" w:eastAsia="zh-CN"/>
              </w:rPr>
              <w:t>舟山市岱山县智慧海上一体化平台系统改造</w:t>
            </w:r>
          </w:p>
        </w:tc>
      </w:tr>
      <w:tr w14:paraId="6F41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vAlign w:val="center"/>
          </w:tcPr>
          <w:p w14:paraId="7F40F59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(四)</w:t>
            </w:r>
          </w:p>
        </w:tc>
        <w:tc>
          <w:tcPr>
            <w:tcW w:w="3966" w:type="pct"/>
          </w:tcPr>
          <w:p w14:paraId="152EC4D3">
            <w:pPr>
              <w:pStyle w:val="31"/>
              <w:keepNext w:val="0"/>
              <w:keepLines w:val="0"/>
              <w:suppressLineNumbers w:val="0"/>
              <w:spacing w:before="0" w:beforeAutospacing="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highlight w:val="none"/>
                <w:lang w:val="en-US" w:eastAsia="zh-CN"/>
              </w:rPr>
              <w:t>岱山县机关内部“最多跑一次”平台</w:t>
            </w:r>
          </w:p>
        </w:tc>
      </w:tr>
      <w:tr w14:paraId="2207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vAlign w:val="center"/>
          </w:tcPr>
          <w:p w14:paraId="15D576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w:t>
            </w:r>
          </w:p>
        </w:tc>
        <w:tc>
          <w:tcPr>
            <w:tcW w:w="3966" w:type="pct"/>
            <w:vAlign w:val="center"/>
          </w:tcPr>
          <w:p w14:paraId="458A03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highlight w:val="none"/>
                <w:lang w:val="en-US" w:eastAsia="zh-CN"/>
              </w:rPr>
              <w:t>链路费</w:t>
            </w:r>
          </w:p>
        </w:tc>
      </w:tr>
    </w:tbl>
    <w:p w14:paraId="0A774043">
      <w:pPr>
        <w:pStyle w:val="31"/>
        <w:numPr>
          <w:ilvl w:val="0"/>
          <w:numId w:val="0"/>
        </w:numPr>
        <w:spacing w:line="360" w:lineRule="auto"/>
        <w:outlineLvl w:val="1"/>
        <w:rPr>
          <w:rFonts w:hint="eastAsia" w:ascii="宋体" w:hAnsi="宋体" w:eastAsia="宋体" w:cs="宋体"/>
          <w:b/>
          <w:bCs/>
          <w:sz w:val="21"/>
          <w:szCs w:val="21"/>
          <w:lang w:val="en-US" w:eastAsia="zh-CN"/>
        </w:rPr>
      </w:pPr>
      <w:r>
        <w:rPr>
          <w:rFonts w:hint="eastAsia" w:ascii="宋体" w:hAnsi="宋体" w:eastAsia="宋体" w:cs="宋体"/>
          <w:b/>
          <w:bCs/>
          <w:kern w:val="2"/>
          <w:sz w:val="21"/>
          <w:szCs w:val="21"/>
          <w:lang w:val="en-US" w:eastAsia="zh-CN" w:bidi="ar-SA"/>
        </w:rPr>
        <w:t>四、</w:t>
      </w:r>
      <w:r>
        <w:rPr>
          <w:rFonts w:hint="eastAsia" w:ascii="宋体" w:hAnsi="宋体" w:eastAsia="宋体" w:cs="宋体"/>
          <w:b/>
          <w:bCs/>
          <w:sz w:val="21"/>
          <w:szCs w:val="21"/>
          <w:lang w:val="en-US" w:eastAsia="zh-CN"/>
        </w:rPr>
        <w:t>详细改造内容清单</w:t>
      </w:r>
    </w:p>
    <w:tbl>
      <w:tblPr>
        <w:tblStyle w:val="33"/>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9"/>
        <w:gridCol w:w="560"/>
        <w:gridCol w:w="953"/>
        <w:gridCol w:w="6205"/>
        <w:gridCol w:w="594"/>
        <w:gridCol w:w="541"/>
      </w:tblGrid>
      <w:tr w14:paraId="4607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blHeader/>
        </w:trPr>
        <w:tc>
          <w:tcPr>
            <w:tcW w:w="446" w:type="pct"/>
            <w:shd w:val="clear" w:color="auto" w:fill="auto"/>
            <w:vAlign w:val="center"/>
          </w:tcPr>
          <w:p w14:paraId="52B974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287" w:type="pct"/>
            <w:shd w:val="clear" w:color="auto" w:fill="auto"/>
            <w:vAlign w:val="center"/>
          </w:tcPr>
          <w:p w14:paraId="1B1FBA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小类</w:t>
            </w:r>
          </w:p>
        </w:tc>
        <w:tc>
          <w:tcPr>
            <w:tcW w:w="490" w:type="pct"/>
            <w:shd w:val="clear" w:color="auto" w:fill="auto"/>
            <w:vAlign w:val="center"/>
          </w:tcPr>
          <w:p w14:paraId="334449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改造模块</w:t>
            </w:r>
          </w:p>
        </w:tc>
        <w:tc>
          <w:tcPr>
            <w:tcW w:w="3191" w:type="pct"/>
            <w:shd w:val="clear" w:color="auto" w:fill="auto"/>
            <w:vAlign w:val="center"/>
          </w:tcPr>
          <w:p w14:paraId="2769BD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详细技术参数要求</w:t>
            </w:r>
          </w:p>
        </w:tc>
        <w:tc>
          <w:tcPr>
            <w:tcW w:w="305" w:type="pct"/>
            <w:shd w:val="clear" w:color="auto" w:fill="auto"/>
            <w:vAlign w:val="center"/>
          </w:tcPr>
          <w:p w14:paraId="4B6A47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数量</w:t>
            </w:r>
          </w:p>
        </w:tc>
        <w:tc>
          <w:tcPr>
            <w:tcW w:w="278" w:type="pct"/>
            <w:shd w:val="clear" w:color="auto" w:fill="auto"/>
            <w:vAlign w:val="center"/>
          </w:tcPr>
          <w:p w14:paraId="666F50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单位</w:t>
            </w:r>
          </w:p>
        </w:tc>
      </w:tr>
      <w:tr w14:paraId="2B83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top"/>
          </w:tcPr>
          <w:p w14:paraId="639849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一</w:t>
            </w:r>
          </w:p>
        </w:tc>
        <w:tc>
          <w:tcPr>
            <w:tcW w:w="4553" w:type="pct"/>
            <w:gridSpan w:val="5"/>
            <w:shd w:val="clear" w:color="auto" w:fill="auto"/>
            <w:vAlign w:val="top"/>
          </w:tcPr>
          <w:p w14:paraId="198E323E">
            <w:pPr>
              <w:pStyle w:val="31"/>
              <w:keepNext w:val="0"/>
              <w:keepLines w:val="0"/>
              <w:suppressLineNumbers w:val="0"/>
              <w:spacing w:before="0" w:beforeAutospacing="0" w:afterAutospacing="0" w:line="360" w:lineRule="auto"/>
              <w:ind w:left="0" w:right="0" w:firstLine="210" w:firstLineChars="1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平台国产化适配改造</w:t>
            </w:r>
          </w:p>
        </w:tc>
      </w:tr>
      <w:tr w14:paraId="2DC5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4E3B21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（一）</w:t>
            </w:r>
          </w:p>
        </w:tc>
        <w:tc>
          <w:tcPr>
            <w:tcW w:w="4553" w:type="pct"/>
            <w:gridSpan w:val="5"/>
            <w:shd w:val="clear" w:color="auto" w:fill="auto"/>
            <w:vAlign w:val="center"/>
          </w:tcPr>
          <w:p w14:paraId="6860C6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一体化智能化公共数据平台改造</w:t>
            </w:r>
          </w:p>
        </w:tc>
      </w:tr>
      <w:tr w14:paraId="4680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46" w:type="pct"/>
            <w:shd w:val="clear" w:color="auto" w:fill="auto"/>
            <w:vAlign w:val="center"/>
          </w:tcPr>
          <w:p w14:paraId="3DC8BD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87" w:type="pct"/>
            <w:vMerge w:val="restart"/>
            <w:shd w:val="clear" w:color="auto" w:fill="auto"/>
            <w:vAlign w:val="center"/>
          </w:tcPr>
          <w:p w14:paraId="1C9FFC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信创适配</w:t>
            </w:r>
          </w:p>
        </w:tc>
        <w:tc>
          <w:tcPr>
            <w:tcW w:w="490" w:type="pct"/>
            <w:shd w:val="clear" w:color="auto" w:fill="auto"/>
            <w:vAlign w:val="center"/>
          </w:tcPr>
          <w:p w14:paraId="693DD8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一体化门户改造</w:t>
            </w:r>
          </w:p>
        </w:tc>
        <w:tc>
          <w:tcPr>
            <w:tcW w:w="3191" w:type="pct"/>
            <w:shd w:val="clear" w:color="auto" w:fill="auto"/>
            <w:vAlign w:val="center"/>
          </w:tcPr>
          <w:p w14:paraId="341000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一体化门户适配国产化环境及软件要求，包括操作系统、数据库的适配改造，提供包括云环境以及物理环境下的信创环境的改造、部署、搭建工作。</w:t>
            </w:r>
          </w:p>
        </w:tc>
        <w:tc>
          <w:tcPr>
            <w:tcW w:w="305" w:type="pct"/>
            <w:shd w:val="clear" w:color="auto" w:fill="auto"/>
            <w:vAlign w:val="center"/>
          </w:tcPr>
          <w:p w14:paraId="3054418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7E661D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3332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0C1698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87" w:type="pct"/>
            <w:vMerge w:val="continue"/>
            <w:shd w:val="clear" w:color="auto" w:fill="auto"/>
            <w:vAlign w:val="center"/>
          </w:tcPr>
          <w:p w14:paraId="66332C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p>
        </w:tc>
        <w:tc>
          <w:tcPr>
            <w:tcW w:w="490" w:type="pct"/>
            <w:shd w:val="clear" w:color="auto" w:fill="auto"/>
            <w:vAlign w:val="center"/>
          </w:tcPr>
          <w:p w14:paraId="6E5FDE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模型仓库改造</w:t>
            </w:r>
          </w:p>
        </w:tc>
        <w:tc>
          <w:tcPr>
            <w:tcW w:w="3191" w:type="pct"/>
            <w:shd w:val="clear" w:color="auto" w:fill="auto"/>
            <w:vAlign w:val="center"/>
          </w:tcPr>
          <w:p w14:paraId="3157AA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模型仓库适配国产化环境及软件要求，包括操作系统、数据库的适配改造，提供包括云环境以及物理环境下的信创环境的改造、部署、搭建工作。</w:t>
            </w:r>
          </w:p>
        </w:tc>
        <w:tc>
          <w:tcPr>
            <w:tcW w:w="305" w:type="pct"/>
            <w:shd w:val="clear" w:color="auto" w:fill="auto"/>
            <w:vAlign w:val="center"/>
          </w:tcPr>
          <w:p w14:paraId="0FB5132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71EF6D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261D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4FEF83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87" w:type="pct"/>
            <w:vMerge w:val="continue"/>
            <w:shd w:val="clear" w:color="auto" w:fill="auto"/>
            <w:vAlign w:val="center"/>
          </w:tcPr>
          <w:p w14:paraId="73CA29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p>
        </w:tc>
        <w:tc>
          <w:tcPr>
            <w:tcW w:w="490" w:type="pct"/>
            <w:shd w:val="clear" w:color="auto" w:fill="auto"/>
            <w:vAlign w:val="center"/>
          </w:tcPr>
          <w:p w14:paraId="030C2A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分析型数据存储改造</w:t>
            </w:r>
          </w:p>
        </w:tc>
        <w:tc>
          <w:tcPr>
            <w:tcW w:w="3191" w:type="pct"/>
            <w:shd w:val="clear" w:color="auto" w:fill="auto"/>
            <w:vAlign w:val="center"/>
          </w:tcPr>
          <w:p w14:paraId="6389D9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分析型数据存储适配国产化环境及软件要求，包括操作系统、数据库的适配改造，提供包括云环境以及物理环境下的信创环境的改造、部署、搭建工作。</w:t>
            </w:r>
          </w:p>
        </w:tc>
        <w:tc>
          <w:tcPr>
            <w:tcW w:w="305" w:type="pct"/>
            <w:shd w:val="clear" w:color="auto" w:fill="auto"/>
            <w:vAlign w:val="center"/>
          </w:tcPr>
          <w:p w14:paraId="3F54337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1B90C1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35B0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46" w:type="pct"/>
            <w:shd w:val="clear" w:color="auto" w:fill="auto"/>
            <w:vAlign w:val="center"/>
          </w:tcPr>
          <w:p w14:paraId="74F6A6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87" w:type="pct"/>
            <w:vMerge w:val="continue"/>
            <w:shd w:val="clear" w:color="auto" w:fill="auto"/>
            <w:vAlign w:val="center"/>
          </w:tcPr>
          <w:p w14:paraId="4DCA32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p>
        </w:tc>
        <w:tc>
          <w:tcPr>
            <w:tcW w:w="490" w:type="pct"/>
            <w:shd w:val="clear" w:color="auto" w:fill="auto"/>
            <w:vAlign w:val="center"/>
          </w:tcPr>
          <w:p w14:paraId="1236A4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BI可视化平台改造</w:t>
            </w:r>
          </w:p>
        </w:tc>
        <w:tc>
          <w:tcPr>
            <w:tcW w:w="3191" w:type="pct"/>
            <w:shd w:val="clear" w:color="auto" w:fill="auto"/>
            <w:vAlign w:val="center"/>
          </w:tcPr>
          <w:p w14:paraId="053E94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BI可视化平台适配国产化环境及软件要求，包括操作系统、数据库的适配改造，提供包括云环境以及物理环境下的信创环境的改造、部署、搭建工作。</w:t>
            </w:r>
          </w:p>
        </w:tc>
        <w:tc>
          <w:tcPr>
            <w:tcW w:w="305" w:type="pct"/>
            <w:shd w:val="clear" w:color="auto" w:fill="auto"/>
            <w:vAlign w:val="center"/>
          </w:tcPr>
          <w:p w14:paraId="55962E4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0D51A5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2EF0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43C7C9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87" w:type="pct"/>
            <w:vMerge w:val="continue"/>
            <w:shd w:val="clear" w:color="auto" w:fill="auto"/>
            <w:vAlign w:val="center"/>
          </w:tcPr>
          <w:p w14:paraId="4B9024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p>
        </w:tc>
        <w:tc>
          <w:tcPr>
            <w:tcW w:w="490" w:type="pct"/>
            <w:shd w:val="clear" w:color="auto" w:fill="auto"/>
            <w:vAlign w:val="center"/>
          </w:tcPr>
          <w:p w14:paraId="086EAA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公共数据平台改造</w:t>
            </w:r>
          </w:p>
        </w:tc>
        <w:tc>
          <w:tcPr>
            <w:tcW w:w="3191" w:type="pct"/>
            <w:shd w:val="clear" w:color="auto" w:fill="auto"/>
            <w:vAlign w:val="center"/>
          </w:tcPr>
          <w:p w14:paraId="29BE71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公共数据平台适配国产化环境及软件要求，包括操作系统、数据库的适配改造，提供包括云环境以及物理环境下的信创环境的改造、部署、搭建工作。</w:t>
            </w:r>
          </w:p>
        </w:tc>
        <w:tc>
          <w:tcPr>
            <w:tcW w:w="305" w:type="pct"/>
            <w:shd w:val="clear" w:color="auto" w:fill="auto"/>
            <w:vAlign w:val="center"/>
          </w:tcPr>
          <w:p w14:paraId="16F679F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534334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44A5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379856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87" w:type="pct"/>
            <w:vMerge w:val="continue"/>
            <w:shd w:val="clear" w:color="auto" w:fill="auto"/>
            <w:vAlign w:val="center"/>
          </w:tcPr>
          <w:p w14:paraId="73C0AA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p>
        </w:tc>
        <w:tc>
          <w:tcPr>
            <w:tcW w:w="490" w:type="pct"/>
            <w:shd w:val="clear" w:color="auto" w:fill="auto"/>
            <w:vAlign w:val="center"/>
          </w:tcPr>
          <w:p w14:paraId="617C38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数据跑批服务改造</w:t>
            </w:r>
          </w:p>
        </w:tc>
        <w:tc>
          <w:tcPr>
            <w:tcW w:w="3191" w:type="pct"/>
            <w:shd w:val="clear" w:color="auto" w:fill="auto"/>
            <w:vAlign w:val="center"/>
          </w:tcPr>
          <w:p w14:paraId="371DD0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数据跑批服务适配国产化环境及软件要求，包括操作系统、数据库的适配改造，提供包括云环境以及物理环境下的信创环境的改造、部署、搭建工作。</w:t>
            </w:r>
          </w:p>
        </w:tc>
        <w:tc>
          <w:tcPr>
            <w:tcW w:w="305" w:type="pct"/>
            <w:shd w:val="clear" w:color="auto" w:fill="auto"/>
            <w:vAlign w:val="center"/>
          </w:tcPr>
          <w:p w14:paraId="2CDB111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3E43FB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0386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6" w:type="pct"/>
            <w:shd w:val="clear" w:color="auto" w:fill="auto"/>
            <w:vAlign w:val="center"/>
          </w:tcPr>
          <w:p w14:paraId="7E284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87" w:type="pct"/>
            <w:vMerge w:val="continue"/>
            <w:shd w:val="clear" w:color="auto" w:fill="auto"/>
            <w:vAlign w:val="center"/>
          </w:tcPr>
          <w:p w14:paraId="52BADA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p>
        </w:tc>
        <w:tc>
          <w:tcPr>
            <w:tcW w:w="490" w:type="pct"/>
            <w:shd w:val="clear" w:color="auto" w:fill="auto"/>
            <w:vAlign w:val="center"/>
          </w:tcPr>
          <w:p w14:paraId="0392AB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HBP大数据改造</w:t>
            </w:r>
          </w:p>
        </w:tc>
        <w:tc>
          <w:tcPr>
            <w:tcW w:w="3191" w:type="pct"/>
            <w:shd w:val="clear" w:color="auto" w:fill="auto"/>
            <w:vAlign w:val="center"/>
          </w:tcPr>
          <w:p w14:paraId="5B70BD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HBP大数据适配国产化环境及软件要求，平台适配大数据基础环境，包括元数据、集成工作台、数据开发和计算工作台适配基础环境，保证数据读写性能。</w:t>
            </w:r>
          </w:p>
        </w:tc>
        <w:tc>
          <w:tcPr>
            <w:tcW w:w="305" w:type="pct"/>
            <w:shd w:val="clear" w:color="auto" w:fill="auto"/>
            <w:vAlign w:val="center"/>
          </w:tcPr>
          <w:p w14:paraId="39DC550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017183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0E09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675F7F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87" w:type="pct"/>
            <w:vMerge w:val="restart"/>
            <w:shd w:val="clear" w:color="auto" w:fill="auto"/>
            <w:vAlign w:val="center"/>
          </w:tcPr>
          <w:p w14:paraId="517902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平台迁移</w:t>
            </w:r>
          </w:p>
        </w:tc>
        <w:tc>
          <w:tcPr>
            <w:tcW w:w="490" w:type="pct"/>
            <w:shd w:val="clear" w:color="auto" w:fill="auto"/>
            <w:vAlign w:val="center"/>
          </w:tcPr>
          <w:p w14:paraId="211D37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基础信息迁移</w:t>
            </w:r>
          </w:p>
        </w:tc>
        <w:tc>
          <w:tcPr>
            <w:tcW w:w="3191" w:type="pct"/>
            <w:shd w:val="clear" w:color="auto" w:fill="auto"/>
            <w:vAlign w:val="center"/>
          </w:tcPr>
          <w:p w14:paraId="7FF50E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包括平台用户、租户、项目等基础信息迁移。</w:t>
            </w:r>
          </w:p>
        </w:tc>
        <w:tc>
          <w:tcPr>
            <w:tcW w:w="305" w:type="pct"/>
            <w:shd w:val="clear" w:color="auto" w:fill="auto"/>
            <w:vAlign w:val="center"/>
          </w:tcPr>
          <w:p w14:paraId="6CA83FE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03463F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2D96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46" w:type="pct"/>
            <w:shd w:val="clear" w:color="auto" w:fill="auto"/>
            <w:vAlign w:val="center"/>
          </w:tcPr>
          <w:p w14:paraId="2795BB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87" w:type="pct"/>
            <w:vMerge w:val="continue"/>
            <w:shd w:val="clear" w:color="auto" w:fill="auto"/>
            <w:vAlign w:val="center"/>
          </w:tcPr>
          <w:p w14:paraId="751439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p>
        </w:tc>
        <w:tc>
          <w:tcPr>
            <w:tcW w:w="490" w:type="pct"/>
            <w:shd w:val="clear" w:color="auto" w:fill="auto"/>
            <w:vAlign w:val="center"/>
          </w:tcPr>
          <w:p w14:paraId="21D685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业务信息迁移</w:t>
            </w:r>
          </w:p>
        </w:tc>
        <w:tc>
          <w:tcPr>
            <w:tcW w:w="3191" w:type="pct"/>
            <w:shd w:val="clear" w:color="auto" w:fill="auto"/>
            <w:vAlign w:val="center"/>
          </w:tcPr>
          <w:p w14:paraId="0C7E1C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包括平台编目、目录、工单等业务数据迁移。</w:t>
            </w:r>
          </w:p>
        </w:tc>
        <w:tc>
          <w:tcPr>
            <w:tcW w:w="305" w:type="pct"/>
            <w:shd w:val="clear" w:color="auto" w:fill="auto"/>
            <w:vAlign w:val="center"/>
          </w:tcPr>
          <w:p w14:paraId="1857150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40A32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1200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46" w:type="pct"/>
            <w:shd w:val="clear" w:color="auto" w:fill="auto"/>
            <w:vAlign w:val="center"/>
          </w:tcPr>
          <w:p w14:paraId="71ED88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87" w:type="pct"/>
            <w:vMerge w:val="continue"/>
            <w:shd w:val="clear" w:color="auto" w:fill="auto"/>
            <w:vAlign w:val="center"/>
          </w:tcPr>
          <w:p w14:paraId="70B58C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p>
        </w:tc>
        <w:tc>
          <w:tcPr>
            <w:tcW w:w="490" w:type="pct"/>
            <w:shd w:val="clear" w:color="auto" w:fill="auto"/>
            <w:vAlign w:val="center"/>
          </w:tcPr>
          <w:p w14:paraId="5C87B3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数据迁移</w:t>
            </w:r>
          </w:p>
        </w:tc>
        <w:tc>
          <w:tcPr>
            <w:tcW w:w="3191" w:type="pct"/>
            <w:shd w:val="clear" w:color="auto" w:fill="auto"/>
            <w:vAlign w:val="center"/>
          </w:tcPr>
          <w:p w14:paraId="446F51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lang w:val="en-US" w:eastAsia="zh-CN"/>
              </w:rPr>
              <w:t>数据元表进行迁移、结构调整；</w:t>
            </w:r>
          </w:p>
          <w:p w14:paraId="36DDA3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lang w:val="en-US" w:eastAsia="zh-CN"/>
              </w:rPr>
              <w:t>包括HADB全量库、Hive、kudu数据库、前置交换库共计9000张表进行迁移；</w:t>
            </w:r>
          </w:p>
          <w:p w14:paraId="6C007D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3、在国产化环境中对迁移完成后的数据表类别和数量进行核验，确保无遗漏；</w:t>
            </w:r>
          </w:p>
          <w:p w14:paraId="19E93E7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4、数据迁移过程中包含数据热迁移。</w:t>
            </w:r>
          </w:p>
        </w:tc>
        <w:tc>
          <w:tcPr>
            <w:tcW w:w="305" w:type="pct"/>
            <w:shd w:val="clear" w:color="auto" w:fill="auto"/>
            <w:vAlign w:val="center"/>
          </w:tcPr>
          <w:p w14:paraId="4ABE158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1BDA5E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4EB5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02C39F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87" w:type="pct"/>
            <w:vMerge w:val="continue"/>
            <w:shd w:val="clear" w:color="auto" w:fill="auto"/>
            <w:vAlign w:val="center"/>
          </w:tcPr>
          <w:p w14:paraId="56A59F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p>
        </w:tc>
        <w:tc>
          <w:tcPr>
            <w:tcW w:w="490" w:type="pct"/>
            <w:shd w:val="clear" w:color="auto" w:fill="auto"/>
            <w:vAlign w:val="center"/>
          </w:tcPr>
          <w:p w14:paraId="55D67B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接口迁移</w:t>
            </w:r>
          </w:p>
        </w:tc>
        <w:tc>
          <w:tcPr>
            <w:tcW w:w="3191" w:type="pct"/>
            <w:shd w:val="clear" w:color="auto" w:fill="auto"/>
            <w:vAlign w:val="center"/>
          </w:tcPr>
          <w:p w14:paraId="73E562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将原系统的用户信息迁移到国产化环境，保证用户级别授权信息等保持不变，将原系统上的数据接口（注册接口49个）迁移到新平台，并按照原系统的授权信息进行授权信息恢复接口权限。</w:t>
            </w:r>
          </w:p>
        </w:tc>
        <w:tc>
          <w:tcPr>
            <w:tcW w:w="305" w:type="pct"/>
            <w:shd w:val="clear" w:color="auto" w:fill="auto"/>
            <w:vAlign w:val="center"/>
          </w:tcPr>
          <w:p w14:paraId="3DA1DA1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3C5159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245A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7D0195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87" w:type="pct"/>
            <w:vMerge w:val="continue"/>
            <w:shd w:val="clear" w:color="auto" w:fill="auto"/>
            <w:vAlign w:val="center"/>
          </w:tcPr>
          <w:p w14:paraId="58956F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p>
        </w:tc>
        <w:tc>
          <w:tcPr>
            <w:tcW w:w="490" w:type="pct"/>
            <w:shd w:val="clear" w:color="auto" w:fill="auto"/>
            <w:vAlign w:val="center"/>
          </w:tcPr>
          <w:p w14:paraId="53AD20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数据任务/工程迁移</w:t>
            </w:r>
          </w:p>
        </w:tc>
        <w:tc>
          <w:tcPr>
            <w:tcW w:w="3191" w:type="pct"/>
            <w:shd w:val="clear" w:color="auto" w:fill="auto"/>
            <w:vAlign w:val="center"/>
          </w:tcPr>
          <w:p w14:paraId="588947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lang w:val="en-US" w:eastAsia="zh-CN"/>
              </w:rPr>
              <w:t>数据集成工作台中，数据的汇聚、同步、治理等一系列实例、任务进行基础环境适配改造；</w:t>
            </w:r>
          </w:p>
          <w:p w14:paraId="2BF9D49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lang w:val="en-US" w:eastAsia="zh-CN"/>
              </w:rPr>
              <w:t>数据开发工作台中，数据开发、计算、调度任务进行基础环境适配改造、</w:t>
            </w:r>
          </w:p>
          <w:p w14:paraId="53B2E9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3、数据资源工程化的实例与数据任务约计3000个，需要迁移至新环境。</w:t>
            </w:r>
          </w:p>
        </w:tc>
        <w:tc>
          <w:tcPr>
            <w:tcW w:w="305" w:type="pct"/>
            <w:shd w:val="clear" w:color="auto" w:fill="auto"/>
            <w:vAlign w:val="center"/>
          </w:tcPr>
          <w:p w14:paraId="7BC5358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71BCA0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1559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0B61B3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87" w:type="pct"/>
            <w:vMerge w:val="continue"/>
            <w:shd w:val="clear" w:color="auto" w:fill="auto"/>
            <w:vAlign w:val="center"/>
          </w:tcPr>
          <w:p w14:paraId="7ADF64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p>
        </w:tc>
        <w:tc>
          <w:tcPr>
            <w:tcW w:w="490" w:type="pct"/>
            <w:shd w:val="clear" w:color="auto" w:fill="auto"/>
            <w:vAlign w:val="center"/>
          </w:tcPr>
          <w:p w14:paraId="57FF58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应用迁移</w:t>
            </w:r>
          </w:p>
        </w:tc>
        <w:tc>
          <w:tcPr>
            <w:tcW w:w="3191" w:type="pct"/>
            <w:shd w:val="clear" w:color="auto" w:fill="auto"/>
            <w:vAlign w:val="center"/>
          </w:tcPr>
          <w:p w14:paraId="02C3C94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lang w:val="en-US" w:eastAsia="zh-CN"/>
              </w:rPr>
              <w:t>平台共计应用77个，申请共享数据的涉及部门16个。</w:t>
            </w:r>
          </w:p>
          <w:p w14:paraId="39643C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lang w:val="en-US" w:eastAsia="zh-CN"/>
              </w:rPr>
              <w:t>应用迁移，需要在数据与接口迁移的基础上，改造平台与委办局的服务接口与数据任务。</w:t>
            </w:r>
          </w:p>
        </w:tc>
        <w:tc>
          <w:tcPr>
            <w:tcW w:w="305" w:type="pct"/>
            <w:shd w:val="clear" w:color="auto" w:fill="auto"/>
            <w:vAlign w:val="center"/>
          </w:tcPr>
          <w:p w14:paraId="7BE222D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784883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1F87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41B8C7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287" w:type="pct"/>
            <w:vMerge w:val="continue"/>
            <w:shd w:val="clear" w:color="auto" w:fill="auto"/>
            <w:vAlign w:val="center"/>
          </w:tcPr>
          <w:p w14:paraId="1A71B9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p>
        </w:tc>
        <w:tc>
          <w:tcPr>
            <w:tcW w:w="490" w:type="pct"/>
            <w:shd w:val="clear" w:color="auto" w:fill="auto"/>
            <w:vAlign w:val="center"/>
          </w:tcPr>
          <w:p w14:paraId="691B40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测试联调</w:t>
            </w:r>
          </w:p>
        </w:tc>
        <w:tc>
          <w:tcPr>
            <w:tcW w:w="3191" w:type="pct"/>
            <w:shd w:val="clear" w:color="auto" w:fill="auto"/>
            <w:vAlign w:val="center"/>
          </w:tcPr>
          <w:p w14:paraId="4F11FD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迁移后，完成平台过渡周期内的对接测试、联调、试运行保障等一系列工作。</w:t>
            </w:r>
          </w:p>
        </w:tc>
        <w:tc>
          <w:tcPr>
            <w:tcW w:w="305" w:type="pct"/>
            <w:shd w:val="clear" w:color="auto" w:fill="auto"/>
            <w:vAlign w:val="center"/>
          </w:tcPr>
          <w:p w14:paraId="0879B35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695955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0E4F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1AF9B2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287" w:type="pct"/>
            <w:vMerge w:val="restart"/>
            <w:shd w:val="clear" w:color="auto" w:fill="auto"/>
            <w:vAlign w:val="center"/>
          </w:tcPr>
          <w:p w14:paraId="0AF09D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lang w:val="en-US" w:eastAsia="zh-CN"/>
              </w:rPr>
              <w:t>国产化软件采购</w:t>
            </w:r>
          </w:p>
        </w:tc>
        <w:tc>
          <w:tcPr>
            <w:tcW w:w="490" w:type="pct"/>
            <w:shd w:val="clear" w:color="auto" w:fill="auto"/>
            <w:vAlign w:val="center"/>
          </w:tcPr>
          <w:p w14:paraId="0C8E4C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国产化操作系统</w:t>
            </w:r>
          </w:p>
        </w:tc>
        <w:tc>
          <w:tcPr>
            <w:tcW w:w="3191" w:type="pct"/>
            <w:shd w:val="clear" w:color="auto" w:fill="auto"/>
            <w:vAlign w:val="center"/>
          </w:tcPr>
          <w:p w14:paraId="33632A1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操作系统产品符合中国信息安全测评中心的安全可靠测评结果，需提供测评公告链接和截图。</w:t>
            </w:r>
          </w:p>
          <w:p w14:paraId="732A84E0">
            <w:pPr>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r>
              <w:rPr>
                <w:rFonts w:hint="eastAsia" w:ascii="宋体" w:hAnsi="宋体" w:eastAsia="宋体" w:cs="宋体"/>
                <w:sz w:val="21"/>
                <w:szCs w:val="21"/>
                <w:lang w:val="en-US" w:eastAsia="zh-CN"/>
              </w:rPr>
              <w:t>2、符合《操作系统政府采购需求标准（2023年版）》的要求</w:t>
            </w:r>
          </w:p>
        </w:tc>
        <w:tc>
          <w:tcPr>
            <w:tcW w:w="305" w:type="pct"/>
            <w:shd w:val="clear" w:color="auto" w:fill="auto"/>
            <w:vAlign w:val="center"/>
          </w:tcPr>
          <w:p w14:paraId="6E98CB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278" w:type="pct"/>
            <w:shd w:val="clear" w:color="auto" w:fill="auto"/>
            <w:vAlign w:val="center"/>
          </w:tcPr>
          <w:p w14:paraId="33DE21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7471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779FE1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287" w:type="pct"/>
            <w:vMerge w:val="continue"/>
            <w:shd w:val="clear" w:color="auto" w:fill="auto"/>
            <w:vAlign w:val="center"/>
          </w:tcPr>
          <w:p w14:paraId="6915E4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highlight w:val="yellow"/>
                <w:lang w:val="en-US" w:eastAsia="zh-CN"/>
              </w:rPr>
            </w:pPr>
          </w:p>
        </w:tc>
        <w:tc>
          <w:tcPr>
            <w:tcW w:w="490" w:type="pct"/>
            <w:shd w:val="clear" w:color="auto" w:fill="auto"/>
            <w:vAlign w:val="center"/>
          </w:tcPr>
          <w:p w14:paraId="657434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国产化数据库</w:t>
            </w:r>
          </w:p>
        </w:tc>
        <w:tc>
          <w:tcPr>
            <w:tcW w:w="3191" w:type="pct"/>
            <w:shd w:val="clear" w:color="auto" w:fill="auto"/>
            <w:vAlign w:val="center"/>
          </w:tcPr>
          <w:p w14:paraId="21262EF0">
            <w:pPr>
              <w:pStyle w:val="97"/>
              <w:keepNext w:val="0"/>
              <w:keepLines w:val="0"/>
              <w:pageBreakBefore w:val="0"/>
              <w:numPr>
                <w:ilvl w:val="0"/>
                <w:numId w:val="0"/>
              </w:numPr>
              <w:suppressLineNumbers w:val="0"/>
              <w:kinsoku/>
              <w:wordWrap/>
              <w:overflowPunct/>
              <w:topLinePunct w:val="0"/>
              <w:bidi w:val="0"/>
              <w:snapToGrid w:val="0"/>
              <w:spacing w:before="0" w:beforeAutospacing="0" w:after="0" w:afterAutospacing="0" w:line="360" w:lineRule="auto"/>
              <w:ind w:left="0" w:leftChars="0" w:right="0" w:firstLine="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lang w:val="en-US" w:eastAsia="zh-CN"/>
              </w:rPr>
              <w:t>数据库</w:t>
            </w:r>
            <w:r>
              <w:rPr>
                <w:rFonts w:hint="eastAsia" w:ascii="宋体" w:hAnsi="宋体" w:eastAsia="宋体" w:cs="宋体"/>
                <w:sz w:val="21"/>
                <w:szCs w:val="21"/>
              </w:rPr>
              <w:t>产品符合中国信息安全测评中心的安全可靠测评结果，需提供测评公告链接和截图。</w:t>
            </w:r>
          </w:p>
          <w:p w14:paraId="4DC0E732">
            <w:pPr>
              <w:pStyle w:val="97"/>
              <w:keepNext w:val="0"/>
              <w:keepLines w:val="0"/>
              <w:pageBreakBefore w:val="0"/>
              <w:numPr>
                <w:ilvl w:val="0"/>
                <w:numId w:val="0"/>
              </w:numPr>
              <w:suppressLineNumbers w:val="0"/>
              <w:kinsoku/>
              <w:wordWrap/>
              <w:overflowPunct/>
              <w:topLinePunct w:val="0"/>
              <w:bidi w:val="0"/>
              <w:snapToGrid w:val="0"/>
              <w:spacing w:before="0" w:beforeAutospacing="0" w:after="0" w:afterAutospacing="0" w:line="360" w:lineRule="auto"/>
              <w:ind w:left="0" w:leftChars="0" w:right="0" w:rightChars="0" w:firstLine="0" w:firstLineChars="0"/>
              <w:rPr>
                <w:rFonts w:hint="eastAsia" w:ascii="宋体" w:hAnsi="宋体" w:eastAsia="宋体" w:cs="宋体"/>
                <w:kern w:val="0"/>
                <w:sz w:val="21"/>
                <w:szCs w:val="21"/>
                <w:lang w:val="en-US" w:eastAsia="zh-CN" w:bidi="ar-SA"/>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lang w:val="en-US" w:eastAsia="zh-CN"/>
              </w:rPr>
              <w:t>、符合数据库政府采购需求标准（2023年版）的要求</w:t>
            </w:r>
          </w:p>
        </w:tc>
        <w:tc>
          <w:tcPr>
            <w:tcW w:w="305" w:type="pct"/>
            <w:shd w:val="clear" w:color="auto" w:fill="auto"/>
            <w:vAlign w:val="center"/>
          </w:tcPr>
          <w:p w14:paraId="18688E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78" w:type="pct"/>
            <w:shd w:val="clear" w:color="auto" w:fill="auto"/>
            <w:vAlign w:val="center"/>
          </w:tcPr>
          <w:p w14:paraId="72F258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3458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719867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w:t>
            </w:r>
          </w:p>
        </w:tc>
        <w:tc>
          <w:tcPr>
            <w:tcW w:w="4553" w:type="pct"/>
            <w:gridSpan w:val="5"/>
            <w:shd w:val="clear" w:color="auto" w:fill="auto"/>
            <w:vAlign w:val="center"/>
          </w:tcPr>
          <w:p w14:paraId="34FBEA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岱山县基层数据通及全息档案数据产品改造</w:t>
            </w:r>
          </w:p>
        </w:tc>
      </w:tr>
      <w:tr w14:paraId="310A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46" w:type="pct"/>
            <w:shd w:val="clear" w:color="auto" w:fill="auto"/>
            <w:vAlign w:val="center"/>
          </w:tcPr>
          <w:p w14:paraId="2ACE0E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87" w:type="pct"/>
            <w:vMerge w:val="restart"/>
            <w:shd w:val="clear" w:color="auto" w:fill="auto"/>
            <w:vAlign w:val="center"/>
          </w:tcPr>
          <w:p w14:paraId="1CC32AE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highlight w:val="yellow"/>
                <w:lang w:val="en-US" w:eastAsia="zh-CN"/>
              </w:rPr>
            </w:pPr>
            <w:r>
              <w:rPr>
                <w:rFonts w:hint="eastAsia" w:ascii="宋体" w:hAnsi="宋体" w:eastAsia="宋体" w:cs="宋体"/>
                <w:i w:val="0"/>
                <w:iCs w:val="0"/>
                <w:color w:val="000000"/>
                <w:kern w:val="0"/>
                <w:sz w:val="21"/>
                <w:szCs w:val="21"/>
                <w:u w:val="none"/>
                <w:lang w:val="en-US" w:eastAsia="zh-CN" w:bidi="ar"/>
              </w:rPr>
              <w:t>信创适配</w:t>
            </w:r>
          </w:p>
        </w:tc>
        <w:tc>
          <w:tcPr>
            <w:tcW w:w="490" w:type="pct"/>
            <w:shd w:val="clear" w:color="auto" w:fill="auto"/>
            <w:vAlign w:val="center"/>
          </w:tcPr>
          <w:p w14:paraId="202BDDA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highlight w:val="yellow"/>
                <w:lang w:val="en-US" w:eastAsia="zh-CN"/>
              </w:rPr>
            </w:pPr>
            <w:r>
              <w:rPr>
                <w:rFonts w:hint="eastAsia" w:ascii="宋体" w:hAnsi="宋体" w:eastAsia="宋体" w:cs="宋体"/>
                <w:i w:val="0"/>
                <w:iCs w:val="0"/>
                <w:color w:val="000000"/>
                <w:kern w:val="0"/>
                <w:sz w:val="21"/>
                <w:szCs w:val="21"/>
                <w:u w:val="none"/>
                <w:lang w:val="en-US" w:eastAsia="zh-CN" w:bidi="ar"/>
              </w:rPr>
              <w:t>数据仓统一管理建设</w:t>
            </w:r>
          </w:p>
        </w:tc>
        <w:tc>
          <w:tcPr>
            <w:tcW w:w="3191" w:type="pct"/>
            <w:shd w:val="clear" w:color="auto" w:fill="auto"/>
            <w:vAlign w:val="center"/>
          </w:tcPr>
          <w:p w14:paraId="6557DEE6">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适配国产化环境及软件，包括：数据仓统一管理和数据查询服务。提供我的数据仓、系统用户、组织管理、数据分类、数据标签等功能适配。</w:t>
            </w:r>
          </w:p>
        </w:tc>
        <w:tc>
          <w:tcPr>
            <w:tcW w:w="305" w:type="pct"/>
            <w:shd w:val="clear" w:color="auto" w:fill="auto"/>
            <w:vAlign w:val="center"/>
          </w:tcPr>
          <w:p w14:paraId="2AA6873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18C7A1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03D7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167150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287" w:type="pct"/>
            <w:vMerge w:val="continue"/>
            <w:shd w:val="clear" w:color="auto" w:fill="auto"/>
            <w:vAlign w:val="center"/>
          </w:tcPr>
          <w:p w14:paraId="6DB2967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yellow"/>
                <w:lang w:val="en-US" w:eastAsia="zh-CN"/>
              </w:rPr>
            </w:pPr>
          </w:p>
        </w:tc>
        <w:tc>
          <w:tcPr>
            <w:tcW w:w="490" w:type="pct"/>
            <w:shd w:val="clear" w:color="auto" w:fill="auto"/>
            <w:vAlign w:val="center"/>
          </w:tcPr>
          <w:p w14:paraId="366B2AE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highlight w:val="yellow"/>
                <w:lang w:val="en-US" w:eastAsia="zh-CN"/>
              </w:rPr>
            </w:pPr>
            <w:r>
              <w:rPr>
                <w:rFonts w:hint="eastAsia" w:ascii="宋体" w:hAnsi="宋体" w:eastAsia="宋体" w:cs="宋体"/>
                <w:i w:val="0"/>
                <w:iCs w:val="0"/>
                <w:color w:val="000000"/>
                <w:kern w:val="0"/>
                <w:sz w:val="21"/>
                <w:szCs w:val="21"/>
                <w:u w:val="none"/>
                <w:lang w:val="en-US" w:eastAsia="zh-CN" w:bidi="ar"/>
              </w:rPr>
              <w:t>数据治理</w:t>
            </w:r>
          </w:p>
        </w:tc>
        <w:tc>
          <w:tcPr>
            <w:tcW w:w="3191" w:type="pct"/>
            <w:shd w:val="clear" w:color="auto" w:fill="auto"/>
            <w:vAlign w:val="center"/>
          </w:tcPr>
          <w:p w14:paraId="4E5AD00B">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适配国产化环境及软件，进行数据标准建立、数据对标、问题数据发现、数据清洗。提供对数据进行数据清洗、业务提取、业务选取、维度建模、数据整合等服务适配。</w:t>
            </w:r>
          </w:p>
        </w:tc>
        <w:tc>
          <w:tcPr>
            <w:tcW w:w="305" w:type="pct"/>
            <w:shd w:val="clear" w:color="auto" w:fill="auto"/>
            <w:vAlign w:val="center"/>
          </w:tcPr>
          <w:p w14:paraId="5AE2859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10D522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0D44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19F2F5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287" w:type="pct"/>
            <w:vMerge w:val="continue"/>
            <w:shd w:val="clear" w:color="auto" w:fill="auto"/>
            <w:vAlign w:val="center"/>
          </w:tcPr>
          <w:p w14:paraId="7C61F98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yellow"/>
                <w:lang w:val="en-US" w:eastAsia="zh-CN"/>
              </w:rPr>
            </w:pPr>
          </w:p>
        </w:tc>
        <w:tc>
          <w:tcPr>
            <w:tcW w:w="490" w:type="pct"/>
            <w:shd w:val="clear" w:color="auto" w:fill="auto"/>
            <w:vAlign w:val="center"/>
          </w:tcPr>
          <w:p w14:paraId="0472152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highlight w:val="yellow"/>
                <w:lang w:val="en-US" w:eastAsia="zh-CN"/>
              </w:rPr>
            </w:pPr>
            <w:r>
              <w:rPr>
                <w:rFonts w:hint="eastAsia" w:ascii="宋体" w:hAnsi="宋体" w:eastAsia="宋体" w:cs="宋体"/>
                <w:i w:val="0"/>
                <w:iCs w:val="0"/>
                <w:color w:val="000000"/>
                <w:kern w:val="0"/>
                <w:sz w:val="21"/>
                <w:szCs w:val="21"/>
                <w:u w:val="none"/>
                <w:lang w:val="en-US" w:eastAsia="zh-CN" w:bidi="ar"/>
              </w:rPr>
              <w:t>数据档案建设</w:t>
            </w:r>
          </w:p>
        </w:tc>
        <w:tc>
          <w:tcPr>
            <w:tcW w:w="3191" w:type="pct"/>
            <w:shd w:val="clear" w:color="auto" w:fill="auto"/>
            <w:vAlign w:val="center"/>
          </w:tcPr>
          <w:p w14:paraId="0B102C1E">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Style w:val="67"/>
                <w:rFonts w:hint="eastAsia" w:ascii="宋体" w:hAnsi="宋体" w:eastAsia="宋体" w:cs="宋体"/>
                <w:b w:val="0"/>
                <w:bCs/>
                <w:sz w:val="21"/>
                <w:szCs w:val="21"/>
                <w:lang w:val="en-US" w:eastAsia="zh-CN" w:bidi="ar"/>
              </w:rPr>
              <w:t>适配国产化环境及软件，包括个人数据档案建设、企业数据档案建设。构建对应的数据集合并为数字化改革场景应用提供统一的、规范的、</w:t>
            </w:r>
            <w:r>
              <w:rPr>
                <w:rStyle w:val="114"/>
                <w:rFonts w:hint="eastAsia" w:ascii="宋体" w:hAnsi="宋体" w:eastAsia="宋体" w:cs="宋体"/>
                <w:b w:val="0"/>
                <w:bCs/>
                <w:sz w:val="21"/>
                <w:szCs w:val="21"/>
                <w:lang w:val="en-US" w:eastAsia="zh-CN" w:bidi="ar"/>
              </w:rPr>
              <w:t>360</w:t>
            </w:r>
            <w:r>
              <w:rPr>
                <w:rStyle w:val="67"/>
                <w:rFonts w:hint="eastAsia" w:ascii="宋体" w:hAnsi="宋体" w:eastAsia="宋体" w:cs="宋体"/>
                <w:b w:val="0"/>
                <w:bCs/>
                <w:sz w:val="21"/>
                <w:szCs w:val="21"/>
                <w:lang w:val="en-US" w:eastAsia="zh-CN" w:bidi="ar"/>
              </w:rPr>
              <w:t>度视角的数据共享服务和对应企业数据档案，为企业</w:t>
            </w:r>
            <w:r>
              <w:rPr>
                <w:rStyle w:val="114"/>
                <w:rFonts w:hint="eastAsia" w:ascii="宋体" w:hAnsi="宋体" w:eastAsia="宋体" w:cs="宋体"/>
                <w:b w:val="0"/>
                <w:bCs/>
                <w:sz w:val="21"/>
                <w:szCs w:val="21"/>
                <w:lang w:val="en-US" w:eastAsia="zh-CN" w:bidi="ar"/>
              </w:rPr>
              <w:t>“</w:t>
            </w:r>
            <w:r>
              <w:rPr>
                <w:rStyle w:val="67"/>
                <w:rFonts w:hint="eastAsia" w:ascii="宋体" w:hAnsi="宋体" w:eastAsia="宋体" w:cs="宋体"/>
                <w:b w:val="0"/>
                <w:bCs/>
                <w:sz w:val="21"/>
                <w:szCs w:val="21"/>
                <w:lang w:val="en-US" w:eastAsia="zh-CN" w:bidi="ar"/>
              </w:rPr>
              <w:t>管好数据，护助经营</w:t>
            </w:r>
            <w:r>
              <w:rPr>
                <w:rStyle w:val="114"/>
                <w:rFonts w:hint="eastAsia" w:ascii="宋体" w:hAnsi="宋体" w:eastAsia="宋体" w:cs="宋体"/>
                <w:b w:val="0"/>
                <w:bCs/>
                <w:sz w:val="21"/>
                <w:szCs w:val="21"/>
                <w:lang w:val="en-US" w:eastAsia="zh-CN" w:bidi="ar"/>
              </w:rPr>
              <w:t>”</w:t>
            </w:r>
            <w:r>
              <w:rPr>
                <w:rStyle w:val="67"/>
                <w:rFonts w:hint="eastAsia" w:ascii="宋体" w:hAnsi="宋体" w:eastAsia="宋体" w:cs="宋体"/>
                <w:b w:val="0"/>
                <w:bCs/>
                <w:sz w:val="21"/>
                <w:szCs w:val="21"/>
                <w:lang w:val="en-US" w:eastAsia="zh-CN" w:bidi="ar"/>
              </w:rPr>
              <w:t>提供服务适配。</w:t>
            </w:r>
          </w:p>
        </w:tc>
        <w:tc>
          <w:tcPr>
            <w:tcW w:w="305" w:type="pct"/>
            <w:shd w:val="clear" w:color="auto" w:fill="auto"/>
            <w:vAlign w:val="center"/>
          </w:tcPr>
          <w:p w14:paraId="51A9635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63167F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25DF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04D86D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287" w:type="pct"/>
            <w:vMerge w:val="continue"/>
            <w:shd w:val="clear" w:color="auto" w:fill="auto"/>
            <w:vAlign w:val="center"/>
          </w:tcPr>
          <w:p w14:paraId="25BBDDA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yellow"/>
                <w:lang w:val="en-US" w:eastAsia="zh-CN"/>
              </w:rPr>
            </w:pPr>
          </w:p>
        </w:tc>
        <w:tc>
          <w:tcPr>
            <w:tcW w:w="490" w:type="pct"/>
            <w:shd w:val="clear" w:color="auto" w:fill="auto"/>
            <w:vAlign w:val="center"/>
          </w:tcPr>
          <w:p w14:paraId="71058C6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highlight w:val="yellow"/>
                <w:lang w:val="en-US" w:eastAsia="zh-CN"/>
              </w:rPr>
            </w:pPr>
            <w:r>
              <w:rPr>
                <w:rFonts w:hint="eastAsia" w:ascii="宋体" w:hAnsi="宋体" w:eastAsia="宋体" w:cs="宋体"/>
                <w:i w:val="0"/>
                <w:iCs w:val="0"/>
                <w:color w:val="000000"/>
                <w:kern w:val="0"/>
                <w:sz w:val="21"/>
                <w:szCs w:val="21"/>
                <w:u w:val="none"/>
                <w:lang w:val="en-US" w:eastAsia="zh-CN" w:bidi="ar"/>
              </w:rPr>
              <w:t>数据分级分类配置</w:t>
            </w:r>
          </w:p>
        </w:tc>
        <w:tc>
          <w:tcPr>
            <w:tcW w:w="3191" w:type="pct"/>
            <w:shd w:val="clear" w:color="auto" w:fill="auto"/>
            <w:vAlign w:val="center"/>
          </w:tcPr>
          <w:p w14:paraId="3497B5F2">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适配国产化环境及软件，包括数据入仓回流和数据仓分级分类适配。</w:t>
            </w:r>
          </w:p>
        </w:tc>
        <w:tc>
          <w:tcPr>
            <w:tcW w:w="305" w:type="pct"/>
            <w:shd w:val="clear" w:color="auto" w:fill="auto"/>
            <w:vAlign w:val="center"/>
          </w:tcPr>
          <w:p w14:paraId="658BAFD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3A2D56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2020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7C4DAE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287" w:type="pct"/>
            <w:vMerge w:val="continue"/>
            <w:shd w:val="clear" w:color="auto" w:fill="auto"/>
            <w:vAlign w:val="center"/>
          </w:tcPr>
          <w:p w14:paraId="144383C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yellow"/>
                <w:lang w:val="en-US" w:eastAsia="zh-CN"/>
              </w:rPr>
            </w:pPr>
          </w:p>
        </w:tc>
        <w:tc>
          <w:tcPr>
            <w:tcW w:w="490" w:type="pct"/>
            <w:shd w:val="clear" w:color="auto" w:fill="auto"/>
            <w:vAlign w:val="center"/>
          </w:tcPr>
          <w:p w14:paraId="0821018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highlight w:val="yellow"/>
                <w:lang w:val="en-US" w:eastAsia="zh-CN"/>
              </w:rPr>
            </w:pPr>
            <w:r>
              <w:rPr>
                <w:rFonts w:hint="eastAsia" w:ascii="宋体" w:hAnsi="宋体" w:eastAsia="宋体" w:cs="宋体"/>
                <w:i w:val="0"/>
                <w:iCs w:val="0"/>
                <w:color w:val="000000"/>
                <w:kern w:val="0"/>
                <w:sz w:val="21"/>
                <w:szCs w:val="21"/>
                <w:u w:val="none"/>
                <w:lang w:val="en-US" w:eastAsia="zh-CN" w:bidi="ar"/>
              </w:rPr>
              <w:t>数据标签聚类及管理</w:t>
            </w:r>
          </w:p>
        </w:tc>
        <w:tc>
          <w:tcPr>
            <w:tcW w:w="3191" w:type="pct"/>
            <w:shd w:val="clear" w:color="auto" w:fill="auto"/>
            <w:vAlign w:val="center"/>
          </w:tcPr>
          <w:p w14:paraId="43E36B9E">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适配国产化环境及软件，包括业务数据标签建设和数据主题聚类。构建数据标签及管理应用功能和数据聚类适配。</w:t>
            </w:r>
          </w:p>
        </w:tc>
        <w:tc>
          <w:tcPr>
            <w:tcW w:w="305" w:type="pct"/>
            <w:shd w:val="clear" w:color="auto" w:fill="auto"/>
            <w:vAlign w:val="center"/>
          </w:tcPr>
          <w:p w14:paraId="2B72E59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3023D2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7DD7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22F1F2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287" w:type="pct"/>
            <w:vMerge w:val="continue"/>
            <w:shd w:val="clear" w:color="auto" w:fill="auto"/>
            <w:vAlign w:val="center"/>
          </w:tcPr>
          <w:p w14:paraId="7DC1B73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yellow"/>
                <w:lang w:val="en-US" w:eastAsia="zh-CN"/>
              </w:rPr>
            </w:pPr>
          </w:p>
        </w:tc>
        <w:tc>
          <w:tcPr>
            <w:tcW w:w="490" w:type="pct"/>
            <w:shd w:val="clear" w:color="auto" w:fill="auto"/>
            <w:vAlign w:val="center"/>
          </w:tcPr>
          <w:p w14:paraId="46E33C9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highlight w:val="yellow"/>
                <w:lang w:val="en-US" w:eastAsia="zh-CN"/>
              </w:rPr>
            </w:pPr>
            <w:r>
              <w:rPr>
                <w:rFonts w:hint="eastAsia" w:ascii="宋体" w:hAnsi="宋体" w:eastAsia="宋体" w:cs="宋体"/>
                <w:i w:val="0"/>
                <w:iCs w:val="0"/>
                <w:color w:val="000000"/>
                <w:kern w:val="0"/>
                <w:sz w:val="21"/>
                <w:szCs w:val="21"/>
                <w:u w:val="none"/>
                <w:lang w:val="en-US" w:eastAsia="zh-CN" w:bidi="ar"/>
              </w:rPr>
              <w:t>数据溯源及管理</w:t>
            </w:r>
          </w:p>
        </w:tc>
        <w:tc>
          <w:tcPr>
            <w:tcW w:w="3191" w:type="pct"/>
            <w:shd w:val="clear" w:color="auto" w:fill="auto"/>
            <w:vAlign w:val="center"/>
          </w:tcPr>
          <w:p w14:paraId="39FB3BF2">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适配国产化环境及软件，包括数据溯源、数据业务血缘。对构建关联、类比、漏斗等数据模型进行适配工作。</w:t>
            </w:r>
          </w:p>
        </w:tc>
        <w:tc>
          <w:tcPr>
            <w:tcW w:w="305" w:type="pct"/>
            <w:shd w:val="clear" w:color="auto" w:fill="auto"/>
            <w:vAlign w:val="center"/>
          </w:tcPr>
          <w:p w14:paraId="44B1B5E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132A44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176F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60310B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287" w:type="pct"/>
            <w:vMerge w:val="continue"/>
            <w:shd w:val="clear" w:color="auto" w:fill="auto"/>
            <w:vAlign w:val="center"/>
          </w:tcPr>
          <w:p w14:paraId="188B592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yellow"/>
                <w:lang w:val="en-US" w:eastAsia="zh-CN"/>
              </w:rPr>
            </w:pPr>
          </w:p>
        </w:tc>
        <w:tc>
          <w:tcPr>
            <w:tcW w:w="490" w:type="pct"/>
            <w:shd w:val="clear" w:color="auto" w:fill="auto"/>
            <w:vAlign w:val="center"/>
          </w:tcPr>
          <w:p w14:paraId="6F6BA33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highlight w:val="yellow"/>
                <w:lang w:val="en-US" w:eastAsia="zh-CN"/>
              </w:rPr>
            </w:pPr>
            <w:r>
              <w:rPr>
                <w:rFonts w:hint="eastAsia" w:ascii="宋体" w:hAnsi="宋体" w:eastAsia="宋体" w:cs="宋体"/>
                <w:i w:val="0"/>
                <w:iCs w:val="0"/>
                <w:color w:val="000000"/>
                <w:kern w:val="0"/>
                <w:sz w:val="21"/>
                <w:szCs w:val="21"/>
                <w:u w:val="none"/>
                <w:lang w:val="en-US" w:eastAsia="zh-CN" w:bidi="ar"/>
              </w:rPr>
              <w:t>场景数据服务</w:t>
            </w:r>
          </w:p>
        </w:tc>
        <w:tc>
          <w:tcPr>
            <w:tcW w:w="3191" w:type="pct"/>
            <w:shd w:val="clear" w:color="auto" w:fill="auto"/>
            <w:vAlign w:val="center"/>
          </w:tcPr>
          <w:p w14:paraId="3B16680B">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适配国产化环境及软件，包括老年人场景、一房一户场景、民情画布场景适配，并提供数据实施服务，完成数据拆分、数据标签、数据仓实施、数据对接等。</w:t>
            </w:r>
          </w:p>
        </w:tc>
        <w:tc>
          <w:tcPr>
            <w:tcW w:w="305" w:type="pct"/>
            <w:shd w:val="clear" w:color="auto" w:fill="auto"/>
            <w:vAlign w:val="center"/>
          </w:tcPr>
          <w:p w14:paraId="3B3FEAF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377F54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0754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4EF6A9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287" w:type="pct"/>
            <w:vMerge w:val="continue"/>
            <w:shd w:val="clear" w:color="auto" w:fill="auto"/>
            <w:vAlign w:val="center"/>
          </w:tcPr>
          <w:p w14:paraId="0994E29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yellow"/>
                <w:lang w:val="en-US" w:eastAsia="zh-CN"/>
              </w:rPr>
            </w:pPr>
          </w:p>
        </w:tc>
        <w:tc>
          <w:tcPr>
            <w:tcW w:w="490" w:type="pct"/>
            <w:shd w:val="clear" w:color="auto" w:fill="auto"/>
            <w:vAlign w:val="center"/>
          </w:tcPr>
          <w:p w14:paraId="567A557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highlight w:val="yellow"/>
                <w:lang w:val="en-US" w:eastAsia="zh-CN"/>
              </w:rPr>
            </w:pPr>
            <w:r>
              <w:rPr>
                <w:rFonts w:hint="eastAsia" w:ascii="宋体" w:hAnsi="宋体" w:eastAsia="宋体" w:cs="宋体"/>
                <w:i w:val="0"/>
                <w:iCs w:val="0"/>
                <w:color w:val="000000"/>
                <w:kern w:val="0"/>
                <w:sz w:val="21"/>
                <w:szCs w:val="21"/>
                <w:u w:val="none"/>
                <w:lang w:val="en-US" w:eastAsia="zh-CN" w:bidi="ar"/>
              </w:rPr>
              <w:t>全息档案</w:t>
            </w:r>
          </w:p>
        </w:tc>
        <w:tc>
          <w:tcPr>
            <w:tcW w:w="3191" w:type="pct"/>
            <w:shd w:val="clear" w:color="auto" w:fill="auto"/>
            <w:vAlign w:val="center"/>
          </w:tcPr>
          <w:p w14:paraId="29BC7C01">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适配国产化环境及软件，包括全息档案软件模块、特征积分软件模块、关系图谱分析模块、全息搜索软件模块、标签画像软件模块、全息轨迹分析软件模块、数据魔方软件模块、通用数据应用基础模块适配工作。</w:t>
            </w:r>
          </w:p>
        </w:tc>
        <w:tc>
          <w:tcPr>
            <w:tcW w:w="305" w:type="pct"/>
            <w:shd w:val="clear" w:color="auto" w:fill="auto"/>
            <w:vAlign w:val="center"/>
          </w:tcPr>
          <w:p w14:paraId="3655900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254EA2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2DDDA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318445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287" w:type="pct"/>
            <w:shd w:val="clear" w:color="auto" w:fill="auto"/>
            <w:vAlign w:val="center"/>
          </w:tcPr>
          <w:p w14:paraId="236947A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yellow"/>
                <w:lang w:val="en-US" w:eastAsia="zh-CN"/>
              </w:rPr>
            </w:pPr>
          </w:p>
        </w:tc>
        <w:tc>
          <w:tcPr>
            <w:tcW w:w="490" w:type="pct"/>
            <w:shd w:val="clear" w:color="auto" w:fill="auto"/>
            <w:vAlign w:val="center"/>
          </w:tcPr>
          <w:p w14:paraId="631587C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highlight w:val="yellow"/>
                <w:lang w:val="en-US" w:eastAsia="zh-CN"/>
              </w:rPr>
            </w:pPr>
            <w:r>
              <w:rPr>
                <w:rFonts w:hint="eastAsia" w:ascii="宋体" w:hAnsi="宋体" w:eastAsia="宋体" w:cs="宋体"/>
                <w:i w:val="0"/>
                <w:iCs w:val="0"/>
                <w:color w:val="000000"/>
                <w:kern w:val="0"/>
                <w:sz w:val="21"/>
                <w:szCs w:val="21"/>
                <w:u w:val="none"/>
                <w:lang w:val="en-US" w:eastAsia="zh-CN" w:bidi="ar"/>
              </w:rPr>
              <w:t>数据脱敏</w:t>
            </w:r>
          </w:p>
        </w:tc>
        <w:tc>
          <w:tcPr>
            <w:tcW w:w="3191" w:type="pct"/>
            <w:shd w:val="clear" w:color="auto" w:fill="auto"/>
            <w:vAlign w:val="center"/>
          </w:tcPr>
          <w:p w14:paraId="7DCD7D52">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为有效保护数据资源应用过程中的安全，在国产化中对涉及敏感信息的数据在展示时进行脱敏处理，有效防止敏感数据的泄露的同时，强化隐私保护与数据安全保护。</w:t>
            </w:r>
          </w:p>
        </w:tc>
        <w:tc>
          <w:tcPr>
            <w:tcW w:w="305" w:type="pct"/>
            <w:shd w:val="clear" w:color="auto" w:fill="auto"/>
            <w:vAlign w:val="center"/>
          </w:tcPr>
          <w:p w14:paraId="57EF2FE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6ABC0F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63F4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0CE180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287" w:type="pct"/>
            <w:vMerge w:val="restart"/>
            <w:shd w:val="clear" w:color="auto" w:fill="auto"/>
            <w:vAlign w:val="center"/>
          </w:tcPr>
          <w:p w14:paraId="2F7AC56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highlight w:val="yellow"/>
                <w:lang w:val="en-US" w:eastAsia="zh-CN"/>
              </w:rPr>
            </w:pPr>
            <w:r>
              <w:rPr>
                <w:rFonts w:hint="eastAsia" w:ascii="宋体" w:hAnsi="宋体" w:eastAsia="宋体" w:cs="宋体"/>
                <w:i w:val="0"/>
                <w:iCs w:val="0"/>
                <w:color w:val="000000"/>
                <w:kern w:val="0"/>
                <w:sz w:val="21"/>
                <w:szCs w:val="21"/>
                <w:u w:val="none"/>
                <w:lang w:val="en-US" w:eastAsia="zh-CN" w:bidi="ar"/>
              </w:rPr>
              <w:t>平台迁移</w:t>
            </w:r>
          </w:p>
        </w:tc>
        <w:tc>
          <w:tcPr>
            <w:tcW w:w="490" w:type="pct"/>
            <w:shd w:val="clear" w:color="auto" w:fill="auto"/>
            <w:vAlign w:val="center"/>
          </w:tcPr>
          <w:p w14:paraId="2616671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highlight w:val="yellow"/>
                <w:lang w:val="en-US" w:eastAsia="zh-CN"/>
              </w:rPr>
            </w:pPr>
            <w:r>
              <w:rPr>
                <w:rFonts w:hint="eastAsia" w:ascii="宋体" w:hAnsi="宋体" w:eastAsia="宋体" w:cs="宋体"/>
                <w:i w:val="0"/>
                <w:iCs w:val="0"/>
                <w:color w:val="000000"/>
                <w:kern w:val="0"/>
                <w:sz w:val="21"/>
                <w:szCs w:val="21"/>
                <w:u w:val="none"/>
                <w:lang w:val="en-US" w:eastAsia="zh-CN" w:bidi="ar"/>
              </w:rPr>
              <w:t>平台基础信息迁移</w:t>
            </w:r>
          </w:p>
        </w:tc>
        <w:tc>
          <w:tcPr>
            <w:tcW w:w="3191" w:type="pct"/>
            <w:shd w:val="clear" w:color="auto" w:fill="auto"/>
            <w:vAlign w:val="center"/>
          </w:tcPr>
          <w:p w14:paraId="0E238BE9">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包括平台用户、角色、机构、菜单等基础信息迁移。</w:t>
            </w:r>
          </w:p>
        </w:tc>
        <w:tc>
          <w:tcPr>
            <w:tcW w:w="305" w:type="pct"/>
            <w:shd w:val="clear" w:color="auto" w:fill="auto"/>
            <w:vAlign w:val="center"/>
          </w:tcPr>
          <w:p w14:paraId="619B552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3D356B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3BF7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1E04BA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287" w:type="pct"/>
            <w:vMerge w:val="continue"/>
            <w:shd w:val="clear" w:color="auto" w:fill="auto"/>
            <w:vAlign w:val="center"/>
          </w:tcPr>
          <w:p w14:paraId="07BFE0E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yellow"/>
                <w:lang w:val="en-US" w:eastAsia="zh-CN"/>
              </w:rPr>
            </w:pPr>
          </w:p>
        </w:tc>
        <w:tc>
          <w:tcPr>
            <w:tcW w:w="490" w:type="pct"/>
            <w:shd w:val="clear" w:color="auto" w:fill="auto"/>
            <w:vAlign w:val="center"/>
          </w:tcPr>
          <w:p w14:paraId="4A7CC78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highlight w:val="yellow"/>
                <w:lang w:val="en-US" w:eastAsia="zh-CN"/>
              </w:rPr>
            </w:pPr>
            <w:r>
              <w:rPr>
                <w:rFonts w:hint="eastAsia" w:ascii="宋体" w:hAnsi="宋体" w:eastAsia="宋体" w:cs="宋体"/>
                <w:i w:val="0"/>
                <w:iCs w:val="0"/>
                <w:color w:val="000000"/>
                <w:kern w:val="0"/>
                <w:sz w:val="21"/>
                <w:szCs w:val="21"/>
                <w:u w:val="none"/>
                <w:lang w:val="en-US" w:eastAsia="zh-CN" w:bidi="ar"/>
              </w:rPr>
              <w:t>平台业务信息迁移</w:t>
            </w:r>
          </w:p>
        </w:tc>
        <w:tc>
          <w:tcPr>
            <w:tcW w:w="3191" w:type="pct"/>
            <w:shd w:val="clear" w:color="auto" w:fill="auto"/>
            <w:vAlign w:val="center"/>
          </w:tcPr>
          <w:p w14:paraId="575E484C">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包括平台日志、图片、文件等业务数据迁移。</w:t>
            </w:r>
          </w:p>
        </w:tc>
        <w:tc>
          <w:tcPr>
            <w:tcW w:w="305" w:type="pct"/>
            <w:shd w:val="clear" w:color="auto" w:fill="auto"/>
            <w:vAlign w:val="center"/>
          </w:tcPr>
          <w:p w14:paraId="5B4C247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09AD34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1EC1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5F6B07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287" w:type="pct"/>
            <w:vMerge w:val="continue"/>
            <w:shd w:val="clear" w:color="auto" w:fill="auto"/>
            <w:vAlign w:val="center"/>
          </w:tcPr>
          <w:p w14:paraId="770A21E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yellow"/>
                <w:lang w:val="en-US" w:eastAsia="zh-CN"/>
              </w:rPr>
            </w:pPr>
          </w:p>
        </w:tc>
        <w:tc>
          <w:tcPr>
            <w:tcW w:w="490" w:type="pct"/>
            <w:shd w:val="clear" w:color="auto" w:fill="auto"/>
            <w:vAlign w:val="center"/>
          </w:tcPr>
          <w:p w14:paraId="73DDA79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highlight w:val="yellow"/>
                <w:lang w:val="en-US" w:eastAsia="zh-CN"/>
              </w:rPr>
            </w:pPr>
            <w:r>
              <w:rPr>
                <w:rFonts w:hint="eastAsia" w:ascii="宋体" w:hAnsi="宋体" w:eastAsia="宋体" w:cs="宋体"/>
                <w:i w:val="0"/>
                <w:iCs w:val="0"/>
                <w:color w:val="000000"/>
                <w:kern w:val="0"/>
                <w:sz w:val="21"/>
                <w:szCs w:val="21"/>
                <w:u w:val="none"/>
                <w:lang w:val="en-US" w:eastAsia="zh-CN" w:bidi="ar"/>
              </w:rPr>
              <w:t>历史数据迁移</w:t>
            </w:r>
          </w:p>
        </w:tc>
        <w:tc>
          <w:tcPr>
            <w:tcW w:w="3191" w:type="pct"/>
            <w:shd w:val="clear" w:color="auto" w:fill="auto"/>
            <w:vAlign w:val="center"/>
          </w:tcPr>
          <w:p w14:paraId="254EE6AE">
            <w:pPr>
              <w:keepNext w:val="0"/>
              <w:keepLines w:val="0"/>
              <w:widowControl/>
              <w:numPr>
                <w:ilvl w:val="0"/>
                <w:numId w:val="0"/>
              </w:numPr>
              <w:suppressLineNumbers w:val="0"/>
              <w:spacing w:before="0" w:beforeAutospacing="0" w:after="0" w:afterAutospacing="0" w:line="360" w:lineRule="auto"/>
              <w:ind w:left="0" w:right="0"/>
              <w:jc w:val="both"/>
              <w:textAlignment w:val="center"/>
              <w:rPr>
                <w:rStyle w:val="67"/>
                <w:rFonts w:hint="eastAsia" w:ascii="宋体" w:hAnsi="宋体" w:eastAsia="宋体" w:cs="宋体"/>
                <w:b w:val="0"/>
                <w:bCs w:val="0"/>
                <w:sz w:val="21"/>
                <w:szCs w:val="21"/>
                <w:lang w:val="en-US" w:eastAsia="zh-CN" w:bidi="ar"/>
              </w:rPr>
            </w:pPr>
            <w:r>
              <w:rPr>
                <w:rFonts w:hint="eastAsia" w:ascii="宋体" w:hAnsi="宋体" w:eastAsia="宋体" w:cs="宋体"/>
                <w:b w:val="0"/>
                <w:bCs w:val="0"/>
                <w:color w:val="000000"/>
                <w:kern w:val="2"/>
                <w:sz w:val="21"/>
                <w:szCs w:val="21"/>
                <w:lang w:val="en-US" w:eastAsia="zh-CN" w:bidi="ar"/>
              </w:rPr>
              <w:t>1、</w:t>
            </w:r>
            <w:r>
              <w:rPr>
                <w:rStyle w:val="67"/>
                <w:rFonts w:hint="eastAsia" w:ascii="宋体" w:hAnsi="宋体" w:eastAsia="宋体" w:cs="宋体"/>
                <w:b w:val="0"/>
                <w:bCs w:val="0"/>
                <w:sz w:val="21"/>
                <w:szCs w:val="21"/>
                <w:lang w:val="en-US" w:eastAsia="zh-CN" w:bidi="ar"/>
              </w:rPr>
              <w:t>数据元表进行迁移、结构调整；</w:t>
            </w:r>
          </w:p>
          <w:p w14:paraId="62CA1859">
            <w:pPr>
              <w:keepNext w:val="0"/>
              <w:keepLines w:val="0"/>
              <w:widowControl/>
              <w:numPr>
                <w:ilvl w:val="0"/>
                <w:numId w:val="0"/>
              </w:numPr>
              <w:suppressLineNumbers w:val="0"/>
              <w:spacing w:before="0" w:beforeAutospacing="0" w:after="0" w:afterAutospacing="0" w:line="360" w:lineRule="auto"/>
              <w:ind w:left="0" w:right="0"/>
              <w:jc w:val="both"/>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kern w:val="2"/>
                <w:sz w:val="21"/>
                <w:szCs w:val="21"/>
                <w:lang w:val="en-US" w:eastAsia="zh-CN" w:bidi="ar-SA"/>
              </w:rPr>
              <w:t>2、</w:t>
            </w:r>
            <w:r>
              <w:rPr>
                <w:rStyle w:val="67"/>
                <w:rFonts w:hint="eastAsia" w:ascii="宋体" w:hAnsi="宋体" w:eastAsia="宋体" w:cs="宋体"/>
                <w:b w:val="0"/>
                <w:bCs w:val="0"/>
                <w:sz w:val="21"/>
                <w:szCs w:val="21"/>
                <w:lang w:val="en-US" w:eastAsia="zh-CN" w:bidi="ar"/>
              </w:rPr>
              <w:t>包括</w:t>
            </w:r>
            <w:r>
              <w:rPr>
                <w:rStyle w:val="114"/>
                <w:rFonts w:hint="eastAsia" w:ascii="宋体" w:hAnsi="宋体" w:eastAsia="宋体" w:cs="宋体"/>
                <w:b w:val="0"/>
                <w:bCs w:val="0"/>
                <w:sz w:val="21"/>
                <w:szCs w:val="21"/>
                <w:lang w:val="en-US" w:eastAsia="zh-CN" w:bidi="ar"/>
              </w:rPr>
              <w:t>MySQL</w:t>
            </w:r>
            <w:r>
              <w:rPr>
                <w:rStyle w:val="67"/>
                <w:rFonts w:hint="eastAsia" w:ascii="宋体" w:hAnsi="宋体" w:eastAsia="宋体" w:cs="宋体"/>
                <w:b w:val="0"/>
                <w:bCs w:val="0"/>
                <w:sz w:val="21"/>
                <w:szCs w:val="21"/>
                <w:lang w:val="en-US" w:eastAsia="zh-CN" w:bidi="ar"/>
              </w:rPr>
              <w:t>数据库、</w:t>
            </w:r>
            <w:r>
              <w:rPr>
                <w:rStyle w:val="114"/>
                <w:rFonts w:hint="eastAsia" w:ascii="宋体" w:hAnsi="宋体" w:eastAsia="宋体" w:cs="宋体"/>
                <w:b w:val="0"/>
                <w:bCs w:val="0"/>
                <w:sz w:val="21"/>
                <w:szCs w:val="21"/>
                <w:lang w:val="en-US" w:eastAsia="zh-CN" w:bidi="ar"/>
              </w:rPr>
              <w:t>ES</w:t>
            </w:r>
            <w:r>
              <w:rPr>
                <w:rStyle w:val="67"/>
                <w:rFonts w:hint="eastAsia" w:ascii="宋体" w:hAnsi="宋体" w:eastAsia="宋体" w:cs="宋体"/>
                <w:b w:val="0"/>
                <w:bCs w:val="0"/>
                <w:sz w:val="21"/>
                <w:szCs w:val="21"/>
                <w:lang w:val="en-US" w:eastAsia="zh-CN" w:bidi="ar"/>
              </w:rPr>
              <w:t>数据库共计</w:t>
            </w:r>
            <w:r>
              <w:rPr>
                <w:rStyle w:val="114"/>
                <w:rFonts w:hint="eastAsia" w:ascii="宋体" w:hAnsi="宋体" w:eastAsia="宋体" w:cs="宋体"/>
                <w:b w:val="0"/>
                <w:bCs w:val="0"/>
                <w:sz w:val="21"/>
                <w:szCs w:val="21"/>
                <w:lang w:val="en-US" w:eastAsia="zh-CN" w:bidi="ar"/>
              </w:rPr>
              <w:t>85</w:t>
            </w:r>
            <w:r>
              <w:rPr>
                <w:rStyle w:val="67"/>
                <w:rFonts w:hint="eastAsia" w:ascii="宋体" w:hAnsi="宋体" w:eastAsia="宋体" w:cs="宋体"/>
                <w:b w:val="0"/>
                <w:bCs w:val="0"/>
                <w:sz w:val="21"/>
                <w:szCs w:val="21"/>
                <w:lang w:val="en-US" w:eastAsia="zh-CN" w:bidi="ar"/>
              </w:rPr>
              <w:t>张表进行迁移。</w:t>
            </w:r>
          </w:p>
        </w:tc>
        <w:tc>
          <w:tcPr>
            <w:tcW w:w="305" w:type="pct"/>
            <w:shd w:val="clear" w:color="auto" w:fill="auto"/>
            <w:vAlign w:val="center"/>
          </w:tcPr>
          <w:p w14:paraId="3D44D25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5737CD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292E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46" w:type="pct"/>
            <w:shd w:val="clear" w:color="auto" w:fill="auto"/>
            <w:vAlign w:val="center"/>
          </w:tcPr>
          <w:p w14:paraId="62B51E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287" w:type="pct"/>
            <w:vMerge w:val="continue"/>
            <w:shd w:val="clear" w:color="auto" w:fill="auto"/>
            <w:vAlign w:val="center"/>
          </w:tcPr>
          <w:p w14:paraId="21C0737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yellow"/>
                <w:lang w:val="en-US" w:eastAsia="zh-CN"/>
              </w:rPr>
            </w:pPr>
          </w:p>
        </w:tc>
        <w:tc>
          <w:tcPr>
            <w:tcW w:w="490" w:type="pct"/>
            <w:shd w:val="clear" w:color="auto" w:fill="auto"/>
            <w:vAlign w:val="center"/>
          </w:tcPr>
          <w:p w14:paraId="76326BF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highlight w:val="yellow"/>
                <w:lang w:val="en-US" w:eastAsia="zh-CN"/>
              </w:rPr>
            </w:pPr>
            <w:r>
              <w:rPr>
                <w:rFonts w:hint="eastAsia" w:ascii="宋体" w:hAnsi="宋体" w:eastAsia="宋体" w:cs="宋体"/>
                <w:i w:val="0"/>
                <w:iCs w:val="0"/>
                <w:color w:val="000000"/>
                <w:kern w:val="0"/>
                <w:sz w:val="21"/>
                <w:szCs w:val="21"/>
                <w:u w:val="none"/>
                <w:lang w:val="en-US" w:eastAsia="zh-CN" w:bidi="ar"/>
              </w:rPr>
              <w:t>接口迁移</w:t>
            </w:r>
          </w:p>
        </w:tc>
        <w:tc>
          <w:tcPr>
            <w:tcW w:w="3191" w:type="pct"/>
            <w:shd w:val="clear" w:color="auto" w:fill="auto"/>
            <w:vAlign w:val="center"/>
          </w:tcPr>
          <w:p w14:paraId="3780A3B3">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val="0"/>
                <w:bCs w:val="0"/>
                <w:sz w:val="21"/>
                <w:szCs w:val="21"/>
                <w:lang w:val="en-US" w:eastAsia="zh-CN"/>
              </w:rPr>
            </w:pPr>
            <w:r>
              <w:rPr>
                <w:rStyle w:val="67"/>
                <w:rFonts w:hint="eastAsia" w:ascii="宋体" w:hAnsi="宋体" w:eastAsia="宋体" w:cs="宋体"/>
                <w:b w:val="0"/>
                <w:bCs w:val="0"/>
                <w:sz w:val="21"/>
                <w:szCs w:val="21"/>
                <w:lang w:val="en-US" w:eastAsia="zh-CN" w:bidi="ar"/>
              </w:rPr>
              <w:t>注册接口</w:t>
            </w:r>
            <w:r>
              <w:rPr>
                <w:rStyle w:val="114"/>
                <w:rFonts w:hint="eastAsia" w:ascii="宋体" w:hAnsi="宋体" w:eastAsia="宋体" w:cs="宋体"/>
                <w:b w:val="0"/>
                <w:bCs w:val="0"/>
                <w:sz w:val="21"/>
                <w:szCs w:val="21"/>
                <w:lang w:val="en-US" w:eastAsia="zh-CN" w:bidi="ar"/>
              </w:rPr>
              <w:t>3</w:t>
            </w:r>
            <w:r>
              <w:rPr>
                <w:rStyle w:val="67"/>
                <w:rFonts w:hint="eastAsia" w:ascii="宋体" w:hAnsi="宋体" w:eastAsia="宋体" w:cs="宋体"/>
                <w:b w:val="0"/>
                <w:bCs w:val="0"/>
                <w:sz w:val="21"/>
                <w:szCs w:val="21"/>
                <w:lang w:val="en-US" w:eastAsia="zh-CN" w:bidi="ar"/>
              </w:rPr>
              <w:t>个，均需要适配国产化环境进行改造后迁移。</w:t>
            </w:r>
          </w:p>
        </w:tc>
        <w:tc>
          <w:tcPr>
            <w:tcW w:w="305" w:type="pct"/>
            <w:shd w:val="clear" w:color="auto" w:fill="auto"/>
            <w:vAlign w:val="center"/>
          </w:tcPr>
          <w:p w14:paraId="72E4CF2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2EDA30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471C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46" w:type="pct"/>
            <w:shd w:val="clear" w:color="auto" w:fill="auto"/>
            <w:vAlign w:val="center"/>
          </w:tcPr>
          <w:p w14:paraId="3059F1E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287" w:type="pct"/>
            <w:vMerge w:val="restart"/>
            <w:shd w:val="clear" w:color="auto" w:fill="auto"/>
            <w:vAlign w:val="center"/>
          </w:tcPr>
          <w:p w14:paraId="269900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lang w:val="en-US" w:eastAsia="zh-CN"/>
              </w:rPr>
              <w:t>国产化软件采购</w:t>
            </w:r>
          </w:p>
        </w:tc>
        <w:tc>
          <w:tcPr>
            <w:tcW w:w="490" w:type="pct"/>
            <w:shd w:val="clear" w:color="auto" w:fill="auto"/>
            <w:vAlign w:val="center"/>
          </w:tcPr>
          <w:p w14:paraId="416234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国产化操作系统</w:t>
            </w:r>
          </w:p>
        </w:tc>
        <w:tc>
          <w:tcPr>
            <w:tcW w:w="3191" w:type="pct"/>
            <w:shd w:val="clear" w:color="auto" w:fill="auto"/>
            <w:vAlign w:val="center"/>
          </w:tcPr>
          <w:p w14:paraId="5ECFD61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操作系统产品符合中国信息安全测评中心的安全可靠测评结果，需提供测评公告链接和截图。</w:t>
            </w:r>
          </w:p>
          <w:p w14:paraId="635A5C70">
            <w:pPr>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r>
              <w:rPr>
                <w:rFonts w:hint="eastAsia" w:ascii="宋体" w:hAnsi="宋体" w:eastAsia="宋体" w:cs="宋体"/>
                <w:sz w:val="21"/>
                <w:szCs w:val="21"/>
                <w:lang w:val="en-US" w:eastAsia="zh-CN"/>
              </w:rPr>
              <w:t>2、符合《操作系统政府采购需求标准（2023年版）》的要求</w:t>
            </w:r>
          </w:p>
        </w:tc>
        <w:tc>
          <w:tcPr>
            <w:tcW w:w="305" w:type="pct"/>
            <w:shd w:val="clear" w:color="auto" w:fill="auto"/>
            <w:vAlign w:val="center"/>
          </w:tcPr>
          <w:p w14:paraId="58A313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78" w:type="pct"/>
            <w:shd w:val="clear" w:color="auto" w:fill="auto"/>
            <w:vAlign w:val="center"/>
          </w:tcPr>
          <w:p w14:paraId="2F4090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7D4D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0DB85E6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287" w:type="pct"/>
            <w:vMerge w:val="continue"/>
            <w:shd w:val="clear" w:color="auto" w:fill="auto"/>
            <w:vAlign w:val="center"/>
          </w:tcPr>
          <w:p w14:paraId="4DB921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highlight w:val="yellow"/>
                <w:lang w:val="en-US" w:eastAsia="zh-CN"/>
              </w:rPr>
            </w:pPr>
          </w:p>
        </w:tc>
        <w:tc>
          <w:tcPr>
            <w:tcW w:w="490" w:type="pct"/>
            <w:shd w:val="clear" w:color="auto" w:fill="auto"/>
            <w:vAlign w:val="center"/>
          </w:tcPr>
          <w:p w14:paraId="50751C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国产化数据库</w:t>
            </w:r>
          </w:p>
        </w:tc>
        <w:tc>
          <w:tcPr>
            <w:tcW w:w="3191" w:type="pct"/>
            <w:shd w:val="clear" w:color="auto" w:fill="auto"/>
            <w:vAlign w:val="center"/>
          </w:tcPr>
          <w:p w14:paraId="239B1C8C">
            <w:pPr>
              <w:pStyle w:val="97"/>
              <w:keepNext w:val="0"/>
              <w:keepLines w:val="0"/>
              <w:pageBreakBefore w:val="0"/>
              <w:numPr>
                <w:ilvl w:val="0"/>
                <w:numId w:val="0"/>
              </w:numPr>
              <w:suppressLineNumbers w:val="0"/>
              <w:kinsoku/>
              <w:wordWrap/>
              <w:overflowPunct/>
              <w:topLinePunct w:val="0"/>
              <w:bidi w:val="0"/>
              <w:snapToGrid w:val="0"/>
              <w:spacing w:before="0" w:beforeAutospacing="0" w:after="0" w:afterAutospacing="0" w:line="360" w:lineRule="auto"/>
              <w:ind w:left="0" w:leftChars="0" w:right="0" w:firstLine="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lang w:val="en-US" w:eastAsia="zh-CN"/>
              </w:rPr>
              <w:t>数据库</w:t>
            </w:r>
            <w:r>
              <w:rPr>
                <w:rFonts w:hint="eastAsia" w:ascii="宋体" w:hAnsi="宋体" w:eastAsia="宋体" w:cs="宋体"/>
                <w:sz w:val="21"/>
                <w:szCs w:val="21"/>
              </w:rPr>
              <w:t>产品符合中国信息安全测评中心的安全可靠测评结果，需提供测评公告链接和截图。</w:t>
            </w:r>
          </w:p>
          <w:p w14:paraId="653349F0">
            <w:pPr>
              <w:pStyle w:val="97"/>
              <w:keepNext w:val="0"/>
              <w:keepLines w:val="0"/>
              <w:pageBreakBefore w:val="0"/>
              <w:numPr>
                <w:ilvl w:val="0"/>
                <w:numId w:val="0"/>
              </w:numPr>
              <w:suppressLineNumbers w:val="0"/>
              <w:kinsoku/>
              <w:wordWrap/>
              <w:overflowPunct/>
              <w:topLinePunct w:val="0"/>
              <w:bidi w:val="0"/>
              <w:snapToGrid w:val="0"/>
              <w:spacing w:before="0" w:beforeAutospacing="0" w:after="0" w:afterAutospacing="0" w:line="360" w:lineRule="auto"/>
              <w:ind w:left="0" w:leftChars="0" w:right="0" w:rightChars="0" w:firstLine="0" w:firstLineChars="0"/>
              <w:rPr>
                <w:rFonts w:hint="eastAsia" w:ascii="宋体" w:hAnsi="宋体" w:eastAsia="宋体" w:cs="宋体"/>
                <w:kern w:val="0"/>
                <w:sz w:val="21"/>
                <w:szCs w:val="21"/>
                <w:lang w:val="en-US" w:eastAsia="zh-CN" w:bidi="ar-SA"/>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lang w:val="en-US" w:eastAsia="zh-CN"/>
              </w:rPr>
              <w:t>、符合数据库政府采购需求标准（2023年版）的要求</w:t>
            </w:r>
          </w:p>
        </w:tc>
        <w:tc>
          <w:tcPr>
            <w:tcW w:w="305" w:type="pct"/>
            <w:shd w:val="clear" w:color="auto" w:fill="auto"/>
            <w:vAlign w:val="center"/>
          </w:tcPr>
          <w:p w14:paraId="26FF71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78" w:type="pct"/>
            <w:shd w:val="clear" w:color="auto" w:fill="auto"/>
            <w:vAlign w:val="center"/>
          </w:tcPr>
          <w:p w14:paraId="265830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0EF0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46" w:type="pct"/>
            <w:shd w:val="clear" w:color="auto" w:fill="auto"/>
            <w:vAlign w:val="center"/>
          </w:tcPr>
          <w:p w14:paraId="054F9EB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w:t>
            </w:r>
          </w:p>
        </w:tc>
        <w:tc>
          <w:tcPr>
            <w:tcW w:w="4553" w:type="pct"/>
            <w:gridSpan w:val="5"/>
            <w:shd w:val="clear" w:color="auto" w:fill="auto"/>
            <w:vAlign w:val="center"/>
          </w:tcPr>
          <w:p w14:paraId="547EC8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舟山市岱山县智慧海上一体化平台系统改造</w:t>
            </w:r>
          </w:p>
        </w:tc>
      </w:tr>
      <w:tr w14:paraId="62BF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01B7664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87" w:type="pct"/>
            <w:vMerge w:val="restart"/>
            <w:shd w:val="clear" w:color="auto" w:fill="auto"/>
            <w:vAlign w:val="center"/>
          </w:tcPr>
          <w:p w14:paraId="1755301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highlight w:val="yellow"/>
                <w:lang w:val="en-US" w:eastAsia="zh-CN"/>
              </w:rPr>
            </w:pPr>
            <w:r>
              <w:rPr>
                <w:rFonts w:hint="eastAsia" w:ascii="宋体" w:hAnsi="宋体" w:eastAsia="宋体" w:cs="宋体"/>
                <w:i w:val="0"/>
                <w:iCs w:val="0"/>
                <w:color w:val="000000"/>
                <w:kern w:val="0"/>
                <w:sz w:val="21"/>
                <w:szCs w:val="21"/>
                <w:u w:val="none"/>
                <w:lang w:val="en-US" w:eastAsia="zh-CN" w:bidi="ar"/>
              </w:rPr>
              <w:t>信创适配</w:t>
            </w:r>
          </w:p>
        </w:tc>
        <w:tc>
          <w:tcPr>
            <w:tcW w:w="490" w:type="pct"/>
            <w:shd w:val="clear" w:color="auto" w:fill="auto"/>
            <w:vAlign w:val="center"/>
          </w:tcPr>
          <w:p w14:paraId="56AB3F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渔船管理</w:t>
            </w:r>
          </w:p>
        </w:tc>
        <w:tc>
          <w:tcPr>
            <w:tcW w:w="3191" w:type="pct"/>
            <w:shd w:val="clear" w:color="auto" w:fill="auto"/>
            <w:vAlign w:val="center"/>
          </w:tcPr>
          <w:p w14:paraId="573FE87F">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适配国产化环境及软件，进行区域统计适配，适配后可实现查询区域内船舶列表并可进行本港籍/非本港籍船舶区分。</w:t>
            </w:r>
          </w:p>
        </w:tc>
        <w:tc>
          <w:tcPr>
            <w:tcW w:w="305" w:type="pct"/>
            <w:shd w:val="clear" w:color="auto" w:fill="auto"/>
            <w:vAlign w:val="center"/>
          </w:tcPr>
          <w:p w14:paraId="2631131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541076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4E99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46" w:type="pct"/>
            <w:shd w:val="clear" w:color="auto" w:fill="auto"/>
            <w:vAlign w:val="center"/>
          </w:tcPr>
          <w:p w14:paraId="7B3EA14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287" w:type="pct"/>
            <w:vMerge w:val="continue"/>
            <w:shd w:val="clear" w:color="auto" w:fill="auto"/>
            <w:vAlign w:val="center"/>
          </w:tcPr>
          <w:p w14:paraId="01D4910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yellow"/>
                <w:lang w:val="en-US" w:eastAsia="zh-CN"/>
              </w:rPr>
            </w:pPr>
          </w:p>
        </w:tc>
        <w:tc>
          <w:tcPr>
            <w:tcW w:w="490" w:type="pct"/>
            <w:shd w:val="clear" w:color="auto" w:fill="auto"/>
            <w:vAlign w:val="center"/>
          </w:tcPr>
          <w:p w14:paraId="4CA644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船员管理</w:t>
            </w:r>
          </w:p>
        </w:tc>
        <w:tc>
          <w:tcPr>
            <w:tcW w:w="3191" w:type="pct"/>
            <w:shd w:val="clear" w:color="auto" w:fill="auto"/>
            <w:vAlign w:val="center"/>
          </w:tcPr>
          <w:p w14:paraId="1B9A4534">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适配国产化环境及软件，进行渔船船员信息管理适配，适配后可实现在船舶档案中查看该出港关联船员，并对船员基本信息、证书信息、任解职信息、合同/协议信息、信誉信息进行管理。</w:t>
            </w:r>
          </w:p>
        </w:tc>
        <w:tc>
          <w:tcPr>
            <w:tcW w:w="305" w:type="pct"/>
            <w:shd w:val="clear" w:color="auto" w:fill="auto"/>
            <w:vAlign w:val="center"/>
          </w:tcPr>
          <w:p w14:paraId="6AEC104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7DB83E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4774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1F9812B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287" w:type="pct"/>
            <w:vMerge w:val="continue"/>
            <w:shd w:val="clear" w:color="auto" w:fill="auto"/>
            <w:vAlign w:val="center"/>
          </w:tcPr>
          <w:p w14:paraId="3D73136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yellow"/>
                <w:lang w:val="en-US" w:eastAsia="zh-CN"/>
              </w:rPr>
            </w:pPr>
          </w:p>
        </w:tc>
        <w:tc>
          <w:tcPr>
            <w:tcW w:w="490" w:type="pct"/>
            <w:shd w:val="clear" w:color="auto" w:fill="auto"/>
            <w:vAlign w:val="center"/>
          </w:tcPr>
          <w:p w14:paraId="6A47F0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渔业企业管理模块</w:t>
            </w:r>
          </w:p>
        </w:tc>
        <w:tc>
          <w:tcPr>
            <w:tcW w:w="3191" w:type="pct"/>
            <w:shd w:val="clear" w:color="auto" w:fill="auto"/>
            <w:vAlign w:val="center"/>
          </w:tcPr>
          <w:p w14:paraId="53D9E432">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适配国产化环境及软件，进行渔业企业管理适配，适配后可实现渔业企业管理功能，可对企业名称、规模、地址等基础信息进行增、删、改、查。</w:t>
            </w:r>
          </w:p>
        </w:tc>
        <w:tc>
          <w:tcPr>
            <w:tcW w:w="305" w:type="pct"/>
            <w:shd w:val="clear" w:color="auto" w:fill="auto"/>
            <w:vAlign w:val="center"/>
          </w:tcPr>
          <w:p w14:paraId="67BFDA9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502108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178C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46" w:type="pct"/>
            <w:shd w:val="clear" w:color="auto" w:fill="auto"/>
            <w:vAlign w:val="center"/>
          </w:tcPr>
          <w:p w14:paraId="1741B56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287" w:type="pct"/>
            <w:vMerge w:val="continue"/>
            <w:shd w:val="clear" w:color="auto" w:fill="auto"/>
            <w:vAlign w:val="center"/>
          </w:tcPr>
          <w:p w14:paraId="114A13A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yellow"/>
                <w:lang w:val="en-US" w:eastAsia="zh-CN"/>
              </w:rPr>
            </w:pPr>
          </w:p>
        </w:tc>
        <w:tc>
          <w:tcPr>
            <w:tcW w:w="490" w:type="pct"/>
            <w:shd w:val="clear" w:color="auto" w:fill="auto"/>
            <w:vAlign w:val="center"/>
          </w:tcPr>
          <w:p w14:paraId="3F5480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点验+渔业驾驶舱</w:t>
            </w:r>
          </w:p>
        </w:tc>
        <w:tc>
          <w:tcPr>
            <w:tcW w:w="3191" w:type="pct"/>
            <w:shd w:val="clear" w:color="auto" w:fill="auto"/>
            <w:vAlign w:val="center"/>
          </w:tcPr>
          <w:p w14:paraId="153BEB19">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包括本港籍渔船统计、渔船渔场分布统计、渔船作业类型统计、海面天气预警、渔船港区进出趋势、辖区船舶动态信息、海域数据统计、渔船点验、点验结果查询、点验结果导出、点验权限管理适配服务。</w:t>
            </w:r>
          </w:p>
        </w:tc>
        <w:tc>
          <w:tcPr>
            <w:tcW w:w="305" w:type="pct"/>
            <w:shd w:val="clear" w:color="auto" w:fill="auto"/>
            <w:vAlign w:val="center"/>
          </w:tcPr>
          <w:p w14:paraId="08D6F63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5F9934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2A61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61C17A9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287" w:type="pct"/>
            <w:vMerge w:val="continue"/>
            <w:shd w:val="clear" w:color="auto" w:fill="auto"/>
            <w:vAlign w:val="center"/>
          </w:tcPr>
          <w:p w14:paraId="664E64A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yellow"/>
                <w:lang w:val="en-US" w:eastAsia="zh-CN"/>
              </w:rPr>
            </w:pPr>
          </w:p>
        </w:tc>
        <w:tc>
          <w:tcPr>
            <w:tcW w:w="490" w:type="pct"/>
            <w:shd w:val="clear" w:color="auto" w:fill="auto"/>
            <w:vAlign w:val="center"/>
          </w:tcPr>
          <w:p w14:paraId="47AE89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应急管理</w:t>
            </w:r>
          </w:p>
        </w:tc>
        <w:tc>
          <w:tcPr>
            <w:tcW w:w="3191" w:type="pct"/>
            <w:shd w:val="clear" w:color="auto" w:fill="auto"/>
            <w:vAlign w:val="center"/>
          </w:tcPr>
          <w:p w14:paraId="614775D0">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适配国产化环境及软件，包括风险预警管理、应急预案管理功能、应急资源管理、应急力量管理、应急专家管理、应急知识库、应急通讯录、应急信息发布适配服务。</w:t>
            </w:r>
          </w:p>
        </w:tc>
        <w:tc>
          <w:tcPr>
            <w:tcW w:w="305" w:type="pct"/>
            <w:shd w:val="clear" w:color="auto" w:fill="auto"/>
            <w:vAlign w:val="center"/>
          </w:tcPr>
          <w:p w14:paraId="5F96F96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3CC1B4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1BC7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46" w:type="pct"/>
            <w:shd w:val="clear" w:color="auto" w:fill="auto"/>
            <w:vAlign w:val="center"/>
          </w:tcPr>
          <w:p w14:paraId="356934F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287" w:type="pct"/>
            <w:vMerge w:val="restart"/>
            <w:shd w:val="clear" w:color="auto" w:fill="auto"/>
            <w:vAlign w:val="center"/>
          </w:tcPr>
          <w:p w14:paraId="52A1A67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highlight w:val="yellow"/>
                <w:lang w:val="en-US" w:eastAsia="zh-CN"/>
              </w:rPr>
            </w:pPr>
            <w:r>
              <w:rPr>
                <w:rFonts w:hint="eastAsia" w:ascii="宋体" w:hAnsi="宋体" w:eastAsia="宋体" w:cs="宋体"/>
                <w:i w:val="0"/>
                <w:iCs w:val="0"/>
                <w:color w:val="000000"/>
                <w:kern w:val="0"/>
                <w:sz w:val="21"/>
                <w:szCs w:val="21"/>
                <w:u w:val="none"/>
                <w:lang w:val="en-US" w:eastAsia="zh-CN" w:bidi="ar"/>
              </w:rPr>
              <w:t>平台迁移</w:t>
            </w:r>
          </w:p>
        </w:tc>
        <w:tc>
          <w:tcPr>
            <w:tcW w:w="490" w:type="pct"/>
            <w:shd w:val="clear" w:color="auto" w:fill="auto"/>
            <w:vAlign w:val="center"/>
          </w:tcPr>
          <w:p w14:paraId="00573E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平台基础信息迁移</w:t>
            </w:r>
          </w:p>
        </w:tc>
        <w:tc>
          <w:tcPr>
            <w:tcW w:w="3191" w:type="pct"/>
            <w:shd w:val="clear" w:color="auto" w:fill="auto"/>
            <w:vAlign w:val="center"/>
          </w:tcPr>
          <w:p w14:paraId="664F3630">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包括平台用户、角色、机构、菜单等基础信息迁移。</w:t>
            </w:r>
          </w:p>
        </w:tc>
        <w:tc>
          <w:tcPr>
            <w:tcW w:w="305" w:type="pct"/>
            <w:shd w:val="clear" w:color="auto" w:fill="auto"/>
            <w:vAlign w:val="center"/>
          </w:tcPr>
          <w:p w14:paraId="4342EC7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067A8B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252C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4E82A3F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287" w:type="pct"/>
            <w:vMerge w:val="continue"/>
            <w:shd w:val="clear" w:color="auto" w:fill="auto"/>
            <w:vAlign w:val="center"/>
          </w:tcPr>
          <w:p w14:paraId="3354624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yellow"/>
                <w:lang w:val="en-US" w:eastAsia="zh-CN"/>
              </w:rPr>
            </w:pPr>
          </w:p>
        </w:tc>
        <w:tc>
          <w:tcPr>
            <w:tcW w:w="490" w:type="pct"/>
            <w:shd w:val="clear" w:color="auto" w:fill="auto"/>
            <w:vAlign w:val="center"/>
          </w:tcPr>
          <w:p w14:paraId="02D51A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平台业务信息迁移</w:t>
            </w:r>
          </w:p>
        </w:tc>
        <w:tc>
          <w:tcPr>
            <w:tcW w:w="3191" w:type="pct"/>
            <w:shd w:val="clear" w:color="auto" w:fill="auto"/>
            <w:vAlign w:val="center"/>
          </w:tcPr>
          <w:p w14:paraId="34C823BD">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包括平台日志、图片、文件等业务数据迁移。</w:t>
            </w:r>
          </w:p>
        </w:tc>
        <w:tc>
          <w:tcPr>
            <w:tcW w:w="305" w:type="pct"/>
            <w:shd w:val="clear" w:color="auto" w:fill="auto"/>
            <w:vAlign w:val="center"/>
          </w:tcPr>
          <w:p w14:paraId="1E50535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501146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2A74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46" w:type="pct"/>
            <w:shd w:val="clear" w:color="auto" w:fill="auto"/>
            <w:vAlign w:val="center"/>
          </w:tcPr>
          <w:p w14:paraId="71CD084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287" w:type="pct"/>
            <w:vMerge w:val="continue"/>
            <w:shd w:val="clear" w:color="auto" w:fill="auto"/>
            <w:vAlign w:val="center"/>
          </w:tcPr>
          <w:p w14:paraId="371D10A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yellow"/>
                <w:lang w:val="en-US" w:eastAsia="zh-CN"/>
              </w:rPr>
            </w:pPr>
          </w:p>
        </w:tc>
        <w:tc>
          <w:tcPr>
            <w:tcW w:w="490" w:type="pct"/>
            <w:shd w:val="clear" w:color="auto" w:fill="auto"/>
            <w:vAlign w:val="center"/>
          </w:tcPr>
          <w:p w14:paraId="2A30C1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历史数据迁移</w:t>
            </w:r>
          </w:p>
        </w:tc>
        <w:tc>
          <w:tcPr>
            <w:tcW w:w="3191" w:type="pct"/>
            <w:shd w:val="clear" w:color="auto" w:fill="auto"/>
            <w:vAlign w:val="center"/>
          </w:tcPr>
          <w:p w14:paraId="618761E3">
            <w:pPr>
              <w:keepNext w:val="0"/>
              <w:keepLines w:val="0"/>
              <w:widowControl/>
              <w:numPr>
                <w:ilvl w:val="0"/>
                <w:numId w:val="0"/>
              </w:numPr>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数据元表进行迁移、结构调整；</w:t>
            </w:r>
          </w:p>
          <w:p w14:paraId="4CB6A6FD">
            <w:pPr>
              <w:keepNext w:val="0"/>
              <w:keepLines w:val="0"/>
              <w:widowControl/>
              <w:numPr>
                <w:ilvl w:val="0"/>
                <w:numId w:val="0"/>
              </w:numPr>
              <w:suppressLineNumbers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2、</w:t>
            </w:r>
            <w:r>
              <w:rPr>
                <w:rFonts w:hint="eastAsia" w:ascii="宋体" w:hAnsi="宋体" w:eastAsia="宋体" w:cs="宋体"/>
                <w:i w:val="0"/>
                <w:iCs w:val="0"/>
                <w:color w:val="000000"/>
                <w:kern w:val="0"/>
                <w:sz w:val="21"/>
                <w:szCs w:val="21"/>
                <w:u w:val="none"/>
                <w:lang w:val="en-US" w:eastAsia="zh-CN" w:bidi="ar"/>
              </w:rPr>
              <w:t>包括MySQL数据库、ES数据库共计260张表进行迁移。</w:t>
            </w:r>
          </w:p>
        </w:tc>
        <w:tc>
          <w:tcPr>
            <w:tcW w:w="305" w:type="pct"/>
            <w:shd w:val="clear" w:color="auto" w:fill="auto"/>
            <w:vAlign w:val="center"/>
          </w:tcPr>
          <w:p w14:paraId="54FB790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484A75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06CE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46" w:type="pct"/>
            <w:shd w:val="clear" w:color="auto" w:fill="auto"/>
            <w:vAlign w:val="center"/>
          </w:tcPr>
          <w:p w14:paraId="08629EA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287" w:type="pct"/>
            <w:vMerge w:val="continue"/>
            <w:shd w:val="clear" w:color="auto" w:fill="auto"/>
            <w:vAlign w:val="center"/>
          </w:tcPr>
          <w:p w14:paraId="3FDA30D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yellow"/>
                <w:lang w:val="en-US" w:eastAsia="zh-CN"/>
              </w:rPr>
            </w:pPr>
          </w:p>
        </w:tc>
        <w:tc>
          <w:tcPr>
            <w:tcW w:w="490" w:type="pct"/>
            <w:shd w:val="clear" w:color="auto" w:fill="auto"/>
            <w:vAlign w:val="center"/>
          </w:tcPr>
          <w:p w14:paraId="779E49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接口迁移</w:t>
            </w:r>
          </w:p>
        </w:tc>
        <w:tc>
          <w:tcPr>
            <w:tcW w:w="3191" w:type="pct"/>
            <w:shd w:val="clear" w:color="auto" w:fill="auto"/>
            <w:vAlign w:val="center"/>
          </w:tcPr>
          <w:p w14:paraId="33A5EF72">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注册接口5个，均需要适配国产化环境进行改造后迁移。</w:t>
            </w:r>
          </w:p>
        </w:tc>
        <w:tc>
          <w:tcPr>
            <w:tcW w:w="305" w:type="pct"/>
            <w:shd w:val="clear" w:color="auto" w:fill="auto"/>
            <w:vAlign w:val="center"/>
          </w:tcPr>
          <w:p w14:paraId="3356FE5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761D79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14EC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48E6C39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87" w:type="pct"/>
            <w:vMerge w:val="restart"/>
            <w:shd w:val="clear" w:color="auto" w:fill="auto"/>
            <w:vAlign w:val="center"/>
          </w:tcPr>
          <w:p w14:paraId="300DA2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lang w:val="en-US" w:eastAsia="zh-CN"/>
              </w:rPr>
              <w:t>国产化软件采购</w:t>
            </w:r>
          </w:p>
        </w:tc>
        <w:tc>
          <w:tcPr>
            <w:tcW w:w="490" w:type="pct"/>
            <w:shd w:val="clear" w:color="auto" w:fill="auto"/>
            <w:vAlign w:val="center"/>
          </w:tcPr>
          <w:p w14:paraId="205EB8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国产化操作系统</w:t>
            </w:r>
          </w:p>
        </w:tc>
        <w:tc>
          <w:tcPr>
            <w:tcW w:w="3191" w:type="pct"/>
            <w:shd w:val="clear" w:color="auto" w:fill="auto"/>
            <w:vAlign w:val="center"/>
          </w:tcPr>
          <w:p w14:paraId="0D31DC9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操作系统产品符合中国信息安全测评中心的安全可靠测评结果，需提供测评公告链接和截图。</w:t>
            </w:r>
          </w:p>
          <w:p w14:paraId="51791329">
            <w:pPr>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r>
              <w:rPr>
                <w:rFonts w:hint="eastAsia" w:ascii="宋体" w:hAnsi="宋体" w:eastAsia="宋体" w:cs="宋体"/>
                <w:sz w:val="21"/>
                <w:szCs w:val="21"/>
                <w:lang w:val="en-US" w:eastAsia="zh-CN"/>
              </w:rPr>
              <w:t>2、符合《操作系统政府采购需求标准（2023年版）》的要求</w:t>
            </w:r>
          </w:p>
        </w:tc>
        <w:tc>
          <w:tcPr>
            <w:tcW w:w="305" w:type="pct"/>
            <w:shd w:val="clear" w:color="auto" w:fill="auto"/>
            <w:vAlign w:val="center"/>
          </w:tcPr>
          <w:p w14:paraId="6D383E4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278" w:type="pct"/>
            <w:shd w:val="clear" w:color="auto" w:fill="auto"/>
            <w:vAlign w:val="center"/>
          </w:tcPr>
          <w:p w14:paraId="3DF4A0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40CF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7D5ADCD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87" w:type="pct"/>
            <w:vMerge w:val="continue"/>
            <w:shd w:val="clear" w:color="auto" w:fill="auto"/>
            <w:vAlign w:val="center"/>
          </w:tcPr>
          <w:p w14:paraId="609949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highlight w:val="yellow"/>
                <w:lang w:val="en-US" w:eastAsia="zh-CN"/>
              </w:rPr>
            </w:pPr>
          </w:p>
        </w:tc>
        <w:tc>
          <w:tcPr>
            <w:tcW w:w="490" w:type="pct"/>
            <w:shd w:val="clear" w:color="auto" w:fill="auto"/>
            <w:vAlign w:val="center"/>
          </w:tcPr>
          <w:p w14:paraId="58DC2A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国产化数据库</w:t>
            </w:r>
          </w:p>
        </w:tc>
        <w:tc>
          <w:tcPr>
            <w:tcW w:w="3191" w:type="pct"/>
            <w:shd w:val="clear" w:color="auto" w:fill="auto"/>
            <w:vAlign w:val="center"/>
          </w:tcPr>
          <w:p w14:paraId="32C9A628">
            <w:pPr>
              <w:pStyle w:val="97"/>
              <w:keepNext w:val="0"/>
              <w:keepLines w:val="0"/>
              <w:pageBreakBefore w:val="0"/>
              <w:numPr>
                <w:ilvl w:val="0"/>
                <w:numId w:val="0"/>
              </w:numPr>
              <w:suppressLineNumbers w:val="0"/>
              <w:kinsoku/>
              <w:wordWrap/>
              <w:overflowPunct/>
              <w:topLinePunct w:val="0"/>
              <w:bidi w:val="0"/>
              <w:snapToGrid w:val="0"/>
              <w:spacing w:before="0" w:beforeAutospacing="0" w:after="0" w:afterAutospacing="0" w:line="360" w:lineRule="auto"/>
              <w:ind w:left="0" w:leftChars="0" w:right="0" w:firstLine="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lang w:val="en-US" w:eastAsia="zh-CN"/>
              </w:rPr>
              <w:t>数据库</w:t>
            </w:r>
            <w:r>
              <w:rPr>
                <w:rFonts w:hint="eastAsia" w:ascii="宋体" w:hAnsi="宋体" w:eastAsia="宋体" w:cs="宋体"/>
                <w:sz w:val="21"/>
                <w:szCs w:val="21"/>
              </w:rPr>
              <w:t>产品符合中国信息安全测评中心的安全可靠测评结果，需提供测评公告链接和截图。</w:t>
            </w:r>
          </w:p>
          <w:p w14:paraId="693B85A9">
            <w:pPr>
              <w:pStyle w:val="97"/>
              <w:keepNext w:val="0"/>
              <w:keepLines w:val="0"/>
              <w:pageBreakBefore w:val="0"/>
              <w:numPr>
                <w:ilvl w:val="0"/>
                <w:numId w:val="0"/>
              </w:numPr>
              <w:suppressLineNumbers w:val="0"/>
              <w:kinsoku/>
              <w:wordWrap/>
              <w:overflowPunct/>
              <w:topLinePunct w:val="0"/>
              <w:bidi w:val="0"/>
              <w:snapToGrid w:val="0"/>
              <w:spacing w:before="0" w:beforeAutospacing="0" w:after="0" w:afterAutospacing="0" w:line="360" w:lineRule="auto"/>
              <w:ind w:left="0" w:leftChars="0" w:right="0" w:rightChars="0" w:firstLine="0" w:firstLineChars="0"/>
              <w:rPr>
                <w:rFonts w:hint="eastAsia" w:ascii="宋体" w:hAnsi="宋体" w:eastAsia="宋体" w:cs="宋体"/>
                <w:kern w:val="0"/>
                <w:sz w:val="21"/>
                <w:szCs w:val="21"/>
                <w:lang w:val="en-US" w:eastAsia="zh-CN" w:bidi="ar-SA"/>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lang w:val="en-US" w:eastAsia="zh-CN"/>
              </w:rPr>
              <w:t>、符合数据库政府采购需求标准（2023年版）的要求</w:t>
            </w:r>
          </w:p>
        </w:tc>
        <w:tc>
          <w:tcPr>
            <w:tcW w:w="305" w:type="pct"/>
            <w:shd w:val="clear" w:color="auto" w:fill="auto"/>
            <w:vAlign w:val="center"/>
          </w:tcPr>
          <w:p w14:paraId="450D5E6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749229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362B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46" w:type="pct"/>
            <w:shd w:val="clear" w:color="auto" w:fill="auto"/>
            <w:vAlign w:val="center"/>
          </w:tcPr>
          <w:p w14:paraId="2B2776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w:t>
            </w:r>
          </w:p>
        </w:tc>
        <w:tc>
          <w:tcPr>
            <w:tcW w:w="4553" w:type="pct"/>
            <w:gridSpan w:val="5"/>
            <w:shd w:val="clear" w:color="auto" w:fill="auto"/>
            <w:vAlign w:val="center"/>
          </w:tcPr>
          <w:p w14:paraId="742093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岱山县机关内部“最多跑一次”平台</w:t>
            </w:r>
          </w:p>
        </w:tc>
      </w:tr>
      <w:tr w14:paraId="2AE3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28654E5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777" w:type="pct"/>
            <w:gridSpan w:val="2"/>
            <w:shd w:val="clear" w:color="auto" w:fill="auto"/>
            <w:vAlign w:val="center"/>
          </w:tcPr>
          <w:p w14:paraId="2D2C5C7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highlight w:val="yellow"/>
                <w:lang w:val="en-US" w:eastAsia="zh-CN"/>
              </w:rPr>
            </w:pPr>
            <w:r>
              <w:rPr>
                <w:rFonts w:hint="eastAsia" w:ascii="宋体" w:hAnsi="宋体" w:eastAsia="宋体" w:cs="宋体"/>
                <w:i w:val="0"/>
                <w:iCs w:val="0"/>
                <w:color w:val="000000"/>
                <w:kern w:val="0"/>
                <w:sz w:val="21"/>
                <w:szCs w:val="21"/>
                <w:u w:val="none"/>
                <w:lang w:val="en-US" w:eastAsia="zh-CN" w:bidi="ar"/>
              </w:rPr>
              <w:t>服务平台升级</w:t>
            </w:r>
          </w:p>
        </w:tc>
        <w:tc>
          <w:tcPr>
            <w:tcW w:w="3191" w:type="pct"/>
            <w:shd w:val="clear" w:color="auto" w:fill="auto"/>
            <w:vAlign w:val="center"/>
          </w:tcPr>
          <w:p w14:paraId="41E57B21">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1、事项登记功能升级、手机号码自动绑定功能、附件预览功能升级、电子签章升级。</w:t>
            </w:r>
          </w:p>
          <w:p w14:paraId="24054160">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2、数据修复功能新增、反馈材料功能新增、强制办结功能新增、用户指南模块功能新增、单位信息模块新增、接口测试模块、系统管理功能新增。</w:t>
            </w:r>
          </w:p>
        </w:tc>
        <w:tc>
          <w:tcPr>
            <w:tcW w:w="305" w:type="pct"/>
            <w:shd w:val="clear" w:color="auto" w:fill="auto"/>
            <w:vAlign w:val="center"/>
          </w:tcPr>
          <w:p w14:paraId="0B767DA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580FC9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16AC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46" w:type="pct"/>
            <w:shd w:val="clear" w:color="auto" w:fill="auto"/>
            <w:vAlign w:val="center"/>
          </w:tcPr>
          <w:p w14:paraId="24317E5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777" w:type="pct"/>
            <w:gridSpan w:val="2"/>
            <w:shd w:val="clear" w:color="auto" w:fill="auto"/>
            <w:vAlign w:val="center"/>
          </w:tcPr>
          <w:p w14:paraId="33F013F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highlight w:val="yellow"/>
                <w:lang w:val="en-US" w:eastAsia="zh-CN"/>
              </w:rPr>
            </w:pPr>
            <w:r>
              <w:rPr>
                <w:rFonts w:hint="eastAsia" w:ascii="宋体" w:hAnsi="宋体" w:eastAsia="宋体" w:cs="宋体"/>
                <w:i w:val="0"/>
                <w:iCs w:val="0"/>
                <w:color w:val="000000"/>
                <w:kern w:val="0"/>
                <w:sz w:val="21"/>
                <w:szCs w:val="21"/>
                <w:u w:val="none"/>
                <w:lang w:val="en-US" w:eastAsia="zh-CN" w:bidi="ar"/>
              </w:rPr>
              <w:t>应用支撑服务升级</w:t>
            </w:r>
          </w:p>
        </w:tc>
        <w:tc>
          <w:tcPr>
            <w:tcW w:w="3191" w:type="pct"/>
            <w:shd w:val="clear" w:color="auto" w:fill="auto"/>
            <w:vAlign w:val="center"/>
          </w:tcPr>
          <w:p w14:paraId="75A464B7">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表单自定义升级、统一流程服务建设、全文检索服务建设、报表服务建设</w:t>
            </w:r>
          </w:p>
        </w:tc>
        <w:tc>
          <w:tcPr>
            <w:tcW w:w="305" w:type="pct"/>
            <w:shd w:val="clear" w:color="auto" w:fill="auto"/>
            <w:vAlign w:val="center"/>
          </w:tcPr>
          <w:p w14:paraId="55EC848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416E55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2906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46" w:type="pct"/>
            <w:shd w:val="clear" w:color="auto" w:fill="auto"/>
            <w:vAlign w:val="center"/>
          </w:tcPr>
          <w:p w14:paraId="408BE30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777" w:type="pct"/>
            <w:gridSpan w:val="2"/>
            <w:vMerge w:val="restart"/>
            <w:shd w:val="clear" w:color="auto" w:fill="auto"/>
            <w:vAlign w:val="center"/>
          </w:tcPr>
          <w:p w14:paraId="71F7096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highlight w:val="yellow"/>
                <w:lang w:val="en-US" w:eastAsia="zh-CN"/>
              </w:rPr>
            </w:pPr>
            <w:r>
              <w:rPr>
                <w:rFonts w:hint="eastAsia" w:ascii="宋体" w:hAnsi="宋体" w:eastAsia="宋体" w:cs="宋体"/>
                <w:i w:val="0"/>
                <w:iCs w:val="0"/>
                <w:color w:val="000000"/>
                <w:kern w:val="0"/>
                <w:sz w:val="21"/>
                <w:szCs w:val="21"/>
                <w:u w:val="none"/>
                <w:lang w:val="en-US" w:eastAsia="zh-CN" w:bidi="ar"/>
              </w:rPr>
              <w:t>机关内部“最多跑一次”平台实施配置</w:t>
            </w:r>
          </w:p>
        </w:tc>
        <w:tc>
          <w:tcPr>
            <w:tcW w:w="3191" w:type="pct"/>
            <w:shd w:val="clear" w:color="auto" w:fill="auto"/>
            <w:vAlign w:val="center"/>
          </w:tcPr>
          <w:p w14:paraId="44E0E4EF">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通过升级底层平台（PC端＋移动端），优化完善分发审批的相关信息，包括办件信息、表单、附件材料等信息。相关单位接收相关信息进行审核、审批、电子签章等环节，审核结果反馈给业务发起部门，实现全流程网上办理。（包括在新平台上重新配置现有的事项和流程，统计事项数量334条）</w:t>
            </w:r>
          </w:p>
        </w:tc>
        <w:tc>
          <w:tcPr>
            <w:tcW w:w="305" w:type="pct"/>
            <w:shd w:val="clear" w:color="auto" w:fill="auto"/>
            <w:vAlign w:val="center"/>
          </w:tcPr>
          <w:p w14:paraId="0645A19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51ABFE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2B70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46" w:type="pct"/>
            <w:shd w:val="clear" w:color="auto" w:fill="auto"/>
            <w:vAlign w:val="center"/>
          </w:tcPr>
          <w:p w14:paraId="72B4C87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777" w:type="pct"/>
            <w:gridSpan w:val="2"/>
            <w:vMerge w:val="continue"/>
            <w:shd w:val="clear" w:color="auto" w:fill="auto"/>
            <w:vAlign w:val="center"/>
          </w:tcPr>
          <w:p w14:paraId="7A22FBA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yellow"/>
                <w:lang w:val="en-US" w:eastAsia="zh-CN"/>
              </w:rPr>
            </w:pPr>
          </w:p>
        </w:tc>
        <w:tc>
          <w:tcPr>
            <w:tcW w:w="3191" w:type="pct"/>
            <w:shd w:val="clear" w:color="auto" w:fill="auto"/>
            <w:vAlign w:val="center"/>
          </w:tcPr>
          <w:p w14:paraId="3891B402">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应用集成（浙政钉组织用户对接、扫码登陆对接、电子签章系统集成等）</w:t>
            </w:r>
          </w:p>
        </w:tc>
        <w:tc>
          <w:tcPr>
            <w:tcW w:w="305" w:type="pct"/>
            <w:shd w:val="clear" w:color="auto" w:fill="auto"/>
            <w:vAlign w:val="center"/>
          </w:tcPr>
          <w:p w14:paraId="23A2651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6600FA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09C6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189BFA6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777" w:type="pct"/>
            <w:gridSpan w:val="2"/>
            <w:shd w:val="clear" w:color="auto" w:fill="auto"/>
            <w:vAlign w:val="center"/>
          </w:tcPr>
          <w:p w14:paraId="3FD8E55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highlight w:val="yellow"/>
                <w:lang w:val="en-US" w:eastAsia="zh-CN"/>
              </w:rPr>
            </w:pPr>
            <w:r>
              <w:rPr>
                <w:rFonts w:hint="eastAsia" w:ascii="宋体" w:hAnsi="宋体" w:eastAsia="宋体" w:cs="宋体"/>
                <w:i w:val="0"/>
                <w:iCs w:val="0"/>
                <w:color w:val="000000"/>
                <w:kern w:val="0"/>
                <w:sz w:val="21"/>
                <w:szCs w:val="21"/>
                <w:u w:val="none"/>
                <w:lang w:val="en-US" w:eastAsia="zh-CN" w:bidi="ar"/>
              </w:rPr>
              <w:t>平台适配信创环境改造</w:t>
            </w:r>
          </w:p>
        </w:tc>
        <w:tc>
          <w:tcPr>
            <w:tcW w:w="3191" w:type="pct"/>
            <w:shd w:val="clear" w:color="auto" w:fill="auto"/>
            <w:vAlign w:val="center"/>
          </w:tcPr>
          <w:p w14:paraId="63096FB0">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对信创服务器、信创终端计算机、操作系统、数据库、浏览器等系统基础软硬件环境改造</w:t>
            </w:r>
          </w:p>
        </w:tc>
        <w:tc>
          <w:tcPr>
            <w:tcW w:w="305" w:type="pct"/>
            <w:shd w:val="clear" w:color="auto" w:fill="auto"/>
            <w:vAlign w:val="center"/>
          </w:tcPr>
          <w:p w14:paraId="3E88B01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09D563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4DE5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53CBDB1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777" w:type="pct"/>
            <w:gridSpan w:val="2"/>
            <w:shd w:val="clear" w:color="auto" w:fill="auto"/>
            <w:vAlign w:val="center"/>
          </w:tcPr>
          <w:p w14:paraId="1AF6D8F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highlight w:val="yellow"/>
                <w:lang w:val="en-US" w:eastAsia="zh-CN"/>
              </w:rPr>
            </w:pPr>
            <w:r>
              <w:rPr>
                <w:rFonts w:hint="eastAsia" w:ascii="宋体" w:hAnsi="宋体" w:eastAsia="宋体" w:cs="宋体"/>
                <w:i w:val="0"/>
                <w:iCs w:val="0"/>
                <w:color w:val="000000"/>
                <w:kern w:val="0"/>
                <w:sz w:val="21"/>
                <w:szCs w:val="21"/>
                <w:u w:val="none"/>
                <w:lang w:val="en-US" w:eastAsia="zh-CN" w:bidi="ar"/>
              </w:rPr>
              <w:t>数据迁移</w:t>
            </w:r>
          </w:p>
        </w:tc>
        <w:tc>
          <w:tcPr>
            <w:tcW w:w="3191" w:type="pct"/>
            <w:shd w:val="clear" w:color="auto" w:fill="auto"/>
            <w:vAlign w:val="center"/>
          </w:tcPr>
          <w:p w14:paraId="6AAE24C3">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实现老系统历史数据迁移</w:t>
            </w:r>
          </w:p>
        </w:tc>
        <w:tc>
          <w:tcPr>
            <w:tcW w:w="305" w:type="pct"/>
            <w:shd w:val="clear" w:color="auto" w:fill="auto"/>
            <w:vAlign w:val="center"/>
          </w:tcPr>
          <w:p w14:paraId="6266908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5DA337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5954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55D06F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87" w:type="pct"/>
            <w:vMerge w:val="restart"/>
            <w:shd w:val="clear" w:color="auto" w:fill="auto"/>
            <w:vAlign w:val="center"/>
          </w:tcPr>
          <w:p w14:paraId="19837B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lang w:val="en-US" w:eastAsia="zh-CN"/>
              </w:rPr>
              <w:t>国产化软件采购</w:t>
            </w:r>
          </w:p>
        </w:tc>
        <w:tc>
          <w:tcPr>
            <w:tcW w:w="490" w:type="pct"/>
            <w:shd w:val="clear" w:color="auto" w:fill="auto"/>
            <w:vAlign w:val="center"/>
          </w:tcPr>
          <w:p w14:paraId="0BBB3F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国产化操作系统</w:t>
            </w:r>
          </w:p>
        </w:tc>
        <w:tc>
          <w:tcPr>
            <w:tcW w:w="3191" w:type="pct"/>
            <w:shd w:val="clear" w:color="auto" w:fill="auto"/>
            <w:vAlign w:val="center"/>
          </w:tcPr>
          <w:p w14:paraId="14B362A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操作系统产品符合中国信息安全测评中心的安全可靠测评结果，需提供测评公告链接和截图。</w:t>
            </w:r>
          </w:p>
          <w:p w14:paraId="4B90F579">
            <w:pPr>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r>
              <w:rPr>
                <w:rFonts w:hint="eastAsia" w:ascii="宋体" w:hAnsi="宋体" w:eastAsia="宋体" w:cs="宋体"/>
                <w:sz w:val="21"/>
                <w:szCs w:val="21"/>
                <w:lang w:val="en-US" w:eastAsia="zh-CN"/>
              </w:rPr>
              <w:t>2、符合《操作系统政府采购需求标准（2023年版）》的要求</w:t>
            </w:r>
          </w:p>
        </w:tc>
        <w:tc>
          <w:tcPr>
            <w:tcW w:w="305" w:type="pct"/>
            <w:shd w:val="clear" w:color="auto" w:fill="auto"/>
            <w:vAlign w:val="center"/>
          </w:tcPr>
          <w:p w14:paraId="3FC0BC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78" w:type="pct"/>
            <w:shd w:val="clear" w:color="auto" w:fill="auto"/>
            <w:vAlign w:val="center"/>
          </w:tcPr>
          <w:p w14:paraId="3D4B70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7AF3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029684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87" w:type="pct"/>
            <w:vMerge w:val="continue"/>
            <w:shd w:val="clear" w:color="auto" w:fill="auto"/>
            <w:vAlign w:val="center"/>
          </w:tcPr>
          <w:p w14:paraId="4B7A6E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highlight w:val="yellow"/>
                <w:lang w:val="en-US" w:eastAsia="zh-CN"/>
              </w:rPr>
            </w:pPr>
          </w:p>
        </w:tc>
        <w:tc>
          <w:tcPr>
            <w:tcW w:w="490" w:type="pct"/>
            <w:shd w:val="clear" w:color="auto" w:fill="auto"/>
            <w:vAlign w:val="center"/>
          </w:tcPr>
          <w:p w14:paraId="78056C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国产化数据库</w:t>
            </w:r>
          </w:p>
        </w:tc>
        <w:tc>
          <w:tcPr>
            <w:tcW w:w="3191" w:type="pct"/>
            <w:shd w:val="clear" w:color="auto" w:fill="auto"/>
            <w:vAlign w:val="center"/>
          </w:tcPr>
          <w:p w14:paraId="72A26D1E">
            <w:pPr>
              <w:pStyle w:val="97"/>
              <w:keepNext w:val="0"/>
              <w:keepLines w:val="0"/>
              <w:pageBreakBefore w:val="0"/>
              <w:numPr>
                <w:ilvl w:val="0"/>
                <w:numId w:val="0"/>
              </w:numPr>
              <w:suppressLineNumbers w:val="0"/>
              <w:kinsoku/>
              <w:wordWrap/>
              <w:overflowPunct/>
              <w:topLinePunct w:val="0"/>
              <w:bidi w:val="0"/>
              <w:snapToGrid w:val="0"/>
              <w:spacing w:before="0" w:beforeAutospacing="0" w:after="0" w:afterAutospacing="0" w:line="360" w:lineRule="auto"/>
              <w:ind w:left="0" w:leftChars="0" w:right="0" w:firstLine="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lang w:val="en-US" w:eastAsia="zh-CN"/>
              </w:rPr>
              <w:t>数据库</w:t>
            </w:r>
            <w:r>
              <w:rPr>
                <w:rFonts w:hint="eastAsia" w:ascii="宋体" w:hAnsi="宋体" w:eastAsia="宋体" w:cs="宋体"/>
                <w:sz w:val="21"/>
                <w:szCs w:val="21"/>
              </w:rPr>
              <w:t>产品符合中国信息安全测评中心的安全可靠测评结果，需提供测评公告链接和截图。</w:t>
            </w:r>
          </w:p>
          <w:p w14:paraId="290A439B">
            <w:pPr>
              <w:pStyle w:val="97"/>
              <w:keepNext w:val="0"/>
              <w:keepLines w:val="0"/>
              <w:pageBreakBefore w:val="0"/>
              <w:numPr>
                <w:ilvl w:val="0"/>
                <w:numId w:val="0"/>
              </w:numPr>
              <w:suppressLineNumbers w:val="0"/>
              <w:kinsoku/>
              <w:wordWrap/>
              <w:overflowPunct/>
              <w:topLinePunct w:val="0"/>
              <w:bidi w:val="0"/>
              <w:snapToGrid w:val="0"/>
              <w:spacing w:before="0" w:beforeAutospacing="0" w:after="0" w:afterAutospacing="0" w:line="360" w:lineRule="auto"/>
              <w:ind w:left="0" w:leftChars="0" w:right="0" w:rightChars="0" w:firstLine="0" w:firstLineChars="0"/>
              <w:rPr>
                <w:rFonts w:hint="eastAsia" w:ascii="宋体" w:hAnsi="宋体" w:eastAsia="宋体" w:cs="宋体"/>
                <w:kern w:val="0"/>
                <w:sz w:val="21"/>
                <w:szCs w:val="21"/>
                <w:lang w:val="en-US" w:eastAsia="zh-CN" w:bidi="ar-SA"/>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lang w:val="en-US" w:eastAsia="zh-CN"/>
              </w:rPr>
              <w:t>、符合数据库政府采购需求标准（2023年版）的要求</w:t>
            </w:r>
          </w:p>
        </w:tc>
        <w:tc>
          <w:tcPr>
            <w:tcW w:w="305" w:type="pct"/>
            <w:shd w:val="clear" w:color="auto" w:fill="auto"/>
            <w:vAlign w:val="center"/>
          </w:tcPr>
          <w:p w14:paraId="61D2668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78" w:type="pct"/>
            <w:shd w:val="clear" w:color="auto" w:fill="auto"/>
            <w:vAlign w:val="center"/>
          </w:tcPr>
          <w:p w14:paraId="10C4CC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3D27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4E310F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w:t>
            </w:r>
          </w:p>
        </w:tc>
        <w:tc>
          <w:tcPr>
            <w:tcW w:w="4553" w:type="pct"/>
            <w:gridSpan w:val="5"/>
            <w:shd w:val="clear" w:color="auto" w:fill="auto"/>
            <w:vAlign w:val="center"/>
          </w:tcPr>
          <w:p w14:paraId="45DEC6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链路费</w:t>
            </w:r>
          </w:p>
        </w:tc>
      </w:tr>
      <w:tr w14:paraId="0257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pct"/>
            <w:shd w:val="clear" w:color="auto" w:fill="auto"/>
            <w:vAlign w:val="center"/>
          </w:tcPr>
          <w:p w14:paraId="7E19FE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3969" w:type="pct"/>
            <w:gridSpan w:val="3"/>
            <w:shd w:val="clear" w:color="auto" w:fill="auto"/>
            <w:vAlign w:val="center"/>
          </w:tcPr>
          <w:p w14:paraId="31D5AD4B">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一条岱山机房到北蝉机房的千兆专线</w:t>
            </w:r>
          </w:p>
        </w:tc>
        <w:tc>
          <w:tcPr>
            <w:tcW w:w="305" w:type="pct"/>
            <w:shd w:val="clear" w:color="auto" w:fill="auto"/>
            <w:vAlign w:val="center"/>
          </w:tcPr>
          <w:p w14:paraId="2B76B0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78" w:type="pct"/>
            <w:shd w:val="clear" w:color="auto" w:fill="auto"/>
            <w:vAlign w:val="center"/>
          </w:tcPr>
          <w:p w14:paraId="59E5C0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条</w:t>
            </w:r>
          </w:p>
        </w:tc>
      </w:tr>
    </w:tbl>
    <w:p w14:paraId="16107B8C">
      <w:pPr>
        <w:bidi w:val="0"/>
        <w:spacing w:line="360" w:lineRule="auto"/>
        <w:outlineLvl w:val="1"/>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五、项目实施要求</w:t>
      </w:r>
    </w:p>
    <w:p w14:paraId="4701A3EB">
      <w:pPr>
        <w:bidi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1、本项目为信创改造项目，不涉及系统关键功能调整，数据结构与数据资源共享需求与现有系统保持一致，系统运行性能参照原运行性能要求，不得降低。</w:t>
      </w:r>
    </w:p>
    <w:p w14:paraId="314ED059">
      <w:pPr>
        <w:bidi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2、完成针对国产化服务器CPU、操作系统、数据库适配完成后的政务、感知数据的迁移工作，提供稳定高效的数据迁移工具以保障迁移工作的顺利进行。</w:t>
      </w:r>
    </w:p>
    <w:p w14:paraId="1B79B5F3">
      <w:pPr>
        <w:bidi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3、提供全面的数据准确性、一致性验证机制，以确保迁移前后数据不出错、不丢失。并制定完善的迁移方案，以减少迁移工作对业务应用带来的影响。</w:t>
      </w:r>
    </w:p>
    <w:p w14:paraId="3F3C9A1C">
      <w:pPr>
        <w:bidi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4、系统须具备充足的分析和存储能力，提供可靠的计算、存储、网络资源。系统在硬件、网络、软件等方面考虑适当冗余，避免单点故障，保障系统的可靠运行，计算和数据可靠性达99%以上。</w:t>
      </w:r>
    </w:p>
    <w:p w14:paraId="75D43A36">
      <w:pPr>
        <w:bidi w:val="0"/>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5、数据资源应用系统能实现数十个数据源采集和数据流同步实现高速读写速度，按数据的加工等级做原始层、沉淀层、衍生层、立体查询层建立分层的数据模式，满足数据处理能</w:t>
      </w:r>
      <w:r>
        <w:rPr>
          <w:rFonts w:hint="eastAsia" w:ascii="宋体" w:hAnsi="宋体" w:eastAsia="宋体" w:cs="宋体"/>
          <w:b w:val="0"/>
          <w:bCs w:val="0"/>
          <w:sz w:val="21"/>
          <w:szCs w:val="21"/>
          <w:lang w:val="en-US" w:eastAsia="zh-CN"/>
        </w:rPr>
        <w:t>力。</w:t>
      </w:r>
    </w:p>
    <w:p w14:paraId="1B9D82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6、系统配置</w:t>
      </w:r>
      <w:r>
        <w:rPr>
          <w:rFonts w:hint="eastAsia" w:ascii="宋体" w:hAnsi="宋体" w:eastAsia="宋体" w:cs="宋体"/>
          <w:b w:val="0"/>
          <w:bCs w:val="0"/>
          <w:sz w:val="21"/>
          <w:szCs w:val="21"/>
          <w:lang w:eastAsia="zh-CN"/>
        </w:rPr>
        <w:t>建设合理规范，应满足后续方便扩展的需要。当系统数据量和访问量增大而导致系统配置不能满足要求时，可以通过增加服务器配置进行解决，如增加内存、存储等，无需对软件进行调整。</w:t>
      </w:r>
    </w:p>
    <w:p w14:paraId="5F9B45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7、在系</w:t>
      </w:r>
      <w:r>
        <w:rPr>
          <w:rFonts w:hint="eastAsia" w:ascii="宋体" w:hAnsi="宋体" w:eastAsia="宋体" w:cs="宋体"/>
          <w:sz w:val="21"/>
          <w:szCs w:val="21"/>
          <w:lang w:val="en-US" w:eastAsia="zh-CN"/>
        </w:rPr>
        <w:t>统安全性方面应充分考虑整个系统运行的安全策略和机制，可根据不同的业务要求和应用处理需求，设置不同的安全措施。同时具有良好的数据安全保障机制，对数据采取集中管理和存储的模式，数据库结构设计良好，具有迅速的数据检索能力。</w:t>
      </w:r>
    </w:p>
    <w:p w14:paraId="46C4D9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8、系统应具有海量数据存储和管理能力，支持存储设备容量的平滑升级。采用当前行业先进的基于计算机网络的软硬件产品以及模块化的软件设计，从而保证系统在技术上领先。</w:t>
      </w:r>
    </w:p>
    <w:p w14:paraId="0FFB21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9、系统</w:t>
      </w:r>
      <w:r>
        <w:rPr>
          <w:rFonts w:hint="eastAsia" w:ascii="宋体" w:hAnsi="宋体" w:eastAsia="宋体" w:cs="宋体"/>
          <w:color w:val="000000" w:themeColor="text1"/>
          <w:sz w:val="21"/>
          <w:szCs w:val="21"/>
          <w14:textFill>
            <w14:solidFill>
              <w14:schemeClr w14:val="tx1"/>
            </w14:solidFill>
          </w14:textFill>
        </w:rPr>
        <w:t>在设计上完全基于国产化软硬件环境的要求，各个软件模块针对基础硬件、基础软件、应用软件、信息安</w:t>
      </w:r>
      <w:r>
        <w:rPr>
          <w:rFonts w:hint="eastAsia" w:ascii="宋体" w:hAnsi="宋体" w:eastAsia="宋体" w:cs="宋体"/>
          <w:sz w:val="21"/>
          <w:szCs w:val="21"/>
          <w:lang w:val="en-US" w:eastAsia="zh-CN"/>
        </w:rPr>
        <w:t>全层面的设计均满足信创工作要求，在信创环境运行。</w:t>
      </w:r>
    </w:p>
    <w:p w14:paraId="556AFB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10、整个系统的各种软硬件均应符合相关的国家标准的技术规范标准。</w:t>
      </w:r>
    </w:p>
    <w:p w14:paraId="09FFB5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11、软件系统采用国家标准的软件开发、软件测试及验收过程模式，要满足跨平台的要求以及系统的安全要求，提供完整的项目开发、测试过程记录和文档。</w:t>
      </w:r>
    </w:p>
    <w:p w14:paraId="2D7A3A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12、须建立并实施完整的软件工程质量保障体系，具有专职的软件测试组织、人员、工具，并且在项目中能强有力地开展测试工作。</w:t>
      </w:r>
    </w:p>
    <w:p w14:paraId="1BE2D981">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六、项目团队</w:t>
      </w:r>
    </w:p>
    <w:p w14:paraId="2A2903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1、中标人中标后需要在5个工作日内根据投标文件拟派团队成立工作团队，明确一名项目负责人，本项目的项</w:t>
      </w:r>
      <w:r>
        <w:rPr>
          <w:rFonts w:hint="eastAsia" w:ascii="宋体" w:hAnsi="宋体" w:eastAsia="宋体" w:cs="宋体"/>
          <w:b w:val="0"/>
          <w:bCs w:val="0"/>
          <w:sz w:val="21"/>
          <w:szCs w:val="21"/>
          <w:lang w:eastAsia="zh-CN"/>
        </w:rPr>
        <w:t>目负责人在项目验收前不得更换，如更换需向采购人提出书面申请并经其同意方可更换，否则将承担违约责任；本项目的项目组成员在实施</w:t>
      </w:r>
      <w:r>
        <w:rPr>
          <w:rFonts w:hint="eastAsia" w:ascii="宋体" w:hAnsi="宋体" w:eastAsia="宋体" w:cs="宋体"/>
          <w:b w:val="0"/>
          <w:bCs w:val="0"/>
          <w:sz w:val="21"/>
          <w:szCs w:val="21"/>
          <w:lang w:val="en-US" w:eastAsia="zh-CN"/>
        </w:rPr>
        <w:t>前</w:t>
      </w:r>
      <w:r>
        <w:rPr>
          <w:rFonts w:hint="eastAsia" w:ascii="宋体" w:hAnsi="宋体" w:eastAsia="宋体" w:cs="宋体"/>
          <w:b w:val="0"/>
          <w:bCs w:val="0"/>
          <w:sz w:val="21"/>
          <w:szCs w:val="21"/>
          <w:lang w:eastAsia="zh-CN"/>
        </w:rPr>
        <w:t>需向采购人报备，实施期间人员更换比例超过30%要承担违约责任。</w:t>
      </w:r>
    </w:p>
    <w:p w14:paraId="29A6D1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除项目负责人外，项目组须配备专职的实施人员，按照项目实施的要求，配置相应的项目管理、安装设计、测</w:t>
      </w:r>
      <w:r>
        <w:rPr>
          <w:rFonts w:hint="eastAsia" w:ascii="宋体" w:hAnsi="宋体" w:eastAsia="宋体" w:cs="宋体"/>
          <w:b w:val="0"/>
          <w:bCs w:val="0"/>
          <w:sz w:val="21"/>
          <w:szCs w:val="21"/>
          <w:lang w:val="en-US" w:eastAsia="zh-CN"/>
        </w:rPr>
        <w:t>试、集成、培训、质量保证等人员。</w:t>
      </w:r>
    </w:p>
    <w:p w14:paraId="1D0327FF">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七、培训要求</w:t>
      </w:r>
    </w:p>
    <w:p w14:paraId="5155CA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1、中标人应向采购人提供不少于3次的系统操作、维护相关的技术培训。每次培训不少于2课时。培训的时间和地点</w:t>
      </w:r>
      <w:r>
        <w:rPr>
          <w:rFonts w:hint="eastAsia" w:ascii="宋体" w:hAnsi="宋体" w:eastAsia="宋体" w:cs="宋体"/>
          <w:sz w:val="21"/>
          <w:szCs w:val="21"/>
          <w:lang w:val="en-US" w:eastAsia="zh-CN"/>
        </w:rPr>
        <w:t>由双方协商决定，采购人需安排专人配合讲师开展培训工作。培训涉及的场地、人员餐宿等由采购人负责解决并负担相应费用。</w:t>
      </w:r>
    </w:p>
    <w:p w14:paraId="152F20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2、中标人需根据不同的培训对象制定不同的培训内容，具体对象分为：1）领导层；2）业务承办层；3）系统管理员；4）子系统操作员；5）参与的相关业务部门。</w:t>
      </w:r>
    </w:p>
    <w:p w14:paraId="3195B0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3、培训方式采用现场授课+上机辅导为主，远程培训、热线支持为辅。</w:t>
      </w:r>
    </w:p>
    <w:p w14:paraId="185AEB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培训需在固定时间段、固定地点、分批次培训。部分不能参加现场培训的人员，可以通过远程视频会议方式参加培训。现场讲解配有文档投影、系统线上实操等，充分运用多媒体手段促进培训质量。除现场集中培训之外，也可将培训内容制作成视频文件或多媒体课件，由操作人员在网上在线学习或下载后离线自学。</w:t>
      </w:r>
    </w:p>
    <w:p w14:paraId="56A210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en-US" w:eastAsia="zh-CN"/>
        </w:rPr>
        <w:t>5、培训内容分为理论知识培训和实践技能培</w:t>
      </w:r>
      <w:r>
        <w:rPr>
          <w:rFonts w:hint="eastAsia" w:ascii="宋体" w:hAnsi="宋体" w:eastAsia="宋体" w:cs="宋体"/>
          <w:color w:val="000000" w:themeColor="text1"/>
          <w:sz w:val="21"/>
          <w:szCs w:val="21"/>
          <w14:textFill>
            <w14:solidFill>
              <w14:schemeClr w14:val="tx1"/>
            </w14:solidFill>
          </w14:textFill>
        </w:rPr>
        <w:t>训两个方面。只有在充分掌握了相应的理论基础上才能进入实际操作步骤的培训，使理论培训的内容得到巩固和发挥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两种培训</w:t>
      </w:r>
      <w:r>
        <w:rPr>
          <w:rFonts w:hint="eastAsia" w:ascii="宋体" w:hAnsi="宋体" w:eastAsia="宋体" w:cs="宋体"/>
          <w:color w:val="000000" w:themeColor="text1"/>
          <w:sz w:val="21"/>
          <w:szCs w:val="21"/>
          <w:lang w:val="en-US" w:eastAsia="zh-CN"/>
          <w14:textFill>
            <w14:solidFill>
              <w14:schemeClr w14:val="tx1"/>
            </w14:solidFill>
          </w14:textFill>
        </w:rPr>
        <w:t>内容在</w:t>
      </w:r>
      <w:r>
        <w:rPr>
          <w:rFonts w:hint="eastAsia" w:ascii="宋体" w:hAnsi="宋体" w:eastAsia="宋体" w:cs="宋体"/>
          <w:color w:val="000000" w:themeColor="text1"/>
          <w:sz w:val="21"/>
          <w:szCs w:val="21"/>
          <w14:textFill>
            <w14:solidFill>
              <w14:schemeClr w14:val="tx1"/>
            </w14:solidFill>
          </w14:textFill>
        </w:rPr>
        <w:t>每一个过程中密切联系在一起并达到相辅相成</w:t>
      </w:r>
      <w:r>
        <w:rPr>
          <w:rFonts w:hint="eastAsia" w:ascii="宋体" w:hAnsi="宋体" w:eastAsia="宋体" w:cs="宋体"/>
          <w:color w:val="000000" w:themeColor="text1"/>
          <w:sz w:val="21"/>
          <w:szCs w:val="21"/>
          <w:lang w:val="en-US" w:eastAsia="zh-CN"/>
          <w14:textFill>
            <w14:solidFill>
              <w14:schemeClr w14:val="tx1"/>
            </w14:solidFill>
          </w14:textFill>
        </w:rPr>
        <w:t>的作用</w:t>
      </w:r>
      <w:r>
        <w:rPr>
          <w:rFonts w:hint="eastAsia" w:ascii="宋体" w:hAnsi="宋体" w:eastAsia="宋体" w:cs="宋体"/>
          <w:color w:val="000000" w:themeColor="text1"/>
          <w:sz w:val="21"/>
          <w:szCs w:val="21"/>
          <w14:textFill>
            <w14:solidFill>
              <w14:schemeClr w14:val="tx1"/>
            </w14:solidFill>
          </w14:textFill>
        </w:rPr>
        <w:t>。</w:t>
      </w:r>
    </w:p>
    <w:p w14:paraId="23550344">
      <w:pPr>
        <w:spacing w:line="360" w:lineRule="auto"/>
        <w:ind w:firstLine="420" w:firstLineChars="200"/>
        <w:rPr>
          <w:rStyle w:val="69"/>
          <w:rFonts w:hint="eastAsia" w:ascii="宋体" w:hAnsi="宋体" w:eastAsia="宋体" w:cs="宋体"/>
          <w:sz w:val="21"/>
          <w:szCs w:val="21"/>
        </w:rPr>
      </w:pPr>
      <w:r>
        <w:rPr>
          <w:rStyle w:val="69"/>
          <w:rFonts w:hint="eastAsia" w:ascii="宋体" w:hAnsi="宋体" w:eastAsia="宋体" w:cs="宋体"/>
          <w:sz w:val="21"/>
          <w:szCs w:val="21"/>
          <w:lang w:val="en-US" w:eastAsia="zh-CN"/>
        </w:rPr>
        <w:t>6、</w:t>
      </w:r>
      <w:r>
        <w:rPr>
          <w:rStyle w:val="69"/>
          <w:rFonts w:hint="eastAsia" w:ascii="宋体" w:hAnsi="宋体" w:eastAsia="宋体" w:cs="宋体"/>
          <w:sz w:val="21"/>
          <w:szCs w:val="21"/>
        </w:rPr>
        <w:t>培训工作须在合同生效之后</w:t>
      </w:r>
      <w:r>
        <w:rPr>
          <w:rStyle w:val="69"/>
          <w:rFonts w:hint="eastAsia" w:ascii="宋体" w:hAnsi="宋体" w:eastAsia="宋体" w:cs="宋体"/>
          <w:sz w:val="21"/>
          <w:szCs w:val="21"/>
          <w:lang w:val="en-US" w:eastAsia="zh-CN"/>
        </w:rPr>
        <w:t>项目</w:t>
      </w:r>
      <w:r>
        <w:rPr>
          <w:rStyle w:val="69"/>
          <w:rFonts w:hint="eastAsia" w:ascii="宋体" w:hAnsi="宋体" w:eastAsia="宋体" w:cs="宋体"/>
          <w:sz w:val="21"/>
          <w:szCs w:val="21"/>
        </w:rPr>
        <w:t>试运行之前安排。</w:t>
      </w:r>
    </w:p>
    <w:p w14:paraId="446B6D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Style w:val="69"/>
          <w:rFonts w:hint="eastAsia" w:ascii="宋体" w:hAnsi="宋体" w:eastAsia="宋体" w:cs="宋体"/>
          <w:sz w:val="21"/>
          <w:szCs w:val="21"/>
          <w:lang w:val="en-US" w:eastAsia="zh-CN"/>
        </w:rPr>
        <w:t>7、</w:t>
      </w:r>
      <w:r>
        <w:rPr>
          <w:rStyle w:val="69"/>
          <w:rFonts w:hint="eastAsia" w:ascii="宋体" w:hAnsi="宋体" w:eastAsia="宋体" w:cs="宋体"/>
          <w:sz w:val="21"/>
          <w:szCs w:val="21"/>
        </w:rPr>
        <w:t>所有培训费用（含培</w:t>
      </w:r>
      <w:r>
        <w:rPr>
          <w:rFonts w:hint="eastAsia" w:ascii="宋体" w:hAnsi="宋体" w:eastAsia="宋体" w:cs="宋体"/>
          <w:color w:val="000000" w:themeColor="text1"/>
          <w:sz w:val="21"/>
          <w:szCs w:val="21"/>
          <w14:textFill>
            <w14:solidFill>
              <w14:schemeClr w14:val="tx1"/>
            </w14:solidFill>
          </w14:textFill>
        </w:rPr>
        <w:t>训教材费），已包括在投标报价中。</w:t>
      </w:r>
    </w:p>
    <w:p w14:paraId="3FC8FDC4">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八、售后服务要求</w:t>
      </w:r>
    </w:p>
    <w:p w14:paraId="47F39D36">
      <w:pPr>
        <w:adjustRightInd w:val="0"/>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运维期要求：本项目要求中标人提供不少于</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年的</w:t>
      </w:r>
      <w:r>
        <w:rPr>
          <w:rFonts w:hint="eastAsia" w:ascii="宋体" w:hAnsi="宋体" w:eastAsia="宋体" w:cs="宋体"/>
          <w:sz w:val="21"/>
          <w:szCs w:val="21"/>
        </w:rPr>
        <w:t>软件免费运维期。（项目终验通过之日起计算）</w:t>
      </w:r>
    </w:p>
    <w:p w14:paraId="46FCB15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color w:val="000000"/>
          <w:sz w:val="21"/>
          <w:szCs w:val="21"/>
        </w:rPr>
        <w:t>在免费运维期内由于系统本身质量原因造成的任何问题，</w:t>
      </w:r>
      <w:r>
        <w:rPr>
          <w:rFonts w:hint="eastAsia" w:ascii="宋体" w:hAnsi="宋体" w:eastAsia="宋体" w:cs="宋体"/>
          <w:sz w:val="21"/>
          <w:szCs w:val="21"/>
        </w:rPr>
        <w:t>中标</w:t>
      </w:r>
      <w:r>
        <w:rPr>
          <w:rFonts w:hint="eastAsia" w:ascii="宋体" w:hAnsi="宋体" w:eastAsia="宋体" w:cs="宋体"/>
          <w:color w:val="000000"/>
          <w:sz w:val="21"/>
          <w:szCs w:val="21"/>
        </w:rPr>
        <w:t>人须免费负责修复。</w:t>
      </w:r>
    </w:p>
    <w:p w14:paraId="7663651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color w:val="000000"/>
          <w:sz w:val="21"/>
          <w:szCs w:val="21"/>
        </w:rPr>
        <w:t>免费运维期</w:t>
      </w:r>
      <w:r>
        <w:rPr>
          <w:rFonts w:hint="eastAsia" w:ascii="宋体" w:hAnsi="宋体" w:eastAsia="宋体" w:cs="宋体"/>
          <w:sz w:val="21"/>
          <w:szCs w:val="21"/>
        </w:rPr>
        <w:t>自项目正式验收合格之日开始计算。</w:t>
      </w:r>
      <w:r>
        <w:rPr>
          <w:rFonts w:hint="eastAsia" w:ascii="宋体" w:hAnsi="宋体" w:eastAsia="宋体" w:cs="宋体"/>
          <w:color w:val="000000"/>
          <w:sz w:val="21"/>
          <w:szCs w:val="21"/>
        </w:rPr>
        <w:t>免费运维期</w:t>
      </w:r>
      <w:r>
        <w:rPr>
          <w:rFonts w:hint="eastAsia" w:ascii="宋体" w:hAnsi="宋体" w:eastAsia="宋体" w:cs="宋体"/>
          <w:sz w:val="21"/>
          <w:szCs w:val="21"/>
        </w:rPr>
        <w:t>内，在接到</w:t>
      </w:r>
      <w:r>
        <w:rPr>
          <w:rFonts w:hint="eastAsia" w:ascii="宋体" w:hAnsi="宋体" w:eastAsia="宋体" w:cs="宋体"/>
          <w:sz w:val="21"/>
          <w:szCs w:val="21"/>
          <w:lang w:eastAsia="zh-Hans"/>
        </w:rPr>
        <w:t>系统</w:t>
      </w:r>
      <w:r>
        <w:rPr>
          <w:rFonts w:hint="eastAsia" w:ascii="宋体" w:hAnsi="宋体" w:eastAsia="宋体" w:cs="宋体"/>
          <w:sz w:val="21"/>
          <w:szCs w:val="21"/>
        </w:rPr>
        <w:t>故障通知后，中标</w:t>
      </w:r>
      <w:r>
        <w:rPr>
          <w:rFonts w:hint="eastAsia" w:ascii="宋体" w:hAnsi="宋体" w:eastAsia="宋体" w:cs="宋体"/>
          <w:color w:val="000000"/>
          <w:sz w:val="21"/>
          <w:szCs w:val="21"/>
        </w:rPr>
        <w:t>人</w:t>
      </w:r>
      <w:r>
        <w:rPr>
          <w:rFonts w:hint="eastAsia" w:ascii="宋体" w:hAnsi="宋体" w:eastAsia="宋体" w:cs="宋体"/>
          <w:sz w:val="21"/>
          <w:szCs w:val="21"/>
        </w:rPr>
        <w:t>必须在2小时内响应。对于影响正常运行的严重故障，中标</w:t>
      </w:r>
      <w:r>
        <w:rPr>
          <w:rFonts w:hint="eastAsia" w:ascii="宋体" w:hAnsi="宋体" w:eastAsia="宋体" w:cs="宋体"/>
          <w:color w:val="000000"/>
          <w:sz w:val="21"/>
          <w:szCs w:val="21"/>
        </w:rPr>
        <w:t>人</w:t>
      </w:r>
      <w:r>
        <w:rPr>
          <w:rFonts w:hint="eastAsia" w:ascii="宋体" w:hAnsi="宋体" w:eastAsia="宋体" w:cs="宋体"/>
          <w:sz w:val="21"/>
          <w:szCs w:val="21"/>
        </w:rPr>
        <w:t>工程师及其它相关技术人员必须在在接到故障通知后6小时内赶到现场，查找原因，提出解决方案，并工作直至故障修</w:t>
      </w:r>
      <w:r>
        <w:rPr>
          <w:rFonts w:hint="eastAsia" w:ascii="宋体" w:hAnsi="宋体" w:eastAsia="宋体" w:cs="宋体"/>
          <w:sz w:val="21"/>
          <w:szCs w:val="21"/>
          <w:lang w:val="en-US" w:eastAsia="zh-CN"/>
        </w:rPr>
        <w:t>至</w:t>
      </w:r>
      <w:r>
        <w:rPr>
          <w:rFonts w:hint="eastAsia" w:ascii="宋体" w:hAnsi="宋体" w:eastAsia="宋体" w:cs="宋体"/>
          <w:sz w:val="21"/>
          <w:szCs w:val="21"/>
        </w:rPr>
        <w:t>完全恢复正常服务为止，一般要求保证系统在12小时之内修复，</w:t>
      </w:r>
      <w:r>
        <w:rPr>
          <w:rStyle w:val="69"/>
          <w:rFonts w:hint="eastAsia" w:ascii="宋体" w:hAnsi="宋体" w:eastAsia="宋体" w:cs="宋体"/>
          <w:sz w:val="21"/>
          <w:szCs w:val="21"/>
        </w:rPr>
        <w:t>及时提供应急措施，并提出书面解决方案报采购人批准。</w:t>
      </w:r>
    </w:p>
    <w:p w14:paraId="3A3DE83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、为保证平台系统正常、安全地运行，技术支持力量和优良的服务是系统正常、安全运行的保障。中标</w:t>
      </w:r>
      <w:r>
        <w:rPr>
          <w:rFonts w:hint="eastAsia" w:ascii="宋体" w:hAnsi="宋体" w:eastAsia="宋体" w:cs="宋体"/>
          <w:color w:val="000000"/>
          <w:sz w:val="21"/>
          <w:szCs w:val="21"/>
        </w:rPr>
        <w:t>人</w:t>
      </w:r>
      <w:r>
        <w:rPr>
          <w:rFonts w:hint="eastAsia" w:ascii="宋体" w:hAnsi="宋体" w:eastAsia="宋体" w:cs="宋体"/>
          <w:sz w:val="21"/>
          <w:szCs w:val="21"/>
        </w:rPr>
        <w:t>应据此制定系统详细的技术支持与服务方案，包括服务内容、服务方式、服务响应时间、应急措施及组织结构等。</w:t>
      </w:r>
    </w:p>
    <w:p w14:paraId="09511625">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rPr>
        <w:t>、中标</w:t>
      </w:r>
      <w:r>
        <w:rPr>
          <w:rFonts w:hint="eastAsia" w:ascii="宋体" w:hAnsi="宋体" w:eastAsia="宋体" w:cs="宋体"/>
          <w:color w:val="000000"/>
          <w:sz w:val="21"/>
          <w:szCs w:val="21"/>
        </w:rPr>
        <w:t>人</w:t>
      </w:r>
      <w:r>
        <w:rPr>
          <w:rFonts w:hint="eastAsia" w:ascii="宋体" w:hAnsi="宋体" w:eastAsia="宋体" w:cs="宋体"/>
          <w:sz w:val="21"/>
          <w:szCs w:val="21"/>
        </w:rPr>
        <w:t>须做出无推诿承诺。即中标</w:t>
      </w:r>
      <w:r>
        <w:rPr>
          <w:rFonts w:hint="eastAsia" w:ascii="宋体" w:hAnsi="宋体" w:eastAsia="宋体" w:cs="宋体"/>
          <w:color w:val="000000"/>
          <w:sz w:val="21"/>
          <w:szCs w:val="21"/>
        </w:rPr>
        <w:t>人</w:t>
      </w:r>
      <w:r>
        <w:rPr>
          <w:rFonts w:hint="eastAsia" w:ascii="宋体" w:hAnsi="宋体" w:eastAsia="宋体" w:cs="宋体"/>
          <w:sz w:val="21"/>
          <w:szCs w:val="21"/>
        </w:rPr>
        <w:t>应提供特殊措施，无论由于哪一方产生的问题而使</w:t>
      </w:r>
      <w:r>
        <w:rPr>
          <w:rFonts w:hint="eastAsia" w:ascii="宋体" w:hAnsi="宋体" w:eastAsia="宋体" w:cs="宋体"/>
          <w:sz w:val="21"/>
          <w:szCs w:val="21"/>
          <w:lang w:val="en-US" w:eastAsia="zh-CN"/>
        </w:rPr>
        <w:t>系统</w:t>
      </w:r>
      <w:r>
        <w:rPr>
          <w:rFonts w:hint="eastAsia" w:ascii="宋体" w:hAnsi="宋体" w:eastAsia="宋体" w:cs="宋体"/>
          <w:sz w:val="21"/>
          <w:szCs w:val="21"/>
        </w:rPr>
        <w:t>发生不正常情况时，并在得到采购人通知后，</w:t>
      </w:r>
      <w:r>
        <w:rPr>
          <w:rFonts w:hint="eastAsia" w:ascii="宋体" w:hAnsi="宋体" w:eastAsia="宋体" w:cs="宋体"/>
          <w:sz w:val="21"/>
          <w:szCs w:val="21"/>
          <w:lang w:val="en-US" w:eastAsia="zh-CN"/>
        </w:rPr>
        <w:t>节假日内3个小时内，工作日1个小时内</w:t>
      </w:r>
      <w:r>
        <w:rPr>
          <w:rFonts w:hint="eastAsia" w:ascii="宋体" w:hAnsi="宋体" w:eastAsia="宋体" w:cs="宋体"/>
          <w:sz w:val="21"/>
          <w:szCs w:val="21"/>
        </w:rPr>
        <w:t>派工程师到场，全力协助系统集成商，使系统尽快恢复正常。</w:t>
      </w:r>
    </w:p>
    <w:p w14:paraId="6C89A5C8">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、在</w:t>
      </w:r>
      <w:r>
        <w:rPr>
          <w:rFonts w:hint="eastAsia" w:ascii="宋体" w:hAnsi="宋体" w:eastAsia="宋体" w:cs="宋体"/>
          <w:color w:val="000000"/>
          <w:sz w:val="21"/>
          <w:szCs w:val="21"/>
        </w:rPr>
        <w:t>免费运维期</w:t>
      </w:r>
      <w:r>
        <w:rPr>
          <w:rFonts w:hint="eastAsia" w:ascii="宋体" w:hAnsi="宋体" w:eastAsia="宋体" w:cs="宋体"/>
          <w:sz w:val="21"/>
          <w:szCs w:val="21"/>
        </w:rPr>
        <w:t>结束前，须由</w:t>
      </w:r>
      <w:r>
        <w:rPr>
          <w:rFonts w:hint="eastAsia" w:ascii="宋体" w:hAnsi="宋体" w:eastAsia="宋体" w:cs="宋体"/>
          <w:sz w:val="21"/>
          <w:szCs w:val="21"/>
          <w:lang w:val="en-US" w:eastAsia="zh-CN"/>
        </w:rPr>
        <w:t>中标人</w:t>
      </w:r>
      <w:r>
        <w:rPr>
          <w:rFonts w:hint="eastAsia" w:ascii="宋体" w:hAnsi="宋体" w:eastAsia="宋体" w:cs="宋体"/>
          <w:sz w:val="21"/>
          <w:szCs w:val="21"/>
        </w:rPr>
        <w:t>工程师和采购人代表进行一次全面检查，任何缺陷须由中标人负责修改。在修改之后，</w:t>
      </w:r>
      <w:r>
        <w:rPr>
          <w:rFonts w:hint="eastAsia" w:ascii="宋体" w:hAnsi="宋体" w:eastAsia="宋体" w:cs="宋体"/>
          <w:sz w:val="21"/>
          <w:szCs w:val="21"/>
          <w:lang w:val="en-US" w:eastAsia="zh-CN"/>
        </w:rPr>
        <w:t>中标人</w:t>
      </w:r>
      <w:r>
        <w:rPr>
          <w:rFonts w:hint="eastAsia" w:ascii="宋体" w:hAnsi="宋体" w:eastAsia="宋体" w:cs="宋体"/>
          <w:sz w:val="21"/>
          <w:szCs w:val="21"/>
        </w:rPr>
        <w:t>应将缺陷原因、修改内容、完成修改及恢复</w:t>
      </w:r>
      <w:r>
        <w:rPr>
          <w:rFonts w:hint="eastAsia" w:ascii="宋体" w:hAnsi="宋体" w:eastAsia="宋体" w:cs="宋体"/>
          <w:color w:val="000000"/>
          <w:sz w:val="21"/>
          <w:szCs w:val="21"/>
        </w:rPr>
        <w:t>正常的时间和日期等报告给采购人。</w:t>
      </w:r>
    </w:p>
    <w:p w14:paraId="4B1DFF6E">
      <w:pPr>
        <w:spacing w:line="360" w:lineRule="auto"/>
        <w:outlineLvl w:val="1"/>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九、等保要求</w:t>
      </w:r>
    </w:p>
    <w:p w14:paraId="2CAC10D4">
      <w:pPr>
        <w:spacing w:line="360" w:lineRule="auto"/>
        <w:ind w:firstLine="420" w:firstLineChars="200"/>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color w:val="000000"/>
          <w:sz w:val="21"/>
          <w:szCs w:val="21"/>
          <w:lang w:val="en-US" w:eastAsia="zh-CN"/>
        </w:rPr>
        <w:t>1、按照《</w:t>
      </w:r>
      <w:r>
        <w:rPr>
          <w:rFonts w:hint="eastAsia" w:ascii="宋体" w:hAnsi="宋体" w:eastAsia="宋体" w:cs="宋体"/>
          <w:b w:val="0"/>
          <w:bCs w:val="0"/>
          <w:color w:val="auto"/>
          <w:kern w:val="2"/>
          <w:sz w:val="21"/>
          <w:szCs w:val="21"/>
          <w:highlight w:val="none"/>
          <w:lang w:val="en-US" w:eastAsia="zh-CN" w:bidi="ar"/>
        </w:rPr>
        <w:t>信息安全技术—网络安全等级保护定级指南（GB/T 22240-2020）》《信息安全技术—网络安全等级保护测评要求（GB/T 28448-2019）》等要求，按照项目建设内容以及信息系统受到破坏后，对社会秩序、公共利益、国家安全以及公民、法人和其他组织的合法权益所造成的损害程度，本项目计划通过网络安全等级保护测评，设计预评估为等保达到等级详见下表。</w:t>
      </w:r>
    </w:p>
    <w:p w14:paraId="4E61A5AE">
      <w:pPr>
        <w:bidi w:val="0"/>
        <w:spacing w:line="360" w:lineRule="auto"/>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在项目终验前，采购人聘请第三方专业测评机构，按照以下流程，从技术和管理两大维度，对本项目涉及的系统开展网络安全等级保护测评，包括物理环境、网络设备、主机系统、应用系统等软硬件设备，以及人员、组织结构、管理制度、系统运行保障措施，完成网络安全等级定级、备案等工作，并出具安全测评报告。</w:t>
      </w:r>
    </w:p>
    <w:p w14:paraId="717BE848">
      <w:pPr>
        <w:pStyle w:val="13"/>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3、中标人须根据下表格中各个系统的等保定级标准进行改造，并配合采购人做好二级/三级等保测评工作。</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6273"/>
        <w:gridCol w:w="2345"/>
      </w:tblGrid>
      <w:tr w14:paraId="644D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14:paraId="4768DF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序号</w:t>
            </w:r>
          </w:p>
        </w:tc>
        <w:tc>
          <w:tcPr>
            <w:tcW w:w="3221" w:type="pct"/>
            <w:vAlign w:val="center"/>
          </w:tcPr>
          <w:p w14:paraId="2842F6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内容</w:t>
            </w:r>
          </w:p>
        </w:tc>
        <w:tc>
          <w:tcPr>
            <w:tcW w:w="1204" w:type="pct"/>
            <w:vAlign w:val="center"/>
          </w:tcPr>
          <w:p w14:paraId="047E22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等保定级</w:t>
            </w:r>
          </w:p>
        </w:tc>
      </w:tr>
      <w:tr w14:paraId="7D69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14:paraId="0C1AC48B">
            <w:pPr>
              <w:pStyle w:val="31"/>
              <w:keepNext w:val="0"/>
              <w:keepLines w:val="0"/>
              <w:suppressLineNumbers w:val="0"/>
              <w:spacing w:before="0" w:beforeAutospacing="0" w:afterAutospacing="0" w:line="360" w:lineRule="auto"/>
              <w:ind w:left="0" w:leftChars="0" w:righ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w:t>
            </w:r>
          </w:p>
        </w:tc>
        <w:tc>
          <w:tcPr>
            <w:tcW w:w="4425" w:type="pct"/>
            <w:gridSpan w:val="2"/>
          </w:tcPr>
          <w:p w14:paraId="6EEFB81E">
            <w:pPr>
              <w:pStyle w:val="31"/>
              <w:keepNext w:val="0"/>
              <w:keepLines w:val="0"/>
              <w:suppressLineNumbers w:val="0"/>
              <w:spacing w:before="0" w:beforeAutospacing="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平台国产化适配改造</w:t>
            </w:r>
          </w:p>
        </w:tc>
      </w:tr>
      <w:tr w14:paraId="2946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14:paraId="5DE9E4B2">
            <w:pPr>
              <w:pStyle w:val="31"/>
              <w:keepNext w:val="0"/>
              <w:keepLines w:val="0"/>
              <w:suppressLineNumbers w:val="0"/>
              <w:spacing w:before="0" w:beforeAutospacing="0" w:afterAutospacing="0" w:line="360" w:lineRule="auto"/>
              <w:ind w:left="0" w:leftChars="0" w:righ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w:t>
            </w:r>
          </w:p>
        </w:tc>
        <w:tc>
          <w:tcPr>
            <w:tcW w:w="3221" w:type="pct"/>
          </w:tcPr>
          <w:p w14:paraId="153F596B">
            <w:pPr>
              <w:pStyle w:val="31"/>
              <w:keepNext w:val="0"/>
              <w:keepLines w:val="0"/>
              <w:suppressLineNumbers w:val="0"/>
              <w:spacing w:before="0" w:beforeAutospacing="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一体化智能化公共数据平台改造</w:t>
            </w:r>
          </w:p>
        </w:tc>
        <w:tc>
          <w:tcPr>
            <w:tcW w:w="1204" w:type="pct"/>
          </w:tcPr>
          <w:p w14:paraId="1DED8D7B">
            <w:pPr>
              <w:pStyle w:val="31"/>
              <w:keepNext w:val="0"/>
              <w:keepLines w:val="0"/>
              <w:suppressLineNumbers w:val="0"/>
              <w:spacing w:before="0" w:beforeAutospacing="0" w:afterAutospacing="0" w:line="360" w:lineRule="auto"/>
              <w:ind w:left="0" w:leftChars="0" w:righ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三级</w:t>
            </w:r>
          </w:p>
        </w:tc>
      </w:tr>
      <w:tr w14:paraId="25B8E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14:paraId="2AE77AB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w:t>
            </w:r>
          </w:p>
        </w:tc>
        <w:tc>
          <w:tcPr>
            <w:tcW w:w="3221" w:type="pct"/>
          </w:tcPr>
          <w:p w14:paraId="3EFC79C7">
            <w:pPr>
              <w:pStyle w:val="31"/>
              <w:keepNext w:val="0"/>
              <w:keepLines w:val="0"/>
              <w:suppressLineNumbers w:val="0"/>
              <w:spacing w:before="0" w:beforeAutospacing="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highlight w:val="none"/>
                <w:lang w:val="en-US" w:eastAsia="zh-CN"/>
              </w:rPr>
              <w:t>岱山县基层数据通及全息档案数据产品改造</w:t>
            </w:r>
          </w:p>
        </w:tc>
        <w:tc>
          <w:tcPr>
            <w:tcW w:w="1204" w:type="pct"/>
          </w:tcPr>
          <w:p w14:paraId="2DCCA59B">
            <w:pPr>
              <w:pStyle w:val="31"/>
              <w:keepNext w:val="0"/>
              <w:keepLines w:val="0"/>
              <w:suppressLineNumbers w:val="0"/>
              <w:spacing w:before="0" w:beforeAutospacing="0" w:afterAutospacing="0" w:line="36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二级</w:t>
            </w:r>
          </w:p>
        </w:tc>
      </w:tr>
      <w:tr w14:paraId="7457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14:paraId="7D744E0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w:t>
            </w:r>
          </w:p>
        </w:tc>
        <w:tc>
          <w:tcPr>
            <w:tcW w:w="3221" w:type="pct"/>
          </w:tcPr>
          <w:p w14:paraId="7709E5D3">
            <w:pPr>
              <w:pStyle w:val="31"/>
              <w:keepNext w:val="0"/>
              <w:keepLines w:val="0"/>
              <w:suppressLineNumbers w:val="0"/>
              <w:spacing w:before="0" w:beforeAutospacing="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highlight w:val="none"/>
                <w:lang w:val="en-US" w:eastAsia="zh-CN"/>
              </w:rPr>
              <w:t>舟山市岱山县智慧海上一体化平台系统改造</w:t>
            </w:r>
          </w:p>
        </w:tc>
        <w:tc>
          <w:tcPr>
            <w:tcW w:w="1204" w:type="pct"/>
          </w:tcPr>
          <w:p w14:paraId="2B2C064F">
            <w:pPr>
              <w:pStyle w:val="31"/>
              <w:keepNext w:val="0"/>
              <w:keepLines w:val="0"/>
              <w:suppressLineNumbers w:val="0"/>
              <w:spacing w:before="0" w:beforeAutospacing="0" w:afterAutospacing="0" w:line="36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二级</w:t>
            </w:r>
          </w:p>
        </w:tc>
      </w:tr>
      <w:tr w14:paraId="20DC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14:paraId="28F4684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（四）</w:t>
            </w:r>
          </w:p>
        </w:tc>
        <w:tc>
          <w:tcPr>
            <w:tcW w:w="3221" w:type="pct"/>
          </w:tcPr>
          <w:p w14:paraId="273FDD63">
            <w:pPr>
              <w:pStyle w:val="31"/>
              <w:keepNext w:val="0"/>
              <w:keepLines w:val="0"/>
              <w:suppressLineNumbers w:val="0"/>
              <w:spacing w:before="0" w:beforeAutospacing="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highlight w:val="none"/>
                <w:lang w:val="en-US" w:eastAsia="zh-CN"/>
              </w:rPr>
              <w:t>岱山县机关内部“最多跑一次”平台</w:t>
            </w:r>
          </w:p>
        </w:tc>
        <w:tc>
          <w:tcPr>
            <w:tcW w:w="1204" w:type="pct"/>
          </w:tcPr>
          <w:p w14:paraId="0EF4EB86">
            <w:pPr>
              <w:pStyle w:val="31"/>
              <w:keepNext w:val="0"/>
              <w:keepLines w:val="0"/>
              <w:suppressLineNumbers w:val="0"/>
              <w:spacing w:before="0" w:beforeAutospacing="0" w:afterAutospacing="0" w:line="36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二级</w:t>
            </w:r>
          </w:p>
        </w:tc>
      </w:tr>
    </w:tbl>
    <w:p w14:paraId="2EC371E2">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十、项目验收及工期要求</w:t>
      </w:r>
    </w:p>
    <w:p w14:paraId="2C832B6E">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1、项目工期：</w:t>
      </w:r>
      <w:r>
        <w:rPr>
          <w:rFonts w:hint="eastAsia" w:ascii="宋体" w:hAnsi="宋体" w:eastAsia="宋体" w:cs="宋体"/>
          <w:b w:val="0"/>
          <w:bCs w:val="0"/>
          <w:sz w:val="21"/>
          <w:szCs w:val="21"/>
          <w:highlight w:val="none"/>
          <w:lang w:val="en-US" w:eastAsia="zh-CN"/>
        </w:rPr>
        <w:t>合同签订后3个月内完成各个平台的改造并初验，初验通过后</w:t>
      </w:r>
      <w:r>
        <w:rPr>
          <w:rFonts w:hint="eastAsia" w:ascii="宋体" w:hAnsi="宋体" w:eastAsia="宋体" w:cs="宋体"/>
          <w:color w:val="000000"/>
          <w:sz w:val="21"/>
          <w:szCs w:val="21"/>
          <w:highlight w:val="none"/>
        </w:rPr>
        <w:t>进入试运行</w:t>
      </w:r>
      <w:r>
        <w:rPr>
          <w:rFonts w:hint="eastAsia" w:ascii="宋体" w:hAnsi="宋体" w:eastAsia="宋体" w:cs="宋体"/>
          <w:b w:val="0"/>
          <w:bCs w:val="0"/>
          <w:sz w:val="21"/>
          <w:szCs w:val="21"/>
          <w:highlight w:val="none"/>
          <w:lang w:val="en-US" w:eastAsia="zh-CN"/>
        </w:rPr>
        <w:t>，试运行3个月后无任何问题，进行终验。</w:t>
      </w:r>
    </w:p>
    <w:p w14:paraId="3FBBB7DD">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2、项目验收要求</w:t>
      </w:r>
    </w:p>
    <w:p w14:paraId="0C20D039">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2"/>
          <w:sz w:val="21"/>
          <w:szCs w:val="21"/>
          <w:lang w:val="en-US" w:eastAsia="zh-CN" w:bidi="ar-SA"/>
        </w:rPr>
        <w:t>1）</w:t>
      </w:r>
      <w:r>
        <w:rPr>
          <w:rFonts w:hint="eastAsia" w:ascii="宋体" w:hAnsi="宋体" w:eastAsia="宋体" w:cs="宋体"/>
          <w:b w:val="0"/>
          <w:bCs w:val="0"/>
          <w:sz w:val="21"/>
          <w:szCs w:val="21"/>
          <w:lang w:val="en-US" w:eastAsia="zh-CN"/>
        </w:rPr>
        <w:t>初验</w:t>
      </w:r>
    </w:p>
    <w:p w14:paraId="07A0CCBD">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合同签订后3个月内完成信创适配改造、系统功能优化、平台迁移等工作，采购相应的国产操作系统、中间件和数据库，对各个系统做好代码审计以及渗透测试，并通过项目初验。</w:t>
      </w:r>
    </w:p>
    <w:p w14:paraId="12BA4D23">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试运行</w:t>
      </w:r>
    </w:p>
    <w:p w14:paraId="0EFEF749">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初验合格后，系统进入试运行，试</w:t>
      </w:r>
      <w:r>
        <w:rPr>
          <w:rFonts w:hint="eastAsia" w:ascii="宋体" w:hAnsi="宋体" w:eastAsia="宋体" w:cs="宋体"/>
          <w:color w:val="000000"/>
          <w:sz w:val="21"/>
          <w:szCs w:val="21"/>
          <w:highlight w:val="none"/>
        </w:rPr>
        <w:t>运行时间为</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个月。</w:t>
      </w:r>
    </w:p>
    <w:p w14:paraId="0E1D8903">
      <w:pPr>
        <w:pStyle w:val="5"/>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终验</w:t>
      </w:r>
    </w:p>
    <w:p w14:paraId="7F84CE4C">
      <w:pPr>
        <w:spacing w:line="360" w:lineRule="auto"/>
        <w:ind w:firstLine="420" w:firstLineChars="200"/>
        <w:rPr>
          <w:rFonts w:hint="eastAsia" w:ascii="宋体" w:hAnsi="宋体" w:eastAsia="宋体" w:cs="宋体"/>
          <w:sz w:val="21"/>
          <w:szCs w:val="21"/>
        </w:rPr>
      </w:pPr>
      <w:r>
        <w:rPr>
          <w:rFonts w:hint="eastAsia" w:ascii="宋体" w:hAnsi="宋体" w:eastAsia="宋体" w:cs="宋体"/>
          <w:b w:val="0"/>
          <w:bCs w:val="0"/>
          <w:sz w:val="21"/>
          <w:szCs w:val="21"/>
          <w:highlight w:val="none"/>
          <w:lang w:val="en-US" w:eastAsia="zh-CN"/>
        </w:rPr>
        <w:t>完成网络安全等级定级、备案等工作，并出具安全测评报告后，</w:t>
      </w:r>
      <w:r>
        <w:rPr>
          <w:rFonts w:hint="eastAsia" w:ascii="宋体" w:hAnsi="宋体" w:eastAsia="宋体" w:cs="宋体"/>
          <w:sz w:val="21"/>
          <w:szCs w:val="21"/>
        </w:rPr>
        <w:t>中标人向采购人提出终验申请，采购人组织相关单位进行项目的终验。项目终验通过，进入正式运行阶段。</w:t>
      </w:r>
    </w:p>
    <w:p w14:paraId="537C3E32">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2"/>
          <w:sz w:val="21"/>
          <w:szCs w:val="21"/>
          <w:lang w:val="en-US" w:eastAsia="zh-CN" w:bidi="ar-SA"/>
        </w:rPr>
        <w:t>4）</w:t>
      </w:r>
      <w:r>
        <w:rPr>
          <w:rFonts w:hint="eastAsia" w:ascii="宋体" w:hAnsi="宋体" w:eastAsia="宋体" w:cs="宋体"/>
          <w:b w:val="0"/>
          <w:bCs w:val="0"/>
          <w:sz w:val="21"/>
          <w:szCs w:val="21"/>
          <w:lang w:val="en-US" w:eastAsia="zh-CN"/>
        </w:rPr>
        <w:t>其他</w:t>
      </w:r>
    </w:p>
    <w:p w14:paraId="1002EA57">
      <w:pPr>
        <w:spacing w:line="360" w:lineRule="auto"/>
        <w:ind w:firstLine="420" w:firstLineChars="200"/>
        <w:rPr>
          <w:rFonts w:hint="eastAsia" w:ascii="宋体" w:hAnsi="宋体" w:eastAsia="宋体" w:cs="宋体"/>
          <w:b/>
          <w:bCs/>
          <w:color w:val="000000"/>
          <w:sz w:val="21"/>
          <w:szCs w:val="21"/>
        </w:rPr>
      </w:pPr>
      <w:r>
        <w:rPr>
          <w:rFonts w:hint="eastAsia" w:ascii="宋体" w:hAnsi="宋体" w:eastAsia="宋体" w:cs="宋体"/>
          <w:kern w:val="0"/>
          <w:sz w:val="21"/>
          <w:szCs w:val="21"/>
        </w:rPr>
        <w:t>对采购人的验收工作，</w:t>
      </w:r>
      <w:r>
        <w:rPr>
          <w:rFonts w:hint="eastAsia" w:ascii="宋体" w:hAnsi="宋体" w:eastAsia="宋体" w:cs="宋体"/>
          <w:color w:val="000000"/>
          <w:sz w:val="21"/>
          <w:szCs w:val="21"/>
        </w:rPr>
        <w:t>中标人</w:t>
      </w:r>
      <w:r>
        <w:rPr>
          <w:rFonts w:hint="eastAsia" w:ascii="宋体" w:hAnsi="宋体" w:eastAsia="宋体" w:cs="宋体"/>
          <w:kern w:val="0"/>
          <w:sz w:val="21"/>
          <w:szCs w:val="21"/>
        </w:rPr>
        <w:t>须按采购人要求进行配合工作并提供相应的验收资料（项目如需第三方检测，需经过采购人认可的第三方检测机构检测，费用由</w:t>
      </w:r>
      <w:r>
        <w:rPr>
          <w:rFonts w:hint="eastAsia" w:ascii="宋体" w:hAnsi="宋体" w:eastAsia="宋体" w:cs="宋体"/>
          <w:color w:val="000000"/>
          <w:sz w:val="21"/>
          <w:szCs w:val="21"/>
        </w:rPr>
        <w:t>中标人</w:t>
      </w:r>
      <w:r>
        <w:rPr>
          <w:rFonts w:hint="eastAsia" w:ascii="宋体" w:hAnsi="宋体" w:eastAsia="宋体" w:cs="宋体"/>
          <w:kern w:val="0"/>
          <w:sz w:val="21"/>
          <w:szCs w:val="21"/>
        </w:rPr>
        <w:t>承担），其他验收未尽事宜根据《舟山市政府采购履约验收管理暂行办法》的通知执行。</w:t>
      </w:r>
    </w:p>
    <w:p w14:paraId="33ED969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十一、付款方式</w:t>
      </w:r>
    </w:p>
    <w:p w14:paraId="3FE9CB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合同签订后7个工作日内，采购人支付合同总额的30%作为预付款，剩余金额分2026-2027年2次平均支付。</w:t>
      </w:r>
    </w:p>
    <w:p w14:paraId="171F8A10">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注：采购人最后一次付款前，中标人需已完成改造工作并通过验收，否则不予支付</w:t>
      </w:r>
      <w:r>
        <w:rPr>
          <w:rFonts w:hint="eastAsia" w:ascii="宋体" w:hAnsi="宋体" w:eastAsia="宋体" w:cs="宋体"/>
          <w:kern w:val="0"/>
          <w:sz w:val="21"/>
          <w:szCs w:val="21"/>
          <w:highlight w:val="none"/>
          <w:lang w:val="en-US" w:eastAsia="zh-CN" w:bidi="ar-SA"/>
        </w:rPr>
        <w:t>。</w:t>
      </w:r>
    </w:p>
    <w:p w14:paraId="02923478">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1"/>
          <w:szCs w:val="21"/>
        </w:rPr>
      </w:pPr>
      <w:r>
        <w:rPr>
          <w:rFonts w:hint="eastAsia" w:ascii="宋体" w:hAnsi="宋体" w:eastAsia="宋体" w:cs="宋体"/>
          <w:b/>
          <w:bCs/>
          <w:sz w:val="21"/>
          <w:szCs w:val="21"/>
          <w:lang w:val="en-US" w:eastAsia="zh-CN"/>
        </w:rPr>
        <w:t>十二、</w:t>
      </w:r>
      <w:r>
        <w:rPr>
          <w:rFonts w:hint="eastAsia" w:ascii="宋体" w:hAnsi="宋体" w:eastAsia="宋体" w:cs="宋体"/>
          <w:b/>
          <w:bCs/>
          <w:sz w:val="21"/>
          <w:szCs w:val="21"/>
        </w:rPr>
        <w:t>其他</w:t>
      </w:r>
    </w:p>
    <w:p w14:paraId="40870D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1、投标人应对招标、实施、操作等过程中采取保密和安全措施，因投标人造成的不良影响和损失，投标人应承担相应责任。</w:t>
      </w:r>
    </w:p>
    <w:p w14:paraId="688974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highlight w:val="none"/>
        </w:rPr>
        <w:t>2、采购人认为投标人提供的产品和服务不能满足需求，可否决、终止本次采购。</w:t>
      </w:r>
    </w:p>
    <w:p w14:paraId="1CD39B63">
      <w:pPr>
        <w:jc w:val="center"/>
        <w:outlineLvl w:val="9"/>
        <w:rPr>
          <w:rFonts w:hint="eastAsia" w:ascii="宋体" w:hAnsi="宋体" w:cs="宋体"/>
          <w:b/>
          <w:sz w:val="28"/>
          <w:szCs w:val="28"/>
        </w:rPr>
      </w:pPr>
    </w:p>
    <w:p w14:paraId="52460165">
      <w:pPr>
        <w:jc w:val="center"/>
        <w:outlineLvl w:val="0"/>
        <w:rPr>
          <w:rFonts w:ascii="宋体" w:hAnsi="宋体" w:cs="宋体"/>
          <w:b/>
          <w:sz w:val="28"/>
          <w:szCs w:val="28"/>
        </w:rPr>
      </w:pPr>
      <w:r>
        <w:rPr>
          <w:rFonts w:hint="eastAsia" w:ascii="宋体" w:hAnsi="宋体" w:cs="宋体"/>
          <w:b/>
          <w:sz w:val="28"/>
          <w:szCs w:val="28"/>
        </w:rPr>
        <w:br w:type="page"/>
      </w:r>
      <w:bookmarkStart w:id="20" w:name="_Toc24059"/>
      <w:bookmarkStart w:id="21" w:name="_Toc28584"/>
      <w:bookmarkStart w:id="22" w:name="_Toc22405"/>
      <w:r>
        <w:rPr>
          <w:rFonts w:hint="eastAsia" w:ascii="宋体" w:hAnsi="宋体" w:cs="宋体"/>
          <w:b/>
          <w:sz w:val="28"/>
          <w:szCs w:val="28"/>
        </w:rPr>
        <w:t>第三章  投标人须知</w:t>
      </w:r>
      <w:bookmarkEnd w:id="20"/>
      <w:bookmarkEnd w:id="21"/>
      <w:bookmarkEnd w:id="22"/>
    </w:p>
    <w:p w14:paraId="19E4E23E">
      <w:pPr>
        <w:snapToGrid w:val="0"/>
        <w:spacing w:line="276" w:lineRule="auto"/>
        <w:jc w:val="center"/>
        <w:outlineLvl w:val="1"/>
        <w:rPr>
          <w:rFonts w:ascii="宋体" w:hAnsi="宋体" w:cs="宋体"/>
          <w:b/>
          <w:szCs w:val="21"/>
        </w:rPr>
      </w:pPr>
      <w:bookmarkStart w:id="23" w:name="_Toc28163"/>
      <w:r>
        <w:rPr>
          <w:rFonts w:hint="eastAsia" w:ascii="宋体" w:hAnsi="宋体" w:cs="宋体"/>
          <w:b/>
          <w:szCs w:val="21"/>
        </w:rPr>
        <w:t>前附表</w:t>
      </w:r>
      <w:bookmarkEnd w:id="23"/>
    </w:p>
    <w:tbl>
      <w:tblPr>
        <w:tblStyle w:val="33"/>
        <w:tblW w:w="10081"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7"/>
        <w:gridCol w:w="1560"/>
        <w:gridCol w:w="7874"/>
      </w:tblGrid>
      <w:tr w14:paraId="1526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15CE58A0">
            <w:pPr>
              <w:spacing w:line="300" w:lineRule="auto"/>
              <w:jc w:val="center"/>
              <w:rPr>
                <w:rFonts w:ascii="宋体" w:hAnsi="宋体" w:cs="宋体"/>
                <w:b/>
                <w:szCs w:val="21"/>
              </w:rPr>
            </w:pPr>
            <w:r>
              <w:rPr>
                <w:rFonts w:hint="eastAsia" w:ascii="宋体" w:hAnsi="宋体" w:cs="宋体"/>
                <w:b/>
                <w:szCs w:val="21"/>
              </w:rPr>
              <w:t>序号</w:t>
            </w:r>
          </w:p>
        </w:tc>
        <w:tc>
          <w:tcPr>
            <w:tcW w:w="9413" w:type="dxa"/>
            <w:gridSpan w:val="2"/>
            <w:shd w:val="clear" w:color="auto" w:fill="E0E0E0"/>
            <w:noWrap/>
            <w:vAlign w:val="center"/>
          </w:tcPr>
          <w:p w14:paraId="2489A7DA">
            <w:pPr>
              <w:spacing w:line="300" w:lineRule="auto"/>
              <w:jc w:val="center"/>
              <w:rPr>
                <w:rFonts w:ascii="宋体" w:hAnsi="宋体" w:cs="宋体"/>
                <w:b/>
                <w:szCs w:val="21"/>
              </w:rPr>
            </w:pPr>
            <w:r>
              <w:rPr>
                <w:rFonts w:hint="eastAsia" w:ascii="宋体" w:hAnsi="宋体" w:cs="宋体"/>
                <w:b/>
                <w:szCs w:val="21"/>
              </w:rPr>
              <w:t>内容说明及要求</w:t>
            </w:r>
          </w:p>
        </w:tc>
      </w:tr>
      <w:tr w14:paraId="547C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7142187F">
            <w:pPr>
              <w:spacing w:line="300" w:lineRule="auto"/>
              <w:jc w:val="center"/>
              <w:rPr>
                <w:rFonts w:ascii="宋体" w:hAnsi="宋体" w:cs="宋体"/>
                <w:b/>
                <w:szCs w:val="21"/>
              </w:rPr>
            </w:pPr>
            <w:r>
              <w:rPr>
                <w:rFonts w:hint="eastAsia" w:ascii="宋体" w:hAnsi="宋体" w:cs="宋体"/>
                <w:b/>
                <w:szCs w:val="21"/>
              </w:rPr>
              <w:t>1</w:t>
            </w:r>
          </w:p>
        </w:tc>
        <w:tc>
          <w:tcPr>
            <w:tcW w:w="1546" w:type="dxa"/>
            <w:shd w:val="clear" w:color="auto" w:fill="E0E0E0"/>
            <w:noWrap/>
            <w:vAlign w:val="center"/>
          </w:tcPr>
          <w:p w14:paraId="74CA58CF">
            <w:pPr>
              <w:spacing w:line="300" w:lineRule="auto"/>
              <w:jc w:val="center"/>
              <w:rPr>
                <w:rFonts w:ascii="宋体" w:hAnsi="宋体" w:cs="宋体"/>
                <w:b/>
                <w:szCs w:val="21"/>
              </w:rPr>
            </w:pPr>
            <w:r>
              <w:rPr>
                <w:rFonts w:hint="eastAsia" w:ascii="宋体" w:hAnsi="宋体" w:cs="宋体"/>
                <w:b/>
                <w:szCs w:val="21"/>
              </w:rPr>
              <w:t>项目名称</w:t>
            </w:r>
          </w:p>
        </w:tc>
        <w:tc>
          <w:tcPr>
            <w:tcW w:w="7853" w:type="dxa"/>
            <w:shd w:val="clear" w:color="auto" w:fill="auto"/>
            <w:noWrap/>
            <w:vAlign w:val="center"/>
          </w:tcPr>
          <w:p w14:paraId="59F0E4EC">
            <w:pPr>
              <w:spacing w:line="300" w:lineRule="auto"/>
              <w:rPr>
                <w:rFonts w:hint="eastAsia" w:ascii="宋体" w:hAnsi="宋体" w:eastAsia="宋体" w:cs="宋体"/>
                <w:szCs w:val="21"/>
                <w:lang w:eastAsia="zh-CN"/>
              </w:rPr>
            </w:pPr>
            <w:r>
              <w:rPr>
                <w:rFonts w:hint="eastAsia" w:ascii="宋体" w:hAnsi="宋体" w:eastAsia="宋体" w:cs="宋体"/>
                <w:szCs w:val="21"/>
                <w:lang w:eastAsia="zh-CN"/>
              </w:rPr>
              <w:t>岱山县数据服务中心应用系统国产化适配改造项目（标段一）</w:t>
            </w:r>
          </w:p>
        </w:tc>
      </w:tr>
      <w:tr w14:paraId="2A1A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2E4B7388">
            <w:pPr>
              <w:spacing w:line="300" w:lineRule="auto"/>
              <w:jc w:val="center"/>
              <w:rPr>
                <w:rFonts w:ascii="宋体" w:hAnsi="宋体" w:cs="宋体"/>
                <w:b/>
                <w:szCs w:val="21"/>
              </w:rPr>
            </w:pPr>
            <w:r>
              <w:rPr>
                <w:rFonts w:hint="eastAsia" w:ascii="宋体" w:hAnsi="宋体" w:cs="宋体"/>
                <w:b/>
                <w:szCs w:val="21"/>
              </w:rPr>
              <w:t>2</w:t>
            </w:r>
          </w:p>
        </w:tc>
        <w:tc>
          <w:tcPr>
            <w:tcW w:w="1546" w:type="dxa"/>
            <w:shd w:val="clear" w:color="auto" w:fill="E0E0E0"/>
            <w:noWrap/>
            <w:vAlign w:val="center"/>
          </w:tcPr>
          <w:p w14:paraId="09EA6CF7">
            <w:pPr>
              <w:spacing w:line="300" w:lineRule="auto"/>
              <w:jc w:val="center"/>
              <w:rPr>
                <w:rFonts w:ascii="宋体" w:hAnsi="宋体" w:cs="宋体"/>
                <w:b/>
                <w:szCs w:val="21"/>
              </w:rPr>
            </w:pPr>
            <w:r>
              <w:rPr>
                <w:rFonts w:hint="eastAsia" w:ascii="宋体" w:hAnsi="宋体" w:cs="宋体"/>
                <w:b/>
                <w:szCs w:val="21"/>
              </w:rPr>
              <w:t>采购人名称</w:t>
            </w:r>
          </w:p>
        </w:tc>
        <w:tc>
          <w:tcPr>
            <w:tcW w:w="7853" w:type="dxa"/>
            <w:shd w:val="clear" w:color="auto" w:fill="auto"/>
            <w:noWrap/>
            <w:vAlign w:val="center"/>
          </w:tcPr>
          <w:p w14:paraId="77885414">
            <w:pPr>
              <w:spacing w:line="300" w:lineRule="auto"/>
              <w:rPr>
                <w:rFonts w:hint="eastAsia" w:ascii="宋体" w:hAnsi="宋体" w:eastAsia="宋体" w:cs="宋体"/>
                <w:szCs w:val="21"/>
                <w:lang w:eastAsia="zh-CN"/>
              </w:rPr>
            </w:pPr>
            <w:r>
              <w:rPr>
                <w:rFonts w:hint="eastAsia" w:ascii="宋体" w:hAnsi="宋体" w:cs="宋体"/>
                <w:szCs w:val="21"/>
                <w:lang w:eastAsia="zh-CN"/>
              </w:rPr>
              <w:t>岱山县数据服务中心</w:t>
            </w:r>
          </w:p>
        </w:tc>
      </w:tr>
      <w:tr w14:paraId="3853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6CE75482">
            <w:pPr>
              <w:spacing w:line="300" w:lineRule="auto"/>
              <w:jc w:val="center"/>
              <w:rPr>
                <w:rFonts w:ascii="宋体" w:hAnsi="宋体" w:cs="宋体"/>
                <w:b/>
                <w:szCs w:val="21"/>
              </w:rPr>
            </w:pPr>
            <w:r>
              <w:rPr>
                <w:rFonts w:hint="eastAsia" w:ascii="宋体" w:hAnsi="宋体" w:cs="宋体"/>
                <w:b/>
                <w:szCs w:val="21"/>
              </w:rPr>
              <w:t>3</w:t>
            </w:r>
          </w:p>
        </w:tc>
        <w:tc>
          <w:tcPr>
            <w:tcW w:w="1546" w:type="dxa"/>
            <w:shd w:val="clear" w:color="auto" w:fill="E0E0E0"/>
            <w:noWrap/>
            <w:vAlign w:val="center"/>
          </w:tcPr>
          <w:p w14:paraId="32E91BB0">
            <w:pPr>
              <w:spacing w:line="300" w:lineRule="auto"/>
              <w:jc w:val="center"/>
              <w:rPr>
                <w:rFonts w:hint="default" w:ascii="宋体" w:hAnsi="宋体" w:eastAsia="宋体" w:cs="宋体"/>
                <w:b/>
                <w:szCs w:val="21"/>
                <w:lang w:val="en-US" w:eastAsia="zh-CN"/>
              </w:rPr>
            </w:pPr>
            <w:r>
              <w:rPr>
                <w:rFonts w:hint="eastAsia" w:ascii="宋体" w:hAnsi="宋体" w:cs="宋体"/>
                <w:b/>
                <w:szCs w:val="21"/>
                <w:lang w:val="en-US" w:eastAsia="zh-CN"/>
              </w:rPr>
              <w:t>最高限价</w:t>
            </w:r>
          </w:p>
        </w:tc>
        <w:tc>
          <w:tcPr>
            <w:tcW w:w="7853" w:type="dxa"/>
            <w:shd w:val="clear" w:color="auto" w:fill="auto"/>
            <w:noWrap/>
            <w:vAlign w:val="center"/>
          </w:tcPr>
          <w:p w14:paraId="3A2A1317">
            <w:pPr>
              <w:spacing w:line="300" w:lineRule="auto"/>
              <w:rPr>
                <w:rFonts w:hint="default" w:ascii="宋体" w:hAnsi="宋体" w:cs="宋体"/>
                <w:szCs w:val="21"/>
                <w:lang w:val="en-US"/>
              </w:rPr>
            </w:pPr>
            <w:r>
              <w:rPr>
                <w:rFonts w:hint="eastAsia" w:ascii="宋体" w:hAnsi="宋体" w:cs="宋体"/>
                <w:szCs w:val="21"/>
                <w:lang w:val="en-US" w:eastAsia="zh-CN"/>
              </w:rPr>
              <w:t>3406000元</w:t>
            </w:r>
          </w:p>
        </w:tc>
      </w:tr>
      <w:tr w14:paraId="379B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4EAA2330">
            <w:pPr>
              <w:spacing w:line="300" w:lineRule="auto"/>
              <w:jc w:val="center"/>
              <w:rPr>
                <w:rFonts w:ascii="宋体" w:hAnsi="宋体" w:cs="宋体"/>
                <w:b/>
                <w:szCs w:val="21"/>
              </w:rPr>
            </w:pPr>
            <w:r>
              <w:rPr>
                <w:rFonts w:hint="eastAsia" w:ascii="宋体" w:hAnsi="宋体" w:cs="宋体"/>
                <w:b/>
                <w:szCs w:val="21"/>
              </w:rPr>
              <w:t>4</w:t>
            </w:r>
          </w:p>
        </w:tc>
        <w:tc>
          <w:tcPr>
            <w:tcW w:w="1546" w:type="dxa"/>
            <w:shd w:val="clear" w:color="auto" w:fill="E0E0E0"/>
            <w:noWrap/>
            <w:vAlign w:val="center"/>
          </w:tcPr>
          <w:p w14:paraId="786376E8">
            <w:pPr>
              <w:spacing w:line="300" w:lineRule="auto"/>
              <w:jc w:val="center"/>
              <w:rPr>
                <w:rFonts w:ascii="宋体" w:hAnsi="宋体" w:cs="宋体"/>
                <w:b/>
                <w:szCs w:val="21"/>
              </w:rPr>
            </w:pPr>
            <w:r>
              <w:rPr>
                <w:rFonts w:hint="eastAsia" w:ascii="宋体" w:hAnsi="宋体" w:cs="宋体"/>
                <w:b/>
                <w:szCs w:val="21"/>
              </w:rPr>
              <w:t>采购内容</w:t>
            </w:r>
          </w:p>
        </w:tc>
        <w:tc>
          <w:tcPr>
            <w:tcW w:w="7853" w:type="dxa"/>
            <w:shd w:val="clear" w:color="auto" w:fill="auto"/>
            <w:noWrap/>
            <w:vAlign w:val="center"/>
          </w:tcPr>
          <w:p w14:paraId="70E74642">
            <w:pPr>
              <w:spacing w:line="300" w:lineRule="auto"/>
              <w:rPr>
                <w:rFonts w:ascii="宋体" w:hAnsi="宋体"/>
                <w:bCs/>
                <w:szCs w:val="21"/>
              </w:rPr>
            </w:pPr>
            <w:r>
              <w:rPr>
                <w:rFonts w:hint="eastAsia" w:ascii="宋体" w:hAnsi="宋体"/>
                <w:bCs/>
                <w:szCs w:val="21"/>
                <w:lang w:val="en-US" w:eastAsia="zh-CN"/>
              </w:rPr>
              <w:t>4个平台国产化改造及链路</w:t>
            </w:r>
          </w:p>
        </w:tc>
      </w:tr>
      <w:tr w14:paraId="7963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0377AB3E">
            <w:pPr>
              <w:spacing w:line="300" w:lineRule="auto"/>
              <w:jc w:val="center"/>
              <w:rPr>
                <w:rFonts w:ascii="宋体" w:hAnsi="宋体" w:cs="宋体"/>
                <w:b/>
                <w:szCs w:val="21"/>
              </w:rPr>
            </w:pPr>
            <w:r>
              <w:rPr>
                <w:rFonts w:hint="eastAsia" w:ascii="宋体" w:hAnsi="宋体" w:cs="宋体"/>
                <w:b/>
                <w:szCs w:val="21"/>
              </w:rPr>
              <w:t>5</w:t>
            </w:r>
          </w:p>
        </w:tc>
        <w:tc>
          <w:tcPr>
            <w:tcW w:w="1546" w:type="dxa"/>
            <w:shd w:val="clear" w:color="auto" w:fill="E0E0E0"/>
            <w:noWrap/>
            <w:vAlign w:val="center"/>
          </w:tcPr>
          <w:p w14:paraId="7BE686DC">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Cs w:val="21"/>
                <w:highlight w:val="none"/>
                <w:lang w:val="en-US" w:eastAsia="zh-CN"/>
              </w:rPr>
            </w:pPr>
            <w:r>
              <w:rPr>
                <w:rFonts w:hint="eastAsia" w:ascii="宋体" w:hAnsi="宋体" w:cs="宋体"/>
                <w:b/>
                <w:szCs w:val="21"/>
                <w:lang w:val="en-US" w:eastAsia="zh-CN"/>
              </w:rPr>
              <w:t>项目工期</w:t>
            </w:r>
          </w:p>
        </w:tc>
        <w:tc>
          <w:tcPr>
            <w:tcW w:w="7853" w:type="dxa"/>
            <w:shd w:val="clear" w:color="auto" w:fill="auto"/>
            <w:noWrap/>
            <w:vAlign w:val="center"/>
          </w:tcPr>
          <w:p w14:paraId="32C6B6FF">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rPr>
                <w:rFonts w:hint="eastAsia" w:ascii="宋体" w:hAnsi="宋体" w:eastAsia="宋体" w:cs="宋体"/>
                <w:szCs w:val="21"/>
              </w:rPr>
            </w:pPr>
            <w:r>
              <w:rPr>
                <w:rFonts w:hint="eastAsia" w:ascii="宋体" w:hAnsi="宋体" w:eastAsia="宋体" w:cs="宋体"/>
                <w:b w:val="0"/>
                <w:bCs w:val="0"/>
                <w:sz w:val="21"/>
                <w:szCs w:val="21"/>
                <w:highlight w:val="none"/>
                <w:lang w:val="en-US" w:eastAsia="zh-CN"/>
              </w:rPr>
              <w:t>合同签订后3个月内完成</w:t>
            </w:r>
            <w:r>
              <w:rPr>
                <w:rFonts w:hint="eastAsia" w:cs="宋体"/>
                <w:b w:val="0"/>
                <w:bCs w:val="0"/>
                <w:sz w:val="21"/>
                <w:szCs w:val="21"/>
                <w:highlight w:val="none"/>
                <w:lang w:val="en-US" w:eastAsia="zh-CN"/>
              </w:rPr>
              <w:t>各个平台的改造并</w:t>
            </w:r>
            <w:r>
              <w:rPr>
                <w:rFonts w:hint="eastAsia" w:ascii="宋体" w:hAnsi="宋体" w:eastAsia="宋体" w:cs="宋体"/>
                <w:b w:val="0"/>
                <w:bCs w:val="0"/>
                <w:sz w:val="21"/>
                <w:szCs w:val="21"/>
                <w:highlight w:val="none"/>
                <w:lang w:val="en-US" w:eastAsia="zh-CN"/>
              </w:rPr>
              <w:t>初验</w:t>
            </w:r>
            <w:r>
              <w:rPr>
                <w:rFonts w:hint="eastAsia" w:cs="宋体"/>
                <w:b w:val="0"/>
                <w:bCs w:val="0"/>
                <w:sz w:val="21"/>
                <w:szCs w:val="21"/>
                <w:highlight w:val="none"/>
                <w:lang w:val="en-US" w:eastAsia="zh-CN"/>
              </w:rPr>
              <w:t>，初验通过后</w:t>
            </w:r>
            <w:r>
              <w:rPr>
                <w:rFonts w:hint="eastAsia" w:ascii="宋体" w:hAnsi="宋体" w:eastAsia="宋体" w:cs="宋体"/>
                <w:color w:val="000000"/>
                <w:sz w:val="21"/>
                <w:szCs w:val="21"/>
                <w:highlight w:val="none"/>
              </w:rPr>
              <w:t>进入试运行</w:t>
            </w:r>
            <w:r>
              <w:rPr>
                <w:rFonts w:hint="eastAsia" w:ascii="宋体" w:hAnsi="宋体" w:eastAsia="宋体" w:cs="宋体"/>
                <w:b w:val="0"/>
                <w:bCs w:val="0"/>
                <w:sz w:val="21"/>
                <w:szCs w:val="21"/>
                <w:highlight w:val="none"/>
                <w:lang w:val="en-US" w:eastAsia="zh-CN"/>
              </w:rPr>
              <w:t>，试运行3个月后</w:t>
            </w:r>
            <w:r>
              <w:rPr>
                <w:rFonts w:hint="eastAsia" w:cs="宋体"/>
                <w:b w:val="0"/>
                <w:bCs w:val="0"/>
                <w:sz w:val="21"/>
                <w:szCs w:val="21"/>
                <w:highlight w:val="none"/>
                <w:lang w:val="en-US" w:eastAsia="zh-CN"/>
              </w:rPr>
              <w:t>无任何问题，</w:t>
            </w:r>
            <w:r>
              <w:rPr>
                <w:rFonts w:hint="eastAsia" w:ascii="宋体" w:hAnsi="宋体" w:eastAsia="宋体" w:cs="宋体"/>
                <w:b w:val="0"/>
                <w:bCs w:val="0"/>
                <w:sz w:val="21"/>
                <w:szCs w:val="21"/>
                <w:highlight w:val="none"/>
                <w:lang w:val="en-US" w:eastAsia="zh-CN"/>
              </w:rPr>
              <w:t>进行终验。</w:t>
            </w:r>
          </w:p>
        </w:tc>
      </w:tr>
      <w:tr w14:paraId="607D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3C3311B9">
            <w:pPr>
              <w:spacing w:line="300" w:lineRule="auto"/>
              <w:jc w:val="center"/>
              <w:rPr>
                <w:rFonts w:ascii="宋体" w:hAnsi="宋体" w:cs="宋体"/>
                <w:b/>
                <w:szCs w:val="21"/>
              </w:rPr>
            </w:pPr>
            <w:r>
              <w:rPr>
                <w:rFonts w:hint="eastAsia" w:ascii="宋体" w:hAnsi="宋体" w:cs="宋体"/>
                <w:b/>
                <w:szCs w:val="21"/>
              </w:rPr>
              <w:t>6</w:t>
            </w:r>
          </w:p>
        </w:tc>
        <w:tc>
          <w:tcPr>
            <w:tcW w:w="1546" w:type="dxa"/>
            <w:shd w:val="clear" w:color="auto" w:fill="E0E0E0"/>
            <w:noWrap/>
            <w:vAlign w:val="center"/>
          </w:tcPr>
          <w:p w14:paraId="5A710201">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ascii="宋体" w:hAnsi="宋体" w:cs="宋体"/>
                <w:b/>
                <w:szCs w:val="21"/>
                <w:highlight w:val="none"/>
              </w:rPr>
            </w:pPr>
            <w:r>
              <w:rPr>
                <w:rFonts w:hint="eastAsia" w:ascii="宋体" w:hAnsi="宋体" w:eastAsia="宋体" w:cs="宋体"/>
                <w:b/>
                <w:szCs w:val="21"/>
                <w:highlight w:val="none"/>
              </w:rPr>
              <w:t>付款方式</w:t>
            </w:r>
          </w:p>
        </w:tc>
        <w:tc>
          <w:tcPr>
            <w:tcW w:w="7853" w:type="dxa"/>
            <w:shd w:val="clear" w:color="auto" w:fill="auto"/>
            <w:noWrap/>
            <w:vAlign w:val="center"/>
          </w:tcPr>
          <w:p w14:paraId="1A279088">
            <w:pPr>
              <w:keepNext w:val="0"/>
              <w:keepLines w:val="0"/>
              <w:widowControl/>
              <w:suppressLineNumbers w:val="0"/>
              <w:spacing w:before="0" w:beforeAutospacing="0" w:after="0" w:afterAutospacing="0" w:line="360" w:lineRule="auto"/>
              <w:ind w:left="0" w:right="0"/>
              <w:rPr>
                <w:rFonts w:hint="eastAsia" w:ascii="宋体" w:hAnsi="宋体" w:eastAsia="宋体" w:cs="宋体"/>
                <w:szCs w:val="21"/>
                <w:highlight w:val="none"/>
              </w:rPr>
            </w:pPr>
            <w:r>
              <w:rPr>
                <w:rFonts w:hint="eastAsia" w:ascii="宋体" w:hAnsi="宋体" w:eastAsia="宋体" w:cs="宋体"/>
                <w:szCs w:val="21"/>
                <w:highlight w:val="none"/>
              </w:rPr>
              <w:t>合同签订后7个工作日内，采购人支付合同总额的30%作为预付款，剩余金额分2026-2027年2次平均支付。</w:t>
            </w:r>
          </w:p>
          <w:p w14:paraId="496B6C4A">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szCs w:val="21"/>
              </w:rPr>
            </w:pPr>
            <w:r>
              <w:rPr>
                <w:rFonts w:hint="eastAsia" w:ascii="宋体" w:hAnsi="宋体" w:eastAsia="宋体" w:cs="宋体"/>
                <w:szCs w:val="21"/>
                <w:highlight w:val="none"/>
              </w:rPr>
              <w:t>注：采购人最后一次付款前，中标人需已完成改造工作并通过验收，否则不予支付。</w:t>
            </w:r>
          </w:p>
        </w:tc>
      </w:tr>
      <w:tr w14:paraId="336C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6F1DEAB5">
            <w:pPr>
              <w:spacing w:line="300" w:lineRule="auto"/>
              <w:jc w:val="center"/>
              <w:rPr>
                <w:rFonts w:ascii="宋体" w:hAnsi="宋体" w:cs="宋体"/>
                <w:b/>
                <w:szCs w:val="21"/>
              </w:rPr>
            </w:pPr>
            <w:r>
              <w:rPr>
                <w:rFonts w:hint="eastAsia" w:ascii="宋体" w:hAnsi="宋体" w:cs="宋体"/>
                <w:b/>
                <w:szCs w:val="21"/>
              </w:rPr>
              <w:t>7</w:t>
            </w:r>
          </w:p>
        </w:tc>
        <w:tc>
          <w:tcPr>
            <w:tcW w:w="1546" w:type="dxa"/>
            <w:shd w:val="clear" w:color="auto" w:fill="E0E0E0"/>
            <w:noWrap/>
            <w:vAlign w:val="center"/>
          </w:tcPr>
          <w:p w14:paraId="1E4A26BF">
            <w:pPr>
              <w:spacing w:line="300" w:lineRule="auto"/>
              <w:jc w:val="center"/>
              <w:rPr>
                <w:rFonts w:ascii="宋体" w:hAnsi="宋体" w:cs="宋体"/>
                <w:b/>
                <w:szCs w:val="21"/>
              </w:rPr>
            </w:pPr>
            <w:r>
              <w:rPr>
                <w:rFonts w:hint="eastAsia" w:ascii="宋体" w:hAnsi="宋体" w:cs="宋体"/>
                <w:b/>
                <w:szCs w:val="21"/>
              </w:rPr>
              <w:t>投标有效期</w:t>
            </w:r>
          </w:p>
        </w:tc>
        <w:tc>
          <w:tcPr>
            <w:tcW w:w="7853" w:type="dxa"/>
            <w:shd w:val="clear" w:color="auto" w:fill="auto"/>
            <w:noWrap/>
            <w:vAlign w:val="center"/>
          </w:tcPr>
          <w:p w14:paraId="6D05CFAE">
            <w:pPr>
              <w:spacing w:line="300" w:lineRule="auto"/>
              <w:rPr>
                <w:rFonts w:ascii="宋体" w:hAnsi="宋体" w:cs="宋体"/>
                <w:szCs w:val="21"/>
              </w:rPr>
            </w:pPr>
            <w:r>
              <w:rPr>
                <w:rFonts w:hint="eastAsia" w:ascii="宋体" w:hAnsi="宋体" w:cs="宋体"/>
                <w:szCs w:val="21"/>
                <w:u w:val="single"/>
              </w:rPr>
              <w:t>90日</w:t>
            </w:r>
            <w:r>
              <w:rPr>
                <w:rFonts w:hint="eastAsia" w:ascii="宋体" w:hAnsi="宋体" w:cs="宋体"/>
                <w:szCs w:val="21"/>
              </w:rPr>
              <w:t>历天。（从投标截止之日算起）</w:t>
            </w:r>
          </w:p>
        </w:tc>
      </w:tr>
      <w:tr w14:paraId="7447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4ECAA8D9">
            <w:pPr>
              <w:spacing w:line="300" w:lineRule="auto"/>
              <w:jc w:val="center"/>
              <w:rPr>
                <w:rFonts w:ascii="宋体" w:hAnsi="宋体" w:cs="宋体"/>
                <w:b/>
                <w:szCs w:val="21"/>
              </w:rPr>
            </w:pPr>
            <w:r>
              <w:rPr>
                <w:rFonts w:hint="eastAsia" w:ascii="宋体" w:hAnsi="宋体" w:cs="宋体"/>
                <w:b/>
                <w:szCs w:val="21"/>
              </w:rPr>
              <w:t>8</w:t>
            </w:r>
          </w:p>
        </w:tc>
        <w:tc>
          <w:tcPr>
            <w:tcW w:w="1546" w:type="dxa"/>
            <w:shd w:val="clear" w:color="auto" w:fill="E0E0E0"/>
            <w:noWrap/>
            <w:vAlign w:val="center"/>
          </w:tcPr>
          <w:p w14:paraId="6EE60B5C">
            <w:pPr>
              <w:spacing w:line="300" w:lineRule="auto"/>
              <w:jc w:val="center"/>
              <w:rPr>
                <w:rFonts w:ascii="宋体" w:hAnsi="宋体" w:cs="宋体"/>
                <w:b/>
                <w:szCs w:val="21"/>
              </w:rPr>
            </w:pPr>
            <w:r>
              <w:rPr>
                <w:rFonts w:hint="eastAsia" w:ascii="宋体" w:hAnsi="宋体" w:cs="宋体"/>
                <w:b/>
                <w:szCs w:val="21"/>
              </w:rPr>
              <w:t>评标办法</w:t>
            </w:r>
          </w:p>
        </w:tc>
        <w:tc>
          <w:tcPr>
            <w:tcW w:w="7853" w:type="dxa"/>
            <w:shd w:val="clear" w:color="auto" w:fill="auto"/>
            <w:noWrap/>
            <w:vAlign w:val="center"/>
          </w:tcPr>
          <w:p w14:paraId="0F2594F1">
            <w:pPr>
              <w:spacing w:line="300" w:lineRule="auto"/>
              <w:rPr>
                <w:rFonts w:ascii="宋体" w:hAnsi="宋体" w:cs="宋体"/>
                <w:szCs w:val="21"/>
              </w:rPr>
            </w:pPr>
            <w:r>
              <w:rPr>
                <w:rFonts w:hint="eastAsia" w:ascii="宋体" w:hAnsi="宋体" w:cs="宋体"/>
                <w:szCs w:val="21"/>
              </w:rPr>
              <w:t>综合评分法</w:t>
            </w:r>
          </w:p>
        </w:tc>
      </w:tr>
      <w:tr w14:paraId="5CCC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4691D942">
            <w:pPr>
              <w:spacing w:line="300" w:lineRule="auto"/>
              <w:jc w:val="center"/>
              <w:rPr>
                <w:rFonts w:ascii="宋体" w:hAnsi="宋体" w:cs="宋体"/>
                <w:b/>
                <w:szCs w:val="21"/>
              </w:rPr>
            </w:pPr>
            <w:r>
              <w:rPr>
                <w:rFonts w:hint="eastAsia" w:ascii="宋体" w:hAnsi="宋体" w:cs="宋体"/>
                <w:b/>
                <w:szCs w:val="21"/>
              </w:rPr>
              <w:t>9</w:t>
            </w:r>
          </w:p>
        </w:tc>
        <w:tc>
          <w:tcPr>
            <w:tcW w:w="1546" w:type="dxa"/>
            <w:shd w:val="clear" w:color="auto" w:fill="E0E0E0"/>
            <w:noWrap/>
            <w:vAlign w:val="center"/>
          </w:tcPr>
          <w:p w14:paraId="3500BC70">
            <w:pPr>
              <w:spacing w:line="300" w:lineRule="auto"/>
              <w:jc w:val="center"/>
              <w:rPr>
                <w:rFonts w:ascii="宋体" w:hAnsi="宋体" w:cs="宋体"/>
                <w:b/>
                <w:szCs w:val="21"/>
              </w:rPr>
            </w:pPr>
            <w:r>
              <w:rPr>
                <w:rFonts w:hint="eastAsia" w:ascii="宋体" w:hAnsi="宋体" w:cs="宋体"/>
                <w:b/>
                <w:szCs w:val="21"/>
              </w:rPr>
              <w:t>投标报价</w:t>
            </w:r>
          </w:p>
          <w:p w14:paraId="42004BE5">
            <w:pPr>
              <w:spacing w:line="300" w:lineRule="auto"/>
              <w:jc w:val="center"/>
              <w:rPr>
                <w:rFonts w:ascii="宋体" w:hAnsi="宋体" w:cs="宋体"/>
                <w:b/>
                <w:szCs w:val="21"/>
              </w:rPr>
            </w:pPr>
            <w:r>
              <w:rPr>
                <w:rFonts w:hint="eastAsia" w:ascii="宋体" w:hAnsi="宋体" w:cs="宋体"/>
                <w:b/>
                <w:szCs w:val="21"/>
              </w:rPr>
              <w:t>与相关费用</w:t>
            </w:r>
          </w:p>
        </w:tc>
        <w:tc>
          <w:tcPr>
            <w:tcW w:w="7853" w:type="dxa"/>
            <w:shd w:val="clear" w:color="auto" w:fill="auto"/>
            <w:noWrap/>
            <w:vAlign w:val="center"/>
          </w:tcPr>
          <w:p w14:paraId="1CAB7D22">
            <w:pPr>
              <w:numPr>
                <w:ilvl w:val="0"/>
                <w:numId w:val="0"/>
              </w:numPr>
              <w:spacing w:line="300" w:lineRule="auto"/>
              <w:rPr>
                <w:rFonts w:ascii="宋体" w:hAnsi="宋体" w:cs="宋体"/>
                <w:szCs w:val="21"/>
                <w:lang w:val="zh-CN"/>
              </w:rPr>
            </w:pPr>
            <w:r>
              <w:rPr>
                <w:rFonts w:ascii="宋体" w:hAnsi="宋体" w:eastAsia="宋体" w:cs="宋体"/>
                <w:kern w:val="2"/>
                <w:sz w:val="21"/>
                <w:szCs w:val="21"/>
                <w:lang w:val="zh-CN" w:eastAsia="zh-CN" w:bidi="ar-SA"/>
              </w:rPr>
              <w:t>1.</w:t>
            </w:r>
            <w:r>
              <w:rPr>
                <w:rFonts w:hint="eastAsia" w:ascii="宋体" w:hAnsi="宋体" w:cs="宋体"/>
                <w:szCs w:val="21"/>
                <w:lang w:val="zh-CN"/>
              </w:rPr>
              <w:t>投标人所投报的投标报价为投标人所能承受的整个项目的一次性最终最低合同总价，</w:t>
            </w:r>
            <w:r>
              <w:rPr>
                <w:rFonts w:hint="eastAsia" w:ascii="宋体" w:hAnsi="宋体" w:cs="宋体"/>
                <w:szCs w:val="21"/>
                <w:lang w:val="en-US" w:eastAsia="zh-CN"/>
              </w:rPr>
              <w:t>包括但不限于</w:t>
            </w:r>
            <w:r>
              <w:rPr>
                <w:rFonts w:hint="eastAsia" w:ascii="宋体" w:hAnsi="宋体" w:cs="宋体"/>
                <w:szCs w:val="21"/>
                <w:lang w:val="zh-CN"/>
              </w:rPr>
              <w:t>完成本项目工作内容所需的一切费用。合同总价不得超过本项目对应的</w:t>
            </w:r>
            <w:r>
              <w:rPr>
                <w:rFonts w:hint="eastAsia" w:ascii="宋体" w:hAnsi="宋体" w:cs="宋体"/>
                <w:szCs w:val="21"/>
                <w:lang w:val="en-US" w:eastAsia="zh-CN"/>
              </w:rPr>
              <w:t>最高限价</w:t>
            </w:r>
            <w:r>
              <w:rPr>
                <w:rFonts w:hint="eastAsia" w:ascii="宋体" w:hAnsi="宋体" w:cs="宋体"/>
                <w:szCs w:val="21"/>
                <w:lang w:eastAsia="zh-CN"/>
              </w:rPr>
              <w:t>。</w:t>
            </w:r>
          </w:p>
          <w:p w14:paraId="39598E6A">
            <w:pPr>
              <w:spacing w:line="300" w:lineRule="auto"/>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.按国家规定由中标人缴纳的各种税收已包含在投标总价内，由中标人向税务机关缴纳相关费用。</w:t>
            </w:r>
          </w:p>
          <w:p w14:paraId="7777DFD4">
            <w:pPr>
              <w:spacing w:line="300" w:lineRule="auto"/>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.投标人应承担其参加本招标活动自身所发生的费用。</w:t>
            </w:r>
          </w:p>
          <w:p w14:paraId="652ED1A7">
            <w:pPr>
              <w:spacing w:line="360" w:lineRule="auto"/>
              <w:rPr>
                <w:rFonts w:ascii="宋体" w:hAnsi="宋体" w:cs="宋体"/>
                <w:szCs w:val="21"/>
                <w:highlight w:val="none"/>
              </w:rPr>
            </w:pPr>
            <w:r>
              <w:rPr>
                <w:rFonts w:hint="eastAsia" w:ascii="宋体" w:hAnsi="宋体" w:cs="宋体"/>
                <w:szCs w:val="21"/>
              </w:rPr>
              <w:t>4.中标人须缴纳招标代理服务费，招标代理服务收费标准金额为</w:t>
            </w:r>
            <w:r>
              <w:rPr>
                <w:rFonts w:hint="eastAsia" w:ascii="宋体" w:hAnsi="宋体" w:cs="宋体"/>
                <w:szCs w:val="21"/>
                <w:highlight w:val="none"/>
              </w:rPr>
              <w:t>：一次性收费</w:t>
            </w:r>
            <w:r>
              <w:rPr>
                <w:rFonts w:hint="eastAsia" w:ascii="宋体" w:hAnsi="宋体" w:cs="宋体"/>
                <w:szCs w:val="21"/>
                <w:highlight w:val="none"/>
                <w:lang w:val="en-US" w:eastAsia="zh-CN"/>
              </w:rPr>
              <w:t>叁万叁仟</w:t>
            </w:r>
            <w:r>
              <w:rPr>
                <w:rFonts w:hint="eastAsia" w:ascii="宋体" w:hAnsi="宋体" w:cs="宋体"/>
                <w:szCs w:val="21"/>
                <w:highlight w:val="none"/>
              </w:rPr>
              <w:t>圆整（¥</w:t>
            </w:r>
            <w:r>
              <w:rPr>
                <w:rFonts w:hint="eastAsia" w:ascii="宋体" w:hAnsi="宋体" w:cs="宋体"/>
                <w:szCs w:val="21"/>
                <w:highlight w:val="none"/>
                <w:lang w:val="en-US" w:eastAsia="zh-CN"/>
              </w:rPr>
              <w:t>33000.00</w:t>
            </w:r>
            <w:r>
              <w:rPr>
                <w:rFonts w:hint="eastAsia" w:ascii="宋体" w:hAnsi="宋体" w:cs="宋体"/>
                <w:szCs w:val="21"/>
                <w:highlight w:val="none"/>
              </w:rPr>
              <w:t>）</w:t>
            </w:r>
            <w:r>
              <w:rPr>
                <w:rFonts w:hint="eastAsia" w:ascii="宋体" w:hAnsi="宋体" w:cs="宋体"/>
                <w:sz w:val="21"/>
                <w:szCs w:val="21"/>
                <w:highlight w:val="none"/>
                <w:lang w:val="zh-CN"/>
              </w:rPr>
              <w:t>。</w:t>
            </w:r>
            <w:r>
              <w:rPr>
                <w:rFonts w:hint="eastAsia" w:ascii="宋体" w:hAnsi="宋体" w:cs="宋体"/>
                <w:szCs w:val="21"/>
                <w:highlight w:val="none"/>
                <w:lang w:val="zh-CN"/>
              </w:rPr>
              <w:t>支付方式及时间为：中标通知书发出时一次性支付给招标代理机构。</w:t>
            </w:r>
          </w:p>
          <w:p w14:paraId="20BB841E">
            <w:pPr>
              <w:spacing w:line="360" w:lineRule="auto"/>
              <w:rPr>
                <w:rFonts w:ascii="宋体" w:hAnsi="宋体" w:cs="宋体"/>
                <w:szCs w:val="21"/>
              </w:rPr>
            </w:pPr>
            <w:r>
              <w:rPr>
                <w:rFonts w:hint="eastAsia" w:ascii="宋体" w:hAnsi="宋体" w:cs="宋体"/>
                <w:szCs w:val="21"/>
              </w:rPr>
              <w:t>收款单位名称：中金招标有限责任公司舟山分公司</w:t>
            </w:r>
          </w:p>
          <w:p w14:paraId="35BCE374">
            <w:pPr>
              <w:spacing w:line="360" w:lineRule="auto"/>
              <w:rPr>
                <w:rFonts w:ascii="宋体" w:hAnsi="宋体" w:cs="宋体"/>
                <w:szCs w:val="21"/>
              </w:rPr>
            </w:pPr>
            <w:r>
              <w:rPr>
                <w:rFonts w:hint="eastAsia" w:ascii="宋体" w:hAnsi="宋体" w:cs="宋体"/>
                <w:szCs w:val="21"/>
              </w:rPr>
              <w:t>开户银行：中国建设银行股份有限公司舟山新城支行</w:t>
            </w:r>
          </w:p>
          <w:p w14:paraId="217F2EB9">
            <w:pPr>
              <w:spacing w:line="300" w:lineRule="auto"/>
              <w:rPr>
                <w:rFonts w:ascii="宋体" w:hAnsi="宋体" w:cs="宋体"/>
                <w:szCs w:val="21"/>
              </w:rPr>
            </w:pPr>
            <w:r>
              <w:rPr>
                <w:rFonts w:hint="eastAsia" w:ascii="宋体" w:hAnsi="宋体" w:cs="宋体"/>
                <w:szCs w:val="21"/>
              </w:rPr>
              <w:t>银行账号：3300 1706 2550 5300 3969</w:t>
            </w:r>
          </w:p>
          <w:p w14:paraId="4C82ACED">
            <w:pPr>
              <w:spacing w:line="300" w:lineRule="auto"/>
              <w:rPr>
                <w:rFonts w:ascii="宋体" w:hAnsi="宋体" w:cs="宋体"/>
                <w:szCs w:val="21"/>
              </w:rPr>
            </w:pPr>
            <w:r>
              <w:rPr>
                <w:rFonts w:hint="eastAsia" w:ascii="宋体" w:hAnsi="宋体" w:cs="宋体"/>
                <w:szCs w:val="21"/>
              </w:rPr>
              <w:t>5.中标、成交供应商放弃中标、成交资格导致重新采购的，承担支付代理费和专家评审费等费用在内的赔偿责任。</w:t>
            </w:r>
          </w:p>
        </w:tc>
      </w:tr>
      <w:tr w14:paraId="0A94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413A5A5C">
            <w:pPr>
              <w:spacing w:line="300" w:lineRule="auto"/>
              <w:jc w:val="center"/>
              <w:rPr>
                <w:rFonts w:ascii="宋体" w:hAnsi="宋体" w:cs="宋体"/>
                <w:b/>
                <w:szCs w:val="21"/>
              </w:rPr>
            </w:pPr>
            <w:r>
              <w:rPr>
                <w:rFonts w:hint="eastAsia" w:ascii="宋体" w:hAnsi="宋体" w:cs="宋体"/>
                <w:b/>
                <w:szCs w:val="21"/>
              </w:rPr>
              <w:t>10</w:t>
            </w:r>
          </w:p>
        </w:tc>
        <w:tc>
          <w:tcPr>
            <w:tcW w:w="1546" w:type="dxa"/>
            <w:shd w:val="clear" w:color="auto" w:fill="E0E0E0"/>
            <w:noWrap/>
            <w:vAlign w:val="center"/>
          </w:tcPr>
          <w:p w14:paraId="23A9F086">
            <w:pPr>
              <w:spacing w:line="300" w:lineRule="auto"/>
              <w:jc w:val="center"/>
              <w:rPr>
                <w:rFonts w:ascii="宋体" w:hAnsi="宋体" w:cs="宋体"/>
                <w:b/>
                <w:szCs w:val="21"/>
              </w:rPr>
            </w:pPr>
            <w:r>
              <w:rPr>
                <w:rFonts w:hint="eastAsia" w:ascii="宋体" w:hAnsi="宋体" w:cs="宋体"/>
                <w:b/>
                <w:szCs w:val="21"/>
              </w:rPr>
              <w:t>投标文件的组成</w:t>
            </w:r>
          </w:p>
        </w:tc>
        <w:tc>
          <w:tcPr>
            <w:tcW w:w="7853" w:type="dxa"/>
            <w:shd w:val="clear" w:color="auto" w:fill="auto"/>
            <w:noWrap/>
            <w:vAlign w:val="center"/>
          </w:tcPr>
          <w:p w14:paraId="2CF81920">
            <w:pPr>
              <w:spacing w:line="300" w:lineRule="auto"/>
              <w:rPr>
                <w:rFonts w:ascii="宋体" w:hAnsi="宋体" w:cs="宋体"/>
                <w:szCs w:val="21"/>
              </w:rPr>
            </w:pPr>
            <w:r>
              <w:rPr>
                <w:rFonts w:hint="eastAsia" w:ascii="宋体" w:hAnsi="宋体" w:cs="宋体"/>
                <w:szCs w:val="21"/>
              </w:rPr>
              <w:t>本项目实行网上投标。</w:t>
            </w:r>
          </w:p>
          <w:p w14:paraId="18FC886B">
            <w:pPr>
              <w:spacing w:line="300" w:lineRule="auto"/>
              <w:rPr>
                <w:rFonts w:ascii="宋体" w:hAnsi="宋体" w:cs="宋体"/>
                <w:szCs w:val="21"/>
              </w:rPr>
            </w:pPr>
            <w:r>
              <w:rPr>
                <w:rFonts w:hint="eastAsia" w:ascii="宋体" w:hAnsi="宋体" w:cs="宋体"/>
                <w:szCs w:val="21"/>
              </w:rPr>
              <w:t>投标人应准备电子投标文件、以介质存储的数据电文形式的备份投标文件：</w:t>
            </w:r>
          </w:p>
          <w:p w14:paraId="2750E1F4">
            <w:pPr>
              <w:spacing w:line="300" w:lineRule="auto"/>
              <w:rPr>
                <w:rFonts w:ascii="宋体" w:hAnsi="宋体" w:cs="宋体"/>
                <w:szCs w:val="21"/>
              </w:rPr>
            </w:pPr>
            <w:r>
              <w:rPr>
                <w:rFonts w:hint="eastAsia" w:ascii="宋体" w:hAnsi="宋体" w:cs="宋体"/>
                <w:szCs w:val="21"/>
              </w:rPr>
              <w:t>（1）电子投标文件，按政采云供应商项目采购-电子招投标操作指南及本招标文件要求制作，加密并递交。</w:t>
            </w:r>
          </w:p>
          <w:p w14:paraId="589D00D0">
            <w:pPr>
              <w:spacing w:line="300" w:lineRule="auto"/>
              <w:rPr>
                <w:rFonts w:ascii="宋体" w:hAnsi="宋体" w:cs="宋体"/>
                <w:b/>
                <w:szCs w:val="21"/>
              </w:rPr>
            </w:pPr>
            <w:r>
              <w:rPr>
                <w:rFonts w:hint="eastAsia" w:ascii="宋体" w:hAnsi="宋体" w:cs="宋体"/>
                <w:b/>
                <w:szCs w:val="21"/>
              </w:rPr>
              <w:t>（2）以介质存储的数据电文形式的备份投标文件，按政采云供应商项目采购-电子招投标操作指南中制作的电子投标文件，以光盘或U盘形式提供。数量为1份。</w:t>
            </w:r>
          </w:p>
        </w:tc>
      </w:tr>
      <w:tr w14:paraId="2AE5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18479F6A">
            <w:pPr>
              <w:spacing w:line="300" w:lineRule="auto"/>
              <w:jc w:val="center"/>
              <w:rPr>
                <w:rFonts w:ascii="宋体" w:hAnsi="宋体" w:cs="宋体"/>
                <w:b/>
                <w:szCs w:val="21"/>
              </w:rPr>
            </w:pPr>
            <w:r>
              <w:rPr>
                <w:rFonts w:hint="eastAsia" w:ascii="宋体" w:hAnsi="宋体" w:cs="宋体"/>
                <w:b/>
                <w:szCs w:val="21"/>
              </w:rPr>
              <w:t>11</w:t>
            </w:r>
          </w:p>
        </w:tc>
        <w:tc>
          <w:tcPr>
            <w:tcW w:w="1546" w:type="dxa"/>
            <w:shd w:val="clear" w:color="auto" w:fill="E0E0E0"/>
            <w:noWrap/>
            <w:vAlign w:val="center"/>
          </w:tcPr>
          <w:p w14:paraId="23F69F74">
            <w:pPr>
              <w:spacing w:line="300" w:lineRule="auto"/>
              <w:jc w:val="center"/>
              <w:rPr>
                <w:rFonts w:ascii="宋体" w:hAnsi="宋体" w:cs="宋体"/>
                <w:b/>
                <w:szCs w:val="21"/>
              </w:rPr>
            </w:pPr>
            <w:r>
              <w:rPr>
                <w:rFonts w:hint="eastAsia" w:ascii="宋体" w:hAnsi="宋体" w:cs="宋体"/>
                <w:b/>
                <w:szCs w:val="21"/>
              </w:rPr>
              <w:t>开标地点</w:t>
            </w:r>
          </w:p>
        </w:tc>
        <w:tc>
          <w:tcPr>
            <w:tcW w:w="7853" w:type="dxa"/>
            <w:shd w:val="clear" w:color="auto" w:fill="auto"/>
            <w:noWrap/>
            <w:vAlign w:val="center"/>
          </w:tcPr>
          <w:p w14:paraId="666226F2">
            <w:pPr>
              <w:spacing w:line="300" w:lineRule="auto"/>
              <w:rPr>
                <w:rFonts w:ascii="宋体" w:hAnsi="宋体" w:cs="宋体"/>
                <w:szCs w:val="21"/>
              </w:rPr>
            </w:pPr>
            <w:r>
              <w:rPr>
                <w:rFonts w:ascii="宋体" w:hAnsi="宋体" w:cs="宋体"/>
                <w:szCs w:val="21"/>
              </w:rPr>
              <w:t>岱山县高亭镇星河路250号3楼开标室（交通大楼裙楼3楼）</w:t>
            </w:r>
          </w:p>
        </w:tc>
      </w:tr>
      <w:tr w14:paraId="35FD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1581744F">
            <w:pPr>
              <w:spacing w:line="300" w:lineRule="auto"/>
              <w:jc w:val="center"/>
              <w:rPr>
                <w:rFonts w:ascii="宋体" w:hAnsi="宋体" w:cs="宋体"/>
                <w:b/>
                <w:szCs w:val="21"/>
              </w:rPr>
            </w:pPr>
            <w:r>
              <w:rPr>
                <w:rFonts w:hint="eastAsia" w:ascii="宋体" w:hAnsi="宋体" w:cs="宋体"/>
                <w:b/>
                <w:szCs w:val="21"/>
              </w:rPr>
              <w:t>12</w:t>
            </w:r>
          </w:p>
        </w:tc>
        <w:tc>
          <w:tcPr>
            <w:tcW w:w="1546" w:type="dxa"/>
            <w:shd w:val="clear" w:color="auto" w:fill="E0E0E0"/>
            <w:noWrap/>
            <w:vAlign w:val="center"/>
          </w:tcPr>
          <w:p w14:paraId="775FC9DE">
            <w:pPr>
              <w:spacing w:line="300" w:lineRule="auto"/>
              <w:jc w:val="center"/>
              <w:rPr>
                <w:rFonts w:ascii="宋体" w:hAnsi="宋体" w:cs="宋体"/>
                <w:b/>
                <w:szCs w:val="21"/>
              </w:rPr>
            </w:pPr>
            <w:r>
              <w:rPr>
                <w:rFonts w:hint="eastAsia" w:ascii="宋体" w:hAnsi="宋体" w:cs="宋体"/>
                <w:b/>
                <w:szCs w:val="21"/>
              </w:rPr>
              <w:t>投标文件的递交</w:t>
            </w:r>
          </w:p>
        </w:tc>
        <w:tc>
          <w:tcPr>
            <w:tcW w:w="7853" w:type="dxa"/>
            <w:shd w:val="clear" w:color="auto" w:fill="auto"/>
            <w:noWrap/>
            <w:vAlign w:val="center"/>
          </w:tcPr>
          <w:p w14:paraId="08D28DEB">
            <w:pPr>
              <w:adjustRightInd w:val="0"/>
              <w:snapToGrid w:val="0"/>
              <w:spacing w:line="360" w:lineRule="auto"/>
              <w:ind w:firstLine="420" w:firstLineChars="200"/>
              <w:rPr>
                <w:rFonts w:ascii="宋体" w:hAnsi="宋体" w:cs="宋体"/>
                <w:szCs w:val="21"/>
              </w:rPr>
            </w:pPr>
            <w:r>
              <w:rPr>
                <w:rFonts w:hint="eastAsia" w:ascii="宋体" w:hAnsi="宋体" w:cs="宋体"/>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2E14BF2F">
            <w:pPr>
              <w:snapToGrid w:val="0"/>
              <w:spacing w:line="360" w:lineRule="auto"/>
              <w:ind w:firstLine="420" w:firstLineChars="200"/>
              <w:jc w:val="left"/>
              <w:rPr>
                <w:rFonts w:ascii="宋体" w:hAnsi="宋体" w:cs="宋体"/>
                <w:szCs w:val="21"/>
              </w:rPr>
            </w:pPr>
            <w:r>
              <w:rPr>
                <w:rFonts w:hint="eastAsia" w:ascii="宋体" w:hAnsi="宋体" w:cs="宋体"/>
                <w:szCs w:val="21"/>
              </w:rPr>
              <w:t>投标人可以选择递交备份投标文件。备份投标文件须密封完好，注明投标人单位名称，并于投标截止时间前递交，否则采购代理机构将拒收。具体递交方式为开标日前通过邮寄、专人等形式送达采购代理机构地址或开标当天专人送达开标地点（联系人：龚思铮；联系方式：17377684037）</w:t>
            </w:r>
          </w:p>
          <w:p w14:paraId="639C5586">
            <w:pPr>
              <w:snapToGrid w:val="0"/>
              <w:spacing w:line="360" w:lineRule="auto"/>
              <w:jc w:val="left"/>
              <w:rPr>
                <w:rFonts w:ascii="宋体" w:hAnsi="宋体" w:cs="宋体"/>
                <w:szCs w:val="21"/>
              </w:rPr>
            </w:pPr>
            <w:r>
              <w:rPr>
                <w:rFonts w:hint="eastAsia" w:ascii="宋体" w:hAnsi="宋体" w:cs="宋体"/>
                <w:szCs w:val="21"/>
              </w:rPr>
              <w:t>投标人递交备份投标文件时，如出现下列情况之一的，将被拒收：</w:t>
            </w:r>
          </w:p>
          <w:p w14:paraId="09970B1D">
            <w:pPr>
              <w:snapToGrid w:val="0"/>
              <w:spacing w:line="360" w:lineRule="auto"/>
              <w:jc w:val="left"/>
              <w:rPr>
                <w:rFonts w:ascii="宋体" w:hAnsi="宋体" w:cs="宋体"/>
                <w:szCs w:val="21"/>
              </w:rPr>
            </w:pPr>
            <w:r>
              <w:rPr>
                <w:rFonts w:hint="eastAsia" w:ascii="宋体" w:hAnsi="宋体" w:cs="宋体"/>
                <w:szCs w:val="21"/>
              </w:rPr>
              <w:t>1、未按规定密封或标记的投标文件；</w:t>
            </w:r>
          </w:p>
          <w:p w14:paraId="1D3815F2">
            <w:pPr>
              <w:snapToGrid w:val="0"/>
              <w:spacing w:line="360" w:lineRule="auto"/>
              <w:jc w:val="left"/>
              <w:rPr>
                <w:rFonts w:ascii="宋体" w:hAnsi="宋体" w:cs="宋体"/>
                <w:szCs w:val="21"/>
              </w:rPr>
            </w:pPr>
            <w:r>
              <w:rPr>
                <w:rFonts w:hint="eastAsia" w:ascii="宋体" w:hAnsi="宋体" w:cs="宋体"/>
                <w:szCs w:val="21"/>
              </w:rPr>
              <w:t>2、由于包装不妥，在送交途中严重破损或失散的；</w:t>
            </w:r>
          </w:p>
          <w:p w14:paraId="2D814BD8">
            <w:pPr>
              <w:snapToGrid w:val="0"/>
              <w:spacing w:line="360" w:lineRule="auto"/>
              <w:jc w:val="left"/>
              <w:rPr>
                <w:rFonts w:ascii="宋体" w:hAnsi="宋体" w:cs="宋体"/>
                <w:szCs w:val="21"/>
              </w:rPr>
            </w:pPr>
            <w:r>
              <w:rPr>
                <w:rFonts w:hint="eastAsia" w:ascii="宋体" w:hAnsi="宋体" w:cs="宋体"/>
                <w:szCs w:val="21"/>
              </w:rPr>
              <w:t>3、超过投标截止时间送达的。</w:t>
            </w:r>
          </w:p>
          <w:p w14:paraId="304ED2E2">
            <w:pPr>
              <w:autoSpaceDE w:val="0"/>
              <w:autoSpaceDN w:val="0"/>
              <w:snapToGrid w:val="0"/>
              <w:spacing w:line="360" w:lineRule="auto"/>
              <w:jc w:val="left"/>
              <w:textAlignment w:val="bottom"/>
              <w:rPr>
                <w:rFonts w:ascii="宋体" w:hAnsi="宋体" w:cs="宋体"/>
                <w:szCs w:val="21"/>
              </w:rPr>
            </w:pPr>
            <w:r>
              <w:rPr>
                <w:rFonts w:hint="eastAsia" w:ascii="宋体" w:hAnsi="宋体" w:cs="宋体"/>
                <w:szCs w:val="21"/>
              </w:rPr>
              <w:t>4、仅提供备份投标文件的。</w:t>
            </w:r>
          </w:p>
          <w:p w14:paraId="06BFD9D4">
            <w:pPr>
              <w:spacing w:line="300" w:lineRule="auto"/>
              <w:rPr>
                <w:rFonts w:ascii="宋体" w:hAnsi="宋体" w:cs="宋体"/>
                <w:b/>
                <w:kern w:val="0"/>
                <w:szCs w:val="21"/>
              </w:rPr>
            </w:pPr>
            <w:r>
              <w:rPr>
                <w:rFonts w:hint="eastAsia" w:ascii="宋体" w:hAnsi="宋体" w:cs="宋体"/>
                <w:szCs w:val="21"/>
              </w:rPr>
              <w:t>当发生解密失败或未按时解密的，投标人提供了备份投标文件的，以备份投标文件为依据，否则视为投标文件撤回。投标文件已按时解密的，备份投标文件自动失效。</w:t>
            </w:r>
          </w:p>
        </w:tc>
      </w:tr>
      <w:tr w14:paraId="6C0F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0F7DE5A1">
            <w:pPr>
              <w:spacing w:line="300" w:lineRule="auto"/>
              <w:jc w:val="center"/>
              <w:rPr>
                <w:rFonts w:hint="default" w:ascii="宋体" w:hAnsi="宋体" w:eastAsia="宋体" w:cs="宋体"/>
                <w:b/>
                <w:szCs w:val="21"/>
                <w:lang w:val="en-US" w:eastAsia="zh-CN"/>
              </w:rPr>
            </w:pPr>
            <w:r>
              <w:rPr>
                <w:rFonts w:hint="eastAsia" w:ascii="宋体" w:hAnsi="宋体" w:cs="宋体"/>
                <w:b/>
                <w:szCs w:val="21"/>
                <w:lang w:val="en-US" w:eastAsia="zh-CN"/>
              </w:rPr>
              <w:t>13</w:t>
            </w:r>
          </w:p>
        </w:tc>
        <w:tc>
          <w:tcPr>
            <w:tcW w:w="1546" w:type="dxa"/>
            <w:shd w:val="clear" w:color="auto" w:fill="E0E0E0"/>
            <w:noWrap/>
            <w:vAlign w:val="center"/>
          </w:tcPr>
          <w:p w14:paraId="29F4E33F">
            <w:pPr>
              <w:spacing w:line="300" w:lineRule="auto"/>
              <w:jc w:val="center"/>
              <w:rPr>
                <w:rFonts w:ascii="宋体" w:hAnsi="宋体" w:cs="宋体"/>
                <w:b/>
                <w:szCs w:val="21"/>
              </w:rPr>
            </w:pPr>
            <w:r>
              <w:rPr>
                <w:rFonts w:hint="eastAsia" w:ascii="宋体" w:hAnsi="宋体" w:cs="宋体"/>
                <w:b/>
                <w:szCs w:val="21"/>
              </w:rPr>
              <w:t>投标文件提交截止时间及开标时间</w:t>
            </w:r>
          </w:p>
        </w:tc>
        <w:tc>
          <w:tcPr>
            <w:tcW w:w="7853" w:type="dxa"/>
            <w:shd w:val="clear" w:color="auto" w:fill="auto"/>
            <w:noWrap/>
            <w:vAlign w:val="center"/>
          </w:tcPr>
          <w:p w14:paraId="30D1D7CF">
            <w:pPr>
              <w:spacing w:line="300" w:lineRule="auto"/>
              <w:jc w:val="left"/>
              <w:rPr>
                <w:rFonts w:ascii="宋体" w:hAnsi="宋体"/>
                <w:b/>
                <w:szCs w:val="21"/>
              </w:rPr>
            </w:pPr>
            <w:r>
              <w:rPr>
                <w:rFonts w:hint="eastAsia" w:ascii="宋体" w:hAnsi="宋体"/>
                <w:b/>
                <w:bCs/>
                <w:szCs w:val="21"/>
              </w:rPr>
              <w:t>202</w:t>
            </w:r>
            <w:r>
              <w:rPr>
                <w:rFonts w:hint="eastAsia" w:ascii="宋体" w:hAnsi="宋体"/>
                <w:b/>
                <w:bCs/>
                <w:szCs w:val="21"/>
                <w:lang w:val="en-US" w:eastAsia="zh-CN"/>
              </w:rPr>
              <w:t>5</w:t>
            </w:r>
            <w:r>
              <w:rPr>
                <w:rFonts w:hint="eastAsia" w:ascii="宋体" w:hAnsi="宋体"/>
                <w:b/>
                <w:bCs/>
                <w:szCs w:val="21"/>
              </w:rPr>
              <w:t>年</w:t>
            </w:r>
            <w:r>
              <w:rPr>
                <w:rFonts w:hint="eastAsia" w:ascii="宋体" w:hAnsi="宋体"/>
                <w:b/>
                <w:bCs/>
                <w:szCs w:val="21"/>
                <w:lang w:val="en-US" w:eastAsia="zh-CN"/>
              </w:rPr>
              <w:t>7</w:t>
            </w:r>
            <w:r>
              <w:rPr>
                <w:rFonts w:hint="eastAsia" w:ascii="宋体" w:hAnsi="宋体"/>
                <w:b/>
                <w:bCs/>
                <w:szCs w:val="21"/>
              </w:rPr>
              <w:t>月</w:t>
            </w:r>
            <w:r>
              <w:rPr>
                <w:rFonts w:hint="eastAsia" w:ascii="宋体" w:hAnsi="宋体"/>
                <w:b/>
                <w:bCs/>
                <w:szCs w:val="21"/>
                <w:lang w:val="en-US" w:eastAsia="zh-CN"/>
              </w:rPr>
              <w:t>28</w:t>
            </w:r>
            <w:r>
              <w:rPr>
                <w:rFonts w:hint="eastAsia" w:ascii="宋体" w:hAnsi="宋体"/>
                <w:b/>
                <w:bCs/>
                <w:szCs w:val="21"/>
              </w:rPr>
              <w:t>日</w:t>
            </w:r>
            <w:r>
              <w:rPr>
                <w:rFonts w:hint="eastAsia" w:ascii="宋体" w:hAnsi="宋体"/>
                <w:b/>
                <w:bCs/>
                <w:szCs w:val="21"/>
                <w:lang w:val="en-US" w:eastAsia="zh-CN"/>
              </w:rPr>
              <w:t>09</w:t>
            </w:r>
            <w:r>
              <w:rPr>
                <w:rFonts w:hint="eastAsia" w:ascii="宋体" w:hAnsi="宋体"/>
                <w:b/>
                <w:bCs/>
                <w:szCs w:val="21"/>
              </w:rPr>
              <w:t>:</w:t>
            </w:r>
            <w:r>
              <w:rPr>
                <w:rFonts w:hint="eastAsia" w:ascii="宋体" w:hAnsi="宋体"/>
                <w:b/>
                <w:bCs/>
                <w:szCs w:val="21"/>
                <w:lang w:val="en-US" w:eastAsia="zh-CN"/>
              </w:rPr>
              <w:t>00</w:t>
            </w:r>
            <w:r>
              <w:rPr>
                <w:rFonts w:hint="eastAsia" w:ascii="宋体" w:hAnsi="宋体"/>
                <w:b/>
                <w:bCs/>
                <w:szCs w:val="21"/>
              </w:rPr>
              <w:t>（北京时间）</w:t>
            </w:r>
          </w:p>
        </w:tc>
      </w:tr>
      <w:tr w14:paraId="0D0D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restart"/>
            <w:shd w:val="clear" w:color="auto" w:fill="E0E0E0"/>
            <w:noWrap/>
            <w:vAlign w:val="center"/>
          </w:tcPr>
          <w:p w14:paraId="53398EEB">
            <w:pPr>
              <w:spacing w:line="300" w:lineRule="auto"/>
              <w:jc w:val="center"/>
              <w:rPr>
                <w:rFonts w:hint="default" w:ascii="宋体" w:hAnsi="宋体" w:eastAsia="宋体" w:cs="宋体"/>
                <w:b/>
                <w:szCs w:val="21"/>
                <w:lang w:val="en-US" w:eastAsia="zh-CN"/>
              </w:rPr>
            </w:pPr>
            <w:r>
              <w:rPr>
                <w:rFonts w:hint="eastAsia" w:ascii="宋体" w:hAnsi="宋体" w:cs="宋体"/>
                <w:b/>
                <w:szCs w:val="21"/>
                <w:lang w:val="en-US" w:eastAsia="zh-CN"/>
              </w:rPr>
              <w:t>14</w:t>
            </w:r>
          </w:p>
        </w:tc>
        <w:tc>
          <w:tcPr>
            <w:tcW w:w="1546" w:type="dxa"/>
            <w:vMerge w:val="restart"/>
            <w:shd w:val="clear" w:color="auto" w:fill="E0E0E0"/>
            <w:noWrap/>
            <w:vAlign w:val="center"/>
          </w:tcPr>
          <w:p w14:paraId="339013FD">
            <w:pPr>
              <w:spacing w:line="300" w:lineRule="auto"/>
              <w:jc w:val="center"/>
              <w:rPr>
                <w:rFonts w:ascii="宋体" w:hAnsi="宋体" w:cs="宋体"/>
                <w:b/>
                <w:szCs w:val="21"/>
              </w:rPr>
            </w:pPr>
            <w:r>
              <w:rPr>
                <w:rFonts w:hint="eastAsia" w:ascii="宋体" w:hAnsi="宋体" w:cs="宋体"/>
                <w:b/>
                <w:szCs w:val="21"/>
              </w:rPr>
              <w:t>中小企业</w:t>
            </w:r>
          </w:p>
          <w:p w14:paraId="628E6F1C">
            <w:pPr>
              <w:spacing w:line="300" w:lineRule="auto"/>
              <w:jc w:val="center"/>
              <w:rPr>
                <w:rFonts w:ascii="宋体" w:hAnsi="宋体" w:cs="宋体"/>
                <w:b/>
                <w:szCs w:val="21"/>
              </w:rPr>
            </w:pPr>
            <w:r>
              <w:rPr>
                <w:rFonts w:hint="eastAsia" w:ascii="宋体" w:hAnsi="宋体" w:cs="宋体"/>
                <w:b/>
                <w:szCs w:val="21"/>
              </w:rPr>
              <w:t>扶持政策</w:t>
            </w:r>
          </w:p>
        </w:tc>
        <w:tc>
          <w:tcPr>
            <w:tcW w:w="7853" w:type="dxa"/>
            <w:shd w:val="clear" w:color="auto" w:fill="auto"/>
            <w:noWrap/>
            <w:vAlign w:val="center"/>
          </w:tcPr>
          <w:p w14:paraId="292F32F9">
            <w:pPr>
              <w:spacing w:line="300" w:lineRule="auto"/>
              <w:jc w:val="left"/>
              <w:rPr>
                <w:rFonts w:ascii="宋体" w:hAnsi="宋体" w:cs="宋体"/>
                <w:b/>
                <w:kern w:val="0"/>
                <w:szCs w:val="21"/>
              </w:rPr>
            </w:pPr>
            <w:r>
              <w:rPr>
                <w:rFonts w:hint="eastAsia" w:ascii="宋体" w:hAnsi="宋体" w:cs="宋体"/>
                <w:b/>
                <w:kern w:val="0"/>
                <w:szCs w:val="21"/>
              </w:rPr>
              <w:t>本项目非专门面向中小企业采购。</w:t>
            </w:r>
          </w:p>
        </w:tc>
      </w:tr>
      <w:tr w14:paraId="6D62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noWrap/>
            <w:vAlign w:val="center"/>
          </w:tcPr>
          <w:p w14:paraId="51CD9BEF">
            <w:pPr>
              <w:spacing w:line="300" w:lineRule="auto"/>
              <w:jc w:val="center"/>
              <w:rPr>
                <w:rFonts w:ascii="宋体" w:hAnsi="宋体" w:cs="宋体"/>
                <w:b/>
                <w:szCs w:val="21"/>
              </w:rPr>
            </w:pPr>
          </w:p>
        </w:tc>
        <w:tc>
          <w:tcPr>
            <w:tcW w:w="1546" w:type="dxa"/>
            <w:vMerge w:val="continue"/>
            <w:shd w:val="clear" w:color="auto" w:fill="E0E0E0"/>
            <w:noWrap/>
            <w:vAlign w:val="center"/>
          </w:tcPr>
          <w:p w14:paraId="3B2C1B6C">
            <w:pPr>
              <w:spacing w:line="300" w:lineRule="auto"/>
              <w:jc w:val="center"/>
              <w:rPr>
                <w:rFonts w:ascii="宋体" w:hAnsi="宋体" w:cs="宋体"/>
                <w:b/>
                <w:szCs w:val="21"/>
              </w:rPr>
            </w:pPr>
          </w:p>
        </w:tc>
        <w:tc>
          <w:tcPr>
            <w:tcW w:w="7853" w:type="dxa"/>
            <w:shd w:val="clear" w:color="auto" w:fill="auto"/>
            <w:noWrap/>
            <w:vAlign w:val="center"/>
          </w:tcPr>
          <w:p w14:paraId="18132A12">
            <w:pPr>
              <w:spacing w:line="300" w:lineRule="auto"/>
              <w:jc w:val="left"/>
              <w:rPr>
                <w:rFonts w:ascii="宋体" w:hAnsi="宋体" w:cs="宋体"/>
                <w:b/>
                <w:kern w:val="0"/>
                <w:szCs w:val="21"/>
              </w:rPr>
            </w:pPr>
            <w:r>
              <w:rPr>
                <w:rFonts w:hint="eastAsia" w:ascii="宋体" w:hAnsi="宋体" w:cs="宋体"/>
                <w:b/>
                <w:kern w:val="0"/>
                <w:szCs w:val="21"/>
              </w:rPr>
              <w:t>本项目不接受联合体投标。</w:t>
            </w:r>
          </w:p>
        </w:tc>
      </w:tr>
      <w:tr w14:paraId="5227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noWrap/>
            <w:vAlign w:val="center"/>
          </w:tcPr>
          <w:p w14:paraId="31D9B6A0">
            <w:pPr>
              <w:spacing w:line="300" w:lineRule="auto"/>
              <w:jc w:val="center"/>
              <w:rPr>
                <w:rFonts w:ascii="宋体" w:hAnsi="宋体" w:cs="宋体"/>
                <w:b/>
                <w:szCs w:val="21"/>
              </w:rPr>
            </w:pPr>
          </w:p>
        </w:tc>
        <w:tc>
          <w:tcPr>
            <w:tcW w:w="1546" w:type="dxa"/>
            <w:vMerge w:val="continue"/>
            <w:shd w:val="clear" w:color="auto" w:fill="E0E0E0"/>
            <w:noWrap/>
            <w:vAlign w:val="center"/>
          </w:tcPr>
          <w:p w14:paraId="7D8B5531">
            <w:pPr>
              <w:spacing w:line="300" w:lineRule="auto"/>
              <w:jc w:val="center"/>
              <w:rPr>
                <w:rFonts w:ascii="宋体" w:hAnsi="宋体" w:cs="宋体"/>
                <w:b/>
                <w:szCs w:val="21"/>
              </w:rPr>
            </w:pPr>
          </w:p>
        </w:tc>
        <w:tc>
          <w:tcPr>
            <w:tcW w:w="7853" w:type="dxa"/>
            <w:shd w:val="clear" w:color="auto" w:fill="auto"/>
            <w:noWrap/>
            <w:vAlign w:val="center"/>
          </w:tcPr>
          <w:p w14:paraId="37C53D8E">
            <w:pPr>
              <w:spacing w:line="300" w:lineRule="auto"/>
              <w:jc w:val="left"/>
              <w:rPr>
                <w:rFonts w:ascii="宋体" w:hAnsi="宋体" w:cs="宋体"/>
                <w:b/>
                <w:kern w:val="0"/>
                <w:szCs w:val="21"/>
              </w:rPr>
            </w:pPr>
            <w:r>
              <w:rPr>
                <w:rFonts w:hint="eastAsia" w:ascii="宋体" w:hAnsi="宋体" w:cs="宋体"/>
                <w:b/>
                <w:kern w:val="0"/>
                <w:szCs w:val="21"/>
              </w:rPr>
              <w:t>本项目不允许分包、</w:t>
            </w:r>
            <w:r>
              <w:rPr>
                <w:rFonts w:hint="eastAsia" w:ascii="宋体" w:hAnsi="宋体" w:cs="宋体"/>
                <w:b/>
                <w:kern w:val="0"/>
                <w:szCs w:val="21"/>
                <w:lang w:val="en-US" w:eastAsia="zh-CN"/>
              </w:rPr>
              <w:t>转</w:t>
            </w:r>
            <w:r>
              <w:rPr>
                <w:rFonts w:hint="eastAsia" w:ascii="宋体" w:hAnsi="宋体" w:cs="宋体"/>
                <w:b/>
                <w:kern w:val="0"/>
                <w:szCs w:val="21"/>
              </w:rPr>
              <w:t>包。</w:t>
            </w:r>
          </w:p>
        </w:tc>
      </w:tr>
      <w:tr w14:paraId="6FDF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noWrap/>
            <w:vAlign w:val="center"/>
          </w:tcPr>
          <w:p w14:paraId="6BC5B26C">
            <w:pPr>
              <w:spacing w:line="300" w:lineRule="auto"/>
              <w:jc w:val="center"/>
              <w:rPr>
                <w:rFonts w:ascii="宋体" w:hAnsi="宋体" w:cs="宋体"/>
                <w:b/>
                <w:szCs w:val="21"/>
              </w:rPr>
            </w:pPr>
          </w:p>
        </w:tc>
        <w:tc>
          <w:tcPr>
            <w:tcW w:w="1546" w:type="dxa"/>
            <w:vMerge w:val="continue"/>
            <w:shd w:val="clear" w:color="auto" w:fill="E0E0E0"/>
            <w:noWrap/>
            <w:vAlign w:val="center"/>
          </w:tcPr>
          <w:p w14:paraId="1384AACA">
            <w:pPr>
              <w:spacing w:line="300" w:lineRule="auto"/>
              <w:jc w:val="center"/>
              <w:rPr>
                <w:rFonts w:ascii="宋体" w:hAnsi="宋体" w:cs="宋体"/>
                <w:b/>
                <w:szCs w:val="21"/>
              </w:rPr>
            </w:pPr>
          </w:p>
        </w:tc>
        <w:tc>
          <w:tcPr>
            <w:tcW w:w="7853" w:type="dxa"/>
            <w:shd w:val="clear" w:color="auto" w:fill="auto"/>
            <w:noWrap/>
            <w:vAlign w:val="center"/>
          </w:tcPr>
          <w:p w14:paraId="5C54F090">
            <w:pPr>
              <w:spacing w:line="300" w:lineRule="auto"/>
              <w:jc w:val="left"/>
              <w:rPr>
                <w:rFonts w:ascii="宋体" w:hAnsi="宋体" w:cs="宋体"/>
                <w:b/>
                <w:kern w:val="0"/>
                <w:szCs w:val="21"/>
              </w:rPr>
            </w:pPr>
            <w:r>
              <w:rPr>
                <w:rFonts w:hint="eastAsia" w:ascii="宋体" w:hAnsi="宋体" w:cs="宋体"/>
                <w:b/>
                <w:kern w:val="0"/>
                <w:szCs w:val="21"/>
              </w:rPr>
              <w:t>本项目采购标的对应的中小企业划分标准所属行业：软件和信息技术服务业</w:t>
            </w:r>
            <w:r>
              <w:rPr>
                <w:rFonts w:hint="eastAsia" w:ascii="宋体" w:hAnsi="宋体" w:eastAsia="宋体" w:cs="宋体"/>
                <w:b/>
                <w:kern w:val="0"/>
                <w:szCs w:val="21"/>
              </w:rPr>
              <w:t>。</w:t>
            </w:r>
          </w:p>
        </w:tc>
      </w:tr>
      <w:tr w14:paraId="46E6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noWrap/>
            <w:vAlign w:val="center"/>
          </w:tcPr>
          <w:p w14:paraId="40E1AFBD">
            <w:pPr>
              <w:spacing w:line="300" w:lineRule="auto"/>
              <w:jc w:val="center"/>
              <w:rPr>
                <w:rFonts w:ascii="宋体" w:hAnsi="宋体" w:cs="宋体"/>
                <w:b/>
                <w:szCs w:val="21"/>
              </w:rPr>
            </w:pPr>
          </w:p>
        </w:tc>
        <w:tc>
          <w:tcPr>
            <w:tcW w:w="1546" w:type="dxa"/>
            <w:vMerge w:val="continue"/>
            <w:shd w:val="clear" w:color="auto" w:fill="E0E0E0"/>
            <w:noWrap/>
            <w:vAlign w:val="center"/>
          </w:tcPr>
          <w:p w14:paraId="39EE534E">
            <w:pPr>
              <w:spacing w:line="300" w:lineRule="auto"/>
              <w:jc w:val="center"/>
              <w:rPr>
                <w:rFonts w:ascii="宋体" w:hAnsi="宋体" w:cs="宋体"/>
                <w:b/>
                <w:szCs w:val="21"/>
              </w:rPr>
            </w:pPr>
          </w:p>
        </w:tc>
        <w:tc>
          <w:tcPr>
            <w:tcW w:w="7853" w:type="dxa"/>
            <w:shd w:val="clear" w:color="auto" w:fill="auto"/>
            <w:noWrap/>
            <w:vAlign w:val="center"/>
          </w:tcPr>
          <w:p w14:paraId="60E91587">
            <w:pPr>
              <w:spacing w:line="300" w:lineRule="auto"/>
              <w:jc w:val="left"/>
              <w:rPr>
                <w:rFonts w:ascii="宋体" w:hAnsi="宋体" w:cs="宋体"/>
                <w:b/>
                <w:kern w:val="0"/>
                <w:szCs w:val="21"/>
              </w:rPr>
            </w:pPr>
            <w:r>
              <w:rPr>
                <w:rFonts w:hint="eastAsia" w:ascii="宋体" w:hAnsi="宋体" w:eastAsia="宋体" w:cs="宋体"/>
                <w:b/>
                <w:kern w:val="0"/>
                <w:szCs w:val="21"/>
              </w:rPr>
              <w:t>本项目为服务采购项目。</w:t>
            </w:r>
          </w:p>
        </w:tc>
      </w:tr>
      <w:tr w14:paraId="2C01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noWrap/>
            <w:vAlign w:val="center"/>
          </w:tcPr>
          <w:p w14:paraId="4C84CB64">
            <w:pPr>
              <w:spacing w:line="300" w:lineRule="auto"/>
              <w:jc w:val="center"/>
              <w:rPr>
                <w:rFonts w:ascii="宋体" w:hAnsi="宋体" w:cs="宋体"/>
                <w:b/>
                <w:szCs w:val="21"/>
              </w:rPr>
            </w:pPr>
          </w:p>
        </w:tc>
        <w:tc>
          <w:tcPr>
            <w:tcW w:w="1546" w:type="dxa"/>
            <w:vMerge w:val="continue"/>
            <w:shd w:val="clear" w:color="auto" w:fill="E0E0E0"/>
            <w:noWrap/>
            <w:vAlign w:val="center"/>
          </w:tcPr>
          <w:p w14:paraId="60DB6224">
            <w:pPr>
              <w:spacing w:line="300" w:lineRule="auto"/>
              <w:jc w:val="center"/>
              <w:rPr>
                <w:rFonts w:ascii="宋体" w:hAnsi="宋体" w:cs="宋体"/>
                <w:b/>
                <w:szCs w:val="21"/>
              </w:rPr>
            </w:pPr>
          </w:p>
        </w:tc>
        <w:tc>
          <w:tcPr>
            <w:tcW w:w="7853" w:type="dxa"/>
            <w:shd w:val="clear" w:color="auto" w:fill="auto"/>
            <w:noWrap/>
            <w:vAlign w:val="center"/>
          </w:tcPr>
          <w:p w14:paraId="3DF5B8E4">
            <w:pPr>
              <w:spacing w:line="360" w:lineRule="auto"/>
              <w:rPr>
                <w:rFonts w:ascii="宋体" w:hAnsi="宋体" w:cs="宋体"/>
                <w:b/>
                <w:kern w:val="0"/>
                <w:szCs w:val="21"/>
                <w:highlight w:val="none"/>
              </w:rPr>
            </w:pPr>
            <w:r>
              <w:rPr>
                <w:rFonts w:hint="eastAsia" w:ascii="宋体" w:hAnsi="宋体" w:cs="宋体"/>
                <w:b/>
                <w:kern w:val="0"/>
                <w:szCs w:val="21"/>
                <w:highlight w:val="none"/>
              </w:rPr>
              <w:t>一、根据《政府采购促进中小企业发展管理办法》（财库[2020]46号）规定：</w:t>
            </w:r>
          </w:p>
          <w:p w14:paraId="1835B1EC">
            <w:pPr>
              <w:spacing w:line="360" w:lineRule="auto"/>
              <w:rPr>
                <w:rFonts w:ascii="宋体" w:hAnsi="宋体" w:cs="宋体"/>
                <w:b/>
                <w:kern w:val="0"/>
                <w:szCs w:val="21"/>
                <w:highlight w:val="none"/>
              </w:rPr>
            </w:pPr>
            <w:r>
              <w:rPr>
                <w:rFonts w:hint="eastAsia" w:ascii="宋体" w:hAnsi="宋体" w:cs="宋体"/>
                <w:b/>
                <w:kern w:val="0"/>
                <w:szCs w:val="21"/>
                <w:highlight w:val="none"/>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1357FF82">
            <w:pPr>
              <w:spacing w:line="360" w:lineRule="auto"/>
              <w:rPr>
                <w:rFonts w:ascii="宋体" w:hAnsi="宋体" w:cs="宋体"/>
                <w:b/>
                <w:kern w:val="0"/>
                <w:szCs w:val="21"/>
                <w:highlight w:val="none"/>
              </w:rPr>
            </w:pPr>
            <w:r>
              <w:rPr>
                <w:rFonts w:hint="eastAsia" w:ascii="宋体" w:hAnsi="宋体" w:cs="宋体"/>
                <w:b/>
                <w:kern w:val="0"/>
                <w:szCs w:val="21"/>
                <w:highlight w:val="none"/>
              </w:rPr>
              <w:t>符合中小企业划分标准的个体工商户，在政府采购活动中视同中小企业。</w:t>
            </w:r>
          </w:p>
          <w:p w14:paraId="4D60C9F7">
            <w:pPr>
              <w:spacing w:line="360" w:lineRule="auto"/>
              <w:rPr>
                <w:rFonts w:ascii="宋体" w:hAnsi="宋体" w:cs="宋体"/>
                <w:b/>
                <w:kern w:val="0"/>
                <w:szCs w:val="21"/>
                <w:highlight w:val="none"/>
              </w:rPr>
            </w:pPr>
            <w:r>
              <w:rPr>
                <w:rFonts w:hint="eastAsia" w:ascii="宋体" w:hAnsi="宋体" w:cs="宋体"/>
                <w:b/>
                <w:kern w:val="0"/>
                <w:szCs w:val="21"/>
                <w:highlight w:val="none"/>
              </w:rPr>
              <w:t>2.在政府采购活动中，供应商提供的货物、工程或者服务符合下列情形的，享受本办法规定的中小企业扶持政策：</w:t>
            </w:r>
          </w:p>
          <w:p w14:paraId="7FAB74C8">
            <w:pPr>
              <w:spacing w:line="360" w:lineRule="auto"/>
              <w:rPr>
                <w:rFonts w:ascii="宋体" w:hAnsi="宋体" w:cs="宋体"/>
                <w:b/>
                <w:kern w:val="0"/>
                <w:szCs w:val="21"/>
                <w:highlight w:val="none"/>
              </w:rPr>
            </w:pPr>
            <w:r>
              <w:rPr>
                <w:rFonts w:hint="eastAsia" w:ascii="宋体" w:hAnsi="宋体" w:cs="宋体"/>
                <w:b/>
                <w:kern w:val="0"/>
                <w:szCs w:val="21"/>
                <w:highlight w:val="none"/>
              </w:rPr>
              <w:t xml:space="preserve">（1）在货物采购项目中，货物由中小企业制造，即货物由中小企业生产且使用该中小企业商号或者注册商标； </w:t>
            </w:r>
          </w:p>
          <w:p w14:paraId="3874B3D0">
            <w:pPr>
              <w:spacing w:line="360" w:lineRule="auto"/>
              <w:rPr>
                <w:rFonts w:ascii="宋体" w:hAnsi="宋体" w:cs="宋体"/>
                <w:b/>
                <w:kern w:val="0"/>
                <w:szCs w:val="21"/>
                <w:highlight w:val="none"/>
              </w:rPr>
            </w:pPr>
            <w:r>
              <w:rPr>
                <w:rFonts w:hint="eastAsia" w:ascii="宋体" w:hAnsi="宋体" w:cs="宋体"/>
                <w:b/>
                <w:kern w:val="0"/>
                <w:szCs w:val="21"/>
                <w:highlight w:val="none"/>
              </w:rPr>
              <w:t xml:space="preserve">（2）在工程采购项目中，工程由中小企业承建，即工程施工单位为中小企业； </w:t>
            </w:r>
          </w:p>
          <w:p w14:paraId="44A22BEF">
            <w:pPr>
              <w:spacing w:line="360" w:lineRule="auto"/>
              <w:rPr>
                <w:rFonts w:ascii="宋体" w:hAnsi="宋体" w:cs="宋体"/>
                <w:b/>
                <w:kern w:val="0"/>
                <w:szCs w:val="21"/>
                <w:highlight w:val="none"/>
              </w:rPr>
            </w:pPr>
            <w:r>
              <w:rPr>
                <w:rFonts w:hint="eastAsia" w:ascii="宋体" w:hAnsi="宋体" w:cs="宋体"/>
                <w:b/>
                <w:kern w:val="0"/>
                <w:szCs w:val="21"/>
                <w:highlight w:val="none"/>
              </w:rPr>
              <w:t xml:space="preserve">（3）在服务采购项目中，服务由中小企业承接，即提供服务的人员为中小企业依照《中华人民共和国劳动合同法》订立劳动合同的从业人员。 </w:t>
            </w:r>
          </w:p>
          <w:p w14:paraId="5D820D5C">
            <w:pPr>
              <w:spacing w:line="360" w:lineRule="auto"/>
              <w:rPr>
                <w:rFonts w:ascii="宋体" w:hAnsi="宋体" w:cs="宋体"/>
                <w:b/>
                <w:kern w:val="0"/>
                <w:szCs w:val="21"/>
                <w:highlight w:val="none"/>
              </w:rPr>
            </w:pPr>
            <w:r>
              <w:rPr>
                <w:rFonts w:hint="eastAsia" w:ascii="宋体" w:hAnsi="宋体" w:cs="宋体"/>
                <w:b/>
                <w:kern w:val="0"/>
                <w:szCs w:val="21"/>
                <w:highlight w:val="none"/>
              </w:rPr>
              <w:t>在货物采购项目中，供应商提供的货物既有中小企业制造货物，也有大型企业制造货物的，不享受本办法规定的中小企业扶持政策。</w:t>
            </w:r>
          </w:p>
          <w:p w14:paraId="55E362E9">
            <w:pPr>
              <w:spacing w:line="360" w:lineRule="auto"/>
              <w:rPr>
                <w:rFonts w:ascii="宋体" w:hAnsi="宋体" w:cs="宋体"/>
                <w:b/>
                <w:kern w:val="0"/>
                <w:szCs w:val="21"/>
                <w:highlight w:val="none"/>
              </w:rPr>
            </w:pPr>
            <w:r>
              <w:rPr>
                <w:rFonts w:hint="eastAsia" w:ascii="宋体" w:hAnsi="宋体" w:cs="宋体"/>
                <w:b/>
                <w:kern w:val="0"/>
                <w:szCs w:val="21"/>
                <w:highlight w:val="none"/>
              </w:rPr>
              <w:t>3.在政府采购活动中，监狱企业、残疾人福利性单位视同小型、微型企业，享受本办法规定的中小企业扶持政策；监狱企业、残疾人福利性单位属于小型、微型企业的，不重复享受政策。</w:t>
            </w:r>
          </w:p>
          <w:p w14:paraId="672BBB99">
            <w:pPr>
              <w:spacing w:line="360" w:lineRule="auto"/>
              <w:rPr>
                <w:rFonts w:ascii="宋体" w:hAnsi="宋体" w:cs="宋体"/>
                <w:b/>
                <w:kern w:val="0"/>
                <w:szCs w:val="21"/>
                <w:highlight w:val="none"/>
              </w:rPr>
            </w:pPr>
            <w:r>
              <w:rPr>
                <w:rFonts w:hint="eastAsia" w:ascii="宋体" w:hAnsi="宋体" w:cs="宋体"/>
                <w:b/>
                <w:kern w:val="0"/>
                <w:szCs w:val="21"/>
                <w:highlight w:val="none"/>
              </w:rPr>
              <w:t>二、本项目中小企业扶持政策：</w:t>
            </w:r>
          </w:p>
          <w:p w14:paraId="7A462774">
            <w:pPr>
              <w:spacing w:line="360" w:lineRule="auto"/>
              <w:rPr>
                <w:rFonts w:ascii="宋体" w:hAnsi="宋体" w:cs="宋体"/>
                <w:b/>
                <w:kern w:val="0"/>
                <w:szCs w:val="21"/>
                <w:highlight w:val="none"/>
              </w:rPr>
            </w:pPr>
            <w:r>
              <w:rPr>
                <w:rFonts w:hint="eastAsia" w:ascii="宋体" w:hAnsi="宋体" w:cs="宋体"/>
                <w:b/>
                <w:kern w:val="0"/>
                <w:szCs w:val="21"/>
                <w:highlight w:val="none"/>
              </w:rPr>
              <w:t>1.【评审中价格扣除政策】根据相关政策，本项目对符合本办法规定的小微企业报价给予10%的扣除，用扣除后的价格参加评审。</w:t>
            </w:r>
          </w:p>
          <w:p w14:paraId="778FAB19">
            <w:pPr>
              <w:spacing w:line="360" w:lineRule="auto"/>
              <w:rPr>
                <w:rFonts w:ascii="宋体" w:hAnsi="宋体" w:cs="宋体"/>
                <w:b/>
                <w:kern w:val="0"/>
                <w:szCs w:val="21"/>
                <w:highlight w:val="none"/>
              </w:rPr>
            </w:pPr>
            <w:r>
              <w:rPr>
                <w:rFonts w:hint="eastAsia" w:ascii="宋体" w:hAnsi="宋体" w:cs="宋体"/>
                <w:b/>
                <w:kern w:val="0"/>
                <w:szCs w:val="21"/>
                <w:highlight w:val="none"/>
              </w:rPr>
              <w:t>（1）小微企业须提供《中小企业声明函》，附在报价文件内，否则不享受评审中价格扣除政策；</w:t>
            </w:r>
          </w:p>
          <w:p w14:paraId="118F644E">
            <w:pPr>
              <w:spacing w:line="360" w:lineRule="auto"/>
              <w:rPr>
                <w:rFonts w:ascii="宋体" w:hAnsi="宋体" w:cs="宋体"/>
                <w:b/>
                <w:kern w:val="0"/>
                <w:szCs w:val="21"/>
              </w:rPr>
            </w:pPr>
            <w:r>
              <w:rPr>
                <w:rFonts w:hint="eastAsia" w:ascii="宋体" w:hAnsi="宋体" w:cs="宋体"/>
                <w:b/>
                <w:kern w:val="0"/>
                <w:szCs w:val="21"/>
                <w:highlight w:val="none"/>
              </w:rPr>
              <w:t>（2）监狱企业须提供由省级以上监狱管理局、戒毒管理局（含新疆生产建设兵团）出具的属于监狱企业的证明文件，附在报价文件内，否则不享受评审中价格扣除政策；（3）残疾人福利性单位须提供《残疾人福利性单位声明函》，附在报价文件内，否则不享受评审中价格扣除政策。</w:t>
            </w:r>
          </w:p>
        </w:tc>
      </w:tr>
    </w:tbl>
    <w:p w14:paraId="685B4316">
      <w:pPr>
        <w:rPr>
          <w:rFonts w:hint="eastAsia" w:ascii="Times New Roman" w:hAnsi="Times New Roman" w:eastAsia="宋体" w:cs="Times New Roman"/>
          <w:kern w:val="2"/>
          <w:sz w:val="21"/>
          <w:lang w:val="en-US" w:eastAsia="zh-CN" w:bidi="ar-SA"/>
        </w:rPr>
      </w:pPr>
      <w:bookmarkStart w:id="24" w:name="_Toc24672"/>
    </w:p>
    <w:p w14:paraId="7CE83217">
      <w:pPr>
        <w:snapToGrid w:val="0"/>
        <w:spacing w:line="276" w:lineRule="auto"/>
        <w:jc w:val="center"/>
        <w:outlineLvl w:val="1"/>
        <w:rPr>
          <w:rFonts w:ascii="宋体" w:hAnsi="宋体" w:cs="宋体"/>
          <w:b/>
          <w:szCs w:val="21"/>
        </w:rPr>
      </w:pPr>
      <w:r>
        <w:rPr>
          <w:rFonts w:hint="eastAsia" w:ascii="宋体" w:hAnsi="宋体" w:cs="宋体"/>
          <w:b/>
          <w:szCs w:val="21"/>
        </w:rPr>
        <w:t>一、总  则</w:t>
      </w:r>
      <w:bookmarkEnd w:id="24"/>
    </w:p>
    <w:p w14:paraId="5F8E3373">
      <w:pPr>
        <w:pStyle w:val="3"/>
        <w:snapToGrid w:val="0"/>
        <w:spacing w:before="120" w:after="120" w:line="360" w:lineRule="auto"/>
        <w:ind w:firstLine="422" w:firstLineChars="200"/>
        <w:rPr>
          <w:rFonts w:hAnsi="宋体" w:eastAsia="宋体" w:cs="宋体"/>
          <w:b/>
          <w:sz w:val="21"/>
          <w:szCs w:val="21"/>
        </w:rPr>
      </w:pPr>
      <w:r>
        <w:rPr>
          <w:rFonts w:hint="eastAsia" w:hAnsi="宋体" w:eastAsia="宋体" w:cs="宋体"/>
          <w:b/>
          <w:sz w:val="21"/>
          <w:szCs w:val="21"/>
        </w:rPr>
        <w:t>（一）适用范围</w:t>
      </w:r>
    </w:p>
    <w:p w14:paraId="078BF3B9">
      <w:pPr>
        <w:pStyle w:val="3"/>
        <w:snapToGrid w:val="0"/>
        <w:spacing w:line="360" w:lineRule="auto"/>
        <w:ind w:firstLine="420" w:firstLineChars="200"/>
        <w:rPr>
          <w:rFonts w:hAnsi="宋体" w:eastAsia="宋体" w:cs="宋体"/>
          <w:sz w:val="21"/>
          <w:szCs w:val="21"/>
        </w:rPr>
      </w:pPr>
      <w:r>
        <w:rPr>
          <w:rFonts w:hint="eastAsia" w:hAnsi="宋体" w:eastAsia="宋体" w:cs="宋体"/>
          <w:sz w:val="21"/>
          <w:szCs w:val="21"/>
        </w:rPr>
        <w:t>本招标文件适用于本次项目的评标、定标、验收、合同履约、付款等（法律、法规另有规定的，从其规定）。</w:t>
      </w:r>
    </w:p>
    <w:p w14:paraId="546EB5D1">
      <w:pPr>
        <w:snapToGrid w:val="0"/>
        <w:spacing w:line="360" w:lineRule="auto"/>
        <w:ind w:firstLine="422" w:firstLineChars="200"/>
        <w:jc w:val="left"/>
        <w:rPr>
          <w:rFonts w:ascii="宋体" w:hAnsi="宋体" w:cs="宋体"/>
          <w:b/>
          <w:szCs w:val="21"/>
        </w:rPr>
      </w:pPr>
      <w:r>
        <w:rPr>
          <w:rFonts w:hint="eastAsia" w:ascii="宋体" w:hAnsi="宋体" w:cs="宋体"/>
          <w:b/>
          <w:szCs w:val="21"/>
        </w:rPr>
        <w:t>（二）定义</w:t>
      </w:r>
    </w:p>
    <w:p w14:paraId="7255D99F">
      <w:pPr>
        <w:pStyle w:val="3"/>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1、“采购人”、“招标人”系指组织本次采购的单位：</w:t>
      </w:r>
      <w:r>
        <w:rPr>
          <w:rFonts w:hint="eastAsia" w:hAnsi="宋体" w:eastAsia="宋体" w:cs="宋体"/>
          <w:sz w:val="21"/>
          <w:szCs w:val="21"/>
          <w:lang w:eastAsia="zh-CN"/>
        </w:rPr>
        <w:t>岱山县数据服务中心</w:t>
      </w:r>
      <w:r>
        <w:rPr>
          <w:rFonts w:hint="eastAsia" w:ascii="宋体" w:hAnsi="宋体" w:eastAsia="宋体" w:cs="宋体"/>
          <w:sz w:val="21"/>
          <w:szCs w:val="21"/>
        </w:rPr>
        <w:t>。</w:t>
      </w:r>
    </w:p>
    <w:p w14:paraId="26BFB2FF">
      <w:pPr>
        <w:pStyle w:val="3"/>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2、“采购代理机构”系指中金招标有限责任公司。</w:t>
      </w:r>
    </w:p>
    <w:p w14:paraId="78D4961E">
      <w:pPr>
        <w:pStyle w:val="3"/>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3、“投标人”系指向采购代理机构提交投标文件的供应商。</w:t>
      </w:r>
    </w:p>
    <w:p w14:paraId="48B0637E">
      <w:pPr>
        <w:pStyle w:val="3"/>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4、“中标人”系指经评审小组评定，且审查通过，并经公示无异议的合格投标人。</w:t>
      </w:r>
    </w:p>
    <w:p w14:paraId="208ED5B2">
      <w:pPr>
        <w:pStyle w:val="3"/>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5、“投标人代表”系指全权代表投标人参加本次投标活动并签署投标文件的人，如果投标人代表不是投标人的法定代表人，须提供《法定代表人授权函》。</w:t>
      </w:r>
    </w:p>
    <w:p w14:paraId="2BAC0A17">
      <w:pPr>
        <w:pStyle w:val="3"/>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6、“产品”系指供方按招标文件规定，须向采购人提供的一切产品、保险、税金、备品备件、工具、手册及其它有关技术资料和材料。</w:t>
      </w:r>
    </w:p>
    <w:p w14:paraId="44E5B09F">
      <w:pPr>
        <w:pStyle w:val="3"/>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7、“服务”系指招标文件规定投标人须承担的安装、调试、技术协助、校准、培训、数据服务以及其他类似的义务。</w:t>
      </w:r>
    </w:p>
    <w:p w14:paraId="28CA755D">
      <w:pPr>
        <w:pStyle w:val="3"/>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8、“项目”系指投标人按招标文件规定向采购人提供的产品和服务。</w:t>
      </w:r>
    </w:p>
    <w:p w14:paraId="7A95D4A7">
      <w:pPr>
        <w:pStyle w:val="3"/>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9、“书面形式”包括信函、传真、快递、电报等。</w:t>
      </w:r>
    </w:p>
    <w:p w14:paraId="6EF6115D">
      <w:pPr>
        <w:pStyle w:val="3"/>
        <w:snapToGrid w:val="0"/>
        <w:spacing w:line="360" w:lineRule="auto"/>
        <w:ind w:firstLine="417" w:firstLineChars="198"/>
      </w:pPr>
      <w:r>
        <w:rPr>
          <w:rFonts w:hint="eastAsia" w:hAnsi="宋体" w:eastAsia="宋体" w:cs="宋体"/>
          <w:b/>
          <w:bCs/>
          <w:sz w:val="21"/>
          <w:szCs w:val="21"/>
        </w:rPr>
        <w:t>10、</w:t>
      </w:r>
      <w:r>
        <w:rPr>
          <w:rFonts w:hint="eastAsia" w:hAnsi="宋体" w:eastAsia="宋体" w:cs="宋体"/>
          <w:b/>
          <w:bCs/>
          <w:sz w:val="21"/>
          <w:szCs w:val="21"/>
          <w:lang w:val="en-GB"/>
        </w:rPr>
        <w:t>“▲”为本项目实质性</w:t>
      </w:r>
      <w:r>
        <w:rPr>
          <w:rFonts w:hint="eastAsia" w:hAnsi="宋体" w:eastAsia="宋体" w:cs="宋体"/>
          <w:b/>
          <w:bCs/>
          <w:sz w:val="21"/>
          <w:szCs w:val="21"/>
        </w:rPr>
        <w:t>条款</w:t>
      </w:r>
      <w:r>
        <w:rPr>
          <w:rFonts w:hint="eastAsia" w:hAnsi="宋体" w:eastAsia="宋体" w:cs="宋体"/>
          <w:b/>
          <w:bCs/>
          <w:sz w:val="21"/>
          <w:szCs w:val="21"/>
          <w:lang w:val="en-GB"/>
        </w:rPr>
        <w:t>，不允许出现负偏离，否则投标无效；“★”为重要</w:t>
      </w:r>
      <w:r>
        <w:rPr>
          <w:rFonts w:hint="eastAsia" w:hAnsi="宋体" w:eastAsia="宋体" w:cs="宋体"/>
          <w:b/>
          <w:bCs/>
          <w:sz w:val="21"/>
          <w:szCs w:val="21"/>
        </w:rPr>
        <w:t>条款。</w:t>
      </w:r>
    </w:p>
    <w:p w14:paraId="56713F63">
      <w:pPr>
        <w:snapToGrid w:val="0"/>
        <w:spacing w:line="360" w:lineRule="auto"/>
        <w:ind w:firstLine="422" w:firstLineChars="200"/>
        <w:jc w:val="left"/>
        <w:rPr>
          <w:rFonts w:ascii="宋体" w:hAnsi="宋体" w:cs="宋体"/>
          <w:b/>
          <w:szCs w:val="21"/>
        </w:rPr>
      </w:pPr>
      <w:r>
        <w:rPr>
          <w:rFonts w:hint="eastAsia" w:ascii="宋体" w:hAnsi="宋体" w:cs="宋体"/>
          <w:b/>
          <w:szCs w:val="21"/>
        </w:rPr>
        <w:t>（三）采购方式</w:t>
      </w:r>
    </w:p>
    <w:p w14:paraId="3466C06C">
      <w:pPr>
        <w:pStyle w:val="3"/>
        <w:snapToGrid w:val="0"/>
        <w:spacing w:line="360" w:lineRule="auto"/>
        <w:ind w:firstLine="420" w:firstLineChars="200"/>
        <w:rPr>
          <w:rFonts w:hAnsi="宋体" w:eastAsia="宋体" w:cs="宋体"/>
          <w:sz w:val="21"/>
          <w:szCs w:val="21"/>
        </w:rPr>
      </w:pPr>
      <w:r>
        <w:rPr>
          <w:rFonts w:hint="eastAsia" w:hAnsi="宋体" w:eastAsia="宋体" w:cs="宋体"/>
          <w:sz w:val="21"/>
          <w:szCs w:val="21"/>
        </w:rPr>
        <w:t>本次采用公开招标方式进行。</w:t>
      </w:r>
    </w:p>
    <w:p w14:paraId="50BA9DC6">
      <w:pPr>
        <w:pStyle w:val="3"/>
        <w:snapToGrid w:val="0"/>
        <w:spacing w:line="360" w:lineRule="auto"/>
        <w:ind w:firstLine="417" w:firstLineChars="198"/>
        <w:rPr>
          <w:rFonts w:hint="default" w:hAnsi="宋体" w:eastAsia="宋体" w:cs="宋体"/>
          <w:b/>
          <w:sz w:val="21"/>
          <w:szCs w:val="21"/>
          <w:lang w:val="en-US" w:eastAsia="zh-CN"/>
        </w:rPr>
      </w:pPr>
      <w:r>
        <w:rPr>
          <w:rFonts w:hint="eastAsia" w:hAnsi="宋体" w:eastAsia="宋体" w:cs="宋体"/>
          <w:b/>
          <w:sz w:val="21"/>
          <w:szCs w:val="21"/>
        </w:rPr>
        <w:t>（四）</w:t>
      </w:r>
      <w:r>
        <w:rPr>
          <w:rFonts w:hint="eastAsia" w:hAnsi="宋体" w:eastAsia="宋体" w:cs="宋体"/>
          <w:b/>
          <w:sz w:val="21"/>
          <w:szCs w:val="21"/>
          <w:lang w:val="en-US" w:eastAsia="zh-CN"/>
        </w:rPr>
        <w:t>最高限价</w:t>
      </w:r>
    </w:p>
    <w:p w14:paraId="77447545">
      <w:pPr>
        <w:snapToGrid w:val="0"/>
        <w:spacing w:line="360" w:lineRule="auto"/>
        <w:ind w:firstLine="422" w:firstLineChars="200"/>
        <w:jc w:val="left"/>
        <w:rPr>
          <w:rFonts w:ascii="宋体" w:hAnsi="宋体" w:cs="宋体"/>
          <w:b/>
          <w:szCs w:val="21"/>
        </w:rPr>
      </w:pPr>
      <w:r>
        <w:rPr>
          <w:rFonts w:hint="eastAsia" w:ascii="宋体" w:hAnsi="宋体" w:cs="宋体"/>
          <w:b/>
          <w:szCs w:val="21"/>
          <w:lang w:val="en-US" w:eastAsia="zh-CN"/>
        </w:rPr>
        <w:t>3406000元</w:t>
      </w:r>
      <w:r>
        <w:rPr>
          <w:rFonts w:hint="eastAsia" w:ascii="宋体" w:hAnsi="宋体" w:cs="宋体"/>
          <w:b/>
          <w:szCs w:val="21"/>
        </w:rPr>
        <w:t>；超过作投标无效处理。</w:t>
      </w:r>
    </w:p>
    <w:p w14:paraId="1C45529D">
      <w:pPr>
        <w:snapToGrid w:val="0"/>
        <w:spacing w:line="360" w:lineRule="auto"/>
        <w:ind w:firstLine="422" w:firstLineChars="200"/>
        <w:jc w:val="left"/>
        <w:rPr>
          <w:rFonts w:ascii="宋体" w:hAnsi="宋体" w:cs="宋体"/>
          <w:b/>
          <w:szCs w:val="21"/>
        </w:rPr>
      </w:pPr>
      <w:r>
        <w:rPr>
          <w:rFonts w:hint="eastAsia" w:ascii="宋体" w:hAnsi="宋体" w:cs="宋体"/>
          <w:b/>
          <w:szCs w:val="21"/>
        </w:rPr>
        <w:t>（五）联合体投标</w:t>
      </w:r>
    </w:p>
    <w:p w14:paraId="3A334D40">
      <w:pPr>
        <w:pStyle w:val="3"/>
        <w:snapToGrid w:val="0"/>
        <w:spacing w:line="360" w:lineRule="auto"/>
        <w:ind w:firstLine="420" w:firstLineChars="200"/>
        <w:rPr>
          <w:rFonts w:hAnsi="宋体" w:eastAsia="宋体" w:cs="宋体"/>
          <w:sz w:val="21"/>
          <w:szCs w:val="21"/>
        </w:rPr>
      </w:pPr>
      <w:r>
        <w:rPr>
          <w:rFonts w:hint="eastAsia" w:hAnsi="宋体" w:eastAsia="宋体" w:cs="宋体"/>
          <w:sz w:val="21"/>
          <w:szCs w:val="21"/>
        </w:rPr>
        <w:t>不接受联合体投标。</w:t>
      </w:r>
    </w:p>
    <w:p w14:paraId="53D19D84">
      <w:pPr>
        <w:snapToGrid w:val="0"/>
        <w:spacing w:line="360" w:lineRule="auto"/>
        <w:ind w:firstLine="422" w:firstLineChars="200"/>
        <w:jc w:val="left"/>
        <w:rPr>
          <w:rFonts w:ascii="宋体" w:hAnsi="宋体" w:cs="宋体"/>
          <w:b/>
          <w:szCs w:val="21"/>
        </w:rPr>
      </w:pPr>
      <w:r>
        <w:rPr>
          <w:rFonts w:hint="eastAsia" w:ascii="宋体" w:hAnsi="宋体" w:cs="宋体"/>
          <w:b/>
          <w:szCs w:val="21"/>
        </w:rPr>
        <w:t>（六）转包与分包</w:t>
      </w:r>
    </w:p>
    <w:p w14:paraId="787FB59E">
      <w:pPr>
        <w:pStyle w:val="3"/>
        <w:snapToGrid w:val="0"/>
        <w:spacing w:line="360" w:lineRule="auto"/>
        <w:ind w:firstLine="420" w:firstLineChars="200"/>
        <w:rPr>
          <w:rFonts w:hAnsi="宋体" w:eastAsia="宋体" w:cs="宋体"/>
          <w:sz w:val="21"/>
          <w:szCs w:val="21"/>
        </w:rPr>
      </w:pPr>
      <w:r>
        <w:rPr>
          <w:rFonts w:hint="eastAsia" w:hAnsi="宋体" w:eastAsia="宋体" w:cs="宋体"/>
          <w:sz w:val="21"/>
          <w:szCs w:val="21"/>
        </w:rPr>
        <w:t>1.本项目不允许转包。</w:t>
      </w:r>
    </w:p>
    <w:p w14:paraId="68F98BFD">
      <w:pPr>
        <w:snapToGrid w:val="0"/>
        <w:spacing w:line="360" w:lineRule="auto"/>
        <w:ind w:firstLine="420" w:firstLineChars="200"/>
        <w:jc w:val="left"/>
        <w:rPr>
          <w:rFonts w:ascii="宋体" w:hAnsi="宋体" w:cs="宋体"/>
          <w:bCs/>
          <w:szCs w:val="21"/>
        </w:rPr>
      </w:pPr>
      <w:r>
        <w:rPr>
          <w:rFonts w:hint="eastAsia" w:ascii="宋体" w:hAnsi="宋体" w:cs="宋体"/>
          <w:bCs/>
          <w:szCs w:val="21"/>
        </w:rPr>
        <w:t>2.本项目不允许分包。</w:t>
      </w:r>
    </w:p>
    <w:p w14:paraId="12828D5D">
      <w:pPr>
        <w:snapToGrid w:val="0"/>
        <w:spacing w:line="360" w:lineRule="auto"/>
        <w:ind w:firstLine="422" w:firstLineChars="200"/>
        <w:jc w:val="left"/>
        <w:rPr>
          <w:rFonts w:ascii="宋体" w:hAnsi="宋体" w:cs="宋体"/>
          <w:b/>
          <w:szCs w:val="21"/>
        </w:rPr>
      </w:pPr>
      <w:r>
        <w:rPr>
          <w:rFonts w:hint="eastAsia" w:ascii="宋体" w:hAnsi="宋体" w:cs="宋体"/>
          <w:b/>
          <w:szCs w:val="21"/>
        </w:rPr>
        <w:t>（七）投标费用</w:t>
      </w:r>
    </w:p>
    <w:p w14:paraId="5AF4E1F5">
      <w:pPr>
        <w:snapToGrid w:val="0"/>
        <w:spacing w:line="360" w:lineRule="auto"/>
        <w:ind w:firstLine="420" w:firstLineChars="200"/>
        <w:jc w:val="left"/>
        <w:rPr>
          <w:rFonts w:ascii="宋体" w:hAnsi="宋体" w:cs="宋体"/>
          <w:szCs w:val="21"/>
        </w:rPr>
      </w:pPr>
      <w:r>
        <w:rPr>
          <w:rFonts w:hint="eastAsia" w:ascii="宋体" w:hAnsi="宋体" w:cs="宋体"/>
          <w:szCs w:val="21"/>
        </w:rPr>
        <w:t>不论投标结果如何，投标人均应自行承担所有与投标有关的全部费用。</w:t>
      </w:r>
    </w:p>
    <w:p w14:paraId="0CAECF50">
      <w:pPr>
        <w:pStyle w:val="3"/>
        <w:snapToGrid w:val="0"/>
        <w:spacing w:line="360" w:lineRule="auto"/>
        <w:ind w:firstLine="422" w:firstLineChars="200"/>
        <w:rPr>
          <w:rFonts w:hAnsi="宋体" w:eastAsia="宋体" w:cs="宋体"/>
          <w:b/>
          <w:kern w:val="0"/>
          <w:sz w:val="21"/>
          <w:szCs w:val="21"/>
        </w:rPr>
      </w:pPr>
      <w:r>
        <w:rPr>
          <w:rFonts w:hint="eastAsia" w:hAnsi="宋体" w:eastAsia="宋体" w:cs="宋体"/>
          <w:b/>
          <w:kern w:val="0"/>
          <w:sz w:val="21"/>
          <w:szCs w:val="21"/>
        </w:rPr>
        <w:t>（八）答疑与澄清</w:t>
      </w:r>
    </w:p>
    <w:p w14:paraId="47C98AEA">
      <w:pPr>
        <w:pStyle w:val="3"/>
        <w:keepNext w:val="0"/>
        <w:keepLines w:val="0"/>
        <w:pageBreakBefore w:val="0"/>
        <w:widowControl w:val="0"/>
        <w:kinsoku/>
        <w:wordWrap/>
        <w:overflowPunct/>
        <w:topLinePunct w:val="0"/>
        <w:autoSpaceDE/>
        <w:autoSpaceDN/>
        <w:bidi w:val="0"/>
        <w:adjustRightInd/>
        <w:snapToGrid w:val="0"/>
        <w:spacing w:line="360" w:lineRule="auto"/>
        <w:ind w:left="630" w:leftChars="300" w:firstLine="210" w:firstLineChars="100"/>
        <w:textAlignment w:val="auto"/>
        <w:rPr>
          <w:rFonts w:hAnsi="宋体" w:eastAsia="宋体" w:cs="宋体"/>
          <w:kern w:val="0"/>
          <w:sz w:val="21"/>
          <w:szCs w:val="21"/>
        </w:rPr>
      </w:pPr>
      <w:r>
        <w:rPr>
          <w:rFonts w:hint="eastAsia" w:hAnsi="宋体" w:eastAsia="宋体" w:cs="宋体"/>
          <w:kern w:val="0"/>
          <w:sz w:val="21"/>
          <w:szCs w:val="21"/>
        </w:rPr>
        <w:t>投标人如认为招标文件表述不清晰、存在歧视性、排他性或者其他违法内容的，应当于202</w:t>
      </w:r>
      <w:r>
        <w:rPr>
          <w:rFonts w:hint="eastAsia" w:hAnsi="宋体" w:eastAsia="宋体" w:cs="宋体"/>
          <w:kern w:val="0"/>
          <w:sz w:val="21"/>
          <w:szCs w:val="21"/>
          <w:lang w:val="en-US" w:eastAsia="zh-CN"/>
        </w:rPr>
        <w:t>5</w:t>
      </w:r>
      <w:r>
        <w:rPr>
          <w:rFonts w:hint="eastAsia" w:hAnsi="宋体" w:eastAsia="宋体" w:cs="宋体"/>
          <w:kern w:val="0"/>
          <w:sz w:val="21"/>
          <w:szCs w:val="21"/>
        </w:rPr>
        <w:t>年</w:t>
      </w:r>
      <w:r>
        <w:rPr>
          <w:rFonts w:hint="eastAsia" w:hAnsi="宋体" w:eastAsia="宋体" w:cs="宋体"/>
          <w:kern w:val="0"/>
          <w:sz w:val="21"/>
          <w:szCs w:val="21"/>
          <w:lang w:val="en-US" w:eastAsia="zh-CN"/>
        </w:rPr>
        <w:t>7月23</w:t>
      </w:r>
      <w:r>
        <w:rPr>
          <w:rFonts w:hint="eastAsia" w:hAnsi="宋体" w:eastAsia="宋体" w:cs="宋体"/>
          <w:kern w:val="0"/>
          <w:sz w:val="21"/>
          <w:szCs w:val="21"/>
        </w:rPr>
        <w:t>日</w:t>
      </w:r>
      <w:r>
        <w:rPr>
          <w:rFonts w:hint="eastAsia" w:hAnsi="宋体" w:eastAsia="宋体" w:cs="宋体"/>
          <w:kern w:val="0"/>
          <w:sz w:val="21"/>
          <w:szCs w:val="21"/>
          <w:lang w:val="en-US" w:eastAsia="zh-CN"/>
        </w:rPr>
        <w:t>17</w:t>
      </w:r>
      <w:r>
        <w:rPr>
          <w:rFonts w:hint="eastAsia" w:hAnsi="宋体" w:eastAsia="宋体" w:cs="宋体"/>
          <w:kern w:val="0"/>
          <w:sz w:val="21"/>
          <w:szCs w:val="21"/>
        </w:rPr>
        <w:t>：</w:t>
      </w:r>
      <w:r>
        <w:rPr>
          <w:rFonts w:hint="eastAsia" w:hAnsi="宋体" w:eastAsia="宋体" w:cs="宋体"/>
          <w:kern w:val="0"/>
          <w:sz w:val="21"/>
          <w:szCs w:val="21"/>
          <w:lang w:val="en-US" w:eastAsia="zh-CN"/>
        </w:rPr>
        <w:t>00</w:t>
      </w:r>
      <w:r>
        <w:rPr>
          <w:rFonts w:hint="eastAsia" w:hAnsi="宋体" w:eastAsia="宋体" w:cs="宋体"/>
          <w:kern w:val="0"/>
          <w:sz w:val="21"/>
          <w:szCs w:val="21"/>
        </w:rPr>
        <w:t>（北京时间）前，以书面形式要求采购人作出书面解释、澄清或者向采购人提出一次性书面质疑；采购人将组织答疑；答疑内容是招标文件的组成部分，并将以书面形式送达所有已依法获取采购文件的投标人。</w:t>
      </w:r>
    </w:p>
    <w:p w14:paraId="328A14D5">
      <w:pPr>
        <w:pStyle w:val="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1、根据《中华人民共和国政府采购法实施条例》第五十三条：政府采购法第五十二条规定的供应商应知其权益受到损害之日，是指：</w:t>
      </w:r>
    </w:p>
    <w:p w14:paraId="06BA78ED">
      <w:pPr>
        <w:pStyle w:val="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①对可以质疑的采购文件提出质疑的，为收到采购文件之日或者采购文件公告期限届满之日；</w:t>
      </w:r>
    </w:p>
    <w:p w14:paraId="104FBD11">
      <w:pPr>
        <w:pStyle w:val="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②对采购过程提出质疑的，为各采购程序环节结束之日；</w:t>
      </w:r>
    </w:p>
    <w:p w14:paraId="78D38C1D">
      <w:pPr>
        <w:pStyle w:val="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③对中标或者成交结果提出质疑的，为中标或者成交结果公告期限届满之日。</w:t>
      </w:r>
    </w:p>
    <w:p w14:paraId="3CD1F1D3">
      <w:pPr>
        <w:pStyle w:val="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2、质疑书应包括下列主要内容：</w:t>
      </w:r>
    </w:p>
    <w:p w14:paraId="1480DC1E">
      <w:pPr>
        <w:pStyle w:val="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①质疑人的名称、地址、邮政编码、联系人、联系电话，以及被质疑人名称及联系方式；</w:t>
      </w:r>
    </w:p>
    <w:p w14:paraId="0B8FBD88">
      <w:pPr>
        <w:pStyle w:val="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②被质疑采购项目名称、编号及采购内容；</w:t>
      </w:r>
    </w:p>
    <w:p w14:paraId="437AC0E5">
      <w:pPr>
        <w:pStyle w:val="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③具体的质疑事项及事实依据；</w:t>
      </w:r>
    </w:p>
    <w:p w14:paraId="5D7B469F">
      <w:pPr>
        <w:pStyle w:val="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④认为自己合法权益受到损害或可能受到损害的相关证据材料；</w:t>
      </w:r>
    </w:p>
    <w:p w14:paraId="34898DFA">
      <w:pPr>
        <w:pStyle w:val="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⑤提出质疑的日期。</w:t>
      </w:r>
    </w:p>
    <w:p w14:paraId="055DADF7">
      <w:pPr>
        <w:pStyle w:val="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3、采购人或者采购代理机构应当在3个工作日内对供应商依法提出的询问作出答复。采购人或者采购代理机构应当在7个工作日内对供应商依法提出的质疑作出答复。供应商提出的询问或者质疑超出采购人对采购代理机构委托授权范围的，采购代理机构应当告知供应商向采购人提出。政府采购评审专家应当配合采购人或者采购代理机构答复供应商的询问和质疑。</w:t>
      </w:r>
    </w:p>
    <w:p w14:paraId="2C33D14F">
      <w:pPr>
        <w:pStyle w:val="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4、质疑供应商对采购人、采购代理机构的答复不满意或者采购人、采购代理机构未在规定的时间内作出答复的，可以在答复期满后十五个工作日内向同级政府采购监督管理部门投诉。</w:t>
      </w:r>
    </w:p>
    <w:p w14:paraId="2B00C92E">
      <w:pPr>
        <w:pStyle w:val="3"/>
        <w:snapToGrid w:val="0"/>
        <w:spacing w:line="360" w:lineRule="auto"/>
        <w:ind w:firstLine="420" w:firstLineChars="200"/>
        <w:rPr>
          <w:rFonts w:hAnsi="宋体" w:eastAsia="宋体" w:cs="宋体"/>
          <w:b/>
          <w:kern w:val="0"/>
          <w:sz w:val="21"/>
          <w:szCs w:val="21"/>
        </w:rPr>
      </w:pPr>
      <w:r>
        <w:rPr>
          <w:rFonts w:hint="eastAsia" w:hAnsi="宋体" w:eastAsia="宋体" w:cs="宋体"/>
          <w:kern w:val="0"/>
          <w:sz w:val="21"/>
          <w:szCs w:val="21"/>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4469AF33">
      <w:pPr>
        <w:snapToGrid w:val="0"/>
        <w:spacing w:line="360" w:lineRule="auto"/>
        <w:ind w:firstLine="422" w:firstLineChars="200"/>
        <w:jc w:val="left"/>
        <w:rPr>
          <w:rFonts w:ascii="宋体" w:hAnsi="宋体" w:cs="宋体"/>
          <w:b/>
          <w:szCs w:val="21"/>
        </w:rPr>
      </w:pPr>
      <w:r>
        <w:rPr>
          <w:rFonts w:hint="eastAsia" w:ascii="宋体" w:hAnsi="宋体" w:cs="宋体"/>
          <w:b/>
          <w:szCs w:val="21"/>
        </w:rPr>
        <w:t>（九）信用记录：</w:t>
      </w:r>
    </w:p>
    <w:p w14:paraId="70DAC356">
      <w:pPr>
        <w:snapToGrid w:val="0"/>
        <w:spacing w:line="360" w:lineRule="auto"/>
        <w:ind w:firstLine="420" w:firstLineChars="200"/>
        <w:jc w:val="left"/>
        <w:rPr>
          <w:rFonts w:ascii="宋体" w:hAnsi="宋体" w:cs="宋体"/>
          <w:szCs w:val="21"/>
        </w:rPr>
      </w:pPr>
      <w:r>
        <w:rPr>
          <w:rFonts w:hint="eastAsia" w:ascii="宋体" w:hAnsi="宋体" w:cs="宋体"/>
          <w:szCs w:val="21"/>
        </w:rPr>
        <w:t>根据财库[2016]125号《关于在政府采购活动中查询及使用信用记录有关问题的通知》要求，采购代理机构会对供应商信用记录进行查询并甄别。</w:t>
      </w:r>
    </w:p>
    <w:p w14:paraId="75D1EE49">
      <w:pPr>
        <w:snapToGrid w:val="0"/>
        <w:spacing w:line="360" w:lineRule="auto"/>
        <w:ind w:firstLine="420" w:firstLineChars="200"/>
        <w:jc w:val="left"/>
        <w:rPr>
          <w:rFonts w:ascii="宋体" w:hAnsi="宋体" w:cs="宋体"/>
          <w:szCs w:val="21"/>
        </w:rPr>
      </w:pPr>
      <w:r>
        <w:rPr>
          <w:rFonts w:hint="eastAsia" w:ascii="宋体" w:hAnsi="宋体" w:cs="宋体"/>
          <w:szCs w:val="21"/>
        </w:rPr>
        <w:t>1、信用信息查询的截止时点：投标截止时间前查询；</w:t>
      </w:r>
    </w:p>
    <w:p w14:paraId="0085642E">
      <w:pPr>
        <w:snapToGrid w:val="0"/>
        <w:spacing w:line="360" w:lineRule="auto"/>
        <w:ind w:firstLine="420" w:firstLineChars="200"/>
        <w:jc w:val="left"/>
        <w:rPr>
          <w:rFonts w:ascii="宋体" w:hAnsi="宋体" w:cs="宋体"/>
          <w:szCs w:val="21"/>
        </w:rPr>
      </w:pPr>
      <w:r>
        <w:rPr>
          <w:rFonts w:hint="eastAsia" w:ascii="宋体" w:hAnsi="宋体" w:cs="宋体"/>
          <w:szCs w:val="21"/>
        </w:rPr>
        <w:t>2、查询渠道：</w:t>
      </w:r>
    </w:p>
    <w:p w14:paraId="536415B9">
      <w:pPr>
        <w:snapToGrid w:val="0"/>
        <w:spacing w:line="360" w:lineRule="auto"/>
        <w:ind w:firstLine="420" w:firstLineChars="200"/>
        <w:jc w:val="left"/>
        <w:rPr>
          <w:rFonts w:ascii="宋体" w:hAnsi="宋体" w:cs="宋体"/>
          <w:szCs w:val="21"/>
        </w:rPr>
      </w:pPr>
      <w:r>
        <w:rPr>
          <w:rFonts w:hint="eastAsia" w:ascii="宋体" w:hAnsi="宋体" w:cs="宋体"/>
          <w:szCs w:val="21"/>
        </w:rPr>
        <w:t>信用中国（www.creditchina.gov.cn）；</w:t>
      </w:r>
    </w:p>
    <w:p w14:paraId="7889ABC2">
      <w:pPr>
        <w:snapToGrid w:val="0"/>
        <w:spacing w:line="360" w:lineRule="auto"/>
        <w:ind w:firstLine="420" w:firstLineChars="200"/>
        <w:jc w:val="left"/>
        <w:rPr>
          <w:rFonts w:ascii="宋体" w:hAnsi="宋体" w:cs="宋体"/>
          <w:szCs w:val="21"/>
        </w:rPr>
      </w:pPr>
      <w:r>
        <w:rPr>
          <w:rFonts w:hint="eastAsia" w:ascii="宋体" w:hAnsi="宋体" w:cs="宋体"/>
          <w:szCs w:val="21"/>
        </w:rPr>
        <w:t>中国政府采购网（www.ccgp.gov.cn）；</w:t>
      </w:r>
    </w:p>
    <w:p w14:paraId="0F09E402">
      <w:pPr>
        <w:snapToGrid w:val="0"/>
        <w:spacing w:line="360" w:lineRule="auto"/>
        <w:ind w:firstLine="420" w:firstLineChars="200"/>
        <w:jc w:val="left"/>
        <w:rPr>
          <w:rFonts w:ascii="宋体" w:hAnsi="宋体" w:cs="宋体"/>
          <w:szCs w:val="21"/>
        </w:rPr>
      </w:pPr>
      <w:r>
        <w:rPr>
          <w:rFonts w:hint="eastAsia" w:ascii="宋体" w:hAnsi="宋体" w:cs="宋体"/>
          <w:szCs w:val="21"/>
        </w:rPr>
        <w:t>3、信用信息查询记录和证据留存具体方式：采购代理机构经办人和监督人员将查询网页打印、签字与其他采购文件一并保存；</w:t>
      </w:r>
    </w:p>
    <w:p w14:paraId="378A1BEE">
      <w:pPr>
        <w:snapToGrid w:val="0"/>
        <w:spacing w:line="360" w:lineRule="auto"/>
        <w:ind w:firstLine="420" w:firstLineChars="200"/>
        <w:jc w:val="left"/>
        <w:rPr>
          <w:rFonts w:ascii="宋体" w:hAnsi="宋体" w:cs="宋体"/>
          <w:szCs w:val="21"/>
        </w:rPr>
      </w:pPr>
      <w:r>
        <w:rPr>
          <w:rFonts w:hint="eastAsia" w:ascii="宋体" w:hAnsi="宋体" w:cs="宋体"/>
          <w:szCs w:val="21"/>
        </w:rPr>
        <w:t>4、信用信息的使用规则：投标人存在不良信用记录的，其投标将被作为无效投标被拒绝。</w:t>
      </w:r>
    </w:p>
    <w:p w14:paraId="3833860C">
      <w:pPr>
        <w:snapToGrid w:val="0"/>
        <w:spacing w:line="360" w:lineRule="auto"/>
        <w:ind w:firstLine="420" w:firstLineChars="200"/>
        <w:jc w:val="left"/>
        <w:rPr>
          <w:rFonts w:ascii="宋体" w:hAnsi="宋体" w:cs="宋体"/>
          <w:szCs w:val="21"/>
        </w:rPr>
      </w:pPr>
      <w:r>
        <w:rPr>
          <w:rFonts w:hint="eastAsia" w:ascii="宋体" w:hAnsi="宋体" w:cs="宋体"/>
          <w:szCs w:val="21"/>
        </w:rPr>
        <w:t>不良信用记录指：被列入失信被执行人、重大税收违法案件当事人名单、政府采购严重违法失信行为记录名单。</w:t>
      </w:r>
    </w:p>
    <w:p w14:paraId="757F4D98">
      <w:pPr>
        <w:snapToGrid w:val="0"/>
        <w:spacing w:line="360" w:lineRule="auto"/>
        <w:ind w:firstLine="422" w:firstLineChars="200"/>
        <w:jc w:val="left"/>
        <w:rPr>
          <w:rFonts w:ascii="宋体" w:hAnsi="宋体" w:cs="宋体"/>
          <w:b/>
          <w:bCs/>
          <w:szCs w:val="21"/>
        </w:rPr>
      </w:pPr>
      <w:r>
        <w:rPr>
          <w:rFonts w:hint="eastAsia" w:ascii="宋体" w:hAnsi="宋体" w:cs="宋体"/>
          <w:b/>
          <w:bCs/>
          <w:szCs w:val="21"/>
        </w:rPr>
        <w:t>（十）信贷政策</w:t>
      </w:r>
    </w:p>
    <w:p w14:paraId="57945027">
      <w:pPr>
        <w:snapToGrid w:val="0"/>
        <w:spacing w:line="360" w:lineRule="auto"/>
        <w:ind w:firstLine="420" w:firstLineChars="200"/>
        <w:jc w:val="left"/>
        <w:rPr>
          <w:rFonts w:ascii="宋体" w:hAnsi="宋体" w:cs="宋体"/>
          <w:szCs w:val="21"/>
        </w:rPr>
      </w:pPr>
      <w:r>
        <w:rPr>
          <w:rFonts w:hint="eastAsia" w:ascii="宋体"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0DDB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ign w:val="center"/>
          </w:tcPr>
          <w:p w14:paraId="5CD8FC48">
            <w:pPr>
              <w:contextualSpacing/>
              <w:jc w:val="center"/>
              <w:rPr>
                <w:rFonts w:ascii="宋体" w:hAnsi="宋体"/>
                <w:szCs w:val="21"/>
              </w:rPr>
            </w:pPr>
            <w:r>
              <w:rPr>
                <w:rFonts w:hint="eastAsia" w:ascii="宋体" w:hAnsi="宋体"/>
                <w:szCs w:val="21"/>
              </w:rPr>
              <w:t>舟山市政府采购信用融资合作银行</w:t>
            </w:r>
          </w:p>
        </w:tc>
      </w:tr>
      <w:tr w14:paraId="3D7C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ign w:val="center"/>
          </w:tcPr>
          <w:p w14:paraId="4B3A9398">
            <w:pPr>
              <w:contextualSpacing/>
              <w:jc w:val="center"/>
              <w:rPr>
                <w:rFonts w:ascii="宋体" w:hAnsi="宋体"/>
                <w:szCs w:val="21"/>
              </w:rPr>
            </w:pPr>
            <w:r>
              <w:rPr>
                <w:rFonts w:hint="eastAsia" w:ascii="宋体" w:hAnsi="宋体"/>
                <w:szCs w:val="21"/>
              </w:rPr>
              <w:t>银行名称</w:t>
            </w:r>
          </w:p>
        </w:tc>
        <w:tc>
          <w:tcPr>
            <w:tcW w:w="3975" w:type="dxa"/>
            <w:noWrap/>
            <w:vAlign w:val="center"/>
          </w:tcPr>
          <w:p w14:paraId="6EE20679">
            <w:pPr>
              <w:contextualSpacing/>
              <w:jc w:val="center"/>
              <w:rPr>
                <w:rFonts w:ascii="宋体" w:hAnsi="宋体"/>
                <w:szCs w:val="21"/>
              </w:rPr>
            </w:pPr>
            <w:r>
              <w:rPr>
                <w:rFonts w:hint="eastAsia" w:ascii="宋体" w:hAnsi="宋体"/>
                <w:szCs w:val="21"/>
              </w:rPr>
              <w:t>各银行介绍的产品特点</w:t>
            </w:r>
          </w:p>
        </w:tc>
        <w:tc>
          <w:tcPr>
            <w:tcW w:w="2220" w:type="dxa"/>
            <w:noWrap/>
            <w:vAlign w:val="center"/>
          </w:tcPr>
          <w:p w14:paraId="77C5C4BE">
            <w:pPr>
              <w:contextualSpacing/>
              <w:jc w:val="center"/>
              <w:rPr>
                <w:rFonts w:ascii="宋体" w:hAnsi="宋体"/>
                <w:szCs w:val="21"/>
              </w:rPr>
            </w:pPr>
            <w:r>
              <w:rPr>
                <w:rFonts w:hint="eastAsia" w:ascii="宋体" w:hAnsi="宋体"/>
                <w:szCs w:val="21"/>
              </w:rPr>
              <w:t>经办人</w:t>
            </w:r>
          </w:p>
        </w:tc>
        <w:tc>
          <w:tcPr>
            <w:tcW w:w="1908" w:type="dxa"/>
            <w:noWrap/>
            <w:vAlign w:val="center"/>
          </w:tcPr>
          <w:p w14:paraId="025241A5">
            <w:pPr>
              <w:contextualSpacing/>
              <w:jc w:val="center"/>
              <w:rPr>
                <w:rFonts w:ascii="宋体" w:hAnsi="宋体"/>
                <w:szCs w:val="21"/>
              </w:rPr>
            </w:pPr>
            <w:r>
              <w:rPr>
                <w:rFonts w:hint="eastAsia" w:ascii="宋体" w:hAnsi="宋体"/>
                <w:szCs w:val="21"/>
              </w:rPr>
              <w:t>联系方式</w:t>
            </w:r>
          </w:p>
        </w:tc>
      </w:tr>
      <w:tr w14:paraId="4A41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5C40F5AA">
            <w:pPr>
              <w:contextualSpacing/>
              <w:rPr>
                <w:rFonts w:ascii="宋体" w:hAnsi="宋体"/>
                <w:szCs w:val="21"/>
              </w:rPr>
            </w:pPr>
            <w:r>
              <w:rPr>
                <w:rFonts w:hint="eastAsia" w:ascii="宋体" w:hAnsi="宋体"/>
                <w:szCs w:val="21"/>
              </w:rPr>
              <w:t>中国工商银行股份有限公司舟山分行</w:t>
            </w:r>
          </w:p>
        </w:tc>
        <w:tc>
          <w:tcPr>
            <w:tcW w:w="3975" w:type="dxa"/>
            <w:noWrap/>
          </w:tcPr>
          <w:p w14:paraId="4A3B9F13">
            <w:pPr>
              <w:numPr>
                <w:ilvl w:val="0"/>
                <w:numId w:val="1"/>
              </w:numPr>
              <w:contextualSpacing/>
              <w:rPr>
                <w:rFonts w:ascii="宋体" w:hAnsi="宋体" w:cs="仿宋_GB2312"/>
                <w:szCs w:val="21"/>
              </w:rPr>
            </w:pPr>
            <w:r>
              <w:rPr>
                <w:rFonts w:hint="eastAsia" w:ascii="宋体" w:hAnsi="宋体" w:cs="仿宋_GB2312"/>
                <w:szCs w:val="21"/>
              </w:rPr>
              <w:t>融资额度高，融资金额最高可至订单金额70%，线上申请，随借随还。2.融资利率低，最低可至当期LPR利率。</w:t>
            </w:r>
          </w:p>
          <w:p w14:paraId="6BB877F1">
            <w:pPr>
              <w:contextualSpacing/>
              <w:rPr>
                <w:rFonts w:ascii="宋体" w:hAnsi="宋体"/>
                <w:szCs w:val="21"/>
              </w:rPr>
            </w:pPr>
            <w:r>
              <w:rPr>
                <w:rFonts w:hint="eastAsia" w:ascii="宋体" w:hAnsi="宋体" w:cs="仿宋_GB2312"/>
                <w:szCs w:val="21"/>
              </w:rPr>
              <w:t>3.担保方式灵活，以政府采购合同进行融资，无需另外抵押。</w:t>
            </w:r>
          </w:p>
        </w:tc>
        <w:tc>
          <w:tcPr>
            <w:tcW w:w="2220" w:type="dxa"/>
            <w:noWrap/>
            <w:vAlign w:val="center"/>
          </w:tcPr>
          <w:p w14:paraId="04662CB8">
            <w:pPr>
              <w:contextualSpacing/>
              <w:jc w:val="center"/>
              <w:rPr>
                <w:rFonts w:ascii="宋体" w:hAnsi="宋体"/>
                <w:szCs w:val="21"/>
              </w:rPr>
            </w:pPr>
            <w:r>
              <w:rPr>
                <w:rFonts w:hint="eastAsia" w:ascii="宋体" w:hAnsi="宋体"/>
                <w:szCs w:val="21"/>
              </w:rPr>
              <w:t>柳超颖</w:t>
            </w:r>
          </w:p>
        </w:tc>
        <w:tc>
          <w:tcPr>
            <w:tcW w:w="1908" w:type="dxa"/>
            <w:noWrap/>
            <w:vAlign w:val="center"/>
          </w:tcPr>
          <w:p w14:paraId="3144B3B7">
            <w:pPr>
              <w:contextualSpacing/>
              <w:jc w:val="center"/>
              <w:rPr>
                <w:rFonts w:ascii="宋体" w:hAnsi="宋体"/>
                <w:szCs w:val="21"/>
              </w:rPr>
            </w:pPr>
            <w:r>
              <w:rPr>
                <w:rFonts w:hint="eastAsia" w:ascii="宋体" w:hAnsi="宋体"/>
                <w:szCs w:val="21"/>
              </w:rPr>
              <w:t>0580-2166242, 15858076468</w:t>
            </w:r>
          </w:p>
        </w:tc>
      </w:tr>
      <w:tr w14:paraId="717A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ign w:val="center"/>
          </w:tcPr>
          <w:p w14:paraId="5B29B7B9">
            <w:pPr>
              <w:contextualSpacing/>
              <w:rPr>
                <w:rFonts w:ascii="宋体" w:hAnsi="宋体"/>
                <w:szCs w:val="21"/>
              </w:rPr>
            </w:pPr>
            <w:r>
              <w:rPr>
                <w:rFonts w:hint="eastAsia" w:ascii="宋体" w:hAnsi="宋体"/>
                <w:szCs w:val="21"/>
              </w:rPr>
              <w:t>中国建设银行股份有限公司舟山分行</w:t>
            </w:r>
          </w:p>
        </w:tc>
        <w:tc>
          <w:tcPr>
            <w:tcW w:w="3975" w:type="dxa"/>
            <w:noWrap/>
          </w:tcPr>
          <w:p w14:paraId="4F4A79D1">
            <w:pPr>
              <w:numPr>
                <w:ilvl w:val="0"/>
                <w:numId w:val="2"/>
              </w:numPr>
              <w:contextualSpacing/>
              <w:rPr>
                <w:rFonts w:ascii="宋体" w:hAnsi="宋体"/>
                <w:szCs w:val="21"/>
              </w:rPr>
            </w:pPr>
            <w:r>
              <w:rPr>
                <w:rFonts w:hint="eastAsia" w:ascii="宋体" w:hAnsi="宋体"/>
                <w:szCs w:val="21"/>
              </w:rPr>
              <w:t>快速便捷：全流程线上操作，通过浙江省政府采购网数据审核信用额度，建行供应链平台快速放款。</w:t>
            </w:r>
          </w:p>
          <w:p w14:paraId="23118714">
            <w:pPr>
              <w:numPr>
                <w:ilvl w:val="0"/>
                <w:numId w:val="2"/>
              </w:numPr>
              <w:contextualSpacing/>
              <w:rPr>
                <w:rFonts w:ascii="宋体" w:hAnsi="宋体"/>
                <w:szCs w:val="21"/>
              </w:rPr>
            </w:pPr>
            <w:r>
              <w:rPr>
                <w:rFonts w:hint="eastAsia" w:ascii="宋体" w:hAnsi="宋体"/>
                <w:szCs w:val="21"/>
              </w:rPr>
              <w:t>申请额度高：单笔融资额度最高可达政府采购合同金额的90%，单户额度最高可达3000万。</w:t>
            </w:r>
          </w:p>
          <w:p w14:paraId="3F83D791">
            <w:pPr>
              <w:numPr>
                <w:ilvl w:val="0"/>
                <w:numId w:val="2"/>
              </w:numPr>
              <w:contextualSpacing/>
              <w:rPr>
                <w:rFonts w:ascii="宋体" w:hAnsi="宋体"/>
                <w:szCs w:val="21"/>
              </w:rPr>
            </w:pPr>
            <w:r>
              <w:rPr>
                <w:rFonts w:hint="eastAsia" w:ascii="宋体" w:hAnsi="宋体"/>
                <w:szCs w:val="21"/>
              </w:rPr>
              <w:t>无需额外抵押：以浙江省政府采购网备案公示的政府采购合同进行融资，无需额外抵押担保。</w:t>
            </w:r>
          </w:p>
          <w:p w14:paraId="3DBA7459">
            <w:pPr>
              <w:numPr>
                <w:ilvl w:val="0"/>
                <w:numId w:val="2"/>
              </w:numPr>
              <w:contextualSpacing/>
              <w:rPr>
                <w:rFonts w:ascii="宋体" w:hAnsi="宋体"/>
                <w:szCs w:val="21"/>
              </w:rPr>
            </w:pPr>
            <w:r>
              <w:rPr>
                <w:rFonts w:hint="eastAsia" w:ascii="宋体" w:hAnsi="宋体"/>
                <w:szCs w:val="21"/>
              </w:rPr>
              <w:t>利率优惠：给予流动资金贷款最优惠利率。</w:t>
            </w:r>
          </w:p>
        </w:tc>
        <w:tc>
          <w:tcPr>
            <w:tcW w:w="2220" w:type="dxa"/>
            <w:noWrap/>
            <w:vAlign w:val="center"/>
          </w:tcPr>
          <w:p w14:paraId="6A99918C">
            <w:pPr>
              <w:contextualSpacing/>
              <w:jc w:val="center"/>
              <w:rPr>
                <w:rFonts w:ascii="宋体" w:hAnsi="宋体"/>
                <w:szCs w:val="21"/>
              </w:rPr>
            </w:pPr>
            <w:r>
              <w:rPr>
                <w:rFonts w:hint="eastAsia" w:ascii="宋体" w:hAnsi="宋体"/>
                <w:szCs w:val="21"/>
              </w:rPr>
              <w:t>普陀片区：蔡妮妮</w:t>
            </w:r>
          </w:p>
          <w:p w14:paraId="7A3EDFF6">
            <w:pPr>
              <w:contextualSpacing/>
              <w:jc w:val="center"/>
              <w:rPr>
                <w:rFonts w:ascii="宋体" w:hAnsi="宋体"/>
                <w:szCs w:val="21"/>
              </w:rPr>
            </w:pPr>
            <w:r>
              <w:rPr>
                <w:rFonts w:hint="eastAsia" w:ascii="宋体" w:hAnsi="宋体"/>
                <w:szCs w:val="21"/>
              </w:rPr>
              <w:t>定海片区：杨莹</w:t>
            </w:r>
          </w:p>
          <w:p w14:paraId="621E93E4">
            <w:pPr>
              <w:contextualSpacing/>
              <w:jc w:val="center"/>
              <w:rPr>
                <w:rFonts w:ascii="宋体" w:hAnsi="宋体"/>
                <w:szCs w:val="21"/>
              </w:rPr>
            </w:pPr>
            <w:r>
              <w:rPr>
                <w:rFonts w:hint="eastAsia" w:ascii="宋体" w:hAnsi="宋体"/>
                <w:szCs w:val="21"/>
              </w:rPr>
              <w:t>自贸区片区：方晓</w:t>
            </w:r>
          </w:p>
        </w:tc>
        <w:tc>
          <w:tcPr>
            <w:tcW w:w="1908" w:type="dxa"/>
            <w:noWrap/>
            <w:vAlign w:val="center"/>
          </w:tcPr>
          <w:p w14:paraId="2261F858">
            <w:pPr>
              <w:contextualSpacing/>
              <w:jc w:val="center"/>
              <w:rPr>
                <w:rFonts w:ascii="宋体" w:hAnsi="宋体"/>
                <w:szCs w:val="21"/>
              </w:rPr>
            </w:pPr>
            <w:r>
              <w:rPr>
                <w:rFonts w:hint="eastAsia" w:ascii="宋体" w:hAnsi="宋体"/>
                <w:szCs w:val="21"/>
              </w:rPr>
              <w:t>普陀片区：13957201791</w:t>
            </w:r>
          </w:p>
          <w:p w14:paraId="768CF0D2">
            <w:pPr>
              <w:contextualSpacing/>
              <w:jc w:val="center"/>
              <w:rPr>
                <w:rFonts w:ascii="宋体" w:hAnsi="宋体"/>
                <w:szCs w:val="21"/>
              </w:rPr>
            </w:pPr>
            <w:r>
              <w:rPr>
                <w:rFonts w:hint="eastAsia" w:ascii="宋体" w:hAnsi="宋体"/>
                <w:szCs w:val="21"/>
              </w:rPr>
              <w:t>定海片区：13655803997</w:t>
            </w:r>
          </w:p>
          <w:p w14:paraId="564C1D26">
            <w:pPr>
              <w:contextualSpacing/>
              <w:jc w:val="center"/>
              <w:rPr>
                <w:rFonts w:ascii="宋体" w:hAnsi="宋体"/>
                <w:szCs w:val="21"/>
              </w:rPr>
            </w:pPr>
            <w:r>
              <w:rPr>
                <w:rFonts w:hint="eastAsia" w:ascii="宋体" w:hAnsi="宋体"/>
                <w:szCs w:val="21"/>
              </w:rPr>
              <w:t>自贸区片区：13587086324</w:t>
            </w:r>
          </w:p>
        </w:tc>
      </w:tr>
      <w:tr w14:paraId="767F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4C0AEA79">
            <w:pPr>
              <w:contextualSpacing/>
              <w:rPr>
                <w:rFonts w:ascii="宋体" w:hAnsi="宋体"/>
                <w:szCs w:val="21"/>
              </w:rPr>
            </w:pPr>
            <w:r>
              <w:rPr>
                <w:rFonts w:hint="eastAsia" w:ascii="宋体" w:hAnsi="宋体"/>
                <w:szCs w:val="21"/>
              </w:rPr>
              <w:t>杭州银行股份有限公司舟山市分行</w:t>
            </w:r>
          </w:p>
        </w:tc>
        <w:tc>
          <w:tcPr>
            <w:tcW w:w="3975" w:type="dxa"/>
            <w:noWrap/>
          </w:tcPr>
          <w:p w14:paraId="1161894F">
            <w:pPr>
              <w:contextualSpacing/>
              <w:rPr>
                <w:rFonts w:ascii="宋体" w:hAnsi="宋体"/>
                <w:szCs w:val="21"/>
              </w:rPr>
            </w:pPr>
            <w:r>
              <w:rPr>
                <w:rFonts w:hint="eastAsia" w:ascii="宋体" w:hAnsi="宋体"/>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noWrap/>
            <w:vAlign w:val="center"/>
          </w:tcPr>
          <w:p w14:paraId="7CE015EA">
            <w:pPr>
              <w:contextualSpacing/>
              <w:jc w:val="center"/>
              <w:rPr>
                <w:rFonts w:ascii="宋体" w:hAnsi="宋体"/>
                <w:szCs w:val="21"/>
              </w:rPr>
            </w:pPr>
            <w:r>
              <w:rPr>
                <w:rFonts w:hint="eastAsia" w:ascii="宋体" w:hAnsi="宋体"/>
                <w:szCs w:val="21"/>
              </w:rPr>
              <w:t>方经理</w:t>
            </w:r>
          </w:p>
        </w:tc>
        <w:tc>
          <w:tcPr>
            <w:tcW w:w="1908" w:type="dxa"/>
            <w:noWrap/>
            <w:vAlign w:val="center"/>
          </w:tcPr>
          <w:p w14:paraId="2A0AA716">
            <w:pPr>
              <w:contextualSpacing/>
              <w:jc w:val="center"/>
              <w:rPr>
                <w:rFonts w:ascii="宋体" w:hAnsi="宋体"/>
                <w:szCs w:val="21"/>
              </w:rPr>
            </w:pPr>
            <w:r>
              <w:rPr>
                <w:rFonts w:hint="eastAsia" w:ascii="宋体" w:hAnsi="宋体"/>
                <w:szCs w:val="21"/>
              </w:rPr>
              <w:t>0580-2185201，18205800451</w:t>
            </w:r>
          </w:p>
        </w:tc>
      </w:tr>
      <w:tr w14:paraId="45E0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0B54D624">
            <w:pPr>
              <w:contextualSpacing/>
              <w:rPr>
                <w:rFonts w:ascii="宋体" w:hAnsi="宋体"/>
                <w:szCs w:val="21"/>
              </w:rPr>
            </w:pPr>
            <w:r>
              <w:rPr>
                <w:rFonts w:hint="eastAsia" w:ascii="宋体" w:hAnsi="宋体"/>
                <w:szCs w:val="21"/>
              </w:rPr>
              <w:t>招商银行股份有限公司浙江自贸试验区舟山分行</w:t>
            </w:r>
          </w:p>
        </w:tc>
        <w:tc>
          <w:tcPr>
            <w:tcW w:w="3975" w:type="dxa"/>
            <w:noWrap/>
          </w:tcPr>
          <w:p w14:paraId="6FE4EC18">
            <w:pPr>
              <w:rPr>
                <w:rFonts w:ascii="宋体" w:hAnsi="宋体"/>
                <w:szCs w:val="21"/>
              </w:rPr>
            </w:pPr>
            <w:r>
              <w:rPr>
                <w:rFonts w:hint="eastAsia" w:ascii="宋体" w:hAnsi="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noWrap/>
            <w:vAlign w:val="center"/>
          </w:tcPr>
          <w:p w14:paraId="0BD6265E">
            <w:pPr>
              <w:contextualSpacing/>
              <w:jc w:val="center"/>
              <w:rPr>
                <w:rFonts w:ascii="宋体" w:hAnsi="宋体"/>
                <w:szCs w:val="21"/>
              </w:rPr>
            </w:pPr>
            <w:r>
              <w:rPr>
                <w:rFonts w:hint="eastAsia" w:ascii="宋体" w:hAnsi="宋体"/>
                <w:szCs w:val="21"/>
              </w:rPr>
              <w:t>李玲</w:t>
            </w:r>
          </w:p>
        </w:tc>
        <w:tc>
          <w:tcPr>
            <w:tcW w:w="1908" w:type="dxa"/>
            <w:noWrap/>
            <w:vAlign w:val="center"/>
          </w:tcPr>
          <w:p w14:paraId="4ABC29A2">
            <w:pPr>
              <w:contextualSpacing/>
              <w:jc w:val="center"/>
              <w:rPr>
                <w:rFonts w:ascii="宋体" w:hAnsi="宋体"/>
                <w:szCs w:val="21"/>
              </w:rPr>
            </w:pPr>
            <w:r>
              <w:rPr>
                <w:rFonts w:hint="eastAsia" w:ascii="宋体" w:hAnsi="宋体"/>
                <w:szCs w:val="21"/>
              </w:rPr>
              <w:t>0580-2061710，13957227971</w:t>
            </w:r>
          </w:p>
        </w:tc>
      </w:tr>
      <w:tr w14:paraId="270F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ign w:val="center"/>
          </w:tcPr>
          <w:p w14:paraId="0B30D2BA">
            <w:pPr>
              <w:contextualSpacing/>
              <w:rPr>
                <w:rFonts w:ascii="宋体" w:hAnsi="宋体"/>
                <w:szCs w:val="21"/>
              </w:rPr>
            </w:pPr>
            <w:r>
              <w:rPr>
                <w:rFonts w:hint="eastAsia" w:ascii="宋体" w:hAnsi="宋体"/>
                <w:szCs w:val="21"/>
              </w:rPr>
              <w:t>温州银行股份有限公司舟山市分行</w:t>
            </w:r>
          </w:p>
        </w:tc>
        <w:tc>
          <w:tcPr>
            <w:tcW w:w="3975" w:type="dxa"/>
            <w:noWrap/>
          </w:tcPr>
          <w:p w14:paraId="7E5196B6">
            <w:pPr>
              <w:numPr>
                <w:ilvl w:val="0"/>
                <w:numId w:val="3"/>
              </w:numPr>
              <w:contextualSpacing/>
              <w:rPr>
                <w:rFonts w:ascii="宋体" w:hAnsi="宋体"/>
                <w:szCs w:val="21"/>
              </w:rPr>
            </w:pPr>
            <w:r>
              <w:rPr>
                <w:rFonts w:hint="eastAsia" w:ascii="宋体" w:hAnsi="宋体"/>
                <w:szCs w:val="21"/>
              </w:rPr>
              <w:t>单户授信敞口最高不超过1000万元，且最高额度核定一般不超过借款人（含实际控制人控制的其他经营实体）最近13个月合计有效中标合同金额的70%。</w:t>
            </w:r>
          </w:p>
          <w:p w14:paraId="66BB6A79">
            <w:pPr>
              <w:numPr>
                <w:ilvl w:val="0"/>
                <w:numId w:val="3"/>
              </w:numPr>
              <w:contextualSpacing/>
              <w:rPr>
                <w:rFonts w:ascii="宋体" w:hAnsi="宋体"/>
                <w:szCs w:val="21"/>
              </w:rPr>
            </w:pPr>
            <w:r>
              <w:rPr>
                <w:rFonts w:hint="eastAsia" w:ascii="宋体" w:hAnsi="宋体"/>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506929E8">
            <w:pPr>
              <w:numPr>
                <w:ilvl w:val="0"/>
                <w:numId w:val="3"/>
              </w:numPr>
              <w:contextualSpacing/>
              <w:rPr>
                <w:rFonts w:ascii="宋体" w:hAnsi="宋体"/>
                <w:szCs w:val="21"/>
              </w:rPr>
            </w:pPr>
            <w:r>
              <w:rPr>
                <w:rFonts w:hint="eastAsia" w:ascii="宋体" w:hAnsi="宋体"/>
                <w:szCs w:val="21"/>
              </w:rPr>
              <w:t>借款人中标采购人自行采购项目并向我行发起授信申请的，单笔业务授信敞口不超500万元，且不超过借款人中标通知书承载的中标金额或本次申请授信提供的采购合同的80%。</w:t>
            </w:r>
          </w:p>
          <w:p w14:paraId="1A6F9992">
            <w:pPr>
              <w:numPr>
                <w:ilvl w:val="0"/>
                <w:numId w:val="3"/>
              </w:numPr>
              <w:contextualSpacing/>
              <w:rPr>
                <w:rFonts w:ascii="宋体" w:hAnsi="宋体"/>
                <w:szCs w:val="21"/>
              </w:rPr>
            </w:pPr>
            <w:r>
              <w:rPr>
                <w:rFonts w:hint="eastAsia" w:ascii="宋体" w:hAnsi="宋体"/>
                <w:szCs w:val="21"/>
              </w:rPr>
              <w:t>符合我行采购人资质的，且负债率不超75%，配合应收账款质押登记确认的，并可出具确认函，单笔借款额度可按不超过采购合同的90%办理。</w:t>
            </w:r>
          </w:p>
        </w:tc>
        <w:tc>
          <w:tcPr>
            <w:tcW w:w="2220" w:type="dxa"/>
            <w:noWrap/>
            <w:vAlign w:val="center"/>
          </w:tcPr>
          <w:p w14:paraId="05E73FCB">
            <w:pPr>
              <w:contextualSpacing/>
              <w:jc w:val="center"/>
              <w:rPr>
                <w:rFonts w:ascii="宋体" w:hAnsi="宋体"/>
                <w:szCs w:val="21"/>
              </w:rPr>
            </w:pPr>
            <w:r>
              <w:rPr>
                <w:rFonts w:hint="eastAsia" w:ascii="宋体" w:hAnsi="宋体"/>
                <w:szCs w:val="21"/>
              </w:rPr>
              <w:t>郑贤栋</w:t>
            </w:r>
          </w:p>
        </w:tc>
        <w:tc>
          <w:tcPr>
            <w:tcW w:w="1908" w:type="dxa"/>
            <w:noWrap/>
            <w:vAlign w:val="center"/>
          </w:tcPr>
          <w:p w14:paraId="0FA7FAFB">
            <w:pPr>
              <w:contextualSpacing/>
              <w:jc w:val="center"/>
              <w:rPr>
                <w:rFonts w:ascii="宋体" w:hAnsi="宋体"/>
                <w:szCs w:val="21"/>
              </w:rPr>
            </w:pPr>
            <w:r>
              <w:rPr>
                <w:rFonts w:hint="eastAsia" w:ascii="宋体" w:hAnsi="宋体"/>
                <w:szCs w:val="21"/>
              </w:rPr>
              <w:t>058—8866086</w:t>
            </w:r>
          </w:p>
        </w:tc>
      </w:tr>
      <w:tr w14:paraId="6CB6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75F3B88C">
            <w:pPr>
              <w:contextualSpacing/>
              <w:rPr>
                <w:rFonts w:ascii="宋体" w:hAnsi="宋体"/>
                <w:szCs w:val="21"/>
              </w:rPr>
            </w:pPr>
            <w:r>
              <w:rPr>
                <w:rFonts w:hint="eastAsia" w:ascii="宋体" w:hAnsi="宋体"/>
                <w:szCs w:val="21"/>
              </w:rPr>
              <w:t>交通银行股份有限公司舟山分行</w:t>
            </w:r>
          </w:p>
        </w:tc>
        <w:tc>
          <w:tcPr>
            <w:tcW w:w="3975" w:type="dxa"/>
            <w:noWrap/>
          </w:tcPr>
          <w:p w14:paraId="16C3DD97">
            <w:pPr>
              <w:contextualSpacing/>
              <w:rPr>
                <w:rFonts w:ascii="宋体" w:hAnsi="宋体"/>
                <w:szCs w:val="21"/>
              </w:rPr>
            </w:pPr>
            <w:r>
              <w:rPr>
                <w:rFonts w:hint="eastAsia" w:ascii="宋体" w:hAnsi="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rPr>
              <w:t>PR</w:t>
            </w:r>
            <w:r>
              <w:rPr>
                <w:rFonts w:ascii="宋体" w:hAnsi="宋体"/>
                <w:szCs w:val="21"/>
              </w:rPr>
              <w:t>。</w:t>
            </w:r>
          </w:p>
        </w:tc>
        <w:tc>
          <w:tcPr>
            <w:tcW w:w="2220" w:type="dxa"/>
            <w:noWrap/>
            <w:vAlign w:val="center"/>
          </w:tcPr>
          <w:p w14:paraId="69CBD90D">
            <w:pPr>
              <w:contextualSpacing/>
              <w:jc w:val="center"/>
              <w:rPr>
                <w:rFonts w:ascii="宋体" w:hAnsi="宋体"/>
                <w:szCs w:val="21"/>
              </w:rPr>
            </w:pPr>
            <w:r>
              <w:rPr>
                <w:rFonts w:hint="eastAsia" w:ascii="宋体" w:hAnsi="宋体"/>
                <w:szCs w:val="21"/>
              </w:rPr>
              <w:t>赵争艳</w:t>
            </w:r>
          </w:p>
        </w:tc>
        <w:tc>
          <w:tcPr>
            <w:tcW w:w="1908" w:type="dxa"/>
            <w:noWrap/>
            <w:vAlign w:val="center"/>
          </w:tcPr>
          <w:p w14:paraId="133A4698">
            <w:pPr>
              <w:contextualSpacing/>
              <w:jc w:val="center"/>
              <w:rPr>
                <w:rFonts w:ascii="宋体" w:hAnsi="宋体"/>
                <w:szCs w:val="21"/>
              </w:rPr>
            </w:pPr>
            <w:r>
              <w:rPr>
                <w:rFonts w:hint="eastAsia" w:ascii="宋体" w:hAnsi="宋体"/>
                <w:szCs w:val="21"/>
              </w:rPr>
              <w:t>0580-2260728</w:t>
            </w:r>
          </w:p>
          <w:p w14:paraId="5591A077">
            <w:pPr>
              <w:contextualSpacing/>
              <w:jc w:val="center"/>
              <w:rPr>
                <w:rFonts w:ascii="宋体" w:hAnsi="宋体"/>
                <w:szCs w:val="21"/>
              </w:rPr>
            </w:pPr>
            <w:r>
              <w:rPr>
                <w:rFonts w:hint="eastAsia" w:ascii="宋体" w:hAnsi="宋体"/>
                <w:szCs w:val="21"/>
              </w:rPr>
              <w:t>13758007280</w:t>
            </w:r>
          </w:p>
        </w:tc>
      </w:tr>
      <w:tr w14:paraId="5888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29A631C0">
            <w:pPr>
              <w:contextualSpacing/>
              <w:rPr>
                <w:rFonts w:ascii="宋体" w:hAnsi="宋体"/>
                <w:szCs w:val="21"/>
              </w:rPr>
            </w:pPr>
            <w:r>
              <w:rPr>
                <w:rFonts w:hint="eastAsia" w:ascii="宋体" w:hAnsi="宋体"/>
                <w:szCs w:val="21"/>
              </w:rPr>
              <w:t>中信银行股份有限公司舟山分行</w:t>
            </w:r>
          </w:p>
        </w:tc>
        <w:tc>
          <w:tcPr>
            <w:tcW w:w="3975" w:type="dxa"/>
            <w:noWrap/>
          </w:tcPr>
          <w:p w14:paraId="79194E78">
            <w:pPr>
              <w:contextualSpacing/>
              <w:rPr>
                <w:rFonts w:ascii="宋体" w:hAnsi="宋体"/>
                <w:szCs w:val="21"/>
              </w:rPr>
            </w:pPr>
            <w:r>
              <w:rPr>
                <w:rFonts w:hint="eastAsia" w:ascii="宋体" w:hAnsi="宋体"/>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noWrap/>
            <w:vAlign w:val="center"/>
          </w:tcPr>
          <w:p w14:paraId="3A4047FD">
            <w:pPr>
              <w:contextualSpacing/>
              <w:jc w:val="center"/>
              <w:rPr>
                <w:rFonts w:ascii="宋体" w:hAnsi="宋体"/>
                <w:szCs w:val="21"/>
              </w:rPr>
            </w:pPr>
            <w:r>
              <w:rPr>
                <w:rFonts w:ascii="宋体" w:hAnsi="宋体"/>
                <w:szCs w:val="21"/>
              </w:rPr>
              <w:t>黄丽</w:t>
            </w:r>
          </w:p>
        </w:tc>
        <w:tc>
          <w:tcPr>
            <w:tcW w:w="1908" w:type="dxa"/>
            <w:noWrap/>
            <w:vAlign w:val="center"/>
          </w:tcPr>
          <w:p w14:paraId="674749A3">
            <w:pPr>
              <w:contextualSpacing/>
              <w:jc w:val="center"/>
              <w:rPr>
                <w:rFonts w:ascii="宋体" w:hAnsi="宋体"/>
                <w:szCs w:val="21"/>
              </w:rPr>
            </w:pPr>
            <w:r>
              <w:rPr>
                <w:rFonts w:ascii="宋体" w:hAnsi="宋体"/>
                <w:szCs w:val="21"/>
              </w:rPr>
              <w:t>13905808032</w:t>
            </w:r>
          </w:p>
        </w:tc>
      </w:tr>
      <w:tr w14:paraId="1651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43B03F72">
            <w:pPr>
              <w:contextualSpacing/>
              <w:rPr>
                <w:rFonts w:ascii="宋体" w:hAnsi="宋体"/>
                <w:szCs w:val="21"/>
              </w:rPr>
            </w:pPr>
            <w:r>
              <w:rPr>
                <w:rFonts w:hint="eastAsia" w:ascii="宋体" w:hAnsi="宋体"/>
                <w:szCs w:val="21"/>
              </w:rPr>
              <w:t>泰隆银行舟山市分行</w:t>
            </w:r>
          </w:p>
        </w:tc>
        <w:tc>
          <w:tcPr>
            <w:tcW w:w="3975" w:type="dxa"/>
            <w:noWrap/>
          </w:tcPr>
          <w:p w14:paraId="7DFCFAB6">
            <w:pPr>
              <w:contextualSpacing/>
              <w:rPr>
                <w:rFonts w:ascii="宋体" w:hAnsi="宋体"/>
                <w:szCs w:val="21"/>
              </w:rPr>
            </w:pPr>
            <w:r>
              <w:rPr>
                <w:rFonts w:hint="eastAsia" w:ascii="宋体" w:hAnsi="宋体"/>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noWrap/>
            <w:vAlign w:val="center"/>
          </w:tcPr>
          <w:p w14:paraId="6F0DD591">
            <w:pPr>
              <w:contextualSpacing/>
              <w:jc w:val="center"/>
              <w:rPr>
                <w:rFonts w:ascii="宋体" w:hAnsi="宋体"/>
                <w:szCs w:val="21"/>
              </w:rPr>
            </w:pPr>
            <w:r>
              <w:rPr>
                <w:rFonts w:hint="eastAsia" w:ascii="宋体" w:hAnsi="宋体"/>
                <w:szCs w:val="21"/>
              </w:rPr>
              <w:t>胡亢宇</w:t>
            </w:r>
          </w:p>
        </w:tc>
        <w:tc>
          <w:tcPr>
            <w:tcW w:w="1908" w:type="dxa"/>
            <w:noWrap/>
            <w:vAlign w:val="center"/>
          </w:tcPr>
          <w:p w14:paraId="1A7A0204">
            <w:pPr>
              <w:contextualSpacing/>
              <w:jc w:val="center"/>
              <w:rPr>
                <w:rFonts w:ascii="宋体" w:hAnsi="宋体"/>
                <w:szCs w:val="21"/>
              </w:rPr>
            </w:pPr>
            <w:r>
              <w:rPr>
                <w:rFonts w:hint="eastAsia" w:ascii="宋体" w:hAnsi="宋体"/>
                <w:szCs w:val="21"/>
              </w:rPr>
              <w:t>17605868703</w:t>
            </w:r>
          </w:p>
        </w:tc>
      </w:tr>
      <w:tr w14:paraId="0542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34356910">
            <w:pPr>
              <w:contextualSpacing/>
              <w:rPr>
                <w:rFonts w:ascii="宋体" w:hAnsi="宋体"/>
                <w:szCs w:val="21"/>
              </w:rPr>
            </w:pPr>
            <w:r>
              <w:rPr>
                <w:rFonts w:hint="eastAsia" w:ascii="宋体" w:hAnsi="宋体"/>
                <w:szCs w:val="21"/>
              </w:rPr>
              <w:t>中国农业银行股份有限公司舟山分行</w:t>
            </w:r>
          </w:p>
        </w:tc>
        <w:tc>
          <w:tcPr>
            <w:tcW w:w="3975" w:type="dxa"/>
            <w:noWrap/>
          </w:tcPr>
          <w:p w14:paraId="06746A27">
            <w:pPr>
              <w:contextualSpacing/>
              <w:rPr>
                <w:rFonts w:ascii="宋体" w:hAnsi="宋体"/>
                <w:szCs w:val="21"/>
              </w:rPr>
            </w:pPr>
            <w:r>
              <w:rPr>
                <w:rFonts w:hint="eastAsia" w:ascii="宋体" w:hAnsi="宋体"/>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noWrap/>
            <w:vAlign w:val="center"/>
          </w:tcPr>
          <w:p w14:paraId="52902D8D">
            <w:pPr>
              <w:contextualSpacing/>
              <w:jc w:val="center"/>
              <w:rPr>
                <w:rFonts w:ascii="宋体" w:hAnsi="宋体"/>
                <w:szCs w:val="21"/>
              </w:rPr>
            </w:pPr>
            <w:r>
              <w:rPr>
                <w:rFonts w:hint="eastAsia" w:ascii="宋体" w:hAnsi="宋体"/>
                <w:szCs w:val="21"/>
              </w:rPr>
              <w:t>苏华瞻</w:t>
            </w:r>
          </w:p>
        </w:tc>
        <w:tc>
          <w:tcPr>
            <w:tcW w:w="1908" w:type="dxa"/>
            <w:noWrap/>
            <w:vAlign w:val="center"/>
          </w:tcPr>
          <w:p w14:paraId="416636AB">
            <w:pPr>
              <w:contextualSpacing/>
              <w:jc w:val="center"/>
              <w:rPr>
                <w:rFonts w:ascii="宋体" w:hAnsi="宋体"/>
                <w:szCs w:val="21"/>
              </w:rPr>
            </w:pPr>
            <w:r>
              <w:rPr>
                <w:rFonts w:hint="eastAsia" w:ascii="宋体" w:hAnsi="宋体"/>
                <w:szCs w:val="21"/>
              </w:rPr>
              <w:t>13967228926</w:t>
            </w:r>
          </w:p>
        </w:tc>
      </w:tr>
      <w:tr w14:paraId="6B9E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306A8322">
            <w:pPr>
              <w:contextualSpacing/>
              <w:rPr>
                <w:rFonts w:ascii="宋体" w:hAnsi="宋体"/>
                <w:szCs w:val="21"/>
              </w:rPr>
            </w:pPr>
            <w:r>
              <w:rPr>
                <w:rFonts w:hint="eastAsia" w:ascii="宋体" w:hAnsi="宋体"/>
                <w:szCs w:val="21"/>
              </w:rPr>
              <w:t>中国邮政储蓄银行股份有限公司舟山市分行</w:t>
            </w:r>
          </w:p>
        </w:tc>
        <w:tc>
          <w:tcPr>
            <w:tcW w:w="3975" w:type="dxa"/>
            <w:noWrap/>
          </w:tcPr>
          <w:p w14:paraId="59AFC0CB">
            <w:pPr>
              <w:tabs>
                <w:tab w:val="left" w:pos="0"/>
              </w:tabs>
              <w:rPr>
                <w:rFonts w:ascii="宋体" w:hAnsi="宋体"/>
                <w:szCs w:val="21"/>
              </w:rPr>
            </w:pPr>
            <w:r>
              <w:rPr>
                <w:rFonts w:hint="eastAsia" w:ascii="宋体" w:hAnsi="宋体"/>
                <w:szCs w:val="21"/>
              </w:rPr>
              <w:t>符合我行基本准入，授信额度使用期最高为2年，单户授信最高为500万，担保方式享受信用贷款执行，利率最低可至当期LPR ，有无还本续贷，12月份线上产品可以自主自贷。</w:t>
            </w:r>
          </w:p>
        </w:tc>
        <w:tc>
          <w:tcPr>
            <w:tcW w:w="2220" w:type="dxa"/>
            <w:noWrap/>
            <w:vAlign w:val="center"/>
          </w:tcPr>
          <w:p w14:paraId="48AD30C2">
            <w:pPr>
              <w:contextualSpacing/>
              <w:jc w:val="center"/>
              <w:rPr>
                <w:rFonts w:ascii="宋体" w:hAnsi="宋体"/>
                <w:szCs w:val="21"/>
              </w:rPr>
            </w:pPr>
            <w:r>
              <w:rPr>
                <w:rFonts w:hint="eastAsia" w:ascii="宋体" w:hAnsi="宋体"/>
                <w:szCs w:val="21"/>
              </w:rPr>
              <w:t>蒋志燕</w:t>
            </w:r>
          </w:p>
        </w:tc>
        <w:tc>
          <w:tcPr>
            <w:tcW w:w="1908" w:type="dxa"/>
            <w:noWrap/>
            <w:vAlign w:val="center"/>
          </w:tcPr>
          <w:p w14:paraId="3001E0DE">
            <w:pPr>
              <w:contextualSpacing/>
              <w:jc w:val="center"/>
              <w:rPr>
                <w:rFonts w:ascii="宋体" w:hAnsi="宋体"/>
                <w:szCs w:val="21"/>
              </w:rPr>
            </w:pPr>
            <w:r>
              <w:rPr>
                <w:rFonts w:hint="eastAsia" w:ascii="宋体" w:hAnsi="宋体"/>
                <w:szCs w:val="21"/>
              </w:rPr>
              <w:t>13732527321</w:t>
            </w:r>
          </w:p>
        </w:tc>
      </w:tr>
    </w:tbl>
    <w:p w14:paraId="1390C6B4">
      <w:pPr>
        <w:snapToGrid w:val="0"/>
        <w:spacing w:line="360" w:lineRule="auto"/>
        <w:ind w:firstLine="420" w:firstLineChars="200"/>
        <w:jc w:val="left"/>
        <w:rPr>
          <w:rFonts w:ascii="宋体" w:hAnsi="宋体" w:cs="宋体"/>
          <w:szCs w:val="21"/>
        </w:rPr>
      </w:pPr>
      <w:r>
        <w:rPr>
          <w:rFonts w:hint="eastAsia" w:ascii="宋体" w:hAnsi="宋体" w:cs="宋体"/>
          <w:szCs w:val="21"/>
        </w:rPr>
        <w:t>2.一般步骤</w:t>
      </w:r>
    </w:p>
    <w:p w14:paraId="4B9068EA">
      <w:pPr>
        <w:snapToGrid w:val="0"/>
        <w:spacing w:line="360" w:lineRule="auto"/>
        <w:ind w:firstLine="420" w:firstLineChars="200"/>
        <w:jc w:val="left"/>
        <w:rPr>
          <w:rFonts w:ascii="宋体" w:hAnsi="宋体" w:cs="宋体"/>
          <w:szCs w:val="21"/>
        </w:rPr>
      </w:pPr>
      <w:r>
        <w:rPr>
          <w:rFonts w:hint="eastAsia" w:ascii="宋体" w:hAnsi="宋体" w:cs="宋体"/>
          <w:szCs w:val="21"/>
        </w:rPr>
        <w:t>（1）供应商先与银行对接，办理融资前期手续；</w:t>
      </w:r>
    </w:p>
    <w:p w14:paraId="68D905D4">
      <w:pPr>
        <w:snapToGrid w:val="0"/>
        <w:spacing w:line="360" w:lineRule="auto"/>
        <w:ind w:firstLine="420" w:firstLineChars="200"/>
        <w:jc w:val="left"/>
        <w:rPr>
          <w:rFonts w:ascii="宋体" w:hAnsi="宋体" w:cs="宋体"/>
          <w:szCs w:val="21"/>
        </w:rPr>
      </w:pPr>
      <w:r>
        <w:rPr>
          <w:rFonts w:hint="eastAsia" w:ascii="宋体" w:hAnsi="宋体" w:cs="宋体"/>
          <w:szCs w:val="21"/>
        </w:rPr>
        <w:t>（2）供应商中标后，凭中标通知书等材料，向相关合作银行发出融资申请；</w:t>
      </w:r>
    </w:p>
    <w:p w14:paraId="1DBFC24C">
      <w:pPr>
        <w:snapToGrid w:val="0"/>
        <w:spacing w:line="360" w:lineRule="auto"/>
        <w:ind w:firstLine="420" w:firstLineChars="200"/>
        <w:jc w:val="left"/>
        <w:rPr>
          <w:rFonts w:ascii="宋体" w:hAnsi="宋体" w:cs="宋体"/>
          <w:szCs w:val="21"/>
        </w:rPr>
      </w:pPr>
      <w:r>
        <w:rPr>
          <w:rFonts w:hint="eastAsia" w:ascii="宋体" w:hAnsi="宋体" w:cs="宋体"/>
          <w:szCs w:val="21"/>
        </w:rPr>
        <w:t>（3）银行、供应商线上办理审批、放贷事宜。</w:t>
      </w:r>
    </w:p>
    <w:p w14:paraId="7842FEE1">
      <w:pPr>
        <w:snapToGrid w:val="0"/>
        <w:spacing w:line="360" w:lineRule="auto"/>
        <w:ind w:firstLine="420" w:firstLineChars="200"/>
        <w:jc w:val="left"/>
        <w:rPr>
          <w:rFonts w:ascii="宋体" w:hAnsi="宋体" w:cs="宋体"/>
          <w:szCs w:val="21"/>
        </w:rPr>
      </w:pPr>
      <w:r>
        <w:rPr>
          <w:rFonts w:hint="eastAsia" w:ascii="宋体" w:hAnsi="宋体" w:cs="宋体"/>
          <w:szCs w:val="21"/>
        </w:rPr>
        <w:t>3.注意事项</w:t>
      </w:r>
    </w:p>
    <w:p w14:paraId="72D06714">
      <w:pPr>
        <w:snapToGrid w:val="0"/>
        <w:spacing w:line="360" w:lineRule="auto"/>
        <w:ind w:firstLine="420" w:firstLineChars="200"/>
        <w:jc w:val="left"/>
        <w:rPr>
          <w:rFonts w:ascii="宋体" w:hAnsi="宋体" w:cs="宋体"/>
          <w:szCs w:val="21"/>
        </w:rPr>
      </w:pPr>
      <w:r>
        <w:rPr>
          <w:rFonts w:hint="eastAsia" w:ascii="宋体" w:hAnsi="宋体" w:cs="宋体"/>
          <w:szCs w:val="21"/>
        </w:rPr>
        <w:t>（1）中标供应商需确保政府采购合同的收款账户与融资银行开户账户一致。</w:t>
      </w:r>
    </w:p>
    <w:p w14:paraId="15D1B95D">
      <w:pPr>
        <w:snapToGrid w:val="0"/>
        <w:spacing w:line="360" w:lineRule="auto"/>
        <w:ind w:firstLine="420" w:firstLineChars="200"/>
        <w:jc w:val="left"/>
        <w:rPr>
          <w:rFonts w:ascii="宋体" w:hAnsi="宋体" w:cs="宋体"/>
          <w:szCs w:val="21"/>
        </w:rPr>
      </w:pPr>
      <w:r>
        <w:rPr>
          <w:rFonts w:hint="eastAsia" w:ascii="宋体" w:hAnsi="宋体" w:cs="宋体"/>
          <w:szCs w:val="21"/>
        </w:rPr>
        <w:t>（2）用于政府采购信用融资的政府采购合同，应当包含如下条款：“第   条：政府采购合同贷款</w:t>
      </w:r>
    </w:p>
    <w:p w14:paraId="65124197">
      <w:pPr>
        <w:snapToGrid w:val="0"/>
        <w:spacing w:line="360" w:lineRule="auto"/>
        <w:ind w:firstLine="420" w:firstLineChars="200"/>
        <w:jc w:val="left"/>
        <w:rPr>
          <w:rFonts w:ascii="宋体" w:hAnsi="宋体" w:cs="宋体"/>
          <w:szCs w:val="21"/>
        </w:rPr>
      </w:pPr>
      <w:r>
        <w:rPr>
          <w:rFonts w:hint="eastAsia" w:ascii="宋体" w:hAnsi="宋体" w:cs="宋体"/>
          <w:szCs w:val="21"/>
        </w:rPr>
        <w:t>本合同同时用于乙方向      银行（金融机构）申请政府采购信用贷款。</w:t>
      </w:r>
    </w:p>
    <w:p w14:paraId="5C9341DE">
      <w:pPr>
        <w:snapToGrid w:val="0"/>
        <w:spacing w:line="360" w:lineRule="auto"/>
        <w:ind w:firstLine="420" w:firstLineChars="200"/>
        <w:jc w:val="left"/>
        <w:rPr>
          <w:rFonts w:ascii="宋体" w:hAnsi="宋体" w:cs="宋体"/>
          <w:szCs w:val="21"/>
        </w:rPr>
      </w:pPr>
      <w:r>
        <w:rPr>
          <w:rFonts w:hint="eastAsia" w:ascii="宋体" w:hAnsi="宋体" w:cs="宋体"/>
          <w:szCs w:val="21"/>
        </w:rPr>
        <w:t>本合同一经签订，原则上不得更改乙方收款账户信息。确需更改的，乙方应取得原合同收款账户开户银行书面同意，否则修改后的合同不予备案，采购资金不予支付。”</w:t>
      </w:r>
    </w:p>
    <w:p w14:paraId="3CF8C511">
      <w:pPr>
        <w:snapToGrid w:val="0"/>
        <w:spacing w:line="276" w:lineRule="auto"/>
        <w:ind w:firstLine="422" w:firstLineChars="200"/>
        <w:jc w:val="left"/>
        <w:rPr>
          <w:rFonts w:ascii="宋体" w:hAnsi="宋体" w:cs="宋体"/>
          <w:b/>
          <w:szCs w:val="21"/>
        </w:rPr>
      </w:pPr>
      <w:r>
        <w:rPr>
          <w:rFonts w:hint="eastAsia" w:ascii="宋体" w:hAnsi="宋体" w:cs="宋体"/>
          <w:b/>
          <w:szCs w:val="21"/>
        </w:rPr>
        <w:t>（十一）中金招标有限责任公司拥有本招标文件最终解释权。</w:t>
      </w:r>
    </w:p>
    <w:p w14:paraId="13539605">
      <w:pPr>
        <w:snapToGrid w:val="0"/>
        <w:spacing w:line="276" w:lineRule="auto"/>
        <w:jc w:val="center"/>
        <w:rPr>
          <w:rFonts w:ascii="宋体" w:hAnsi="宋体" w:cs="宋体"/>
          <w:b/>
          <w:szCs w:val="21"/>
        </w:rPr>
      </w:pPr>
    </w:p>
    <w:p w14:paraId="67960F47">
      <w:pPr>
        <w:snapToGrid w:val="0"/>
        <w:spacing w:line="276" w:lineRule="auto"/>
        <w:jc w:val="center"/>
        <w:outlineLvl w:val="1"/>
        <w:rPr>
          <w:rFonts w:ascii="宋体" w:hAnsi="宋体" w:cs="宋体"/>
          <w:b/>
          <w:szCs w:val="21"/>
        </w:rPr>
      </w:pPr>
      <w:bookmarkStart w:id="25" w:name="_Toc32536"/>
      <w:r>
        <w:rPr>
          <w:rFonts w:hint="eastAsia" w:ascii="宋体" w:hAnsi="宋体" w:cs="宋体"/>
          <w:b/>
          <w:szCs w:val="21"/>
        </w:rPr>
        <w:t>二、招标文件</w:t>
      </w:r>
      <w:bookmarkEnd w:id="25"/>
    </w:p>
    <w:p w14:paraId="5FDD372C">
      <w:pPr>
        <w:snapToGrid w:val="0"/>
        <w:spacing w:line="360" w:lineRule="auto"/>
        <w:ind w:firstLine="422" w:firstLineChars="200"/>
        <w:jc w:val="left"/>
        <w:rPr>
          <w:rFonts w:ascii="宋体" w:hAnsi="宋体" w:cs="宋体"/>
          <w:b/>
          <w:szCs w:val="21"/>
        </w:rPr>
      </w:pPr>
      <w:r>
        <w:rPr>
          <w:rFonts w:hint="eastAsia" w:ascii="宋体" w:hAnsi="宋体" w:cs="宋体"/>
          <w:b/>
          <w:szCs w:val="21"/>
        </w:rPr>
        <w:t>（一）招标文件的构成</w:t>
      </w:r>
    </w:p>
    <w:p w14:paraId="0CBC1230">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第一章  招标公告</w:t>
      </w:r>
    </w:p>
    <w:p w14:paraId="4FEF39E8">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第二章  采购需求</w:t>
      </w:r>
    </w:p>
    <w:p w14:paraId="585CCD17">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第三章  投标人须知</w:t>
      </w:r>
    </w:p>
    <w:p w14:paraId="7AB225DD">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第四章  评标办法及标准</w:t>
      </w:r>
    </w:p>
    <w:p w14:paraId="185418B3">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第五章  合同主要条款</w:t>
      </w:r>
    </w:p>
    <w:p w14:paraId="29EE9F20">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第六章  投标文件组成</w:t>
      </w:r>
    </w:p>
    <w:p w14:paraId="0ABE681E">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其他有关补充文件</w:t>
      </w:r>
    </w:p>
    <w:p w14:paraId="4004AF68">
      <w:pPr>
        <w:pStyle w:val="10"/>
        <w:widowControl w:val="0"/>
        <w:snapToGrid w:val="0"/>
        <w:spacing w:afterLines="0" w:line="360" w:lineRule="auto"/>
        <w:ind w:left="0" w:firstLine="422" w:firstLineChars="200"/>
        <w:rPr>
          <w:rFonts w:ascii="宋体" w:hAnsi="宋体" w:cs="宋体"/>
          <w:b/>
          <w:kern w:val="2"/>
          <w:sz w:val="21"/>
          <w:szCs w:val="21"/>
        </w:rPr>
      </w:pPr>
      <w:r>
        <w:rPr>
          <w:rFonts w:hint="eastAsia" w:ascii="宋体" w:hAnsi="宋体" w:cs="宋体"/>
          <w:b/>
          <w:sz w:val="21"/>
          <w:szCs w:val="21"/>
        </w:rPr>
        <w:t>（</w:t>
      </w:r>
      <w:r>
        <w:rPr>
          <w:rFonts w:hint="eastAsia" w:ascii="宋体" w:hAnsi="宋体" w:cs="宋体"/>
          <w:b/>
          <w:kern w:val="2"/>
          <w:sz w:val="21"/>
          <w:szCs w:val="21"/>
        </w:rPr>
        <w:t xml:space="preserve">二）招标文件的澄清与修改 </w:t>
      </w:r>
    </w:p>
    <w:p w14:paraId="45EDCACC">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投标人应认真阅读本招标文件，发现其中有误或有要求不合理的，投标人必须在投标截止前15天内以书面形式要求采购人澄清。采购人对已发出的招标文件进行必要澄清、答复、修改或补充的，应当在招标文件要求提交投标文件截止时间15天前，在相关的采购信息发布媒体上发布更正公告，并通知所有已依法获取采购文件的潜在投标人。</w:t>
      </w:r>
    </w:p>
    <w:p w14:paraId="701A7A15">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2、采购人以书面形式答复投标人要求澄清的问题，并将不包含问题来源的答复书面通知所有已依法获取采购文件的潜在投标人；除书面答复以外的其他澄清方式及澄清内容均无效。</w:t>
      </w:r>
    </w:p>
    <w:p w14:paraId="7820D0BF">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3、招标文件的答复、澄清、修改、补充通知实质上改变采购需求相关内容，且自招标文件的答复、澄清、修改、补充通知发出之日起至投标截止时间止不足15天的，采购人可视情况推迟投标截止时间和开标时间，按规定在相关的采购信息发布媒体上发布变更公告，并将变更后的时间通知所有已依法获取采购文件的潜在投标人。</w:t>
      </w:r>
    </w:p>
    <w:p w14:paraId="766C625F">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4、招标文件澄清、答复、修改、补充的内容为招标文件的组成部分。当招标文件与招标文件的答复、澄清、修改、补充通知就同一内容的表述不一致时，以最后发出的书面文件为准。</w:t>
      </w:r>
    </w:p>
    <w:p w14:paraId="140D875D">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5、招标文件的澄清、答复、修改或补充都应该通过本采购代理机构以法定形式发布，采购人非通过本采购代理机构的，不得擅自澄清、答复、修改或补充招标文件。</w:t>
      </w:r>
    </w:p>
    <w:p w14:paraId="753A2CE7">
      <w:pPr>
        <w:snapToGrid w:val="0"/>
        <w:spacing w:line="276" w:lineRule="auto"/>
        <w:jc w:val="center"/>
        <w:rPr>
          <w:rFonts w:ascii="宋体" w:hAnsi="宋体" w:cs="宋体"/>
          <w:b/>
          <w:szCs w:val="21"/>
        </w:rPr>
      </w:pPr>
    </w:p>
    <w:p w14:paraId="274D0DDA">
      <w:pPr>
        <w:snapToGrid w:val="0"/>
        <w:spacing w:line="276" w:lineRule="auto"/>
        <w:jc w:val="center"/>
        <w:outlineLvl w:val="1"/>
        <w:rPr>
          <w:rFonts w:ascii="宋体" w:hAnsi="宋体" w:cs="宋体"/>
          <w:b/>
          <w:szCs w:val="21"/>
        </w:rPr>
      </w:pPr>
      <w:bookmarkStart w:id="26" w:name="_Toc27122"/>
      <w:r>
        <w:rPr>
          <w:rFonts w:hint="eastAsia" w:ascii="宋体" w:hAnsi="宋体" w:cs="宋体"/>
          <w:b/>
          <w:szCs w:val="21"/>
        </w:rPr>
        <w:t>三、投标文件的编制</w:t>
      </w:r>
      <w:bookmarkEnd w:id="26"/>
    </w:p>
    <w:p w14:paraId="02F2F915">
      <w:pPr>
        <w:snapToGrid w:val="0"/>
        <w:spacing w:line="460" w:lineRule="exact"/>
        <w:ind w:firstLine="413" w:firstLineChars="196"/>
        <w:jc w:val="left"/>
        <w:rPr>
          <w:rFonts w:ascii="宋体" w:hAnsi="宋体" w:cs="宋体"/>
          <w:b/>
          <w:szCs w:val="21"/>
        </w:rPr>
      </w:pPr>
      <w:r>
        <w:rPr>
          <w:rFonts w:hint="eastAsia" w:ascii="宋体" w:hAnsi="宋体" w:cs="宋体"/>
          <w:b/>
          <w:szCs w:val="21"/>
        </w:rPr>
        <w:t>（一）投标文件的形式和效力</w:t>
      </w:r>
    </w:p>
    <w:p w14:paraId="226318CC">
      <w:pPr>
        <w:adjustRightInd w:val="0"/>
        <w:snapToGrid w:val="0"/>
        <w:spacing w:line="460" w:lineRule="exact"/>
        <w:ind w:firstLine="422" w:firstLineChars="200"/>
        <w:rPr>
          <w:rFonts w:ascii="宋体" w:hAnsi="宋体" w:cs="宋体"/>
          <w:b/>
          <w:szCs w:val="21"/>
        </w:rPr>
      </w:pPr>
      <w:r>
        <w:rPr>
          <w:rFonts w:hint="eastAsia" w:ascii="宋体" w:hAnsi="宋体" w:cs="宋体"/>
          <w:b/>
          <w:szCs w:val="21"/>
        </w:rPr>
        <w:t>投标文件分为电子投标文件以及备份投标文件，备份投标文件为以介质存储的数据电文形式的投标文件。</w:t>
      </w:r>
    </w:p>
    <w:p w14:paraId="196E93C3">
      <w:pPr>
        <w:adjustRightInd w:val="0"/>
        <w:snapToGrid w:val="0"/>
        <w:spacing w:line="460" w:lineRule="exact"/>
        <w:ind w:firstLine="422" w:firstLineChars="200"/>
        <w:rPr>
          <w:rFonts w:ascii="宋体" w:hAnsi="宋体" w:cs="宋体"/>
          <w:b/>
          <w:szCs w:val="21"/>
        </w:rPr>
      </w:pPr>
      <w:r>
        <w:rPr>
          <w:rFonts w:hint="eastAsia" w:ascii="宋体" w:hAnsi="宋体" w:cs="宋体"/>
          <w:b/>
          <w:szCs w:val="21"/>
        </w:rPr>
        <w:t>1、电子投标文件，按“政采云供应商项目采购-电子招投标操作指南”及本招标文件要求制作、加密并递交。</w:t>
      </w:r>
    </w:p>
    <w:p w14:paraId="072472F0">
      <w:pPr>
        <w:adjustRightInd w:val="0"/>
        <w:snapToGrid w:val="0"/>
        <w:spacing w:line="460" w:lineRule="exact"/>
        <w:ind w:firstLine="422" w:firstLineChars="200"/>
        <w:rPr>
          <w:rFonts w:ascii="宋体" w:hAnsi="宋体" w:cs="宋体"/>
          <w:b/>
          <w:szCs w:val="21"/>
        </w:rPr>
      </w:pPr>
      <w:r>
        <w:rPr>
          <w:rFonts w:hint="eastAsia" w:ascii="宋体" w:hAnsi="宋体" w:cs="宋体"/>
          <w:b/>
          <w:szCs w:val="21"/>
        </w:rPr>
        <w:t>2、以介质存储的数据电文形式的备份投标文件，按政采云供应商项目采购-电子招投标操作指南中制作的电子投标文件。</w:t>
      </w:r>
    </w:p>
    <w:p w14:paraId="064BDE8F">
      <w:pPr>
        <w:adjustRightInd w:val="0"/>
        <w:snapToGrid w:val="0"/>
        <w:spacing w:line="460" w:lineRule="exact"/>
        <w:ind w:firstLine="422" w:firstLineChars="200"/>
        <w:rPr>
          <w:rFonts w:ascii="宋体" w:hAnsi="宋体" w:cs="宋体"/>
          <w:b/>
          <w:szCs w:val="21"/>
        </w:rPr>
      </w:pPr>
      <w:r>
        <w:rPr>
          <w:rFonts w:hint="eastAsia" w:ascii="宋体" w:hAnsi="宋体" w:cs="宋体"/>
          <w:b/>
          <w:szCs w:val="21"/>
        </w:rPr>
        <w:t>投标文件的启用，按先后顺位分别为电子投标文件、以介质存储的数据电文形式的备份投标文件。在下一顺位的投标文件启用时，前一顺位的投标文件自动失效。</w:t>
      </w:r>
    </w:p>
    <w:p w14:paraId="59BC3CBA">
      <w:pPr>
        <w:snapToGrid w:val="0"/>
        <w:spacing w:line="360" w:lineRule="auto"/>
        <w:ind w:firstLine="413" w:firstLineChars="196"/>
        <w:jc w:val="left"/>
        <w:rPr>
          <w:rFonts w:ascii="宋体" w:hAnsi="宋体" w:cs="宋体"/>
          <w:b/>
          <w:szCs w:val="21"/>
        </w:rPr>
      </w:pPr>
      <w:r>
        <w:rPr>
          <w:rFonts w:hint="eastAsia" w:ascii="宋体" w:hAnsi="宋体" w:cs="宋体"/>
          <w:b/>
          <w:szCs w:val="21"/>
        </w:rPr>
        <w:t>（二）投标文件的组成</w:t>
      </w:r>
    </w:p>
    <w:p w14:paraId="6252A659">
      <w:pPr>
        <w:snapToGrid w:val="0"/>
        <w:spacing w:line="360" w:lineRule="auto"/>
        <w:ind w:firstLine="415" w:firstLineChars="198"/>
        <w:rPr>
          <w:rFonts w:ascii="宋体" w:hAnsi="宋体" w:cs="宋体"/>
          <w:szCs w:val="21"/>
        </w:rPr>
      </w:pPr>
      <w:r>
        <w:rPr>
          <w:rFonts w:hint="eastAsia" w:ascii="宋体" w:hAnsi="宋体" w:cs="宋体"/>
          <w:szCs w:val="21"/>
        </w:rPr>
        <w:t>投标文件由投标报价文件、资格证明文件、商务文件、技术文件组成。电子投标文件中所须加盖公章部分均采用CA签章。（具体要求详见第六章 投标文件组成）</w:t>
      </w:r>
    </w:p>
    <w:p w14:paraId="01E793FE">
      <w:pPr>
        <w:snapToGrid w:val="0"/>
        <w:spacing w:line="360" w:lineRule="auto"/>
        <w:ind w:firstLine="413" w:firstLineChars="196"/>
        <w:jc w:val="left"/>
        <w:rPr>
          <w:rFonts w:ascii="宋体" w:hAnsi="宋体" w:cs="宋体"/>
          <w:b/>
          <w:szCs w:val="21"/>
        </w:rPr>
      </w:pPr>
      <w:r>
        <w:rPr>
          <w:rFonts w:hint="eastAsia" w:ascii="宋体" w:hAnsi="宋体" w:cs="宋体"/>
          <w:b/>
          <w:szCs w:val="21"/>
        </w:rPr>
        <w:t>（三）投标文件的语言及计量</w:t>
      </w:r>
    </w:p>
    <w:p w14:paraId="20F376A5">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1、投标文件以及投标人与采购代理机构就有关投标事宜的所有来往函电，均应以中文汉语书写。除签名、盖章、专用名称、特殊证明材料等情形外，以中文汉语以外的文字表述的投标文件视同未提供。</w:t>
      </w:r>
    </w:p>
    <w:p w14:paraId="7A067B81">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2、投标计量单位，应采用中华人民共和国法定计量单位（货币单位：人民币元），否则视同未响应。</w:t>
      </w:r>
    </w:p>
    <w:p w14:paraId="5D8020CF">
      <w:pPr>
        <w:snapToGrid w:val="0"/>
        <w:spacing w:line="360" w:lineRule="auto"/>
        <w:ind w:firstLine="413" w:firstLineChars="196"/>
        <w:jc w:val="left"/>
        <w:rPr>
          <w:rFonts w:ascii="宋体" w:hAnsi="宋体" w:cs="宋体"/>
          <w:b/>
          <w:szCs w:val="21"/>
        </w:rPr>
      </w:pPr>
      <w:r>
        <w:rPr>
          <w:rFonts w:hint="eastAsia" w:ascii="宋体" w:hAnsi="宋体" w:cs="宋体"/>
          <w:b/>
          <w:szCs w:val="21"/>
        </w:rPr>
        <w:t>（四）投标报价与相关费用</w:t>
      </w:r>
    </w:p>
    <w:p w14:paraId="0FFA59E7">
      <w:pPr>
        <w:spacing w:line="360" w:lineRule="auto"/>
        <w:ind w:firstLine="420" w:firstLineChars="200"/>
        <w:rPr>
          <w:rFonts w:ascii="宋体" w:hAnsi="宋体" w:cs="宋体"/>
          <w:lang w:val="zh-CN"/>
        </w:rPr>
      </w:pPr>
      <w:r>
        <w:rPr>
          <w:rFonts w:hint="eastAsia" w:ascii="宋体" w:hAnsi="宋体" w:cs="宋体"/>
        </w:rPr>
        <w:t>1、</w:t>
      </w:r>
      <w:r>
        <w:rPr>
          <w:rFonts w:hint="eastAsia" w:ascii="宋体" w:hAnsi="宋体" w:cs="宋体"/>
          <w:lang w:val="zh-CN"/>
        </w:rPr>
        <w:t>投标人所投报的投标报价为投标人所能承受的整个项目的一次性最终最低合同总价，包括完成本项目工作内容所需的一切费用。合同总价不得超过本项目对应的</w:t>
      </w:r>
      <w:r>
        <w:rPr>
          <w:rFonts w:hint="eastAsia" w:ascii="宋体" w:hAnsi="宋体" w:cs="宋体"/>
        </w:rPr>
        <w:t>预算金额或最高限价</w:t>
      </w:r>
      <w:r>
        <w:rPr>
          <w:rFonts w:hint="eastAsia" w:ascii="宋体" w:hAnsi="宋体" w:cs="宋体"/>
          <w:lang w:val="zh-CN"/>
        </w:rPr>
        <w:t>。</w:t>
      </w:r>
    </w:p>
    <w:p w14:paraId="0DFDFC5B">
      <w:pPr>
        <w:spacing w:line="360" w:lineRule="auto"/>
        <w:ind w:firstLine="420" w:firstLineChars="200"/>
        <w:rPr>
          <w:rFonts w:ascii="宋体" w:hAnsi="宋体" w:cs="宋体"/>
          <w:lang w:val="zh-CN"/>
        </w:rPr>
      </w:pPr>
      <w:r>
        <w:rPr>
          <w:rFonts w:hint="eastAsia" w:ascii="宋体" w:hAnsi="宋体" w:cs="宋体"/>
        </w:rPr>
        <w:t>2、</w:t>
      </w:r>
      <w:r>
        <w:rPr>
          <w:rFonts w:hint="eastAsia" w:ascii="宋体" w:hAnsi="宋体" w:cs="宋体"/>
          <w:lang w:val="zh-CN"/>
        </w:rPr>
        <w:t>按国家规定由中标人缴纳的各种税收已包含在投标总价内，由中标人向税务机关缴纳相关费用。</w:t>
      </w:r>
    </w:p>
    <w:p w14:paraId="76D96B35">
      <w:pPr>
        <w:spacing w:line="360" w:lineRule="auto"/>
        <w:ind w:firstLine="420" w:firstLineChars="200"/>
        <w:rPr>
          <w:rFonts w:ascii="宋体" w:hAnsi="宋体" w:cs="宋体"/>
          <w:lang w:val="zh-CN"/>
        </w:rPr>
      </w:pPr>
      <w:r>
        <w:rPr>
          <w:rFonts w:hint="eastAsia" w:ascii="宋体" w:hAnsi="宋体" w:cs="宋体"/>
        </w:rPr>
        <w:t>3、</w:t>
      </w:r>
      <w:r>
        <w:rPr>
          <w:rFonts w:hint="eastAsia" w:ascii="宋体" w:hAnsi="宋体" w:cs="宋体"/>
          <w:lang w:val="zh-CN"/>
        </w:rPr>
        <w:t>投标人应承担其参加本招标活动自身所发生的费用。</w:t>
      </w:r>
    </w:p>
    <w:p w14:paraId="11EF198A">
      <w:pPr>
        <w:spacing w:line="360" w:lineRule="auto"/>
        <w:ind w:firstLine="420" w:firstLineChars="200"/>
        <w:rPr>
          <w:rFonts w:ascii="宋体" w:hAnsi="宋体" w:cs="宋体"/>
        </w:rPr>
      </w:pPr>
      <w:r>
        <w:rPr>
          <w:rFonts w:hint="eastAsia" w:ascii="宋体" w:hAnsi="宋体" w:cs="宋体"/>
        </w:rPr>
        <w:t>4、中标人须缴纳招标代理服务费，</w:t>
      </w:r>
    </w:p>
    <w:p w14:paraId="2656A935">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（五）投标文件的有效期</w:t>
      </w:r>
    </w:p>
    <w:p w14:paraId="5488EF29">
      <w:pPr>
        <w:pStyle w:val="3"/>
        <w:snapToGrid w:val="0"/>
        <w:spacing w:line="360" w:lineRule="auto"/>
        <w:ind w:firstLine="420" w:firstLineChars="200"/>
        <w:rPr>
          <w:rFonts w:hAnsi="宋体" w:eastAsia="宋体" w:cs="宋体"/>
          <w:sz w:val="21"/>
          <w:szCs w:val="21"/>
        </w:rPr>
      </w:pPr>
      <w:r>
        <w:rPr>
          <w:rFonts w:hint="eastAsia" w:hAnsi="宋体" w:eastAsia="宋体" w:cs="宋体"/>
          <w:sz w:val="21"/>
          <w:szCs w:val="21"/>
        </w:rPr>
        <w:t>1、自投标截止日起90天投标文件应保持有效。有效期不足的投标文件将被拒绝。</w:t>
      </w:r>
    </w:p>
    <w:p w14:paraId="73265857">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2、在特殊情况下，采购人可与投标人协商延长投标文件的有效期，这种要求和答复均以书面形式进行。</w:t>
      </w:r>
    </w:p>
    <w:p w14:paraId="600768D1">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3、中标人的投标文件自开标之日起至合同履行完毕止均应保持有效。</w:t>
      </w:r>
    </w:p>
    <w:p w14:paraId="67133DAA">
      <w:pPr>
        <w:spacing w:line="360" w:lineRule="auto"/>
        <w:ind w:firstLine="422" w:firstLineChars="200"/>
        <w:rPr>
          <w:rFonts w:ascii="宋体" w:hAnsi="宋体" w:cs="宋体"/>
          <w:b/>
          <w:bCs/>
        </w:rPr>
      </w:pPr>
      <w:r>
        <w:rPr>
          <w:rFonts w:hint="eastAsia" w:ascii="宋体" w:hAnsi="宋体" w:cs="宋体"/>
          <w:b/>
          <w:bCs/>
        </w:rPr>
        <w:t>（六）投标文件的签署和编制</w:t>
      </w:r>
    </w:p>
    <w:p w14:paraId="240BF266">
      <w:pPr>
        <w:spacing w:line="360" w:lineRule="auto"/>
        <w:ind w:firstLine="420" w:firstLineChars="200"/>
        <w:rPr>
          <w:rFonts w:ascii="宋体" w:hAnsi="宋体" w:cs="宋体"/>
        </w:rPr>
      </w:pPr>
      <w:r>
        <w:rPr>
          <w:rFonts w:hint="eastAsia" w:ascii="宋体" w:hAnsi="宋体" w:cs="宋体"/>
        </w:rPr>
        <w:t>1、电子投标文件部分：</w:t>
      </w:r>
    </w:p>
    <w:p w14:paraId="003A9484">
      <w:pPr>
        <w:spacing w:line="360" w:lineRule="auto"/>
        <w:ind w:firstLine="420" w:firstLineChars="200"/>
        <w:rPr>
          <w:rFonts w:ascii="宋体" w:hAnsi="宋体" w:cs="宋体"/>
        </w:rPr>
      </w:pPr>
      <w:r>
        <w:rPr>
          <w:rFonts w:hint="eastAsia" w:ascii="宋体" w:hAnsi="宋体" w:cs="宋体"/>
        </w:rPr>
        <w:t>投标人应根据“政采云供应商项目采购-电子招投标操作指南”及本招标文件规定的格式和顺序编制电子投标文件并进行关联定位。</w:t>
      </w:r>
    </w:p>
    <w:p w14:paraId="654C564B">
      <w:pPr>
        <w:spacing w:line="360" w:lineRule="auto"/>
        <w:ind w:firstLine="420" w:firstLineChars="200"/>
        <w:rPr>
          <w:rFonts w:ascii="宋体" w:hAnsi="宋体" w:cs="宋体"/>
        </w:rPr>
      </w:pPr>
      <w:r>
        <w:rPr>
          <w:rFonts w:hint="eastAsia" w:ascii="宋体" w:hAnsi="宋体" w:cs="宋体"/>
        </w:rPr>
        <w:t>2、以介质存储的数据电文形式的备份投标文件部分：</w:t>
      </w:r>
    </w:p>
    <w:p w14:paraId="5F231B71">
      <w:pPr>
        <w:spacing w:line="360" w:lineRule="auto"/>
        <w:ind w:firstLine="420" w:firstLineChars="200"/>
        <w:rPr>
          <w:rFonts w:ascii="宋体" w:hAnsi="宋体" w:cs="宋体"/>
        </w:rPr>
      </w:pPr>
      <w:r>
        <w:rPr>
          <w:rFonts w:hint="eastAsia" w:ascii="宋体" w:hAnsi="宋体" w:cs="宋体"/>
        </w:rPr>
        <w:t>备份电子投标文件，以光盘或U盘形式存储。</w:t>
      </w:r>
    </w:p>
    <w:p w14:paraId="3EBD9AA0">
      <w:pPr>
        <w:spacing w:line="360" w:lineRule="auto"/>
        <w:ind w:firstLine="422" w:firstLineChars="200"/>
        <w:rPr>
          <w:rFonts w:ascii="宋体" w:hAnsi="宋体" w:cs="宋体"/>
          <w:b/>
          <w:bCs/>
        </w:rPr>
      </w:pPr>
      <w:r>
        <w:rPr>
          <w:rFonts w:hint="eastAsia" w:ascii="宋体" w:hAnsi="宋体" w:cs="宋体"/>
          <w:b/>
          <w:bCs/>
        </w:rPr>
        <w:t>（七）备份投标文件的修改和撤回</w:t>
      </w:r>
    </w:p>
    <w:p w14:paraId="72E58317">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60191283">
      <w:pPr>
        <w:snapToGrid w:val="0"/>
        <w:spacing w:line="360" w:lineRule="auto"/>
        <w:ind w:firstLine="422" w:firstLineChars="200"/>
        <w:rPr>
          <w:rFonts w:ascii="宋体" w:hAnsi="宋体" w:cs="宋体"/>
          <w:b/>
          <w:szCs w:val="21"/>
        </w:rPr>
      </w:pPr>
      <w:r>
        <w:rPr>
          <w:rFonts w:hint="eastAsia" w:ascii="宋体" w:hAnsi="宋体" w:cs="宋体"/>
          <w:b/>
          <w:szCs w:val="21"/>
        </w:rPr>
        <w:t>（八）投标无效的情形</w:t>
      </w:r>
    </w:p>
    <w:p w14:paraId="3FCD815C">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实质上没有响应招标文件要求的投标将被视为无效投标。投标人不得通过修正或撤销不合要求的偏离或保留从而使其投标成为实质上响应的投标。经评审小组认定属于投标人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审小组对其投标文件所作的评价和评分结果。</w:t>
      </w:r>
    </w:p>
    <w:p w14:paraId="038C2E34">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1、在符合性审查和商务评审时，如发现下列情形之一的，投标文件将被视为无效投标：</w:t>
      </w:r>
    </w:p>
    <w:p w14:paraId="6F05A1C3">
      <w:pPr>
        <w:snapToGrid w:val="0"/>
        <w:spacing w:line="360" w:lineRule="auto"/>
        <w:ind w:firstLine="417" w:firstLineChars="198"/>
        <w:rPr>
          <w:rFonts w:ascii="宋体" w:hAnsi="宋体" w:cs="宋体"/>
          <w:b/>
          <w:szCs w:val="21"/>
        </w:rPr>
      </w:pPr>
      <w:r>
        <w:rPr>
          <w:rFonts w:hint="eastAsia" w:ascii="宋体" w:hAnsi="宋体" w:cs="宋体"/>
          <w:b/>
          <w:szCs w:val="21"/>
        </w:rPr>
        <w:t>1.1电子投标文件解密失败的，且未在规定时间内提交有效备份投标文件的；</w:t>
      </w:r>
    </w:p>
    <w:p w14:paraId="159590A5">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1.2未按招标文件要求密封、签字、盖章的；</w:t>
      </w:r>
    </w:p>
    <w:p w14:paraId="66863200">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1.3资格证明文件不全的，或者不符合招标文件标明的资格要求的；</w:t>
      </w:r>
    </w:p>
    <w:p w14:paraId="7591571E">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1.4投标文件组成不全的；</w:t>
      </w:r>
    </w:p>
    <w:p w14:paraId="21EAAE2F">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1.5投标文件的实质性内容未使用中文表述、意思表述不明确、前后矛盾或者使用计量单位不符合招标文件要求的；（经评审小组认定允许其当场更正的笔误除外）</w:t>
      </w:r>
    </w:p>
    <w:p w14:paraId="0E0200BC">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1.6投标文件的关键内容字迹模糊、无法辨认的，或者投标文件中经修正的内容字迹模糊难以辨认或者修改处未按规定签名盖章的；</w:t>
      </w:r>
    </w:p>
    <w:p w14:paraId="6DF1C3B9">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1.7实质性条款不能满足招标文件要求的；</w:t>
      </w:r>
    </w:p>
    <w:p w14:paraId="5D5A9048">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1.8不响应招标文件要求或者投标文件有采购人不能接受的附加条件的；</w:t>
      </w:r>
    </w:p>
    <w:p w14:paraId="4B368507">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1.9 投标文件没有按招标文件要求提供有标“▲”的条款的资料和材料的；</w:t>
      </w:r>
    </w:p>
    <w:p w14:paraId="7D78BE5A">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1.10投标文件资格证明、商务、技术部分中出现投标报价信息的。</w:t>
      </w:r>
    </w:p>
    <w:p w14:paraId="24B0EB04">
      <w:pPr>
        <w:pStyle w:val="3"/>
        <w:snapToGrid w:val="0"/>
        <w:spacing w:line="360" w:lineRule="auto"/>
        <w:ind w:firstLine="417" w:firstLineChars="198"/>
        <w:rPr>
          <w:rFonts w:hint="eastAsia" w:hAnsi="宋体" w:eastAsia="宋体" w:cs="宋体"/>
          <w:b/>
          <w:sz w:val="21"/>
          <w:szCs w:val="21"/>
          <w:lang w:eastAsia="zh-CN"/>
        </w:rPr>
      </w:pPr>
      <w:r>
        <w:rPr>
          <w:rFonts w:hint="eastAsia" w:hAnsi="宋体" w:eastAsia="宋体" w:cs="宋体"/>
          <w:b/>
          <w:sz w:val="21"/>
          <w:szCs w:val="21"/>
        </w:rPr>
        <w:t>2、在不影响公平竞争的前提下，参与同一标段(包)的供应商存在以下情形之一</w:t>
      </w:r>
      <w:r>
        <w:rPr>
          <w:rFonts w:hint="eastAsia" w:hAnsi="宋体" w:eastAsia="宋体" w:cs="宋体"/>
          <w:b/>
          <w:sz w:val="21"/>
          <w:szCs w:val="21"/>
          <w:lang w:val="en-US" w:eastAsia="zh-CN"/>
        </w:rPr>
        <w:t>的且</w:t>
      </w:r>
      <w:r>
        <w:rPr>
          <w:rFonts w:hint="eastAsia" w:hAnsi="宋体" w:eastAsia="宋体" w:cs="宋体"/>
          <w:b/>
          <w:sz w:val="21"/>
          <w:szCs w:val="21"/>
        </w:rPr>
        <w:t>无法合理解释的，其投标(响应)文件无效</w:t>
      </w:r>
      <w:r>
        <w:rPr>
          <w:rFonts w:hint="eastAsia" w:hAnsi="宋体" w:eastAsia="宋体" w:cs="宋体"/>
          <w:b/>
          <w:sz w:val="21"/>
          <w:szCs w:val="21"/>
          <w:lang w:eastAsia="zh-CN"/>
        </w:rPr>
        <w:t>：</w:t>
      </w:r>
    </w:p>
    <w:p w14:paraId="44D1147C">
      <w:pPr>
        <w:pStyle w:val="3"/>
        <w:snapToGrid w:val="0"/>
        <w:spacing w:line="360" w:lineRule="auto"/>
        <w:ind w:firstLine="415" w:firstLineChars="198"/>
        <w:rPr>
          <w:rFonts w:hint="eastAsia" w:hAnsi="宋体" w:eastAsia="宋体" w:cs="宋体"/>
          <w:b w:val="0"/>
          <w:bCs/>
          <w:sz w:val="21"/>
          <w:szCs w:val="21"/>
          <w:lang w:eastAsia="zh-CN"/>
        </w:rPr>
      </w:pPr>
      <w:r>
        <w:rPr>
          <w:rFonts w:hint="eastAsia" w:hAnsi="宋体" w:eastAsia="宋体" w:cs="宋体"/>
          <w:b w:val="0"/>
          <w:bCs/>
          <w:sz w:val="21"/>
          <w:szCs w:val="21"/>
        </w:rPr>
        <w:t>2.1不同供应商的电子投标(响应)文件上传计算机的网</w:t>
      </w:r>
      <w:r>
        <w:rPr>
          <w:rFonts w:hint="eastAsia" w:hAnsi="宋体" w:eastAsia="宋体" w:cs="宋体"/>
          <w:b w:val="0"/>
          <w:bCs/>
          <w:sz w:val="21"/>
          <w:szCs w:val="21"/>
          <w:highlight w:val="none"/>
        </w:rPr>
        <w:t>卡</w:t>
      </w:r>
      <w:r>
        <w:rPr>
          <w:rFonts w:hint="eastAsia" w:hAnsi="宋体" w:eastAsia="宋体" w:cs="宋体"/>
          <w:b w:val="0"/>
          <w:bCs/>
          <w:sz w:val="21"/>
          <w:szCs w:val="21"/>
          <w:highlight w:val="none"/>
          <w:lang w:val="en-US" w:eastAsia="zh-CN"/>
        </w:rPr>
        <w:t>MAC</w:t>
      </w:r>
      <w:r>
        <w:rPr>
          <w:rFonts w:hint="eastAsia" w:hAnsi="宋体" w:eastAsia="宋体" w:cs="宋体"/>
          <w:b w:val="0"/>
          <w:bCs/>
          <w:sz w:val="21"/>
          <w:szCs w:val="21"/>
          <w:highlight w:val="none"/>
        </w:rPr>
        <w:t>地址</w:t>
      </w:r>
      <w:r>
        <w:rPr>
          <w:rFonts w:hint="eastAsia" w:hAnsi="宋体" w:eastAsia="宋体" w:cs="宋体"/>
          <w:b w:val="0"/>
          <w:bCs/>
          <w:sz w:val="21"/>
          <w:szCs w:val="21"/>
        </w:rPr>
        <w:t>或硬盘序列号等硬件信息相同的</w:t>
      </w:r>
      <w:r>
        <w:rPr>
          <w:rFonts w:hint="eastAsia" w:hAnsi="宋体" w:eastAsia="宋体" w:cs="宋体"/>
          <w:b w:val="0"/>
          <w:bCs/>
          <w:sz w:val="21"/>
          <w:szCs w:val="21"/>
          <w:lang w:eastAsia="zh-CN"/>
        </w:rPr>
        <w:t>；</w:t>
      </w:r>
    </w:p>
    <w:p w14:paraId="2A85754C">
      <w:pPr>
        <w:pStyle w:val="3"/>
        <w:snapToGrid w:val="0"/>
        <w:spacing w:line="360" w:lineRule="auto"/>
        <w:ind w:firstLine="415" w:firstLineChars="198"/>
        <w:rPr>
          <w:rFonts w:hint="eastAsia" w:hAnsi="宋体" w:eastAsia="宋体" w:cs="宋体"/>
          <w:b w:val="0"/>
          <w:bCs/>
          <w:sz w:val="21"/>
          <w:szCs w:val="21"/>
          <w:lang w:eastAsia="zh-CN"/>
        </w:rPr>
      </w:pPr>
      <w:r>
        <w:rPr>
          <w:rFonts w:hint="eastAsia" w:hAnsi="宋体" w:eastAsia="宋体" w:cs="宋体"/>
          <w:b w:val="0"/>
          <w:bCs/>
          <w:sz w:val="21"/>
          <w:szCs w:val="21"/>
        </w:rPr>
        <w:t>2.2上传的电子投标(响应)文件若出现使用本项目其他投标(响应)供应商的数字证书加密的，或者加盖本项目其他投标(响应)供应商的电子印章的</w:t>
      </w:r>
      <w:r>
        <w:rPr>
          <w:rFonts w:hint="eastAsia" w:hAnsi="宋体" w:eastAsia="宋体" w:cs="宋体"/>
          <w:b w:val="0"/>
          <w:bCs/>
          <w:sz w:val="21"/>
          <w:szCs w:val="21"/>
          <w:lang w:eastAsia="zh-CN"/>
        </w:rPr>
        <w:t>；</w:t>
      </w:r>
    </w:p>
    <w:p w14:paraId="7C6B1389">
      <w:pPr>
        <w:pStyle w:val="3"/>
        <w:snapToGrid w:val="0"/>
        <w:spacing w:line="360" w:lineRule="auto"/>
        <w:ind w:firstLine="415" w:firstLineChars="198"/>
        <w:rPr>
          <w:rFonts w:hint="eastAsia" w:hAnsi="宋体" w:eastAsia="宋体" w:cs="宋体"/>
          <w:b w:val="0"/>
          <w:bCs/>
          <w:sz w:val="21"/>
          <w:szCs w:val="21"/>
          <w:lang w:eastAsia="zh-CN"/>
        </w:rPr>
      </w:pPr>
      <w:r>
        <w:rPr>
          <w:rFonts w:hint="eastAsia" w:hAnsi="宋体" w:eastAsia="宋体" w:cs="宋体"/>
          <w:b w:val="0"/>
          <w:bCs/>
          <w:sz w:val="21"/>
          <w:szCs w:val="21"/>
        </w:rPr>
        <w:t>2.3不同供应商的投标(响应)文件的内容存在3处(含)以上错误一致的</w:t>
      </w:r>
      <w:r>
        <w:rPr>
          <w:rFonts w:hint="eastAsia" w:hAnsi="宋体" w:eastAsia="宋体" w:cs="宋体"/>
          <w:b w:val="0"/>
          <w:bCs/>
          <w:sz w:val="21"/>
          <w:szCs w:val="21"/>
          <w:lang w:eastAsia="zh-CN"/>
        </w:rPr>
        <w:t>；</w:t>
      </w:r>
    </w:p>
    <w:p w14:paraId="013C4ABE">
      <w:pPr>
        <w:pStyle w:val="3"/>
        <w:snapToGrid w:val="0"/>
        <w:spacing w:line="360" w:lineRule="auto"/>
        <w:ind w:firstLine="415" w:firstLineChars="198"/>
        <w:rPr>
          <w:rFonts w:hint="eastAsia" w:hAnsi="宋体" w:eastAsia="宋体" w:cs="宋体"/>
          <w:b w:val="0"/>
          <w:bCs/>
          <w:sz w:val="21"/>
          <w:szCs w:val="21"/>
        </w:rPr>
      </w:pPr>
      <w:r>
        <w:rPr>
          <w:rFonts w:hint="eastAsia" w:hAnsi="宋体" w:eastAsia="宋体" w:cs="宋体"/>
          <w:b w:val="0"/>
          <w:bCs/>
          <w:sz w:val="21"/>
          <w:szCs w:val="21"/>
        </w:rPr>
        <w:t>2.4不同供应商联系人为同一人或不同联系人的联系电话一致的。</w:t>
      </w:r>
    </w:p>
    <w:p w14:paraId="504D6203">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lang w:val="en-US" w:eastAsia="zh-CN"/>
        </w:rPr>
        <w:t>3</w:t>
      </w:r>
      <w:r>
        <w:rPr>
          <w:rFonts w:hint="eastAsia" w:hAnsi="宋体" w:eastAsia="宋体" w:cs="宋体"/>
          <w:b/>
          <w:sz w:val="21"/>
          <w:szCs w:val="21"/>
        </w:rPr>
        <w:t>、在技术评审时，如发现下列情形之一的，投标文件将被视为无效投标：</w:t>
      </w:r>
    </w:p>
    <w:p w14:paraId="1819EDA4">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lang w:val="en-US" w:eastAsia="zh-CN"/>
        </w:rPr>
        <w:t>3</w:t>
      </w:r>
      <w:r>
        <w:rPr>
          <w:rFonts w:hint="eastAsia" w:hAnsi="宋体" w:eastAsia="宋体" w:cs="宋体"/>
          <w:sz w:val="21"/>
          <w:szCs w:val="21"/>
        </w:rPr>
        <w:t>.1投标文件标明的响应或偏离与事实不符或虚假投标的；</w:t>
      </w:r>
    </w:p>
    <w:p w14:paraId="2A8ECD00">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lang w:val="en-US" w:eastAsia="zh-CN"/>
        </w:rPr>
        <w:t>3</w:t>
      </w:r>
      <w:r>
        <w:rPr>
          <w:rFonts w:hint="eastAsia" w:hAnsi="宋体" w:eastAsia="宋体" w:cs="宋体"/>
          <w:sz w:val="21"/>
          <w:szCs w:val="21"/>
        </w:rPr>
        <w:t>.2明显不符合招标文件中标“▲”的技术指标、主要功能项目发生实质性偏离的；</w:t>
      </w:r>
    </w:p>
    <w:p w14:paraId="46D38D82">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lang w:val="en-US" w:eastAsia="zh-CN"/>
        </w:rPr>
        <w:t>3</w:t>
      </w:r>
      <w:r>
        <w:rPr>
          <w:rFonts w:hint="eastAsia" w:hAnsi="宋体" w:eastAsia="宋体" w:cs="宋体"/>
          <w:sz w:val="21"/>
          <w:szCs w:val="21"/>
        </w:rPr>
        <w:t>.3投标技术方案不明确，存在一个或一个以上备选（替代）投标的；</w:t>
      </w:r>
    </w:p>
    <w:p w14:paraId="43745B45">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lang w:val="en-US" w:eastAsia="zh-CN"/>
        </w:rPr>
        <w:t>4</w:t>
      </w:r>
      <w:r>
        <w:rPr>
          <w:rFonts w:hint="eastAsia" w:hAnsi="宋体" w:eastAsia="宋体" w:cs="宋体"/>
          <w:b/>
          <w:sz w:val="21"/>
          <w:szCs w:val="21"/>
        </w:rPr>
        <w:t>、在投标报价文件评审时，如发现下列情形之一的，投标文件将被视为无效投标：</w:t>
      </w:r>
    </w:p>
    <w:p w14:paraId="76DE541C">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lang w:val="en-US" w:eastAsia="zh-CN"/>
        </w:rPr>
        <w:t>4</w:t>
      </w:r>
      <w:r>
        <w:rPr>
          <w:rFonts w:hint="eastAsia" w:hAnsi="宋体" w:eastAsia="宋体" w:cs="宋体"/>
          <w:b/>
          <w:sz w:val="21"/>
          <w:szCs w:val="21"/>
        </w:rPr>
        <w:t>.1超过项目的预算金额；</w:t>
      </w:r>
    </w:p>
    <w:p w14:paraId="4F2A5F3D">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lang w:val="en-US" w:eastAsia="zh-CN"/>
        </w:rPr>
        <w:t>4</w:t>
      </w:r>
      <w:r>
        <w:rPr>
          <w:rFonts w:hint="eastAsia" w:hAnsi="宋体" w:eastAsia="宋体" w:cs="宋体"/>
          <w:b/>
          <w:sz w:val="21"/>
          <w:szCs w:val="21"/>
        </w:rPr>
        <w:t>.2有选择或有条件的报价的；</w:t>
      </w:r>
    </w:p>
    <w:p w14:paraId="70EF4369">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lang w:val="en-US" w:eastAsia="zh-CN"/>
        </w:rPr>
        <w:t>4</w:t>
      </w:r>
      <w:r>
        <w:rPr>
          <w:rFonts w:hint="eastAsia" w:hAnsi="宋体" w:eastAsia="宋体" w:cs="宋体"/>
          <w:b/>
          <w:sz w:val="21"/>
          <w:szCs w:val="21"/>
        </w:rPr>
        <w:t>.3 报价文件中缺失报价的。</w:t>
      </w:r>
    </w:p>
    <w:p w14:paraId="65EFAB8C">
      <w:pPr>
        <w:snapToGrid w:val="0"/>
        <w:spacing w:line="360" w:lineRule="auto"/>
        <w:ind w:firstLine="417" w:firstLineChars="198"/>
        <w:rPr>
          <w:rFonts w:ascii="宋体" w:hAnsi="宋体" w:cs="宋体"/>
          <w:b/>
          <w:szCs w:val="21"/>
        </w:rPr>
      </w:pPr>
      <w:r>
        <w:rPr>
          <w:rFonts w:hint="eastAsia" w:ascii="宋体" w:hAnsi="宋体" w:cs="宋体"/>
          <w:b/>
          <w:szCs w:val="21"/>
          <w:lang w:val="en-US" w:eastAsia="zh-CN"/>
        </w:rPr>
        <w:t>5</w:t>
      </w:r>
      <w:r>
        <w:rPr>
          <w:rFonts w:hint="eastAsia" w:ascii="宋体" w:hAnsi="宋体" w:cs="宋体"/>
          <w:b/>
          <w:szCs w:val="21"/>
        </w:rPr>
        <w:t>、被拒绝的投标文件为无效。</w:t>
      </w:r>
    </w:p>
    <w:p w14:paraId="07A6782B">
      <w:pPr>
        <w:snapToGrid w:val="0"/>
        <w:spacing w:line="360" w:lineRule="auto"/>
        <w:ind w:firstLine="417" w:firstLineChars="198"/>
        <w:rPr>
          <w:rFonts w:ascii="宋体" w:hAnsi="宋体" w:cs="宋体"/>
          <w:b/>
          <w:szCs w:val="21"/>
        </w:rPr>
      </w:pPr>
      <w:r>
        <w:rPr>
          <w:rFonts w:hint="eastAsia" w:ascii="宋体" w:hAnsi="宋体" w:cs="宋体"/>
          <w:b/>
          <w:szCs w:val="21"/>
        </w:rPr>
        <w:t>（九）出现以下情形，导致电子交易平台无法正常运行，或者无法保证电子交易的公平、公正和安全时，中止电子交易活动：</w:t>
      </w:r>
    </w:p>
    <w:p w14:paraId="28602804">
      <w:pPr>
        <w:snapToGrid w:val="0"/>
        <w:spacing w:line="360" w:lineRule="auto"/>
        <w:ind w:firstLine="420" w:firstLineChars="200"/>
        <w:rPr>
          <w:rFonts w:ascii="宋体" w:hAnsi="宋体" w:cs="宋体"/>
          <w:bCs/>
          <w:szCs w:val="21"/>
        </w:rPr>
      </w:pPr>
      <w:r>
        <w:rPr>
          <w:rFonts w:hint="eastAsia" w:ascii="宋体" w:hAnsi="宋体" w:cs="宋体"/>
          <w:bCs/>
          <w:szCs w:val="21"/>
        </w:rPr>
        <w:t>1、电子交易平台发生故障而无法登录访问的；</w:t>
      </w:r>
    </w:p>
    <w:p w14:paraId="4415264F">
      <w:pPr>
        <w:snapToGrid w:val="0"/>
        <w:spacing w:line="360" w:lineRule="auto"/>
        <w:ind w:firstLine="420" w:firstLineChars="200"/>
        <w:rPr>
          <w:rFonts w:ascii="宋体" w:hAnsi="宋体" w:cs="宋体"/>
          <w:bCs/>
          <w:szCs w:val="21"/>
        </w:rPr>
      </w:pPr>
      <w:r>
        <w:rPr>
          <w:rFonts w:hint="eastAsia" w:ascii="宋体" w:hAnsi="宋体" w:cs="宋体"/>
          <w:bCs/>
          <w:szCs w:val="21"/>
        </w:rPr>
        <w:t>2、电子交易平台应用或数据库出现错误，不能进行正常操作的；</w:t>
      </w:r>
    </w:p>
    <w:p w14:paraId="49750CE0">
      <w:pPr>
        <w:snapToGrid w:val="0"/>
        <w:spacing w:line="360" w:lineRule="auto"/>
        <w:ind w:firstLine="420" w:firstLineChars="200"/>
        <w:rPr>
          <w:rFonts w:ascii="宋体" w:hAnsi="宋体" w:cs="宋体"/>
          <w:bCs/>
          <w:szCs w:val="21"/>
        </w:rPr>
      </w:pPr>
      <w:r>
        <w:rPr>
          <w:rFonts w:hint="eastAsia" w:ascii="宋体" w:hAnsi="宋体" w:cs="宋体"/>
          <w:bCs/>
          <w:szCs w:val="21"/>
        </w:rPr>
        <w:t>3、电子交易平台发现严重安全漏洞，有潜在泄密危险的；</w:t>
      </w:r>
    </w:p>
    <w:p w14:paraId="5DA0E23D">
      <w:pPr>
        <w:snapToGrid w:val="0"/>
        <w:spacing w:line="360" w:lineRule="auto"/>
        <w:ind w:firstLine="420" w:firstLineChars="200"/>
        <w:rPr>
          <w:rFonts w:ascii="宋体" w:hAnsi="宋体" w:cs="宋体"/>
          <w:bCs/>
          <w:szCs w:val="21"/>
        </w:rPr>
      </w:pPr>
      <w:r>
        <w:rPr>
          <w:rFonts w:hint="eastAsia" w:ascii="宋体" w:hAnsi="宋体" w:cs="宋体"/>
          <w:bCs/>
          <w:szCs w:val="21"/>
        </w:rPr>
        <w:t>4、病毒发作导致不能进行正常操作的；</w:t>
      </w:r>
    </w:p>
    <w:p w14:paraId="7BD0F091">
      <w:pPr>
        <w:snapToGrid w:val="0"/>
        <w:spacing w:line="360" w:lineRule="auto"/>
        <w:ind w:firstLine="420" w:firstLineChars="200"/>
        <w:rPr>
          <w:rFonts w:ascii="宋体" w:hAnsi="宋体" w:cs="宋体"/>
          <w:bCs/>
          <w:szCs w:val="21"/>
        </w:rPr>
      </w:pPr>
      <w:r>
        <w:rPr>
          <w:rFonts w:hint="eastAsia" w:ascii="宋体" w:hAnsi="宋体" w:cs="宋体"/>
          <w:bCs/>
          <w:szCs w:val="21"/>
        </w:rPr>
        <w:t>5、其他无法保证电子交易的公平、公正和安全的情况。</w:t>
      </w:r>
    </w:p>
    <w:p w14:paraId="4F7B4019">
      <w:pPr>
        <w:snapToGrid w:val="0"/>
        <w:spacing w:line="360" w:lineRule="auto"/>
        <w:ind w:firstLine="415" w:firstLineChars="198"/>
        <w:rPr>
          <w:rFonts w:ascii="宋体" w:hAnsi="宋体" w:cs="宋体"/>
          <w:bCs/>
          <w:szCs w:val="21"/>
        </w:rPr>
      </w:pPr>
      <w:r>
        <w:rPr>
          <w:rFonts w:hint="eastAsia" w:ascii="宋体" w:hAnsi="宋体" w:cs="宋体"/>
          <w:bCs/>
          <w:szCs w:val="21"/>
        </w:rPr>
        <w:t>出现前款规定情形，不影响采购公平、公正性的，采购代理机构可以待上述情形消除后继续组织电子交易活动，也可以决定某些环节以纸质形式进行；影响或可能影响采购公平、公正性的，重新采购。</w:t>
      </w:r>
    </w:p>
    <w:p w14:paraId="12C3A506">
      <w:pPr>
        <w:snapToGrid w:val="0"/>
        <w:spacing w:line="276" w:lineRule="auto"/>
        <w:jc w:val="center"/>
        <w:rPr>
          <w:rFonts w:ascii="宋体" w:hAnsi="宋体" w:cs="宋体"/>
          <w:b/>
          <w:szCs w:val="21"/>
        </w:rPr>
      </w:pPr>
    </w:p>
    <w:p w14:paraId="1BE0999B">
      <w:pPr>
        <w:snapToGrid w:val="0"/>
        <w:spacing w:line="276" w:lineRule="auto"/>
        <w:jc w:val="center"/>
        <w:outlineLvl w:val="1"/>
        <w:rPr>
          <w:rFonts w:ascii="宋体" w:hAnsi="宋体" w:cs="宋体"/>
          <w:b/>
          <w:szCs w:val="21"/>
        </w:rPr>
      </w:pPr>
      <w:bookmarkStart w:id="27" w:name="_Toc6928"/>
      <w:r>
        <w:rPr>
          <w:rFonts w:hint="eastAsia" w:ascii="宋体" w:hAnsi="宋体" w:cs="宋体"/>
          <w:b/>
          <w:szCs w:val="21"/>
        </w:rPr>
        <w:t>四、开标</w:t>
      </w:r>
      <w:bookmarkEnd w:id="27"/>
    </w:p>
    <w:p w14:paraId="4D5FCCE5">
      <w:pPr>
        <w:pStyle w:val="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（一）开标准备</w:t>
      </w:r>
    </w:p>
    <w:p w14:paraId="3CC61AFD">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采购代理机构将在规定的时间和地点进行开标。本项目不要求供应商授权代表参加现场开标、开启响应文件活动。</w:t>
      </w:r>
    </w:p>
    <w:p w14:paraId="1197E343">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（二）开标程序</w:t>
      </w:r>
    </w:p>
    <w:p w14:paraId="51F06814">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1、开标会由采购代理机构相关工作人员主持，主持人宣布开标会议开始。</w:t>
      </w:r>
    </w:p>
    <w:p w14:paraId="4F6699D6">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2、介绍参加开标会的人员名单。</w:t>
      </w:r>
    </w:p>
    <w:p w14:paraId="19FF7C1E">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3、宣布开标纪律和有关事项，告知应当回避的情形，提请有关人员回避。</w:t>
      </w:r>
    </w:p>
    <w:p w14:paraId="36E8C11A">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4、电子招投标开标及评审程序</w:t>
      </w:r>
    </w:p>
    <w:p w14:paraId="04076CB8">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4.1投标截止时间后，投标人登录政采云平台，用“项目采购-开标评标”功能对电子投标文件进行在线解密。</w:t>
      </w:r>
    </w:p>
    <w:p w14:paraId="0DC63BBE">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4.2各投标人的资格由采购代理机构人员负责初审；</w:t>
      </w:r>
    </w:p>
    <w:p w14:paraId="212B8BC8">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4.3评标委员会对商务技术响应文件进行评审；</w:t>
      </w:r>
    </w:p>
    <w:p w14:paraId="0FAACD68">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4.4在系统上公开资格和商务技术评审结果；</w:t>
      </w:r>
    </w:p>
    <w:p w14:paraId="24064C1D">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4.5在系统上公开报价开标情况；</w:t>
      </w:r>
    </w:p>
    <w:p w14:paraId="071EA516">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4.6评标委员会对报价情况进行评审；</w:t>
      </w:r>
    </w:p>
    <w:p w14:paraId="5616DF02">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4.7在系统上公布评审结果。</w:t>
      </w:r>
    </w:p>
    <w:p w14:paraId="7171ED92">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特别说明：政采云公司如对电子化开标及评审程序有调整的，按调整后的程序操作。</w:t>
      </w:r>
    </w:p>
    <w:p w14:paraId="0A827D90">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5、如遇电子招投标系统故障的，启用备份投标文件</w:t>
      </w:r>
    </w:p>
    <w:p w14:paraId="3BA329DB">
      <w:pPr>
        <w:snapToGrid w:val="0"/>
        <w:spacing w:line="360" w:lineRule="auto"/>
        <w:ind w:firstLine="417" w:firstLineChars="198"/>
        <w:rPr>
          <w:rFonts w:ascii="宋体" w:hAnsi="宋体" w:cs="宋体"/>
          <w:b/>
          <w:bCs/>
          <w:szCs w:val="21"/>
        </w:rPr>
      </w:pPr>
      <w:r>
        <w:rPr>
          <w:rFonts w:hint="eastAsia" w:ascii="宋体" w:hAnsi="宋体" w:cs="宋体"/>
          <w:b/>
          <w:bCs/>
          <w:szCs w:val="21"/>
        </w:rPr>
        <w:t>6、本项目原则上采用政采云电子招投标开标及评审程序，但若投标人在规定时间内无法解密或解密失败，采购代理机构将开启未能在规定时间内解密的投标人递交的备份投标文件。</w:t>
      </w:r>
    </w:p>
    <w:p w14:paraId="58C77F4A">
      <w:pPr>
        <w:snapToGrid w:val="0"/>
        <w:spacing w:line="276" w:lineRule="auto"/>
        <w:jc w:val="center"/>
        <w:rPr>
          <w:rFonts w:ascii="宋体" w:hAnsi="宋体" w:cs="宋体"/>
          <w:b/>
          <w:szCs w:val="21"/>
        </w:rPr>
      </w:pPr>
    </w:p>
    <w:p w14:paraId="6429DB34">
      <w:pPr>
        <w:snapToGrid w:val="0"/>
        <w:spacing w:line="276" w:lineRule="auto"/>
        <w:jc w:val="center"/>
        <w:outlineLvl w:val="1"/>
        <w:rPr>
          <w:rFonts w:ascii="宋体" w:hAnsi="宋体" w:cs="宋体"/>
          <w:b/>
          <w:szCs w:val="21"/>
        </w:rPr>
      </w:pPr>
      <w:bookmarkStart w:id="28" w:name="_Toc7848"/>
      <w:r>
        <w:rPr>
          <w:rFonts w:hint="eastAsia" w:ascii="宋体" w:hAnsi="宋体" w:cs="宋体"/>
          <w:b/>
          <w:szCs w:val="21"/>
        </w:rPr>
        <w:t>五、评标</w:t>
      </w:r>
      <w:bookmarkEnd w:id="28"/>
    </w:p>
    <w:p w14:paraId="32434AFF">
      <w:pPr>
        <w:pStyle w:val="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（一）组建评审小组</w:t>
      </w:r>
    </w:p>
    <w:p w14:paraId="2B7B08B1">
      <w:pPr>
        <w:pStyle w:val="3"/>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评标委员会由采购人代表和评审专家组成，成员人数为 5 人及以上单数，其中评审专家不少于成员总数的三分之二。</w:t>
      </w:r>
    </w:p>
    <w:p w14:paraId="5E24D4F8">
      <w:pPr>
        <w:pStyle w:val="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（二）评标程序</w:t>
      </w:r>
    </w:p>
    <w:p w14:paraId="5885E68D">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1、资格审查</w:t>
      </w:r>
    </w:p>
    <w:p w14:paraId="1827FC54">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代理机构对投标人的资格进行审查。</w:t>
      </w:r>
    </w:p>
    <w:p w14:paraId="3A4C1C4A">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2、实质审查与比较</w:t>
      </w:r>
    </w:p>
    <w:p w14:paraId="18E73133">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2.1评审小组审查投标文件的实质性内容是否符合招标文件的实质性要求。</w:t>
      </w:r>
    </w:p>
    <w:p w14:paraId="0D49BAE0">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2.2评审小组将根据投标人的投标文件进行审查、核对，如有疑问，将对投标人进行询标，投标人要向评审小组澄清有关问题，并最终以书面形式进行答复。</w:t>
      </w:r>
    </w:p>
    <w:p w14:paraId="4142AE97">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2.3投标人代表未到场或者拒绝澄清或者澄清的内容改变了投标文件的实质性内容的，评审小组有权对该投标文件作出不利于投标人的评判。</w:t>
      </w:r>
    </w:p>
    <w:p w14:paraId="1B91C044">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2.4各投标人的商务技术得分由指定专人进行计算复核。</w:t>
      </w:r>
    </w:p>
    <w:p w14:paraId="5E1B71AA">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2.5各投标人报价得分根据评分标准计算。</w:t>
      </w:r>
    </w:p>
    <w:p w14:paraId="0CCB07D1">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2.6评审小组完成评标后，对各部分得分汇总，得出本项目最终得分，评审小组按评标原则推荐中标候选人同时起草评审报告。</w:t>
      </w:r>
    </w:p>
    <w:p w14:paraId="160ADFF6">
      <w:pPr>
        <w:snapToGrid w:val="0"/>
        <w:spacing w:line="360" w:lineRule="auto"/>
        <w:ind w:firstLine="422" w:firstLineChars="200"/>
        <w:rPr>
          <w:rFonts w:ascii="宋体" w:hAnsi="宋体" w:cs="宋体"/>
          <w:b/>
          <w:szCs w:val="21"/>
        </w:rPr>
      </w:pPr>
      <w:r>
        <w:rPr>
          <w:rFonts w:hint="eastAsia" w:ascii="宋体" w:hAnsi="宋体" w:cs="宋体"/>
          <w:b/>
          <w:szCs w:val="21"/>
        </w:rPr>
        <w:t>（三）澄清问题的形式</w:t>
      </w:r>
    </w:p>
    <w:p w14:paraId="4CD80C58">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14:paraId="23B185F6">
      <w:pPr>
        <w:pStyle w:val="3"/>
        <w:snapToGrid w:val="0"/>
        <w:spacing w:line="360" w:lineRule="auto"/>
        <w:ind w:firstLine="420" w:firstLineChars="199"/>
        <w:rPr>
          <w:rFonts w:hAnsi="宋体" w:eastAsia="宋体" w:cs="宋体"/>
          <w:b/>
          <w:sz w:val="21"/>
          <w:szCs w:val="21"/>
        </w:rPr>
      </w:pPr>
      <w:r>
        <w:rPr>
          <w:rFonts w:hint="eastAsia" w:hAnsi="宋体" w:eastAsia="宋体" w:cs="宋体"/>
          <w:b/>
          <w:sz w:val="21"/>
          <w:szCs w:val="21"/>
        </w:rPr>
        <w:t>（四）报价错误修正</w:t>
      </w:r>
    </w:p>
    <w:p w14:paraId="7D802456">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投标文件如果出现计算或表达上的错误，修正错误的原则如下：</w:t>
      </w:r>
    </w:p>
    <w:p w14:paraId="5B268D50">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1、投标文件开标一览表（报价表）内容与投标文件中相应内容不一致的，以开标一览表（报价表）为准；</w:t>
      </w:r>
    </w:p>
    <w:p w14:paraId="6FD6DF27">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2、大写金额和小写金额不一致的，以大写金额为准；</w:t>
      </w:r>
    </w:p>
    <w:p w14:paraId="45394368">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3、单价金额小数点或者百分比有明显错位的，以开标一览表的总价为准，并修改单价；</w:t>
      </w:r>
    </w:p>
    <w:p w14:paraId="54FB95A7">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4、总价金额与按单价汇总金额不一致的，以单价金额计算结果为准；</w:t>
      </w:r>
    </w:p>
    <w:p w14:paraId="2D9E25FD">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5、电子交易平台客户端里开标一览表录入的信息与投标文件不一致的，以投标文件为准。</w:t>
      </w:r>
    </w:p>
    <w:p w14:paraId="6BFB74DE">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同时出现两种以上不一致的，按上述顺序修正；按上述修正错误的原则及方法调整或修正投标文件的投标报价，投标人同意并签字确认后，调整后的投标报价对投标人具有约束作用。如果投标人不接受修正后的报价，则其投标将作为无效投标处理。</w:t>
      </w:r>
    </w:p>
    <w:p w14:paraId="68B95D5A">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（五）评标原则和评标办法</w:t>
      </w:r>
    </w:p>
    <w:p w14:paraId="3017199E">
      <w:pPr>
        <w:pStyle w:val="3"/>
        <w:snapToGrid w:val="0"/>
        <w:spacing w:line="360" w:lineRule="auto"/>
        <w:ind w:firstLine="420" w:firstLineChars="200"/>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2D8CCE45">
      <w:pPr>
        <w:pStyle w:val="3"/>
        <w:snapToGrid w:val="0"/>
        <w:spacing w:line="360" w:lineRule="auto"/>
        <w:ind w:firstLine="420" w:firstLineChars="200"/>
        <w:rPr>
          <w:rFonts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774CD81C">
      <w:pPr>
        <w:pStyle w:val="3"/>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3、《政府采购货物和服务招标投标管理办法》</w:t>
      </w:r>
    </w:p>
    <w:p w14:paraId="5013E944">
      <w:pPr>
        <w:pStyle w:val="3"/>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第四十三条：公开招标数额标准以上的采购项目，投标截止后投标人不足3家或者通过资格审查或符合性审查的投标人不足3家的，除采购任务取消情形外，按照以下方式处理：</w:t>
      </w:r>
    </w:p>
    <w:p w14:paraId="333CE3AE">
      <w:pPr>
        <w:pStyle w:val="3"/>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（一）招标文件存在不合理条款或者招标程序不符合规定的，采购人、采购代理机构改正后依法重新招标；</w:t>
      </w:r>
    </w:p>
    <w:p w14:paraId="59DEF8F0">
      <w:pPr>
        <w:pStyle w:val="3"/>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（二）招标文件没有不合理条款、招标程序符合规定，需要采用其他采购方式采购的，采购人应当依法报财政部门批准。</w:t>
      </w:r>
    </w:p>
    <w:p w14:paraId="7B9E07FB">
      <w:pPr>
        <w:pStyle w:val="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（六）评标过程的监控</w:t>
      </w:r>
    </w:p>
    <w:p w14:paraId="31D6AAB2">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本项目评标过程实行全程录音、录像监控，投标人在评标过程中所进行的试图影响评标结果的不公正活动，可能导致其投标被拒绝。</w:t>
      </w:r>
    </w:p>
    <w:p w14:paraId="4E14C1DB">
      <w:pPr>
        <w:snapToGrid w:val="0"/>
        <w:spacing w:line="276" w:lineRule="auto"/>
        <w:rPr>
          <w:rFonts w:ascii="宋体" w:hAnsi="宋体" w:cs="宋体"/>
          <w:b/>
          <w:szCs w:val="21"/>
        </w:rPr>
      </w:pPr>
    </w:p>
    <w:p w14:paraId="0CDEE5F9">
      <w:pPr>
        <w:snapToGrid w:val="0"/>
        <w:spacing w:line="276" w:lineRule="auto"/>
        <w:jc w:val="center"/>
        <w:outlineLvl w:val="1"/>
        <w:rPr>
          <w:rFonts w:ascii="宋体" w:hAnsi="宋体" w:cs="宋体"/>
          <w:b/>
          <w:szCs w:val="21"/>
        </w:rPr>
      </w:pPr>
      <w:bookmarkStart w:id="29" w:name="_Toc19259"/>
      <w:r>
        <w:rPr>
          <w:rFonts w:hint="eastAsia" w:ascii="宋体" w:hAnsi="宋体" w:cs="宋体"/>
          <w:b/>
          <w:szCs w:val="21"/>
        </w:rPr>
        <w:t>六、废标</w:t>
      </w:r>
      <w:bookmarkEnd w:id="29"/>
    </w:p>
    <w:p w14:paraId="3F31FCCD">
      <w:pPr>
        <w:pStyle w:val="3"/>
        <w:snapToGrid w:val="0"/>
        <w:spacing w:line="360" w:lineRule="auto"/>
        <w:ind w:firstLine="420" w:firstLineChars="200"/>
        <w:rPr>
          <w:rFonts w:hAnsi="宋体" w:eastAsia="宋体" w:cs="宋体"/>
          <w:sz w:val="21"/>
          <w:szCs w:val="21"/>
        </w:rPr>
      </w:pPr>
      <w:r>
        <w:rPr>
          <w:rFonts w:hint="eastAsia" w:hAnsi="宋体" w:eastAsia="宋体" w:cs="宋体"/>
          <w:sz w:val="21"/>
          <w:szCs w:val="21"/>
        </w:rPr>
        <w:t>根据《中华人民共和国政府采购法》第三十六条，出现下列情形之一的，应予以废标：</w:t>
      </w:r>
    </w:p>
    <w:p w14:paraId="0D911BA8">
      <w:pPr>
        <w:pStyle w:val="3"/>
        <w:snapToGrid w:val="0"/>
        <w:spacing w:line="360" w:lineRule="auto"/>
        <w:ind w:firstLine="420" w:firstLineChars="200"/>
        <w:rPr>
          <w:rFonts w:hAnsi="宋体" w:eastAsia="宋体" w:cs="宋体"/>
          <w:sz w:val="21"/>
          <w:szCs w:val="21"/>
        </w:rPr>
      </w:pPr>
      <w:r>
        <w:rPr>
          <w:rFonts w:hint="eastAsia" w:hAnsi="宋体" w:eastAsia="宋体" w:cs="宋体"/>
          <w:sz w:val="21"/>
          <w:szCs w:val="21"/>
        </w:rPr>
        <w:t>1、符合专业条件的供应商或者对招标文件作实质响应的供应商不足三家的；</w:t>
      </w:r>
    </w:p>
    <w:p w14:paraId="46A7CE9D">
      <w:pPr>
        <w:pStyle w:val="3"/>
        <w:snapToGrid w:val="0"/>
        <w:spacing w:line="360" w:lineRule="auto"/>
        <w:ind w:firstLine="420" w:firstLineChars="200"/>
        <w:rPr>
          <w:rFonts w:hAnsi="宋体" w:eastAsia="宋体" w:cs="宋体"/>
          <w:sz w:val="21"/>
          <w:szCs w:val="21"/>
        </w:rPr>
      </w:pPr>
      <w:r>
        <w:rPr>
          <w:rFonts w:hint="eastAsia" w:hAnsi="宋体" w:eastAsia="宋体" w:cs="宋体"/>
          <w:sz w:val="21"/>
          <w:szCs w:val="21"/>
        </w:rPr>
        <w:t>2、出现影响采购公正的违法、违规行为的；</w:t>
      </w:r>
    </w:p>
    <w:p w14:paraId="1D4FB0EF">
      <w:pPr>
        <w:pStyle w:val="3"/>
        <w:snapToGrid w:val="0"/>
        <w:spacing w:line="360" w:lineRule="auto"/>
        <w:ind w:firstLine="420" w:firstLineChars="200"/>
        <w:rPr>
          <w:rFonts w:hAnsi="宋体" w:eastAsia="宋体" w:cs="宋体"/>
          <w:sz w:val="21"/>
          <w:szCs w:val="21"/>
        </w:rPr>
      </w:pPr>
      <w:r>
        <w:rPr>
          <w:rFonts w:hint="eastAsia" w:hAnsi="宋体" w:eastAsia="宋体" w:cs="宋体"/>
          <w:sz w:val="21"/>
          <w:szCs w:val="21"/>
        </w:rPr>
        <w:t>3、投标人的报价均超过了采购预算，采购人不能支付的；</w:t>
      </w:r>
    </w:p>
    <w:p w14:paraId="1621BF48">
      <w:pPr>
        <w:pStyle w:val="3"/>
        <w:snapToGrid w:val="0"/>
        <w:spacing w:line="360" w:lineRule="auto"/>
        <w:ind w:firstLine="420" w:firstLineChars="200"/>
        <w:rPr>
          <w:rFonts w:hAnsi="宋体" w:eastAsia="宋体" w:cs="宋体"/>
          <w:sz w:val="21"/>
          <w:szCs w:val="21"/>
        </w:rPr>
      </w:pPr>
      <w:r>
        <w:rPr>
          <w:rFonts w:hint="eastAsia" w:hAnsi="宋体" w:eastAsia="宋体" w:cs="宋体"/>
          <w:sz w:val="21"/>
          <w:szCs w:val="21"/>
        </w:rPr>
        <w:t>4、因重大变故，采购任务取消的。</w:t>
      </w:r>
    </w:p>
    <w:p w14:paraId="08BBD30B">
      <w:pPr>
        <w:pStyle w:val="3"/>
        <w:snapToGrid w:val="0"/>
        <w:spacing w:line="360" w:lineRule="auto"/>
        <w:ind w:firstLine="420" w:firstLineChars="200"/>
        <w:rPr>
          <w:sz w:val="21"/>
          <w:szCs w:val="21"/>
        </w:rPr>
      </w:pPr>
      <w:r>
        <w:rPr>
          <w:rFonts w:hint="eastAsia" w:hAnsi="宋体" w:eastAsia="宋体" w:cs="宋体"/>
          <w:sz w:val="21"/>
          <w:szCs w:val="21"/>
        </w:rPr>
        <w:t>废标后，采购人应当将废标理由通知所有投标人，废标后，除采购任务取消情形外，应当重新组织招标。</w:t>
      </w:r>
    </w:p>
    <w:p w14:paraId="28E79D74">
      <w:pPr>
        <w:snapToGrid w:val="0"/>
        <w:spacing w:line="276" w:lineRule="auto"/>
        <w:jc w:val="center"/>
        <w:rPr>
          <w:rFonts w:ascii="宋体" w:hAnsi="宋体" w:cs="宋体"/>
          <w:b/>
          <w:szCs w:val="21"/>
        </w:rPr>
      </w:pPr>
    </w:p>
    <w:p w14:paraId="27171CB7">
      <w:pPr>
        <w:snapToGrid w:val="0"/>
        <w:spacing w:line="276" w:lineRule="auto"/>
        <w:jc w:val="center"/>
        <w:outlineLvl w:val="1"/>
        <w:rPr>
          <w:rFonts w:ascii="宋体" w:hAnsi="宋体" w:cs="宋体"/>
          <w:b/>
          <w:szCs w:val="21"/>
        </w:rPr>
      </w:pPr>
      <w:bookmarkStart w:id="30" w:name="_Toc27359"/>
      <w:r>
        <w:rPr>
          <w:rFonts w:hint="eastAsia" w:ascii="宋体" w:hAnsi="宋体" w:cs="宋体"/>
          <w:b/>
          <w:szCs w:val="21"/>
        </w:rPr>
        <w:t>七、定标</w:t>
      </w:r>
      <w:bookmarkEnd w:id="30"/>
    </w:p>
    <w:p w14:paraId="24B90770">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7FFCD8CC">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1.采购代理机构在评标结束后在2个工作日内将评审报告交采购人确认。</w:t>
      </w:r>
    </w:p>
    <w:p w14:paraId="40715263">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2.采购人应当自收到评审报告之日起5个工作日内在评审报告推荐的中标或者成交候选人中按顺序确定中标或者成交供应商。</w:t>
      </w:r>
    </w:p>
    <w:p w14:paraId="384A1EB3">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3.采购代理机构应当自中标、成交供应商确定之日起2个工作日内，在省级以上人民政府财政部门指定的媒体上公告中标、成交结果，招标文件随中标、成交结果同时公告，并发出中标、成交通知书。</w:t>
      </w:r>
    </w:p>
    <w:p w14:paraId="353953F6">
      <w:pPr>
        <w:pStyle w:val="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合同签订前，供应商须提供在投标（响应）文件中涉及客观分评审内容的检测报告、认证证书等资料给采购代理机构进行原件核对，无法提供或提供的资料与投标文件不符的，采购人可拒绝签订合同。采购人可以按照评审报告推荐的中标或者成交候选人名单排序，确定下一候选人为中标或者成交供应商，也可以重新开展政府采购活动。</w:t>
      </w:r>
    </w:p>
    <w:p w14:paraId="5B44DE6A">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w:t>
      </w:r>
      <w:r>
        <w:rPr>
          <w:rFonts w:hint="eastAsia" w:hAnsi="宋体" w:eastAsia="宋体" w:cs="宋体"/>
          <w:sz w:val="21"/>
          <w:szCs w:val="21"/>
          <w:lang w:val="en-US" w:eastAsia="zh-CN"/>
        </w:rPr>
        <w:t>三</w:t>
      </w:r>
      <w:r>
        <w:rPr>
          <w:rFonts w:hint="eastAsia" w:hAnsi="宋体" w:eastAsia="宋体" w:cs="宋体"/>
          <w:sz w:val="21"/>
          <w:szCs w:val="21"/>
        </w:rPr>
        <w:t>）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737BA91A">
      <w:pPr>
        <w:snapToGrid w:val="0"/>
        <w:spacing w:line="276" w:lineRule="auto"/>
        <w:jc w:val="center"/>
        <w:rPr>
          <w:rFonts w:ascii="宋体" w:hAnsi="宋体" w:cs="宋体"/>
          <w:b/>
          <w:szCs w:val="21"/>
        </w:rPr>
      </w:pPr>
    </w:p>
    <w:p w14:paraId="7B6CBC65">
      <w:pPr>
        <w:snapToGrid w:val="0"/>
        <w:spacing w:line="276" w:lineRule="auto"/>
        <w:jc w:val="center"/>
        <w:outlineLvl w:val="1"/>
        <w:rPr>
          <w:rFonts w:ascii="宋体" w:hAnsi="宋体" w:cs="宋体"/>
          <w:b/>
          <w:szCs w:val="21"/>
        </w:rPr>
      </w:pPr>
      <w:bookmarkStart w:id="31" w:name="_Toc31119"/>
      <w:r>
        <w:rPr>
          <w:rFonts w:hint="eastAsia" w:ascii="宋体" w:hAnsi="宋体" w:cs="宋体"/>
          <w:b/>
          <w:szCs w:val="21"/>
        </w:rPr>
        <w:t>八、合同授予</w:t>
      </w:r>
      <w:bookmarkEnd w:id="31"/>
    </w:p>
    <w:p w14:paraId="12D77B48">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（一）签订合同</w:t>
      </w:r>
    </w:p>
    <w:p w14:paraId="36C52547">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1、中标人应在中标通知书发出之日起30日内与采购人签订合同。同时，采购代理机构对合同内容进行审查，如发现与采购结果和投标承诺内容不一致的，应予以纠正。</w:t>
      </w:r>
    </w:p>
    <w:p w14:paraId="27234AB2">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2、中标人拖延、拒签合同的，将被取消中标资格。</w:t>
      </w:r>
    </w:p>
    <w:p w14:paraId="55A26F05">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3、中标人和采购人签订合同，按合同约定执行。</w:t>
      </w:r>
    </w:p>
    <w:p w14:paraId="04E15113">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4、中标或者成交供应商拒绝与采购人签订合同的，采购人可以按照评审报告推荐的中标或者成交候选人名单排序，确定下一候选人为中标或者成交供应商，也可以重新开展政府采购活动。</w:t>
      </w:r>
    </w:p>
    <w:p w14:paraId="5E4F1578">
      <w:pPr>
        <w:pStyle w:val="3"/>
        <w:snapToGrid w:val="0"/>
        <w:spacing w:line="360" w:lineRule="auto"/>
        <w:ind w:firstLine="415" w:firstLineChars="198"/>
        <w:jc w:val="center"/>
        <w:outlineLvl w:val="9"/>
        <w:rPr>
          <w:rFonts w:hint="eastAsia" w:hAnsi="宋体" w:eastAsia="宋体" w:cs="宋体"/>
          <w:sz w:val="21"/>
          <w:szCs w:val="21"/>
        </w:rPr>
      </w:pPr>
      <w:r>
        <w:rPr>
          <w:rFonts w:hint="eastAsia" w:hAnsi="宋体" w:eastAsia="宋体" w:cs="宋体"/>
          <w:sz w:val="21"/>
          <w:szCs w:val="21"/>
        </w:rPr>
        <w:t>（二）合同公告：采购人应当自政府采购合同签订之日起2个工作日内，将政府采购合同在省级以上人民政府财政部门指定的媒体上公告，但政府采购合同中涉及国家秘密、商业秘密的内容除外。</w:t>
      </w:r>
    </w:p>
    <w:p w14:paraId="75D7A301">
      <w:pPr>
        <w:pStyle w:val="3"/>
        <w:snapToGrid w:val="0"/>
        <w:spacing w:line="360" w:lineRule="auto"/>
        <w:ind w:firstLine="557" w:firstLineChars="198"/>
        <w:jc w:val="center"/>
        <w:outlineLvl w:val="0"/>
        <w:rPr>
          <w:rFonts w:hAnsi="宋体" w:eastAsia="宋体" w:cs="宋体"/>
          <w:b/>
          <w:sz w:val="28"/>
          <w:szCs w:val="28"/>
        </w:rPr>
      </w:pPr>
      <w:r>
        <w:rPr>
          <w:rFonts w:hint="eastAsia" w:hAnsi="宋体" w:eastAsia="宋体" w:cs="宋体"/>
          <w:b/>
          <w:sz w:val="28"/>
          <w:szCs w:val="28"/>
        </w:rPr>
        <w:br w:type="page"/>
      </w:r>
      <w:bookmarkStart w:id="32" w:name="_Toc11161"/>
      <w:bookmarkStart w:id="33" w:name="_Toc15995"/>
      <w:bookmarkStart w:id="34" w:name="_Toc10033"/>
      <w:r>
        <w:rPr>
          <w:rFonts w:hint="eastAsia" w:hAnsi="宋体" w:eastAsia="宋体" w:cs="宋体"/>
          <w:b/>
          <w:sz w:val="28"/>
          <w:szCs w:val="28"/>
        </w:rPr>
        <w:t>第四章  评标办法及标准</w:t>
      </w:r>
      <w:bookmarkEnd w:id="32"/>
      <w:bookmarkEnd w:id="33"/>
      <w:bookmarkEnd w:id="34"/>
    </w:p>
    <w:p w14:paraId="1C279C20">
      <w:pPr>
        <w:spacing w:line="360" w:lineRule="auto"/>
        <w:ind w:firstLine="420" w:firstLineChars="200"/>
        <w:rPr>
          <w:rFonts w:ascii="宋体" w:hAnsi="宋体" w:cs="宋体"/>
          <w:szCs w:val="21"/>
        </w:rPr>
      </w:pPr>
      <w:r>
        <w:rPr>
          <w:rFonts w:hint="eastAsia" w:ascii="宋体" w:hAnsi="宋体" w:cs="宋体"/>
          <w:szCs w:val="21"/>
        </w:rPr>
        <w:t>为公正、公平、科学地选择中标人，根据《中华人民共和国政府采购法》等有关法律法规的规定，并结合本项目的实际，制定本办法，本办法适用本项目的评标。</w:t>
      </w:r>
    </w:p>
    <w:p w14:paraId="53B764CD">
      <w:pPr>
        <w:autoSpaceDE w:val="0"/>
        <w:autoSpaceDN w:val="0"/>
        <w:adjustRightInd w:val="0"/>
        <w:spacing w:line="360" w:lineRule="auto"/>
        <w:outlineLvl w:val="1"/>
        <w:rPr>
          <w:rFonts w:ascii="宋体" w:hAnsi="宋体" w:cs="宋体"/>
          <w:b/>
          <w:szCs w:val="21"/>
        </w:rPr>
      </w:pPr>
      <w:bookmarkStart w:id="35" w:name="_Toc18016"/>
      <w:r>
        <w:rPr>
          <w:rFonts w:hint="eastAsia" w:ascii="宋体" w:hAnsi="宋体" w:cs="宋体"/>
          <w:b/>
          <w:szCs w:val="21"/>
        </w:rPr>
        <w:t>一、资格审查</w:t>
      </w:r>
      <w:bookmarkEnd w:id="35"/>
    </w:p>
    <w:p w14:paraId="1CA56547">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1、由招标代理机构对投标人的资格进行审查。</w:t>
      </w:r>
    </w:p>
    <w:p w14:paraId="22A66CA3">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6411"/>
        <w:gridCol w:w="2053"/>
      </w:tblGrid>
      <w:tr w14:paraId="2627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653" w:type="pct"/>
            <w:noWrap/>
            <w:vAlign w:val="center"/>
          </w:tcPr>
          <w:p w14:paraId="7AF21584">
            <w:pPr>
              <w:spacing w:line="336" w:lineRule="auto"/>
              <w:jc w:val="center"/>
              <w:rPr>
                <w:rFonts w:ascii="宋体" w:hAnsi="宋体" w:cs="宋体"/>
                <w:b/>
                <w:szCs w:val="21"/>
              </w:rPr>
            </w:pPr>
            <w:r>
              <w:rPr>
                <w:rFonts w:hint="eastAsia" w:ascii="宋体" w:hAnsi="宋体" w:cs="宋体"/>
                <w:b/>
                <w:szCs w:val="21"/>
              </w:rPr>
              <w:t>序号</w:t>
            </w:r>
          </w:p>
        </w:tc>
        <w:tc>
          <w:tcPr>
            <w:tcW w:w="3292" w:type="pct"/>
            <w:tcBorders>
              <w:tl2br w:val="single" w:color="auto" w:sz="4" w:space="0"/>
            </w:tcBorders>
            <w:noWrap/>
            <w:vAlign w:val="center"/>
          </w:tcPr>
          <w:p w14:paraId="6F56617A">
            <w:pPr>
              <w:spacing w:line="336" w:lineRule="auto"/>
              <w:jc w:val="right"/>
              <w:rPr>
                <w:rFonts w:ascii="宋体" w:hAnsi="宋体" w:cs="宋体"/>
                <w:b/>
                <w:szCs w:val="21"/>
              </w:rPr>
            </w:pPr>
            <w:r>
              <w:rPr>
                <w:rFonts w:hint="eastAsia" w:ascii="宋体" w:hAnsi="宋体" w:cs="宋体"/>
                <w:b/>
                <w:szCs w:val="21"/>
              </w:rPr>
              <w:t>投标人</w:t>
            </w:r>
          </w:p>
          <w:p w14:paraId="27216D9A">
            <w:pPr>
              <w:spacing w:line="336" w:lineRule="auto"/>
              <w:rPr>
                <w:rFonts w:ascii="宋体" w:hAnsi="宋体" w:cs="宋体"/>
                <w:b/>
                <w:szCs w:val="21"/>
              </w:rPr>
            </w:pPr>
            <w:r>
              <w:rPr>
                <w:rFonts w:hint="eastAsia" w:ascii="宋体" w:hAnsi="宋体" w:cs="宋体"/>
                <w:b/>
                <w:szCs w:val="21"/>
              </w:rPr>
              <w:t>内容</w:t>
            </w:r>
          </w:p>
        </w:tc>
        <w:tc>
          <w:tcPr>
            <w:tcW w:w="1054" w:type="pct"/>
            <w:noWrap/>
            <w:vAlign w:val="center"/>
          </w:tcPr>
          <w:p w14:paraId="48204D75">
            <w:pPr>
              <w:spacing w:line="336" w:lineRule="auto"/>
              <w:jc w:val="center"/>
              <w:rPr>
                <w:rFonts w:ascii="宋体" w:hAnsi="宋体" w:cs="宋体"/>
                <w:b/>
                <w:szCs w:val="21"/>
              </w:rPr>
            </w:pPr>
            <w:r>
              <w:rPr>
                <w:rFonts w:hint="eastAsia" w:ascii="宋体" w:hAnsi="宋体" w:cs="宋体"/>
                <w:b/>
                <w:szCs w:val="21"/>
              </w:rPr>
              <w:t>审核标准</w:t>
            </w:r>
          </w:p>
        </w:tc>
      </w:tr>
      <w:tr w14:paraId="468F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653" w:type="pct"/>
            <w:noWrap/>
            <w:vAlign w:val="center"/>
          </w:tcPr>
          <w:p w14:paraId="3D402672">
            <w:pPr>
              <w:spacing w:line="336" w:lineRule="auto"/>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3292" w:type="pct"/>
            <w:noWrap/>
            <w:vAlign w:val="center"/>
          </w:tcPr>
          <w:p w14:paraId="78005936">
            <w:pPr>
              <w:rPr>
                <w:rFonts w:ascii="宋体" w:hAnsi="宋体" w:cs="宋体"/>
                <w:szCs w:val="21"/>
              </w:rPr>
            </w:pPr>
            <w:r>
              <w:rPr>
                <w:rFonts w:hint="eastAsia" w:ascii="宋体" w:hAnsi="宋体" w:cs="宋体"/>
                <w:szCs w:val="21"/>
              </w:rPr>
              <w:t>投标人具有独立承担民事责任的能力证明资料</w:t>
            </w:r>
          </w:p>
        </w:tc>
        <w:tc>
          <w:tcPr>
            <w:tcW w:w="1054" w:type="pct"/>
            <w:noWrap/>
            <w:vAlign w:val="center"/>
          </w:tcPr>
          <w:p w14:paraId="78C93A1E">
            <w:pPr>
              <w:spacing w:line="336" w:lineRule="auto"/>
              <w:jc w:val="center"/>
              <w:rPr>
                <w:rFonts w:ascii="宋体" w:hAnsi="宋体" w:cs="宋体"/>
                <w:szCs w:val="21"/>
              </w:rPr>
            </w:pPr>
          </w:p>
        </w:tc>
      </w:tr>
      <w:tr w14:paraId="5D05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53" w:type="pct"/>
            <w:noWrap/>
            <w:vAlign w:val="center"/>
          </w:tcPr>
          <w:p w14:paraId="149C7807">
            <w:pPr>
              <w:spacing w:line="336" w:lineRule="auto"/>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3292" w:type="pct"/>
            <w:noWrap/>
            <w:vAlign w:val="center"/>
          </w:tcPr>
          <w:p w14:paraId="7FB75E9F">
            <w:pPr>
              <w:rPr>
                <w:rFonts w:ascii="宋体" w:hAnsi="宋体" w:cs="宋体"/>
                <w:szCs w:val="21"/>
              </w:rPr>
            </w:pPr>
            <w:r>
              <w:rPr>
                <w:rFonts w:hint="eastAsia" w:ascii="宋体" w:hAnsi="宋体" w:cs="宋体"/>
                <w:szCs w:val="21"/>
              </w:rPr>
              <w:t>投标人法定代表人身份证复印件</w:t>
            </w:r>
          </w:p>
        </w:tc>
        <w:tc>
          <w:tcPr>
            <w:tcW w:w="1054" w:type="pct"/>
            <w:noWrap/>
            <w:vAlign w:val="center"/>
          </w:tcPr>
          <w:p w14:paraId="5E3A7BB8">
            <w:pPr>
              <w:spacing w:line="336" w:lineRule="auto"/>
              <w:jc w:val="center"/>
              <w:rPr>
                <w:rFonts w:ascii="宋体" w:hAnsi="宋体" w:cs="宋体"/>
                <w:szCs w:val="21"/>
              </w:rPr>
            </w:pPr>
          </w:p>
        </w:tc>
      </w:tr>
      <w:tr w14:paraId="20C5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53" w:type="pct"/>
            <w:noWrap/>
            <w:vAlign w:val="center"/>
          </w:tcPr>
          <w:p w14:paraId="72313EEF">
            <w:pPr>
              <w:spacing w:line="336" w:lineRule="auto"/>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3292" w:type="pct"/>
            <w:noWrap/>
            <w:vAlign w:val="center"/>
          </w:tcPr>
          <w:p w14:paraId="47B7AD6B">
            <w:pPr>
              <w:rPr>
                <w:rFonts w:hAnsi="宋体" w:cs="宋体"/>
                <w:szCs w:val="21"/>
              </w:rPr>
            </w:pPr>
            <w:r>
              <w:rPr>
                <w:rFonts w:hint="eastAsia" w:hAnsi="宋体" w:cs="宋体"/>
                <w:szCs w:val="21"/>
              </w:rPr>
              <w:t>投标函</w:t>
            </w:r>
          </w:p>
        </w:tc>
        <w:tc>
          <w:tcPr>
            <w:tcW w:w="1054" w:type="pct"/>
            <w:noWrap/>
            <w:vAlign w:val="center"/>
          </w:tcPr>
          <w:p w14:paraId="22BEC42C">
            <w:pPr>
              <w:spacing w:line="336" w:lineRule="auto"/>
              <w:jc w:val="center"/>
              <w:rPr>
                <w:rFonts w:ascii="宋体" w:hAnsi="宋体" w:cs="宋体"/>
                <w:szCs w:val="21"/>
              </w:rPr>
            </w:pPr>
          </w:p>
        </w:tc>
      </w:tr>
      <w:tr w14:paraId="280F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53" w:type="pct"/>
            <w:noWrap/>
            <w:vAlign w:val="center"/>
          </w:tcPr>
          <w:p w14:paraId="11F93CAB">
            <w:pPr>
              <w:spacing w:line="336" w:lineRule="auto"/>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3292" w:type="pct"/>
            <w:noWrap/>
            <w:vAlign w:val="center"/>
          </w:tcPr>
          <w:p w14:paraId="7FB6CBD1">
            <w:pPr>
              <w:rPr>
                <w:rFonts w:ascii="宋体" w:hAnsi="宋体" w:cs="宋体"/>
                <w:szCs w:val="21"/>
              </w:rPr>
            </w:pPr>
            <w:r>
              <w:rPr>
                <w:rFonts w:hint="eastAsia" w:ascii="宋体" w:hAnsi="宋体" w:cs="宋体"/>
                <w:szCs w:val="21"/>
              </w:rPr>
              <w:t>法定代表人授权函，非法定代表人参加投标时提供</w:t>
            </w:r>
          </w:p>
        </w:tc>
        <w:tc>
          <w:tcPr>
            <w:tcW w:w="1054" w:type="pct"/>
            <w:noWrap/>
            <w:vAlign w:val="center"/>
          </w:tcPr>
          <w:p w14:paraId="35DB473B">
            <w:pPr>
              <w:spacing w:line="336" w:lineRule="auto"/>
              <w:jc w:val="center"/>
              <w:rPr>
                <w:rFonts w:ascii="宋体" w:hAnsi="宋体" w:cs="宋体"/>
                <w:szCs w:val="21"/>
              </w:rPr>
            </w:pPr>
          </w:p>
        </w:tc>
      </w:tr>
      <w:tr w14:paraId="737E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53" w:type="pct"/>
            <w:noWrap/>
            <w:vAlign w:val="center"/>
          </w:tcPr>
          <w:p w14:paraId="22BC118A">
            <w:pPr>
              <w:spacing w:line="336" w:lineRule="auto"/>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3292" w:type="pct"/>
            <w:noWrap/>
            <w:vAlign w:val="center"/>
          </w:tcPr>
          <w:p w14:paraId="57C433B4">
            <w:pPr>
              <w:rPr>
                <w:rFonts w:ascii="宋体" w:hAnsi="宋体" w:cs="宋体"/>
                <w:szCs w:val="21"/>
              </w:rPr>
            </w:pPr>
            <w:r>
              <w:rPr>
                <w:rFonts w:hint="eastAsia" w:ascii="宋体" w:hAnsi="宋体" w:cs="宋体"/>
                <w:szCs w:val="21"/>
              </w:rPr>
              <w:t>投标人代表身份证复印件，非法定代表人参加投标时提供</w:t>
            </w:r>
          </w:p>
        </w:tc>
        <w:tc>
          <w:tcPr>
            <w:tcW w:w="1054" w:type="pct"/>
            <w:noWrap/>
            <w:vAlign w:val="center"/>
          </w:tcPr>
          <w:p w14:paraId="6A46151C">
            <w:pPr>
              <w:spacing w:line="336" w:lineRule="auto"/>
              <w:jc w:val="center"/>
              <w:rPr>
                <w:rFonts w:ascii="宋体" w:hAnsi="宋体" w:cs="宋体"/>
                <w:szCs w:val="21"/>
              </w:rPr>
            </w:pPr>
          </w:p>
        </w:tc>
      </w:tr>
      <w:tr w14:paraId="75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3945" w:type="pct"/>
            <w:gridSpan w:val="2"/>
            <w:noWrap/>
            <w:vAlign w:val="center"/>
          </w:tcPr>
          <w:p w14:paraId="6D7900C6">
            <w:pPr>
              <w:pStyle w:val="18"/>
              <w:spacing w:line="336" w:lineRule="auto"/>
              <w:ind w:left="0" w:firstLine="0" w:firstLineChars="0"/>
              <w:jc w:val="center"/>
              <w:rPr>
                <w:rFonts w:ascii="宋体" w:hAnsi="宋体" w:cs="宋体"/>
                <w:b/>
                <w:sz w:val="21"/>
                <w:szCs w:val="21"/>
                <w:lang w:val="en-US" w:eastAsia="zh-CN"/>
              </w:rPr>
            </w:pPr>
            <w:r>
              <w:rPr>
                <w:rFonts w:hint="eastAsia" w:ascii="宋体" w:hAnsi="宋体" w:cs="宋体"/>
                <w:b/>
                <w:sz w:val="21"/>
                <w:szCs w:val="21"/>
                <w:lang w:val="en-US" w:eastAsia="zh-CN"/>
              </w:rPr>
              <w:t>结   论</w:t>
            </w:r>
          </w:p>
        </w:tc>
        <w:tc>
          <w:tcPr>
            <w:tcW w:w="1054" w:type="pct"/>
            <w:noWrap/>
            <w:vAlign w:val="center"/>
          </w:tcPr>
          <w:p w14:paraId="784A1C5A">
            <w:pPr>
              <w:spacing w:line="336" w:lineRule="auto"/>
              <w:ind w:left="180"/>
              <w:jc w:val="center"/>
              <w:rPr>
                <w:rFonts w:ascii="宋体" w:hAnsi="宋体" w:cs="宋体"/>
                <w:b/>
                <w:szCs w:val="21"/>
              </w:rPr>
            </w:pPr>
          </w:p>
        </w:tc>
      </w:tr>
    </w:tbl>
    <w:p w14:paraId="2FC92842">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lang w:val="zh-CN"/>
        </w:rPr>
        <w:t>注：1、表中只需填写“√”或“×”；2、在结论栏中填写“合格”或“不合格”。</w:t>
      </w:r>
    </w:p>
    <w:p w14:paraId="0FD3C524">
      <w:pPr>
        <w:autoSpaceDE w:val="0"/>
        <w:autoSpaceDN w:val="0"/>
        <w:adjustRightInd w:val="0"/>
        <w:spacing w:line="360" w:lineRule="auto"/>
        <w:outlineLvl w:val="1"/>
        <w:rPr>
          <w:rFonts w:ascii="宋体" w:hAnsi="宋体" w:cs="宋体"/>
          <w:b/>
          <w:szCs w:val="21"/>
        </w:rPr>
      </w:pPr>
      <w:bookmarkStart w:id="36" w:name="_Toc16843"/>
      <w:r>
        <w:rPr>
          <w:rFonts w:hint="eastAsia" w:ascii="宋体" w:hAnsi="宋体" w:cs="宋体"/>
          <w:b/>
          <w:szCs w:val="21"/>
        </w:rPr>
        <w:t>二、中标候选人的选取</w:t>
      </w:r>
      <w:bookmarkEnd w:id="36"/>
    </w:p>
    <w:p w14:paraId="5715BEA1">
      <w:pPr>
        <w:spacing w:line="360" w:lineRule="auto"/>
        <w:ind w:firstLine="420" w:firstLineChars="200"/>
        <w:rPr>
          <w:rFonts w:ascii="宋体" w:hAnsi="宋体" w:cs="宋体"/>
          <w:b/>
          <w:szCs w:val="21"/>
          <w:lang w:val="zh-CN"/>
        </w:rPr>
      </w:pPr>
      <w:r>
        <w:rPr>
          <w:rFonts w:hint="eastAsia" w:ascii="宋体" w:hAnsi="宋体" w:cs="宋体"/>
          <w:szCs w:val="21"/>
        </w:rPr>
        <w:t>将综合评估分从高到低排序，得出投标人名次,按照综合评估分名次推荐中标候选人3名。综合评估分相同时，按投标报价由低到高顺序排列，综合评估分且投标报价相同的，抽签决定排序（弃权视为自动放弃中标资格）。</w:t>
      </w:r>
    </w:p>
    <w:p w14:paraId="09B04A4A">
      <w:pPr>
        <w:spacing w:line="360" w:lineRule="auto"/>
        <w:outlineLvl w:val="1"/>
        <w:rPr>
          <w:rFonts w:ascii="宋体" w:hAnsi="宋体" w:cs="宋体"/>
          <w:b/>
          <w:szCs w:val="21"/>
        </w:rPr>
      </w:pPr>
      <w:bookmarkStart w:id="37" w:name="_Toc4340"/>
      <w:r>
        <w:rPr>
          <w:rFonts w:hint="eastAsia" w:ascii="宋体" w:hAnsi="宋体" w:cs="宋体"/>
          <w:b/>
          <w:szCs w:val="21"/>
        </w:rPr>
        <w:t>三、中标人选取依据</w:t>
      </w:r>
      <w:bookmarkEnd w:id="37"/>
    </w:p>
    <w:p w14:paraId="7AF637B9">
      <w:pPr>
        <w:spacing w:line="360" w:lineRule="auto"/>
        <w:ind w:firstLine="420" w:firstLineChars="200"/>
        <w:rPr>
          <w:rFonts w:ascii="宋体" w:hAnsi="宋体" w:cs="宋体"/>
          <w:szCs w:val="21"/>
        </w:rPr>
      </w:pPr>
      <w:r>
        <w:rPr>
          <w:rFonts w:hint="eastAsia" w:ascii="宋体" w:hAnsi="宋体" w:cs="宋体"/>
          <w:szCs w:val="21"/>
        </w:rPr>
        <w:t>评审小组根据综合评估分得分排序，推荐第一名中标候选人为中标人，经采购人确认后，确定项目中标人，同时发布采购结果公告，发出中标通知书。</w:t>
      </w:r>
    </w:p>
    <w:p w14:paraId="7A839D76">
      <w:pPr>
        <w:spacing w:line="360" w:lineRule="auto"/>
        <w:outlineLvl w:val="1"/>
        <w:rPr>
          <w:rFonts w:ascii="宋体" w:hAnsi="宋体" w:cs="宋体"/>
          <w:b/>
          <w:szCs w:val="21"/>
        </w:rPr>
      </w:pPr>
      <w:bookmarkStart w:id="38" w:name="_Toc12582"/>
      <w:r>
        <w:rPr>
          <w:rFonts w:hint="eastAsia" w:ascii="宋体" w:hAnsi="宋体" w:cs="宋体"/>
          <w:b/>
          <w:szCs w:val="21"/>
        </w:rPr>
        <w:t>四、综合评估分计分方法</w:t>
      </w:r>
      <w:bookmarkEnd w:id="38"/>
    </w:p>
    <w:p w14:paraId="76861C1F">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满足招标文件要求且投标价格最低的投标报价为评标基准价，其价格分为满分，其他投标人的价格分按下列公式计算：投标报价得分＝（评标基准价/投标报价）×价格权重×100。</w:t>
      </w:r>
    </w:p>
    <w:p w14:paraId="292EB1D6">
      <w:pPr>
        <w:autoSpaceDE w:val="0"/>
        <w:autoSpaceDN w:val="0"/>
        <w:adjustRightInd w:val="0"/>
        <w:spacing w:line="360" w:lineRule="auto"/>
        <w:ind w:firstLine="422" w:firstLineChars="200"/>
        <w:rPr>
          <w:rFonts w:hint="eastAsia" w:ascii="宋体" w:hAnsi="宋体" w:eastAsia="宋体" w:cs="宋体"/>
          <w:b/>
          <w:bCs/>
        </w:rPr>
      </w:pPr>
      <w:bookmarkStart w:id="39" w:name="_Toc29115"/>
      <w:r>
        <w:rPr>
          <w:rFonts w:hint="eastAsia" w:ascii="宋体" w:hAnsi="宋体" w:eastAsia="宋体" w:cs="宋体"/>
          <w:b/>
          <w:bCs/>
        </w:rPr>
        <w:t>根据相关规定：</w:t>
      </w:r>
    </w:p>
    <w:p w14:paraId="13A19E0B">
      <w:pPr>
        <w:autoSpaceDE w:val="0"/>
        <w:autoSpaceDN w:val="0"/>
        <w:adjustRightInd w:val="0"/>
        <w:spacing w:line="360" w:lineRule="auto"/>
        <w:ind w:firstLine="422" w:firstLineChars="200"/>
        <w:rPr>
          <w:rFonts w:hint="eastAsia" w:ascii="宋体" w:hAnsi="宋体" w:eastAsia="宋体" w:cs="宋体"/>
          <w:b/>
          <w:kern w:val="0"/>
        </w:rPr>
      </w:pPr>
      <w:r>
        <w:rPr>
          <w:rFonts w:hint="eastAsia" w:ascii="宋体" w:hAnsi="宋体" w:eastAsia="宋体" w:cs="宋体"/>
          <w:b/>
          <w:bCs/>
          <w:kern w:val="0"/>
        </w:rPr>
        <w:t>本</w:t>
      </w:r>
      <w:r>
        <w:rPr>
          <w:rFonts w:hint="eastAsia" w:ascii="宋体" w:hAnsi="宋体" w:eastAsia="宋体" w:cs="宋体"/>
          <w:b/>
          <w:kern w:val="0"/>
        </w:rPr>
        <w:t>项目对符合本办法规定的小微企业报价给予10%的扣除，用扣除后的价格参加评审；投标人须提供《中小企业声明函》（监狱企业须提供由省级以上监狱管理局、戒毒管理局（含新疆生产建设兵团）出具的属于监狱企业的证明文件；残疾人福利性单位须提供《残疾人福利性单位声明函》）附在投标报价文件内，否则不享受价格扣除优惠政策。</w:t>
      </w:r>
    </w:p>
    <w:p w14:paraId="2C365774">
      <w:pPr>
        <w:autoSpaceDE w:val="0"/>
        <w:autoSpaceDN w:val="0"/>
        <w:adjustRightInd w:val="0"/>
        <w:spacing w:line="360" w:lineRule="auto"/>
        <w:ind w:firstLine="422" w:firstLineChars="200"/>
        <w:rPr>
          <w:rFonts w:hint="eastAsia" w:ascii="宋体" w:hAnsi="宋体" w:eastAsia="宋体" w:cs="宋体"/>
          <w:szCs w:val="21"/>
          <w:lang w:val="zh-CN"/>
        </w:rPr>
      </w:pPr>
      <w:r>
        <w:rPr>
          <w:rFonts w:hint="eastAsia" w:ascii="宋体" w:hAnsi="宋体" w:eastAsia="宋体" w:cs="宋体"/>
          <w:b/>
          <w:kern w:val="0"/>
        </w:rPr>
        <w:t>注：参加本项目投标的供应商不能重复享受以上价格扣除优惠政策。</w:t>
      </w:r>
    </w:p>
    <w:p w14:paraId="14A3A0F9">
      <w:pPr>
        <w:autoSpaceDE w:val="0"/>
        <w:autoSpaceDN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B3FB21">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rPr>
        <w:t>在评分时，评审专家打分准确到小数点后二位。商务技术部分得分为所有评委评分的算术平均值，得分保留小数点后二位，第三位四舍五入。各投标人投标报价得分保留小数点后二位，第三位四舍五入。综合评估分=商务技术部分得分＋投标报价得分。</w:t>
      </w:r>
    </w:p>
    <w:p w14:paraId="3A3B6579">
      <w:pPr>
        <w:autoSpaceDE w:val="0"/>
        <w:autoSpaceDN w:val="0"/>
        <w:adjustRightInd w:val="0"/>
        <w:spacing w:line="360" w:lineRule="auto"/>
        <w:outlineLvl w:val="1"/>
        <w:rPr>
          <w:rFonts w:ascii="宋体" w:hAnsi="宋体" w:cs="宋体"/>
          <w:b/>
          <w:szCs w:val="21"/>
          <w:lang w:val="zh-CN"/>
        </w:rPr>
      </w:pPr>
      <w:r>
        <w:rPr>
          <w:rFonts w:hint="eastAsia" w:ascii="宋体" w:hAnsi="宋体" w:cs="宋体"/>
          <w:b/>
          <w:szCs w:val="21"/>
          <w:lang w:val="zh-CN"/>
        </w:rPr>
        <w:t>五、评分表</w:t>
      </w:r>
      <w:bookmarkEnd w:id="39"/>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0"/>
        <w:gridCol w:w="2480"/>
        <w:gridCol w:w="2480"/>
        <w:gridCol w:w="2486"/>
      </w:tblGrid>
      <w:tr w14:paraId="2D1D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pct"/>
            <w:noWrap/>
            <w:vAlign w:val="center"/>
          </w:tcPr>
          <w:p w14:paraId="00EC78FF">
            <w:pPr>
              <w:jc w:val="center"/>
              <w:rPr>
                <w:rFonts w:ascii="宋体" w:hAnsi="宋体" w:cs="宋体"/>
                <w:szCs w:val="21"/>
              </w:rPr>
            </w:pPr>
            <w:r>
              <w:rPr>
                <w:rFonts w:hint="eastAsia" w:ascii="宋体" w:hAnsi="宋体" w:cs="宋体"/>
                <w:szCs w:val="21"/>
              </w:rPr>
              <w:t>评标指标</w:t>
            </w:r>
          </w:p>
        </w:tc>
        <w:tc>
          <w:tcPr>
            <w:tcW w:w="1273" w:type="pct"/>
            <w:noWrap/>
            <w:vAlign w:val="center"/>
          </w:tcPr>
          <w:p w14:paraId="71609B74">
            <w:pPr>
              <w:jc w:val="center"/>
              <w:rPr>
                <w:rFonts w:ascii="宋体" w:hAnsi="宋体" w:cs="宋体"/>
                <w:szCs w:val="21"/>
              </w:rPr>
            </w:pPr>
            <w:r>
              <w:rPr>
                <w:rFonts w:hint="eastAsia" w:ascii="宋体" w:hAnsi="宋体" w:cs="宋体"/>
                <w:szCs w:val="21"/>
              </w:rPr>
              <w:t>投标报价</w:t>
            </w:r>
          </w:p>
        </w:tc>
        <w:tc>
          <w:tcPr>
            <w:tcW w:w="1273" w:type="pct"/>
            <w:noWrap/>
            <w:vAlign w:val="center"/>
          </w:tcPr>
          <w:p w14:paraId="5BF1801A">
            <w:pPr>
              <w:jc w:val="center"/>
              <w:rPr>
                <w:rFonts w:ascii="宋体" w:hAnsi="宋体" w:cs="宋体"/>
                <w:szCs w:val="21"/>
              </w:rPr>
            </w:pPr>
            <w:r>
              <w:rPr>
                <w:rFonts w:hint="eastAsia" w:ascii="宋体" w:hAnsi="宋体" w:cs="宋体"/>
                <w:szCs w:val="21"/>
              </w:rPr>
              <w:t>商务技术部分</w:t>
            </w:r>
          </w:p>
        </w:tc>
        <w:tc>
          <w:tcPr>
            <w:tcW w:w="1275" w:type="pct"/>
            <w:noWrap/>
            <w:vAlign w:val="center"/>
          </w:tcPr>
          <w:p w14:paraId="461BA911">
            <w:pPr>
              <w:jc w:val="center"/>
              <w:rPr>
                <w:rFonts w:ascii="宋体" w:hAnsi="宋体" w:cs="宋体"/>
                <w:szCs w:val="21"/>
              </w:rPr>
            </w:pPr>
            <w:r>
              <w:rPr>
                <w:rFonts w:hint="eastAsia" w:ascii="宋体" w:hAnsi="宋体" w:cs="宋体"/>
                <w:szCs w:val="21"/>
              </w:rPr>
              <w:t>合计</w:t>
            </w:r>
          </w:p>
        </w:tc>
      </w:tr>
      <w:tr w14:paraId="51DA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pct"/>
            <w:noWrap/>
            <w:vAlign w:val="center"/>
          </w:tcPr>
          <w:p w14:paraId="036AAE45">
            <w:pPr>
              <w:jc w:val="center"/>
              <w:rPr>
                <w:rFonts w:ascii="宋体" w:hAnsi="宋体" w:cs="宋体"/>
                <w:szCs w:val="21"/>
              </w:rPr>
            </w:pPr>
            <w:r>
              <w:rPr>
                <w:rFonts w:hint="eastAsia" w:ascii="宋体" w:hAnsi="宋体" w:cs="宋体"/>
                <w:szCs w:val="21"/>
              </w:rPr>
              <w:t>权重（%）</w:t>
            </w:r>
          </w:p>
        </w:tc>
        <w:tc>
          <w:tcPr>
            <w:tcW w:w="2480" w:type="dxa"/>
            <w:noWrap/>
            <w:vAlign w:val="center"/>
          </w:tcPr>
          <w:p w14:paraId="6ED53C0D">
            <w:pPr>
              <w:keepNext w:val="0"/>
              <w:keepLines w:val="0"/>
              <w:suppressLineNumbers w:val="0"/>
              <w:spacing w:before="0" w:beforeAutospacing="0" w:after="0" w:afterAutospacing="0"/>
              <w:ind w:left="0" w:leftChars="0" w:right="0" w:rightChars="0"/>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2480" w:type="dxa"/>
            <w:noWrap/>
            <w:vAlign w:val="center"/>
          </w:tcPr>
          <w:p w14:paraId="14969116">
            <w:pPr>
              <w:keepNext w:val="0"/>
              <w:keepLines w:val="0"/>
              <w:suppressLineNumbers w:val="0"/>
              <w:spacing w:before="0" w:beforeAutospacing="0" w:after="0" w:afterAutospacing="0"/>
              <w:ind w:left="0" w:leftChars="0" w:right="0" w:rightChars="0"/>
              <w:jc w:val="center"/>
              <w:rPr>
                <w:rFonts w:hint="default" w:ascii="宋体" w:hAnsi="宋体" w:eastAsia="宋体" w:cs="宋体"/>
                <w:szCs w:val="21"/>
                <w:lang w:val="en-US" w:eastAsia="zh-CN"/>
              </w:rPr>
            </w:pPr>
            <w:r>
              <w:rPr>
                <w:rFonts w:hint="eastAsia" w:ascii="宋体" w:hAnsi="宋体" w:eastAsia="宋体" w:cs="宋体"/>
                <w:szCs w:val="21"/>
                <w:lang w:val="en-US" w:eastAsia="zh-CN"/>
              </w:rPr>
              <w:t>90</w:t>
            </w:r>
          </w:p>
        </w:tc>
        <w:tc>
          <w:tcPr>
            <w:tcW w:w="2485" w:type="dxa"/>
            <w:noWrap/>
            <w:vAlign w:val="center"/>
          </w:tcPr>
          <w:p w14:paraId="2CE7928B">
            <w:pPr>
              <w:keepNext w:val="0"/>
              <w:keepLines w:val="0"/>
              <w:suppressLineNumbers w:val="0"/>
              <w:spacing w:before="0" w:beforeAutospacing="0" w:after="0" w:afterAutospacing="0"/>
              <w:ind w:left="0" w:leftChars="0" w:right="0" w:rightChars="0"/>
              <w:jc w:val="center"/>
              <w:rPr>
                <w:rFonts w:ascii="宋体" w:hAnsi="宋体" w:cs="宋体"/>
                <w:szCs w:val="21"/>
              </w:rPr>
            </w:pPr>
            <w:r>
              <w:rPr>
                <w:rFonts w:hint="eastAsia" w:ascii="宋体" w:hAnsi="宋体" w:eastAsia="宋体" w:cs="宋体"/>
                <w:szCs w:val="21"/>
              </w:rPr>
              <w:t>100</w:t>
            </w:r>
          </w:p>
        </w:tc>
      </w:tr>
    </w:tbl>
    <w:p w14:paraId="7F51D816">
      <w:pPr>
        <w:rPr>
          <w:b/>
          <w:bCs/>
        </w:rPr>
      </w:pPr>
    </w:p>
    <w:p w14:paraId="405A25EF">
      <w:pPr>
        <w:outlineLvl w:val="9"/>
        <w:rPr>
          <w:rFonts w:hint="eastAsia" w:ascii="宋体" w:hAnsi="宋体" w:cs="宋体"/>
          <w:b/>
          <w:sz w:val="21"/>
          <w:szCs w:val="21"/>
          <w:lang w:val="en-US" w:eastAsia="zh-CN"/>
        </w:rPr>
      </w:pPr>
      <w:bookmarkStart w:id="40" w:name="_Toc22925"/>
      <w:r>
        <w:rPr>
          <w:rFonts w:hint="eastAsia"/>
          <w:b/>
          <w:bCs/>
          <w:highlight w:val="none"/>
        </w:rPr>
        <w:t>岱山县数据服务中心应用系统国产化适配改造项目（标段一）商务技术评分表</w:t>
      </w:r>
      <w:bookmarkEnd w:id="40"/>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859"/>
        <w:gridCol w:w="7212"/>
        <w:gridCol w:w="682"/>
      </w:tblGrid>
      <w:tr w14:paraId="7601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shd w:val="clear" w:color="auto" w:fill="auto"/>
            <w:vAlign w:val="center"/>
          </w:tcPr>
          <w:p w14:paraId="7F8BE88F">
            <w:pPr>
              <w:keepNext w:val="0"/>
              <w:keepLines w:val="0"/>
              <w:widowControl/>
              <w:suppressLineNumbers w:val="0"/>
              <w:spacing w:before="0" w:beforeAutospacing="0" w:after="0" w:afterAutospacing="0" w:line="360" w:lineRule="auto"/>
              <w:ind w:left="0" w:right="0"/>
              <w:jc w:val="center"/>
              <w:textAlignment w:val="center"/>
              <w:rPr>
                <w:rStyle w:val="114"/>
                <w:rFonts w:hint="eastAsia" w:ascii="宋体" w:hAnsi="宋体" w:eastAsia="宋体" w:cs="宋体"/>
                <w:b/>
                <w:bCs/>
                <w:sz w:val="21"/>
                <w:szCs w:val="21"/>
              </w:rPr>
            </w:pPr>
            <w:bookmarkStart w:id="41" w:name="_Toc12697"/>
            <w:bookmarkStart w:id="42" w:name="_Toc6018"/>
            <w:bookmarkStart w:id="43" w:name="_Toc11760"/>
            <w:r>
              <w:rPr>
                <w:rStyle w:val="114"/>
                <w:rFonts w:hint="eastAsia" w:ascii="宋体" w:hAnsi="宋体" w:eastAsia="宋体" w:cs="宋体"/>
                <w:b/>
                <w:bCs/>
                <w:sz w:val="21"/>
                <w:szCs w:val="21"/>
              </w:rPr>
              <w:t>评审</w:t>
            </w:r>
          </w:p>
          <w:p w14:paraId="42C1554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color w:val="000000"/>
                <w:sz w:val="21"/>
                <w:szCs w:val="21"/>
              </w:rPr>
            </w:pPr>
            <w:r>
              <w:rPr>
                <w:rStyle w:val="114"/>
                <w:rFonts w:hint="eastAsia" w:ascii="宋体" w:hAnsi="宋体" w:eastAsia="宋体" w:cs="宋体"/>
                <w:b/>
                <w:bCs/>
                <w:sz w:val="21"/>
                <w:szCs w:val="21"/>
              </w:rPr>
              <w:t>项目</w:t>
            </w:r>
          </w:p>
        </w:tc>
        <w:tc>
          <w:tcPr>
            <w:tcW w:w="441" w:type="pct"/>
            <w:shd w:val="clear" w:color="auto" w:fill="auto"/>
            <w:vAlign w:val="center"/>
          </w:tcPr>
          <w:p w14:paraId="27E0B194">
            <w:pPr>
              <w:keepNext w:val="0"/>
              <w:keepLines w:val="0"/>
              <w:widowControl/>
              <w:suppressLineNumbers w:val="0"/>
              <w:spacing w:before="0" w:beforeAutospacing="0" w:after="0" w:afterAutospacing="0" w:line="360" w:lineRule="auto"/>
              <w:ind w:left="0" w:right="0"/>
              <w:jc w:val="center"/>
              <w:textAlignment w:val="center"/>
              <w:rPr>
                <w:rStyle w:val="114"/>
                <w:rFonts w:hint="eastAsia" w:ascii="宋体" w:hAnsi="宋体" w:eastAsia="宋体" w:cs="宋体"/>
                <w:b/>
                <w:bCs/>
                <w:sz w:val="21"/>
                <w:szCs w:val="21"/>
              </w:rPr>
            </w:pPr>
            <w:r>
              <w:rPr>
                <w:rStyle w:val="114"/>
                <w:rFonts w:hint="eastAsia" w:ascii="宋体" w:hAnsi="宋体" w:eastAsia="宋体" w:cs="宋体"/>
                <w:b/>
                <w:bCs/>
                <w:sz w:val="21"/>
                <w:szCs w:val="21"/>
              </w:rPr>
              <w:t>评分</w:t>
            </w:r>
          </w:p>
          <w:p w14:paraId="63E268A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color w:val="000000"/>
                <w:sz w:val="21"/>
                <w:szCs w:val="21"/>
              </w:rPr>
            </w:pPr>
            <w:r>
              <w:rPr>
                <w:rStyle w:val="114"/>
                <w:rFonts w:hint="eastAsia" w:ascii="宋体" w:hAnsi="宋体" w:eastAsia="宋体" w:cs="宋体"/>
                <w:b/>
                <w:bCs/>
                <w:sz w:val="21"/>
                <w:szCs w:val="21"/>
              </w:rPr>
              <w:t>类别</w:t>
            </w:r>
          </w:p>
        </w:tc>
        <w:tc>
          <w:tcPr>
            <w:tcW w:w="3702" w:type="pct"/>
            <w:shd w:val="clear" w:color="auto" w:fill="auto"/>
            <w:vAlign w:val="center"/>
          </w:tcPr>
          <w:p w14:paraId="2F18CBB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color w:val="000000"/>
                <w:sz w:val="21"/>
                <w:szCs w:val="21"/>
              </w:rPr>
            </w:pPr>
            <w:r>
              <w:rPr>
                <w:rStyle w:val="114"/>
                <w:rFonts w:hint="eastAsia" w:ascii="宋体" w:hAnsi="宋体" w:eastAsia="宋体" w:cs="宋体"/>
                <w:b/>
                <w:bCs/>
                <w:sz w:val="21"/>
                <w:szCs w:val="21"/>
              </w:rPr>
              <w:t>评分标准</w:t>
            </w:r>
          </w:p>
        </w:tc>
        <w:tc>
          <w:tcPr>
            <w:tcW w:w="350" w:type="pct"/>
            <w:shd w:val="clear" w:color="auto" w:fill="auto"/>
            <w:vAlign w:val="center"/>
          </w:tcPr>
          <w:p w14:paraId="5C785DB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color w:val="000000"/>
                <w:sz w:val="21"/>
                <w:szCs w:val="21"/>
              </w:rPr>
            </w:pPr>
            <w:r>
              <w:rPr>
                <w:rStyle w:val="114"/>
                <w:rFonts w:hint="eastAsia" w:ascii="宋体" w:hAnsi="宋体" w:eastAsia="宋体" w:cs="宋体"/>
                <w:b/>
                <w:bCs/>
                <w:sz w:val="21"/>
                <w:szCs w:val="21"/>
              </w:rPr>
              <w:t>分值</w:t>
            </w:r>
          </w:p>
        </w:tc>
      </w:tr>
      <w:tr w14:paraId="4D38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shd w:val="clear" w:color="auto" w:fill="auto"/>
            <w:vAlign w:val="center"/>
          </w:tcPr>
          <w:p w14:paraId="533195D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综合</w:t>
            </w:r>
          </w:p>
          <w:p w14:paraId="212AF175">
            <w:pPr>
              <w:keepNext w:val="0"/>
              <w:keepLines w:val="0"/>
              <w:widowControl/>
              <w:suppressLineNumbers w:val="0"/>
              <w:spacing w:before="0" w:beforeAutospacing="0" w:after="0" w:afterAutospacing="0" w:line="360" w:lineRule="auto"/>
              <w:ind w:left="0" w:right="0"/>
              <w:jc w:val="center"/>
              <w:textAlignment w:val="center"/>
              <w:rPr>
                <w:rStyle w:val="114"/>
                <w:rFonts w:hint="eastAsia" w:ascii="宋体" w:hAnsi="宋体" w:eastAsia="宋体" w:cs="宋体"/>
                <w:sz w:val="21"/>
                <w:szCs w:val="21"/>
              </w:rPr>
            </w:pPr>
            <w:r>
              <w:rPr>
                <w:rFonts w:hint="eastAsia" w:ascii="宋体" w:hAnsi="宋体" w:eastAsia="宋体" w:cs="宋体"/>
                <w:bCs/>
                <w:color w:val="000000"/>
                <w:sz w:val="21"/>
                <w:szCs w:val="21"/>
              </w:rPr>
              <w:t>实力</w:t>
            </w:r>
          </w:p>
        </w:tc>
        <w:tc>
          <w:tcPr>
            <w:tcW w:w="441" w:type="pct"/>
            <w:shd w:val="clear" w:color="auto" w:fill="auto"/>
            <w:vAlign w:val="center"/>
          </w:tcPr>
          <w:p w14:paraId="3F4D0934">
            <w:pPr>
              <w:keepNext w:val="0"/>
              <w:keepLines w:val="0"/>
              <w:widowControl/>
              <w:suppressLineNumbers w:val="0"/>
              <w:spacing w:before="0" w:beforeAutospacing="0" w:after="0" w:afterAutospacing="0" w:line="360" w:lineRule="auto"/>
              <w:ind w:left="0" w:right="0"/>
              <w:jc w:val="center"/>
              <w:textAlignment w:val="center"/>
              <w:rPr>
                <w:rStyle w:val="114"/>
                <w:rFonts w:hint="eastAsia" w:ascii="宋体" w:hAnsi="宋体" w:eastAsia="宋体" w:cs="宋体"/>
                <w:sz w:val="21"/>
                <w:szCs w:val="21"/>
              </w:rPr>
            </w:pPr>
            <w:r>
              <w:rPr>
                <w:rStyle w:val="68"/>
                <w:rFonts w:hint="eastAsia" w:ascii="宋体" w:hAnsi="宋体" w:eastAsia="宋体" w:cs="宋体"/>
                <w:b w:val="0"/>
                <w:bCs/>
                <w:sz w:val="21"/>
                <w:szCs w:val="21"/>
              </w:rPr>
              <w:t>客观</w:t>
            </w:r>
          </w:p>
        </w:tc>
        <w:tc>
          <w:tcPr>
            <w:tcW w:w="3702" w:type="pct"/>
            <w:shd w:val="clear" w:color="auto" w:fill="auto"/>
            <w:vAlign w:val="center"/>
          </w:tcPr>
          <w:p w14:paraId="1922EC69">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、投标人具有有效的ISO/IEC20000信息技术服务管理体系认证证书</w:t>
            </w:r>
            <w:r>
              <w:rPr>
                <w:rFonts w:hint="eastAsia" w:ascii="宋体" w:hAnsi="宋体" w:eastAsia="宋体" w:cs="宋体"/>
                <w:sz w:val="21"/>
                <w:szCs w:val="21"/>
                <w:highlight w:val="none"/>
                <w:lang w:val="en-US" w:eastAsia="zh-CN"/>
              </w:rPr>
              <w:t>(认证范围包含信息技术基础设施及软硬件运行维护等）</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p>
          <w:p w14:paraId="71E51EF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、投标人具有有效的ISO/IEC27001信息安全管理体系认证证书</w:t>
            </w:r>
            <w:r>
              <w:rPr>
                <w:rFonts w:hint="eastAsia" w:ascii="宋体" w:hAnsi="宋体" w:eastAsia="宋体" w:cs="宋体"/>
                <w:sz w:val="21"/>
                <w:szCs w:val="21"/>
                <w:highlight w:val="none"/>
                <w:lang w:val="en-US" w:eastAsia="zh-CN"/>
              </w:rPr>
              <w:t>(认证范围包含信息技术基础设施及软硬件运行维护等）</w:t>
            </w:r>
            <w:r>
              <w:rPr>
                <w:rFonts w:hint="eastAsia" w:ascii="宋体" w:hAnsi="宋体" w:eastAsia="宋体" w:cs="宋体"/>
                <w:color w:val="auto"/>
                <w:sz w:val="21"/>
                <w:szCs w:val="21"/>
                <w:highlight w:val="none"/>
                <w:lang w:val="en-US" w:eastAsia="zh-CN"/>
              </w:rPr>
              <w:t>得1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78641B8E">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outlineLvl w:val="0"/>
              <w:rPr>
                <w:rStyle w:val="114"/>
                <w:rFonts w:hint="eastAsia" w:ascii="宋体" w:hAnsi="宋体" w:eastAsia="宋体" w:cs="宋体"/>
                <w:sz w:val="21"/>
                <w:szCs w:val="21"/>
              </w:rPr>
            </w:pPr>
            <w:r>
              <w:rPr>
                <w:rStyle w:val="114"/>
                <w:rFonts w:hint="eastAsia" w:ascii="宋体" w:hAnsi="宋体" w:eastAsia="宋体" w:cs="宋体"/>
                <w:b/>
                <w:bCs/>
                <w:sz w:val="21"/>
                <w:szCs w:val="21"/>
                <w:highlight w:val="none"/>
              </w:rPr>
              <w:t>提供证书证明材料并加盖投标人公章，未提供不得分</w:t>
            </w:r>
            <w:r>
              <w:rPr>
                <w:rStyle w:val="114"/>
                <w:rFonts w:hint="eastAsia" w:ascii="宋体" w:hAnsi="宋体" w:eastAsia="宋体" w:cs="宋体"/>
                <w:b/>
                <w:bCs/>
                <w:sz w:val="21"/>
                <w:szCs w:val="21"/>
                <w:highlight w:val="none"/>
                <w:lang w:eastAsia="zh-CN"/>
              </w:rPr>
              <w:t>。</w:t>
            </w:r>
          </w:p>
        </w:tc>
        <w:tc>
          <w:tcPr>
            <w:tcW w:w="350" w:type="pct"/>
            <w:shd w:val="clear" w:color="auto" w:fill="auto"/>
            <w:vAlign w:val="center"/>
          </w:tcPr>
          <w:p w14:paraId="13E8752F">
            <w:pPr>
              <w:keepNext w:val="0"/>
              <w:keepLines w:val="0"/>
              <w:widowControl/>
              <w:suppressLineNumbers w:val="0"/>
              <w:spacing w:before="0" w:beforeAutospacing="0" w:after="0" w:afterAutospacing="0" w:line="360" w:lineRule="auto"/>
              <w:ind w:left="0" w:right="0"/>
              <w:jc w:val="center"/>
              <w:textAlignment w:val="center"/>
              <w:rPr>
                <w:rStyle w:val="114"/>
                <w:rFonts w:hint="eastAsia" w:ascii="宋体" w:hAnsi="宋体" w:eastAsia="宋体" w:cs="宋体"/>
                <w:sz w:val="21"/>
                <w:szCs w:val="21"/>
              </w:rPr>
            </w:pPr>
            <w:r>
              <w:rPr>
                <w:rStyle w:val="114"/>
                <w:rFonts w:hint="eastAsia" w:ascii="宋体" w:hAnsi="宋体" w:eastAsia="宋体" w:cs="宋体"/>
                <w:sz w:val="21"/>
                <w:szCs w:val="21"/>
                <w:lang w:val="en-US" w:eastAsia="zh-CN"/>
              </w:rPr>
              <w:t>3</w:t>
            </w:r>
          </w:p>
        </w:tc>
      </w:tr>
      <w:tr w14:paraId="0141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shd w:val="clear" w:color="auto" w:fill="auto"/>
            <w:vAlign w:val="center"/>
          </w:tcPr>
          <w:p w14:paraId="6D8A343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相关业绩</w:t>
            </w:r>
          </w:p>
        </w:tc>
        <w:tc>
          <w:tcPr>
            <w:tcW w:w="441" w:type="pct"/>
            <w:shd w:val="clear" w:color="auto" w:fill="auto"/>
            <w:vAlign w:val="center"/>
          </w:tcPr>
          <w:p w14:paraId="04B8242D">
            <w:pPr>
              <w:keepNext w:val="0"/>
              <w:keepLines w:val="0"/>
              <w:widowControl/>
              <w:suppressLineNumbers w:val="0"/>
              <w:spacing w:before="0" w:beforeAutospacing="0" w:after="0" w:afterAutospacing="0" w:line="360" w:lineRule="auto"/>
              <w:ind w:left="0" w:right="0"/>
              <w:jc w:val="center"/>
              <w:textAlignment w:val="center"/>
              <w:rPr>
                <w:rStyle w:val="68"/>
                <w:rFonts w:hint="eastAsia" w:ascii="宋体" w:hAnsi="宋体" w:eastAsia="宋体" w:cs="宋体"/>
                <w:b w:val="0"/>
                <w:bCs/>
                <w:sz w:val="21"/>
                <w:szCs w:val="21"/>
              </w:rPr>
            </w:pPr>
            <w:r>
              <w:rPr>
                <w:rStyle w:val="68"/>
                <w:rFonts w:hint="eastAsia" w:ascii="宋体" w:hAnsi="宋体" w:eastAsia="宋体" w:cs="宋体"/>
                <w:b w:val="0"/>
                <w:bCs/>
                <w:sz w:val="21"/>
                <w:szCs w:val="21"/>
              </w:rPr>
              <w:t>客观</w:t>
            </w:r>
          </w:p>
        </w:tc>
        <w:tc>
          <w:tcPr>
            <w:tcW w:w="3702" w:type="pct"/>
            <w:shd w:val="clear" w:color="auto" w:fill="auto"/>
            <w:vAlign w:val="center"/>
          </w:tcPr>
          <w:p w14:paraId="50296057">
            <w:pPr>
              <w:pStyle w:val="13"/>
              <w:keepNext w:val="0"/>
              <w:keepLines w:val="0"/>
              <w:suppressLineNumbers w:val="0"/>
              <w:spacing w:before="0" w:beforeAutospacing="0" w:after="0" w:afterAutospacing="0" w:line="360" w:lineRule="auto"/>
              <w:ind w:left="0" w:right="0"/>
              <w:rPr>
                <w:rStyle w:val="114"/>
                <w:rFonts w:hint="eastAsia" w:ascii="宋体" w:hAnsi="宋体" w:eastAsia="宋体" w:cs="宋体"/>
                <w:color w:val="000000" w:themeColor="text1"/>
                <w:sz w:val="21"/>
                <w:szCs w:val="21"/>
                <w14:textFill>
                  <w14:solidFill>
                    <w14:schemeClr w14:val="tx1"/>
                  </w14:solidFill>
                </w14:textFill>
              </w:rPr>
            </w:pPr>
            <w:r>
              <w:rPr>
                <w:rStyle w:val="114"/>
                <w:rFonts w:hint="eastAsia" w:ascii="宋体" w:hAnsi="宋体" w:eastAsia="宋体" w:cs="宋体"/>
                <w:color w:val="000000" w:themeColor="text1"/>
                <w:sz w:val="21"/>
                <w:szCs w:val="21"/>
                <w14:textFill>
                  <w14:solidFill>
                    <w14:schemeClr w14:val="tx1"/>
                  </w14:solidFill>
                </w14:textFill>
              </w:rPr>
              <w:t>根据投标人自202</w:t>
            </w:r>
            <w:r>
              <w:rPr>
                <w:rStyle w:val="114"/>
                <w:rFonts w:hint="eastAsia" w:ascii="宋体" w:hAnsi="宋体" w:eastAsia="宋体" w:cs="宋体"/>
                <w:color w:val="000000" w:themeColor="text1"/>
                <w:sz w:val="21"/>
                <w:szCs w:val="21"/>
                <w:lang w:val="en-US" w:eastAsia="zh-CN"/>
                <w14:textFill>
                  <w14:solidFill>
                    <w14:schemeClr w14:val="tx1"/>
                  </w14:solidFill>
                </w14:textFill>
              </w:rPr>
              <w:t>2</w:t>
            </w:r>
            <w:r>
              <w:rPr>
                <w:rStyle w:val="114"/>
                <w:rFonts w:hint="eastAsia" w:ascii="宋体" w:hAnsi="宋体" w:eastAsia="宋体" w:cs="宋体"/>
                <w:color w:val="000000" w:themeColor="text1"/>
                <w:sz w:val="21"/>
                <w:szCs w:val="21"/>
                <w14:textFill>
                  <w14:solidFill>
                    <w14:schemeClr w14:val="tx1"/>
                  </w14:solidFill>
                </w14:textFill>
              </w:rPr>
              <w:t>年1月1日以来(时间以合同生效日为准）</w:t>
            </w:r>
            <w:r>
              <w:rPr>
                <w:rStyle w:val="114"/>
                <w:rFonts w:hint="eastAsia" w:ascii="宋体" w:hAnsi="宋体" w:eastAsia="宋体" w:cs="宋体"/>
                <w:color w:val="000000" w:themeColor="text1"/>
                <w:sz w:val="21"/>
                <w:szCs w:val="21"/>
                <w:lang w:val="en-US" w:eastAsia="zh-CN"/>
                <w14:textFill>
                  <w14:solidFill>
                    <w14:schemeClr w14:val="tx1"/>
                  </w14:solidFill>
                </w14:textFill>
              </w:rPr>
              <w:t>具有</w:t>
            </w:r>
            <w:r>
              <w:rPr>
                <w:rFonts w:hint="eastAsia"/>
                <w:lang w:val="en-US" w:eastAsia="zh-CN"/>
              </w:rPr>
              <w:t>软件平台国产化改造</w:t>
            </w:r>
            <w:r>
              <w:rPr>
                <w:rStyle w:val="114"/>
                <w:rFonts w:hint="eastAsia" w:ascii="宋体" w:hAnsi="宋体" w:eastAsia="宋体" w:cs="宋体"/>
                <w:color w:val="000000" w:themeColor="text1"/>
                <w:sz w:val="21"/>
                <w:szCs w:val="21"/>
                <w14:textFill>
                  <w14:solidFill>
                    <w14:schemeClr w14:val="tx1"/>
                  </w14:solidFill>
                </w14:textFill>
              </w:rPr>
              <w:t>项目案例</w:t>
            </w:r>
            <w:r>
              <w:rPr>
                <w:rStyle w:val="114"/>
                <w:rFonts w:hint="eastAsia" w:ascii="宋体" w:hAnsi="宋体" w:eastAsia="宋体" w:cs="宋体"/>
                <w:color w:val="000000" w:themeColor="text1"/>
                <w:sz w:val="21"/>
                <w:szCs w:val="21"/>
                <w:lang w:val="en-US" w:eastAsia="zh-CN"/>
                <w14:textFill>
                  <w14:solidFill>
                    <w14:schemeClr w14:val="tx1"/>
                  </w14:solidFill>
                </w14:textFill>
              </w:rPr>
              <w:t>的，</w:t>
            </w:r>
            <w:r>
              <w:rPr>
                <w:rStyle w:val="114"/>
                <w:rFonts w:hint="eastAsia" w:ascii="宋体" w:hAnsi="宋体" w:eastAsia="宋体" w:cs="宋体"/>
                <w:color w:val="000000" w:themeColor="text1"/>
                <w:sz w:val="21"/>
                <w:szCs w:val="21"/>
                <w14:textFill>
                  <w14:solidFill>
                    <w14:schemeClr w14:val="tx1"/>
                  </w14:solidFill>
                </w14:textFill>
              </w:rPr>
              <w:t>每提供一个得0.5分，最高得1分。</w:t>
            </w:r>
          </w:p>
          <w:p w14:paraId="28B6B140">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outlineLvl w:val="0"/>
              <w:rPr>
                <w:rStyle w:val="114"/>
                <w:rFonts w:hint="eastAsia" w:ascii="宋体" w:hAnsi="宋体" w:eastAsia="宋体" w:cs="宋体"/>
                <w:b/>
                <w:bCs/>
                <w:sz w:val="21"/>
                <w:szCs w:val="21"/>
              </w:rPr>
            </w:pPr>
            <w:r>
              <w:rPr>
                <w:rFonts w:hint="eastAsia" w:ascii="宋体" w:hAnsi="宋体" w:eastAsia="宋体" w:cs="宋体"/>
                <w:b/>
                <w:bCs/>
                <w:sz w:val="21"/>
                <w:szCs w:val="21"/>
                <w:highlight w:val="none"/>
              </w:rPr>
              <w:t>提供合同复印件并加盖公章，未提供不得分。</w:t>
            </w:r>
          </w:p>
        </w:tc>
        <w:tc>
          <w:tcPr>
            <w:tcW w:w="350" w:type="pct"/>
            <w:shd w:val="clear" w:color="auto" w:fill="auto"/>
            <w:vAlign w:val="center"/>
          </w:tcPr>
          <w:p w14:paraId="7E722C7F">
            <w:pPr>
              <w:keepNext w:val="0"/>
              <w:keepLines w:val="0"/>
              <w:widowControl/>
              <w:suppressLineNumbers w:val="0"/>
              <w:spacing w:before="0" w:beforeAutospacing="0" w:after="0" w:afterAutospacing="0" w:line="360" w:lineRule="auto"/>
              <w:ind w:left="0" w:right="0"/>
              <w:jc w:val="center"/>
              <w:textAlignment w:val="center"/>
              <w:rPr>
                <w:rStyle w:val="114"/>
                <w:rFonts w:hint="eastAsia" w:ascii="宋体" w:hAnsi="宋体" w:eastAsia="宋体" w:cs="宋体"/>
                <w:sz w:val="21"/>
                <w:szCs w:val="21"/>
                <w:lang w:val="en-US" w:eastAsia="zh-CN"/>
              </w:rPr>
            </w:pPr>
            <w:r>
              <w:rPr>
                <w:rStyle w:val="114"/>
                <w:rFonts w:hint="eastAsia" w:ascii="宋体" w:hAnsi="宋体" w:eastAsia="宋体" w:cs="宋体"/>
                <w:sz w:val="21"/>
                <w:szCs w:val="21"/>
                <w:lang w:val="en-US" w:eastAsia="zh-CN"/>
              </w:rPr>
              <w:t>1</w:t>
            </w:r>
          </w:p>
        </w:tc>
      </w:tr>
      <w:tr w14:paraId="7BC9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shd w:val="clear" w:color="auto" w:fill="auto"/>
            <w:vAlign w:val="center"/>
          </w:tcPr>
          <w:p w14:paraId="7FB1355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Cs/>
                <w:color w:val="000000"/>
                <w:sz w:val="21"/>
                <w:szCs w:val="21"/>
                <w:lang w:val="en-US" w:eastAsia="zh-CN"/>
              </w:rPr>
            </w:pPr>
            <w:r>
              <w:rPr>
                <w:rFonts w:hint="eastAsia" w:ascii="宋体" w:hAnsi="宋体" w:eastAsia="宋体" w:cs="宋体"/>
                <w:color w:val="auto"/>
                <w:sz w:val="21"/>
                <w:szCs w:val="21"/>
                <w:highlight w:val="none"/>
                <w:lang w:val="en-US" w:eastAsia="zh-CN"/>
              </w:rPr>
              <w:t>项目负责人</w:t>
            </w:r>
          </w:p>
        </w:tc>
        <w:tc>
          <w:tcPr>
            <w:tcW w:w="441" w:type="pct"/>
            <w:shd w:val="clear" w:color="auto" w:fill="auto"/>
            <w:vAlign w:val="center"/>
          </w:tcPr>
          <w:p w14:paraId="2EF9D6A1">
            <w:pPr>
              <w:keepNext w:val="0"/>
              <w:keepLines w:val="0"/>
              <w:widowControl/>
              <w:suppressLineNumbers w:val="0"/>
              <w:spacing w:before="0" w:beforeAutospacing="0" w:after="0" w:afterAutospacing="0" w:line="360" w:lineRule="auto"/>
              <w:ind w:left="0" w:right="0"/>
              <w:jc w:val="center"/>
              <w:textAlignment w:val="center"/>
              <w:rPr>
                <w:rStyle w:val="68"/>
                <w:rFonts w:hint="eastAsia" w:ascii="宋体" w:hAnsi="宋体" w:eastAsia="宋体" w:cs="宋体"/>
                <w:b w:val="0"/>
                <w:bCs/>
                <w:sz w:val="21"/>
                <w:szCs w:val="21"/>
              </w:rPr>
            </w:pPr>
            <w:r>
              <w:rPr>
                <w:rStyle w:val="68"/>
                <w:rFonts w:hint="eastAsia" w:ascii="宋体" w:hAnsi="宋体" w:eastAsia="宋体" w:cs="宋体"/>
                <w:b w:val="0"/>
                <w:bCs/>
                <w:sz w:val="21"/>
                <w:szCs w:val="21"/>
              </w:rPr>
              <w:t>客观</w:t>
            </w:r>
          </w:p>
        </w:tc>
        <w:tc>
          <w:tcPr>
            <w:tcW w:w="3702" w:type="pct"/>
            <w:shd w:val="clear" w:color="auto" w:fill="auto"/>
            <w:vAlign w:val="center"/>
          </w:tcPr>
          <w:p w14:paraId="0E0CCA89">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根据投标人拟投入项目负责人满足以下要求的情况进行评分：</w:t>
            </w:r>
          </w:p>
          <w:p w14:paraId="571A4000">
            <w:pPr>
              <w:pStyle w:val="97"/>
              <w:keepNext w:val="0"/>
              <w:keepLines w:val="0"/>
              <w:numPr>
                <w:ilvl w:val="0"/>
                <w:numId w:val="0"/>
              </w:numPr>
              <w:suppressLineNumbers w:val="0"/>
              <w:wordWrap w:val="0"/>
              <w:spacing w:before="0" w:beforeAutospacing="0" w:after="0" w:afterAutospacing="0" w:line="360" w:lineRule="auto"/>
              <w:ind w:left="0" w:leftChars="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1、具有信息系统项目管理师（高级）证书得1分；</w:t>
            </w:r>
          </w:p>
          <w:p w14:paraId="37389F6B">
            <w:pPr>
              <w:pStyle w:val="97"/>
              <w:keepNext w:val="0"/>
              <w:keepLines w:val="0"/>
              <w:numPr>
                <w:ilvl w:val="0"/>
                <w:numId w:val="0"/>
              </w:numPr>
              <w:suppressLineNumbers w:val="0"/>
              <w:wordWrap w:val="0"/>
              <w:spacing w:before="0" w:beforeAutospacing="0" w:after="0" w:afterAutospacing="0" w:line="360" w:lineRule="auto"/>
              <w:ind w:left="0" w:leftChars="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2、具有</w:t>
            </w:r>
            <w:r>
              <w:rPr>
                <w:rFonts w:hint="eastAsia" w:ascii="宋体" w:hAnsi="宋体" w:eastAsia="宋体" w:cs="宋体"/>
                <w:bCs/>
                <w:sz w:val="21"/>
                <w:szCs w:val="21"/>
              </w:rPr>
              <w:t>数据库系统工程师证书</w:t>
            </w:r>
            <w:r>
              <w:rPr>
                <w:rFonts w:hint="eastAsia" w:ascii="宋体" w:hAnsi="宋体" w:eastAsia="宋体" w:cs="宋体"/>
                <w:color w:val="auto"/>
                <w:kern w:val="2"/>
                <w:sz w:val="21"/>
                <w:szCs w:val="21"/>
                <w:highlight w:val="none"/>
                <w:lang w:val="en-US" w:eastAsia="zh-CN" w:bidi="ar-SA"/>
              </w:rPr>
              <w:t>得1分；</w:t>
            </w:r>
          </w:p>
          <w:p w14:paraId="5BFC33B5">
            <w:pPr>
              <w:pStyle w:val="97"/>
              <w:keepNext w:val="0"/>
              <w:keepLines w:val="0"/>
              <w:numPr>
                <w:ilvl w:val="0"/>
                <w:numId w:val="0"/>
              </w:numPr>
              <w:suppressLineNumbers w:val="0"/>
              <w:wordWrap w:val="0"/>
              <w:spacing w:before="0" w:beforeAutospacing="0" w:after="0" w:afterAutospacing="0" w:line="360" w:lineRule="auto"/>
              <w:ind w:left="0" w:leftChars="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3、具有</w:t>
            </w:r>
            <w:r>
              <w:rPr>
                <w:rFonts w:hint="eastAsia" w:ascii="宋体" w:hAnsi="宋体" w:eastAsia="宋体" w:cs="宋体"/>
                <w:bCs/>
                <w:sz w:val="21"/>
                <w:szCs w:val="21"/>
              </w:rPr>
              <w:t>软件设计师证书</w:t>
            </w:r>
            <w:r>
              <w:rPr>
                <w:rFonts w:hint="eastAsia" w:ascii="宋体" w:hAnsi="宋体" w:eastAsia="宋体" w:cs="宋体"/>
                <w:color w:val="auto"/>
                <w:kern w:val="2"/>
                <w:sz w:val="21"/>
                <w:szCs w:val="21"/>
                <w:highlight w:val="none"/>
                <w:lang w:val="en-US" w:eastAsia="zh-CN" w:bidi="ar-SA"/>
              </w:rPr>
              <w:t>得1分。</w:t>
            </w:r>
          </w:p>
          <w:p w14:paraId="4FE85B9F">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bCs/>
                <w:sz w:val="21"/>
                <w:szCs w:val="21"/>
                <w:highlight w:val="none"/>
              </w:rPr>
            </w:pPr>
            <w:r>
              <w:rPr>
                <w:rFonts w:hint="eastAsia" w:ascii="宋体" w:hAnsi="宋体" w:eastAsia="宋体" w:cs="宋体"/>
                <w:b/>
                <w:bCs/>
                <w:color w:val="auto"/>
                <w:sz w:val="21"/>
                <w:szCs w:val="21"/>
                <w:lang w:val="en-US" w:eastAsia="zh-CN"/>
              </w:rPr>
              <w:t>提供相关证书证明及投标人为其缴纳的近三个月中任意一个月社保证明并加盖投标人公章</w:t>
            </w:r>
            <w:r>
              <w:rPr>
                <w:rStyle w:val="114"/>
                <w:rFonts w:hint="eastAsia" w:ascii="宋体" w:hAnsi="宋体" w:eastAsia="宋体" w:cs="宋体"/>
                <w:b/>
                <w:bCs/>
                <w:sz w:val="21"/>
                <w:szCs w:val="21"/>
              </w:rPr>
              <w:t>，未提供不得分</w:t>
            </w:r>
            <w:r>
              <w:rPr>
                <w:rFonts w:hint="eastAsia" w:ascii="宋体" w:hAnsi="宋体" w:eastAsia="宋体" w:cs="宋体"/>
                <w:b/>
                <w:bCs/>
                <w:color w:val="auto"/>
                <w:sz w:val="21"/>
                <w:szCs w:val="21"/>
                <w:lang w:val="en-US" w:eastAsia="zh-CN"/>
              </w:rPr>
              <w:t>。</w:t>
            </w:r>
          </w:p>
        </w:tc>
        <w:tc>
          <w:tcPr>
            <w:tcW w:w="350" w:type="pct"/>
            <w:shd w:val="clear" w:color="auto" w:fill="auto"/>
            <w:vAlign w:val="center"/>
          </w:tcPr>
          <w:p w14:paraId="6953C01E">
            <w:pPr>
              <w:keepNext w:val="0"/>
              <w:keepLines w:val="0"/>
              <w:widowControl/>
              <w:suppressLineNumbers w:val="0"/>
              <w:spacing w:before="0" w:beforeAutospacing="0" w:after="0" w:afterAutospacing="0" w:line="360" w:lineRule="auto"/>
              <w:ind w:left="0" w:right="0"/>
              <w:jc w:val="center"/>
              <w:textAlignment w:val="center"/>
              <w:rPr>
                <w:rStyle w:val="114"/>
                <w:rFonts w:hint="eastAsia" w:ascii="宋体" w:hAnsi="宋体" w:eastAsia="宋体" w:cs="宋体"/>
                <w:sz w:val="21"/>
                <w:szCs w:val="21"/>
                <w:lang w:val="en-US" w:eastAsia="zh-CN"/>
              </w:rPr>
            </w:pPr>
            <w:r>
              <w:rPr>
                <w:rStyle w:val="114"/>
                <w:rFonts w:hint="eastAsia" w:ascii="宋体" w:hAnsi="宋体" w:eastAsia="宋体" w:cs="宋体"/>
                <w:sz w:val="21"/>
                <w:szCs w:val="21"/>
                <w:lang w:val="en-US" w:eastAsia="zh-CN"/>
              </w:rPr>
              <w:t>3</w:t>
            </w:r>
          </w:p>
        </w:tc>
      </w:tr>
      <w:tr w14:paraId="661D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shd w:val="clear" w:color="auto" w:fill="auto"/>
            <w:vAlign w:val="center"/>
          </w:tcPr>
          <w:p w14:paraId="0F9EC01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Cs/>
                <w:color w:val="000000"/>
                <w:sz w:val="21"/>
                <w:szCs w:val="21"/>
                <w:lang w:val="en-US" w:eastAsia="zh-CN"/>
              </w:rPr>
            </w:pPr>
            <w:r>
              <w:rPr>
                <w:rFonts w:hint="eastAsia" w:ascii="宋体" w:hAnsi="宋体" w:eastAsia="宋体" w:cs="宋体"/>
                <w:color w:val="auto"/>
                <w:sz w:val="21"/>
                <w:szCs w:val="21"/>
                <w:highlight w:val="none"/>
                <w:lang w:val="en-US" w:eastAsia="zh-CN"/>
              </w:rPr>
              <w:t>技术负责人</w:t>
            </w:r>
          </w:p>
        </w:tc>
        <w:tc>
          <w:tcPr>
            <w:tcW w:w="441" w:type="pct"/>
            <w:shd w:val="clear" w:color="auto" w:fill="auto"/>
            <w:vAlign w:val="center"/>
          </w:tcPr>
          <w:p w14:paraId="451B28E4">
            <w:pPr>
              <w:keepNext w:val="0"/>
              <w:keepLines w:val="0"/>
              <w:widowControl/>
              <w:suppressLineNumbers w:val="0"/>
              <w:spacing w:before="0" w:beforeAutospacing="0" w:after="0" w:afterAutospacing="0" w:line="360" w:lineRule="auto"/>
              <w:ind w:left="0" w:right="0"/>
              <w:jc w:val="center"/>
              <w:textAlignment w:val="center"/>
              <w:rPr>
                <w:rStyle w:val="68"/>
                <w:rFonts w:hint="eastAsia" w:ascii="宋体" w:hAnsi="宋体" w:eastAsia="宋体" w:cs="宋体"/>
                <w:b w:val="0"/>
                <w:bCs/>
                <w:sz w:val="21"/>
                <w:szCs w:val="21"/>
              </w:rPr>
            </w:pPr>
            <w:r>
              <w:rPr>
                <w:rStyle w:val="68"/>
                <w:rFonts w:hint="eastAsia" w:ascii="宋体" w:hAnsi="宋体" w:eastAsia="宋体" w:cs="宋体"/>
                <w:b w:val="0"/>
                <w:bCs/>
                <w:sz w:val="21"/>
                <w:szCs w:val="21"/>
              </w:rPr>
              <w:t>客观</w:t>
            </w:r>
          </w:p>
        </w:tc>
        <w:tc>
          <w:tcPr>
            <w:tcW w:w="3702" w:type="pct"/>
            <w:shd w:val="clear" w:color="auto" w:fill="auto"/>
            <w:vAlign w:val="center"/>
          </w:tcPr>
          <w:p w14:paraId="5A55AD29">
            <w:pPr>
              <w:keepNext w:val="0"/>
              <w:keepLines w:val="0"/>
              <w:widowControl/>
              <w:suppressLineNumbers w:val="0"/>
              <w:spacing w:before="0" w:beforeAutospacing="0" w:after="0" w:afterAutospacing="0" w:line="360" w:lineRule="auto"/>
              <w:ind w:left="0" w:right="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根据投标人拟投入技术负责人满足以下要求的情况进行评分：</w:t>
            </w:r>
          </w:p>
          <w:p w14:paraId="510AA68D">
            <w:pPr>
              <w:pStyle w:val="97"/>
              <w:keepNext w:val="0"/>
              <w:keepLines w:val="0"/>
              <w:numPr>
                <w:ilvl w:val="0"/>
                <w:numId w:val="0"/>
              </w:numPr>
              <w:suppressLineNumbers w:val="0"/>
              <w:wordWrap w:val="0"/>
              <w:spacing w:before="0" w:beforeAutospacing="0" w:after="0" w:afterAutospacing="0" w:line="360" w:lineRule="auto"/>
              <w:ind w:left="0" w:leftChars="0" w:right="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1、具有</w:t>
            </w:r>
            <w:r>
              <w:rPr>
                <w:rFonts w:hint="eastAsia" w:ascii="宋体" w:hAnsi="宋体" w:eastAsia="宋体" w:cs="宋体"/>
                <w:color w:val="000000"/>
                <w:sz w:val="21"/>
                <w:szCs w:val="21"/>
              </w:rPr>
              <w:t>系统集成项目管理工程师</w:t>
            </w:r>
            <w:r>
              <w:rPr>
                <w:rFonts w:hint="eastAsia" w:ascii="宋体" w:hAnsi="宋体" w:eastAsia="宋体" w:cs="宋体"/>
                <w:bCs/>
                <w:sz w:val="21"/>
                <w:szCs w:val="21"/>
              </w:rPr>
              <w:t>证书</w:t>
            </w:r>
            <w:r>
              <w:rPr>
                <w:rFonts w:hint="eastAsia" w:ascii="宋体" w:hAnsi="宋体" w:eastAsia="宋体" w:cs="宋体"/>
                <w:color w:val="000000"/>
                <w:kern w:val="0"/>
                <w:sz w:val="21"/>
                <w:szCs w:val="21"/>
                <w:highlight w:val="none"/>
                <w:lang w:val="en-US" w:eastAsia="zh-CN"/>
              </w:rPr>
              <w:t>得1分；</w:t>
            </w:r>
          </w:p>
          <w:p w14:paraId="3013DDFD">
            <w:pPr>
              <w:pStyle w:val="97"/>
              <w:keepNext w:val="0"/>
              <w:keepLines w:val="0"/>
              <w:numPr>
                <w:ilvl w:val="0"/>
                <w:numId w:val="0"/>
              </w:numPr>
              <w:suppressLineNumbers w:val="0"/>
              <w:wordWrap w:val="0"/>
              <w:spacing w:before="0" w:beforeAutospacing="0" w:after="0" w:afterAutospacing="0" w:line="360" w:lineRule="auto"/>
              <w:ind w:left="0" w:leftChars="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2、具有</w:t>
            </w:r>
            <w:r>
              <w:rPr>
                <w:rFonts w:hint="eastAsia" w:ascii="宋体" w:hAnsi="宋体" w:eastAsia="宋体" w:cs="宋体"/>
                <w:color w:val="000000"/>
                <w:sz w:val="21"/>
                <w:szCs w:val="21"/>
              </w:rPr>
              <w:t>网络规划设计师</w:t>
            </w:r>
            <w:r>
              <w:rPr>
                <w:rFonts w:hint="eastAsia" w:ascii="宋体" w:hAnsi="宋体" w:eastAsia="宋体" w:cs="宋体"/>
                <w:bCs/>
                <w:sz w:val="21"/>
                <w:szCs w:val="21"/>
              </w:rPr>
              <w:t>证书</w:t>
            </w:r>
            <w:r>
              <w:rPr>
                <w:rFonts w:hint="eastAsia" w:ascii="宋体" w:hAnsi="宋体" w:eastAsia="宋体" w:cs="宋体"/>
                <w:color w:val="auto"/>
                <w:kern w:val="2"/>
                <w:sz w:val="21"/>
                <w:szCs w:val="21"/>
                <w:highlight w:val="none"/>
                <w:lang w:val="en-US" w:eastAsia="zh-CN" w:bidi="ar-SA"/>
              </w:rPr>
              <w:t>得1分；</w:t>
            </w:r>
          </w:p>
          <w:p w14:paraId="3E242C09">
            <w:pPr>
              <w:pStyle w:val="97"/>
              <w:keepNext w:val="0"/>
              <w:keepLines w:val="0"/>
              <w:numPr>
                <w:ilvl w:val="0"/>
                <w:numId w:val="0"/>
              </w:numPr>
              <w:suppressLineNumbers w:val="0"/>
              <w:wordWrap w:val="0"/>
              <w:spacing w:before="0" w:beforeAutospacing="0" w:after="0" w:afterAutospacing="0" w:line="360" w:lineRule="auto"/>
              <w:ind w:left="0" w:leftChars="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3、具有</w:t>
            </w:r>
            <w:r>
              <w:rPr>
                <w:rFonts w:hint="eastAsia" w:ascii="宋体" w:hAnsi="宋体" w:eastAsia="宋体" w:cs="宋体"/>
                <w:bCs/>
                <w:sz w:val="21"/>
                <w:szCs w:val="21"/>
              </w:rPr>
              <w:t>注册信息安全专业人员</w:t>
            </w:r>
            <w:r>
              <w:rPr>
                <w:rFonts w:hint="eastAsia" w:ascii="宋体" w:hAnsi="宋体" w:eastAsia="宋体" w:cs="宋体"/>
                <w:bCs/>
                <w:sz w:val="21"/>
                <w:szCs w:val="21"/>
                <w:lang w:eastAsia="zh-CN"/>
              </w:rPr>
              <w:t>（</w:t>
            </w:r>
            <w:r>
              <w:rPr>
                <w:rFonts w:hint="eastAsia" w:ascii="宋体" w:hAnsi="宋体" w:eastAsia="宋体" w:cs="宋体"/>
                <w:bCs/>
                <w:sz w:val="21"/>
                <w:szCs w:val="21"/>
              </w:rPr>
              <w:t>CISP</w:t>
            </w:r>
            <w:r>
              <w:rPr>
                <w:rFonts w:hint="eastAsia" w:ascii="宋体" w:hAnsi="宋体" w:eastAsia="宋体" w:cs="宋体"/>
                <w:bCs/>
                <w:sz w:val="21"/>
                <w:szCs w:val="21"/>
                <w:lang w:eastAsia="zh-CN"/>
              </w:rPr>
              <w:t>）</w:t>
            </w:r>
            <w:r>
              <w:rPr>
                <w:rFonts w:hint="eastAsia" w:ascii="宋体" w:hAnsi="宋体" w:eastAsia="宋体" w:cs="宋体"/>
                <w:bCs/>
                <w:sz w:val="21"/>
                <w:szCs w:val="21"/>
              </w:rPr>
              <w:t>证书</w:t>
            </w:r>
            <w:r>
              <w:rPr>
                <w:rFonts w:hint="eastAsia" w:ascii="宋体" w:hAnsi="宋体" w:eastAsia="宋体" w:cs="宋体"/>
                <w:color w:val="auto"/>
                <w:kern w:val="2"/>
                <w:sz w:val="21"/>
                <w:szCs w:val="21"/>
                <w:highlight w:val="none"/>
                <w:lang w:val="en-US" w:eastAsia="zh-CN" w:bidi="ar-SA"/>
              </w:rPr>
              <w:t>得1分。</w:t>
            </w:r>
          </w:p>
          <w:p w14:paraId="11FFEFBA">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bCs/>
                <w:sz w:val="21"/>
                <w:szCs w:val="21"/>
                <w:highlight w:val="none"/>
              </w:rPr>
            </w:pPr>
            <w:r>
              <w:rPr>
                <w:rFonts w:hint="eastAsia" w:ascii="宋体" w:hAnsi="宋体" w:eastAsia="宋体" w:cs="宋体"/>
                <w:b/>
                <w:bCs/>
                <w:color w:val="auto"/>
                <w:sz w:val="21"/>
                <w:szCs w:val="21"/>
                <w:lang w:val="en-US" w:eastAsia="zh-CN"/>
              </w:rPr>
              <w:t>提供相关证书证明及投标人为其缴纳的近三个月中任意一个月社保证明并加盖投标人公章</w:t>
            </w:r>
            <w:r>
              <w:rPr>
                <w:rStyle w:val="114"/>
                <w:rFonts w:hint="eastAsia" w:ascii="宋体" w:hAnsi="宋体" w:eastAsia="宋体" w:cs="宋体"/>
                <w:b/>
                <w:bCs/>
                <w:sz w:val="21"/>
                <w:szCs w:val="21"/>
              </w:rPr>
              <w:t>，未提供不得分</w:t>
            </w:r>
            <w:r>
              <w:rPr>
                <w:rFonts w:hint="eastAsia" w:ascii="宋体" w:hAnsi="宋体" w:eastAsia="宋体" w:cs="宋体"/>
                <w:b/>
                <w:bCs/>
                <w:color w:val="auto"/>
                <w:sz w:val="21"/>
                <w:szCs w:val="21"/>
                <w:lang w:val="en-US" w:eastAsia="zh-CN"/>
              </w:rPr>
              <w:t>。</w:t>
            </w:r>
          </w:p>
        </w:tc>
        <w:tc>
          <w:tcPr>
            <w:tcW w:w="350" w:type="pct"/>
            <w:shd w:val="clear" w:color="auto" w:fill="auto"/>
            <w:vAlign w:val="center"/>
          </w:tcPr>
          <w:p w14:paraId="3178F480">
            <w:pPr>
              <w:keepNext w:val="0"/>
              <w:keepLines w:val="0"/>
              <w:widowControl/>
              <w:suppressLineNumbers w:val="0"/>
              <w:spacing w:before="0" w:beforeAutospacing="0" w:after="0" w:afterAutospacing="0" w:line="360" w:lineRule="auto"/>
              <w:ind w:left="0" w:right="0"/>
              <w:jc w:val="center"/>
              <w:textAlignment w:val="center"/>
              <w:rPr>
                <w:rStyle w:val="114"/>
                <w:rFonts w:hint="eastAsia" w:ascii="宋体" w:hAnsi="宋体" w:eastAsia="宋体" w:cs="宋体"/>
                <w:sz w:val="21"/>
                <w:szCs w:val="21"/>
                <w:lang w:val="en-US" w:eastAsia="zh-CN"/>
              </w:rPr>
            </w:pPr>
            <w:r>
              <w:rPr>
                <w:rStyle w:val="114"/>
                <w:rFonts w:hint="eastAsia" w:ascii="宋体" w:hAnsi="宋体" w:eastAsia="宋体" w:cs="宋体"/>
                <w:sz w:val="21"/>
                <w:szCs w:val="21"/>
                <w:lang w:val="en-US" w:eastAsia="zh-CN"/>
              </w:rPr>
              <w:t>3</w:t>
            </w:r>
          </w:p>
        </w:tc>
      </w:tr>
      <w:tr w14:paraId="17E0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shd w:val="clear" w:color="auto" w:fill="auto"/>
            <w:vAlign w:val="center"/>
          </w:tcPr>
          <w:p w14:paraId="33D32A9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Cs/>
                <w:color w:val="000000"/>
                <w:sz w:val="21"/>
                <w:szCs w:val="21"/>
                <w:lang w:val="en-US" w:eastAsia="zh-CN"/>
              </w:rPr>
            </w:pPr>
            <w:r>
              <w:rPr>
                <w:rFonts w:hint="eastAsia" w:ascii="宋体" w:hAnsi="宋体" w:eastAsia="宋体" w:cs="宋体"/>
                <w:color w:val="auto"/>
                <w:sz w:val="21"/>
                <w:szCs w:val="21"/>
                <w:highlight w:val="none"/>
              </w:rPr>
              <w:t>项目团队人员</w:t>
            </w:r>
          </w:p>
        </w:tc>
        <w:tc>
          <w:tcPr>
            <w:tcW w:w="441" w:type="pct"/>
            <w:shd w:val="clear" w:color="auto" w:fill="auto"/>
            <w:vAlign w:val="center"/>
          </w:tcPr>
          <w:p w14:paraId="0F1314A9">
            <w:pPr>
              <w:keepNext w:val="0"/>
              <w:keepLines w:val="0"/>
              <w:widowControl/>
              <w:suppressLineNumbers w:val="0"/>
              <w:spacing w:before="0" w:beforeAutospacing="0" w:after="0" w:afterAutospacing="0" w:line="360" w:lineRule="auto"/>
              <w:ind w:left="0" w:right="0"/>
              <w:jc w:val="center"/>
              <w:textAlignment w:val="center"/>
              <w:rPr>
                <w:rStyle w:val="68"/>
                <w:rFonts w:hint="eastAsia" w:ascii="宋体" w:hAnsi="宋体" w:eastAsia="宋体" w:cs="宋体"/>
                <w:b w:val="0"/>
                <w:bCs/>
                <w:sz w:val="21"/>
                <w:szCs w:val="21"/>
              </w:rPr>
            </w:pPr>
            <w:r>
              <w:rPr>
                <w:rStyle w:val="68"/>
                <w:rFonts w:hint="eastAsia" w:ascii="宋体" w:hAnsi="宋体" w:eastAsia="宋体" w:cs="宋体"/>
                <w:b w:val="0"/>
                <w:bCs/>
                <w:sz w:val="21"/>
                <w:szCs w:val="21"/>
              </w:rPr>
              <w:t>客观</w:t>
            </w:r>
          </w:p>
        </w:tc>
        <w:tc>
          <w:tcPr>
            <w:tcW w:w="3702" w:type="pct"/>
            <w:shd w:val="clear" w:color="auto" w:fill="auto"/>
            <w:vAlign w:val="center"/>
          </w:tcPr>
          <w:p w14:paraId="200FB0DB">
            <w:pPr>
              <w:pStyle w:val="97"/>
              <w:keepNext w:val="0"/>
              <w:keepLines w:val="0"/>
              <w:numPr>
                <w:ilvl w:val="0"/>
                <w:numId w:val="0"/>
              </w:numPr>
              <w:suppressLineNumbers w:val="0"/>
              <w:wordWrap w:val="0"/>
              <w:spacing w:before="0" w:beforeAutospacing="0" w:after="0" w:afterAutospacing="0" w:line="360" w:lineRule="auto"/>
              <w:ind w:left="0" w:leftChars="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kern w:val="0"/>
                <w:sz w:val="21"/>
                <w:szCs w:val="21"/>
              </w:rPr>
              <w:t>根据投标人拟投入项目</w:t>
            </w:r>
            <w:r>
              <w:rPr>
                <w:rFonts w:hint="eastAsia" w:ascii="宋体" w:hAnsi="宋体" w:eastAsia="宋体" w:cs="宋体"/>
                <w:color w:val="auto"/>
                <w:sz w:val="21"/>
                <w:szCs w:val="21"/>
                <w:highlight w:val="none"/>
              </w:rPr>
              <w:t>团队人员</w:t>
            </w:r>
            <w:r>
              <w:rPr>
                <w:rFonts w:hint="eastAsia" w:ascii="宋体" w:hAnsi="宋体" w:eastAsia="宋体" w:cs="宋体"/>
                <w:color w:val="000000"/>
                <w:kern w:val="0"/>
                <w:sz w:val="21"/>
                <w:szCs w:val="21"/>
              </w:rPr>
              <w:t>（项目负责人、技术负责人除外）</w:t>
            </w:r>
            <w:r>
              <w:rPr>
                <w:rFonts w:hint="eastAsia" w:ascii="宋体" w:hAnsi="宋体" w:eastAsia="宋体" w:cs="宋体"/>
                <w:color w:val="auto"/>
                <w:kern w:val="2"/>
                <w:sz w:val="21"/>
                <w:szCs w:val="21"/>
                <w:highlight w:val="none"/>
                <w:lang w:val="en-US" w:eastAsia="zh-CN" w:bidi="ar-SA"/>
              </w:rPr>
              <w:t>满足以下要求的情况进行评分：</w:t>
            </w:r>
          </w:p>
          <w:p w14:paraId="568277CE">
            <w:pPr>
              <w:pStyle w:val="97"/>
              <w:keepNext w:val="0"/>
              <w:keepLines w:val="0"/>
              <w:numPr>
                <w:ilvl w:val="0"/>
                <w:numId w:val="0"/>
              </w:numPr>
              <w:suppressLineNumbers w:val="0"/>
              <w:wordWrap w:val="0"/>
              <w:spacing w:before="0" w:beforeAutospacing="0" w:after="0" w:afterAutospacing="0" w:line="360" w:lineRule="auto"/>
              <w:ind w:left="0" w:leftChars="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1、具有</w:t>
            </w:r>
            <w:r>
              <w:rPr>
                <w:rFonts w:hint="eastAsia" w:ascii="宋体" w:hAnsi="宋体" w:eastAsia="宋体" w:cs="宋体"/>
                <w:bCs/>
                <w:sz w:val="21"/>
                <w:szCs w:val="21"/>
              </w:rPr>
              <w:t>信息通信网络运行管理员</w:t>
            </w:r>
            <w:r>
              <w:rPr>
                <w:rFonts w:hint="eastAsia" w:ascii="宋体" w:hAnsi="宋体" w:eastAsia="宋体" w:cs="宋体"/>
                <w:bCs/>
                <w:sz w:val="21"/>
                <w:szCs w:val="21"/>
                <w:lang w:val="en-US" w:eastAsia="zh-CN"/>
              </w:rPr>
              <w:t>证书</w:t>
            </w:r>
            <w:r>
              <w:rPr>
                <w:rFonts w:hint="eastAsia" w:ascii="宋体" w:hAnsi="宋体" w:eastAsia="宋体" w:cs="宋体"/>
                <w:color w:val="auto"/>
                <w:kern w:val="2"/>
                <w:sz w:val="21"/>
                <w:szCs w:val="21"/>
                <w:highlight w:val="none"/>
                <w:lang w:val="en-US" w:eastAsia="zh-CN" w:bidi="ar-SA"/>
              </w:rPr>
              <w:t>得1分；</w:t>
            </w:r>
          </w:p>
          <w:p w14:paraId="71904955">
            <w:pPr>
              <w:pStyle w:val="97"/>
              <w:keepNext w:val="0"/>
              <w:keepLines w:val="0"/>
              <w:numPr>
                <w:ilvl w:val="0"/>
                <w:numId w:val="0"/>
              </w:numPr>
              <w:suppressLineNumbers w:val="0"/>
              <w:wordWrap w:val="0"/>
              <w:spacing w:before="0" w:beforeAutospacing="0" w:after="0" w:afterAutospacing="0" w:line="360" w:lineRule="auto"/>
              <w:ind w:left="0" w:leftChars="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2、具有</w:t>
            </w:r>
            <w:r>
              <w:rPr>
                <w:rFonts w:hint="eastAsia" w:ascii="宋体" w:hAnsi="宋体" w:eastAsia="宋体" w:cs="宋体"/>
                <w:bCs/>
                <w:sz w:val="21"/>
                <w:szCs w:val="21"/>
              </w:rPr>
              <w:t>网络工程师</w:t>
            </w:r>
            <w:r>
              <w:rPr>
                <w:rFonts w:hint="eastAsia" w:ascii="宋体" w:hAnsi="宋体" w:eastAsia="宋体" w:cs="宋体"/>
                <w:bCs/>
                <w:sz w:val="21"/>
                <w:szCs w:val="21"/>
                <w:lang w:val="en-US" w:eastAsia="zh-CN"/>
              </w:rPr>
              <w:t>证书</w:t>
            </w:r>
            <w:r>
              <w:rPr>
                <w:rFonts w:hint="eastAsia" w:ascii="宋体" w:hAnsi="宋体" w:eastAsia="宋体" w:cs="宋体"/>
                <w:color w:val="auto"/>
                <w:kern w:val="2"/>
                <w:sz w:val="21"/>
                <w:szCs w:val="21"/>
                <w:highlight w:val="none"/>
                <w:lang w:val="en-US" w:eastAsia="zh-CN" w:bidi="ar-SA"/>
              </w:rPr>
              <w:t>得1分；</w:t>
            </w:r>
          </w:p>
          <w:p w14:paraId="03B64995">
            <w:pPr>
              <w:pStyle w:val="97"/>
              <w:keepNext w:val="0"/>
              <w:keepLines w:val="0"/>
              <w:numPr>
                <w:ilvl w:val="0"/>
                <w:numId w:val="0"/>
              </w:numPr>
              <w:suppressLineNumbers w:val="0"/>
              <w:wordWrap w:val="0"/>
              <w:spacing w:before="0" w:beforeAutospacing="0" w:after="0" w:afterAutospacing="0" w:line="360" w:lineRule="auto"/>
              <w:ind w:left="0" w:leftChars="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3、具有</w:t>
            </w:r>
            <w:r>
              <w:rPr>
                <w:rFonts w:hint="eastAsia" w:ascii="宋体" w:hAnsi="宋体" w:eastAsia="宋体" w:cs="宋体"/>
                <w:bCs/>
                <w:sz w:val="21"/>
                <w:szCs w:val="21"/>
              </w:rPr>
              <w:t>信息安全工程师</w:t>
            </w:r>
            <w:r>
              <w:rPr>
                <w:rFonts w:hint="eastAsia" w:ascii="宋体" w:hAnsi="宋体" w:eastAsia="宋体" w:cs="宋体"/>
                <w:bCs/>
                <w:sz w:val="21"/>
                <w:szCs w:val="21"/>
                <w:lang w:val="en-US" w:eastAsia="zh-CN"/>
              </w:rPr>
              <w:t>证书</w:t>
            </w:r>
            <w:r>
              <w:rPr>
                <w:rFonts w:hint="eastAsia" w:ascii="宋体" w:hAnsi="宋体" w:eastAsia="宋体" w:cs="宋体"/>
                <w:color w:val="auto"/>
                <w:kern w:val="2"/>
                <w:sz w:val="21"/>
                <w:szCs w:val="21"/>
                <w:highlight w:val="none"/>
                <w:lang w:val="en-US" w:eastAsia="zh-CN" w:bidi="ar-SA"/>
              </w:rPr>
              <w:t>得1分；</w:t>
            </w:r>
          </w:p>
          <w:p w14:paraId="7824E5BF">
            <w:pPr>
              <w:pStyle w:val="97"/>
              <w:keepNext w:val="0"/>
              <w:keepLines w:val="0"/>
              <w:numPr>
                <w:ilvl w:val="0"/>
                <w:numId w:val="0"/>
              </w:numPr>
              <w:suppressLineNumbers w:val="0"/>
              <w:wordWrap w:val="0"/>
              <w:spacing w:before="0" w:beforeAutospacing="0" w:after="0" w:afterAutospacing="0" w:line="360" w:lineRule="auto"/>
              <w:ind w:left="0" w:leftChars="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4、具有</w:t>
            </w:r>
            <w:r>
              <w:rPr>
                <w:rFonts w:hint="eastAsia" w:ascii="宋体" w:hAnsi="宋体" w:eastAsia="宋体" w:cs="宋体"/>
                <w:bCs/>
                <w:sz w:val="21"/>
                <w:szCs w:val="21"/>
              </w:rPr>
              <w:t>信息安全保障人员</w:t>
            </w:r>
            <w:r>
              <w:rPr>
                <w:rFonts w:hint="eastAsia" w:ascii="宋体" w:hAnsi="宋体" w:eastAsia="宋体" w:cs="宋体"/>
                <w:bCs/>
                <w:sz w:val="21"/>
                <w:szCs w:val="21"/>
                <w:lang w:eastAsia="zh-CN"/>
              </w:rPr>
              <w:t>（</w:t>
            </w:r>
            <w:r>
              <w:rPr>
                <w:rFonts w:hint="eastAsia" w:ascii="宋体" w:hAnsi="宋体" w:eastAsia="宋体" w:cs="宋体"/>
                <w:bCs/>
                <w:sz w:val="21"/>
                <w:szCs w:val="21"/>
              </w:rPr>
              <w:t>CISAW</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证书</w:t>
            </w:r>
            <w:r>
              <w:rPr>
                <w:rFonts w:hint="eastAsia" w:ascii="宋体" w:hAnsi="宋体" w:eastAsia="宋体" w:cs="宋体"/>
                <w:color w:val="auto"/>
                <w:kern w:val="2"/>
                <w:sz w:val="21"/>
                <w:szCs w:val="21"/>
                <w:highlight w:val="none"/>
                <w:lang w:val="en-US" w:eastAsia="zh-CN" w:bidi="ar-SA"/>
              </w:rPr>
              <w:t>得1分；</w:t>
            </w:r>
          </w:p>
          <w:p w14:paraId="1B190ABC">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bCs/>
                <w:sz w:val="21"/>
                <w:szCs w:val="21"/>
                <w:highlight w:val="none"/>
              </w:rPr>
            </w:pPr>
            <w:r>
              <w:rPr>
                <w:rFonts w:hint="eastAsia" w:ascii="宋体" w:hAnsi="宋体" w:eastAsia="宋体" w:cs="宋体"/>
                <w:b/>
                <w:bCs/>
                <w:color w:val="auto"/>
                <w:sz w:val="21"/>
                <w:szCs w:val="21"/>
                <w:lang w:val="en-US" w:eastAsia="zh-CN"/>
              </w:rPr>
              <w:t>一人多证或多人同证不重复得分；提供相关证书证明及投标人为其缴纳的近三个月中任意一个月社保证明并加盖投标人公章</w:t>
            </w:r>
            <w:r>
              <w:rPr>
                <w:rStyle w:val="114"/>
                <w:rFonts w:hint="eastAsia" w:ascii="宋体" w:hAnsi="宋体" w:eastAsia="宋体" w:cs="宋体"/>
                <w:b/>
                <w:bCs/>
                <w:sz w:val="21"/>
                <w:szCs w:val="21"/>
              </w:rPr>
              <w:t>，未提供不得分</w:t>
            </w:r>
            <w:r>
              <w:rPr>
                <w:rStyle w:val="114"/>
                <w:rFonts w:hint="eastAsia" w:ascii="宋体" w:hAnsi="宋体" w:eastAsia="宋体" w:cs="宋体"/>
                <w:b/>
                <w:bCs/>
                <w:sz w:val="21"/>
                <w:szCs w:val="21"/>
                <w:lang w:eastAsia="zh-CN"/>
              </w:rPr>
              <w:t>。</w:t>
            </w:r>
          </w:p>
        </w:tc>
        <w:tc>
          <w:tcPr>
            <w:tcW w:w="350" w:type="pct"/>
            <w:shd w:val="clear" w:color="auto" w:fill="auto"/>
            <w:vAlign w:val="center"/>
          </w:tcPr>
          <w:p w14:paraId="2423B453">
            <w:pPr>
              <w:keepNext w:val="0"/>
              <w:keepLines w:val="0"/>
              <w:widowControl/>
              <w:suppressLineNumbers w:val="0"/>
              <w:spacing w:before="0" w:beforeAutospacing="0" w:after="0" w:afterAutospacing="0" w:line="360" w:lineRule="auto"/>
              <w:ind w:left="0" w:right="0"/>
              <w:jc w:val="center"/>
              <w:textAlignment w:val="center"/>
              <w:rPr>
                <w:rStyle w:val="114"/>
                <w:rFonts w:hint="eastAsia" w:ascii="宋体" w:hAnsi="宋体" w:eastAsia="宋体" w:cs="宋体"/>
                <w:sz w:val="21"/>
                <w:szCs w:val="21"/>
                <w:lang w:val="en-US" w:eastAsia="zh-CN"/>
              </w:rPr>
            </w:pPr>
            <w:r>
              <w:rPr>
                <w:rStyle w:val="114"/>
                <w:rFonts w:hint="eastAsia" w:ascii="宋体" w:hAnsi="宋体" w:eastAsia="宋体" w:cs="宋体"/>
                <w:sz w:val="21"/>
                <w:szCs w:val="21"/>
                <w:lang w:val="en-US" w:eastAsia="zh-CN"/>
              </w:rPr>
              <w:t>4</w:t>
            </w:r>
          </w:p>
        </w:tc>
      </w:tr>
      <w:tr w14:paraId="245C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shd w:val="clear" w:color="auto" w:fill="auto"/>
            <w:vAlign w:val="center"/>
          </w:tcPr>
          <w:p w14:paraId="7E55A81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Cs/>
                <w:color w:val="000000"/>
                <w:sz w:val="21"/>
                <w:szCs w:val="21"/>
                <w:lang w:val="en-US" w:eastAsia="zh-CN"/>
              </w:rPr>
            </w:pPr>
            <w:r>
              <w:rPr>
                <w:rFonts w:hint="eastAsia" w:ascii="宋体" w:hAnsi="宋体" w:eastAsia="宋体" w:cs="宋体"/>
                <w:sz w:val="21"/>
                <w:szCs w:val="21"/>
                <w:highlight w:val="none"/>
              </w:rPr>
              <w:t>技术参数响应情况</w:t>
            </w:r>
          </w:p>
        </w:tc>
        <w:tc>
          <w:tcPr>
            <w:tcW w:w="441" w:type="pct"/>
            <w:shd w:val="clear" w:color="auto" w:fill="auto"/>
            <w:vAlign w:val="center"/>
          </w:tcPr>
          <w:p w14:paraId="4D853F54">
            <w:pPr>
              <w:keepNext w:val="0"/>
              <w:keepLines w:val="0"/>
              <w:widowControl/>
              <w:suppressLineNumbers w:val="0"/>
              <w:spacing w:before="0" w:beforeAutospacing="0" w:after="0" w:afterAutospacing="0" w:line="360" w:lineRule="auto"/>
              <w:ind w:left="0" w:right="0"/>
              <w:jc w:val="center"/>
              <w:textAlignment w:val="center"/>
              <w:rPr>
                <w:rStyle w:val="68"/>
                <w:rFonts w:hint="eastAsia" w:ascii="宋体" w:hAnsi="宋体" w:eastAsia="宋体" w:cs="宋体"/>
                <w:b w:val="0"/>
                <w:bCs/>
                <w:sz w:val="21"/>
                <w:szCs w:val="21"/>
              </w:rPr>
            </w:pPr>
            <w:r>
              <w:rPr>
                <w:rStyle w:val="114"/>
                <w:rFonts w:hint="eastAsia" w:ascii="宋体" w:hAnsi="宋体" w:eastAsia="宋体" w:cs="宋体"/>
                <w:sz w:val="21"/>
                <w:szCs w:val="21"/>
                <w:lang w:val="en-US" w:eastAsia="zh-CN"/>
              </w:rPr>
              <w:t>客观</w:t>
            </w:r>
          </w:p>
        </w:tc>
        <w:tc>
          <w:tcPr>
            <w:tcW w:w="3702" w:type="pct"/>
            <w:shd w:val="clear" w:color="auto" w:fill="auto"/>
            <w:vAlign w:val="center"/>
          </w:tcPr>
          <w:p w14:paraId="08401AE1">
            <w:pPr>
              <w:pStyle w:val="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ightChars="0"/>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bCs/>
                <w:sz w:val="21"/>
                <w:szCs w:val="21"/>
                <w:highlight w:val="none"/>
                <w:lang w:val="en-US" w:eastAsia="zh-CN"/>
              </w:rPr>
              <w:t>根据投标人的</w:t>
            </w:r>
            <w:r>
              <w:rPr>
                <w:rFonts w:hint="eastAsia" w:ascii="宋体" w:hAnsi="宋体" w:eastAsia="宋体" w:cs="宋体"/>
                <w:sz w:val="21"/>
                <w:szCs w:val="21"/>
                <w:highlight w:val="none"/>
              </w:rPr>
              <w:t>技术参数响应情况</w:t>
            </w:r>
            <w:r>
              <w:rPr>
                <w:rFonts w:hint="eastAsia" w:ascii="宋体" w:hAnsi="宋体" w:eastAsia="宋体" w:cs="宋体"/>
                <w:color w:val="000000"/>
                <w:kern w:val="0"/>
                <w:sz w:val="21"/>
                <w:szCs w:val="21"/>
                <w:highlight w:val="none"/>
                <w:lang w:bidi="ar"/>
              </w:rPr>
              <w:t>进行综合评分：</w:t>
            </w:r>
          </w:p>
          <w:p w14:paraId="200D3BA5">
            <w:pPr>
              <w:pStyle w:val="31"/>
              <w:keepNext w:val="0"/>
              <w:keepLines w:val="0"/>
              <w:suppressLineNumbers w:val="0"/>
              <w:spacing w:before="0" w:beforeAutospacing="0" w:afterAutospacing="0"/>
              <w:ind w:left="0" w:leftChars="0" w:right="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1、标“▲”的为实质性响应参数，负偏离作无效投标处理；</w:t>
            </w:r>
          </w:p>
          <w:p w14:paraId="1628E154">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2、未标“</w:t>
            </w:r>
            <w:r>
              <w:rPr>
                <w:rFonts w:hint="eastAsia" w:ascii="宋体" w:hAnsi="宋体" w:eastAsia="宋体" w:cs="宋体"/>
                <w:sz w:val="21"/>
                <w:szCs w:val="21"/>
                <w:lang w:val="en-US" w:eastAsia="zh-CN"/>
              </w:rPr>
              <w:t>▲</w:t>
            </w:r>
            <w:r>
              <w:rPr>
                <w:rFonts w:hint="eastAsia" w:ascii="宋体" w:hAnsi="宋体" w:eastAsia="宋体" w:cs="宋体"/>
                <w:color w:val="000000"/>
                <w:kern w:val="0"/>
                <w:sz w:val="21"/>
                <w:szCs w:val="21"/>
                <w:highlight w:val="none"/>
                <w:lang w:val="en-US" w:eastAsia="zh-CN"/>
              </w:rPr>
              <w:t>”的参数为一般参数，共52条，完全满足得26</w:t>
            </w:r>
            <w:r>
              <w:rPr>
                <w:rFonts w:hint="eastAsia" w:ascii="宋体" w:hAnsi="宋体" w:eastAsia="宋体" w:cs="宋体"/>
                <w:color w:val="000000"/>
                <w:kern w:val="0"/>
                <w:sz w:val="21"/>
                <w:szCs w:val="21"/>
                <w:highlight w:val="none"/>
              </w:rPr>
              <w:t>分，</w:t>
            </w:r>
            <w:r>
              <w:rPr>
                <w:rFonts w:hint="eastAsia" w:ascii="宋体" w:hAnsi="宋体" w:eastAsia="宋体" w:cs="宋体"/>
                <w:color w:val="000000"/>
                <w:kern w:val="0"/>
                <w:sz w:val="21"/>
                <w:szCs w:val="21"/>
                <w:highlight w:val="none"/>
                <w:lang w:val="en-US" w:eastAsia="zh-CN"/>
              </w:rPr>
              <w:t>投标人对于一般技术参数响应程度得分=（投标人满足一般技术参数的数量/一般技术参数要求条款的总数量）*26。</w:t>
            </w:r>
          </w:p>
          <w:p w14:paraId="07A3FA90">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评审依据：结合本项目技术参数进行评分，要求提供相关证明材料的，以证明材料为准，未提供或不符合要求的视作负偏离。</w:t>
            </w:r>
          </w:p>
        </w:tc>
        <w:tc>
          <w:tcPr>
            <w:tcW w:w="350" w:type="pct"/>
            <w:shd w:val="clear" w:color="auto" w:fill="auto"/>
            <w:vAlign w:val="center"/>
          </w:tcPr>
          <w:p w14:paraId="16A4501B">
            <w:pPr>
              <w:keepNext w:val="0"/>
              <w:keepLines w:val="0"/>
              <w:widowControl/>
              <w:suppressLineNumbers w:val="0"/>
              <w:spacing w:before="0" w:beforeAutospacing="0" w:after="0" w:afterAutospacing="0" w:line="360" w:lineRule="auto"/>
              <w:ind w:left="0" w:right="0"/>
              <w:jc w:val="center"/>
              <w:textAlignment w:val="center"/>
              <w:rPr>
                <w:rStyle w:val="114"/>
                <w:rFonts w:hint="default" w:ascii="宋体" w:hAnsi="宋体" w:eastAsia="宋体" w:cs="宋体"/>
                <w:sz w:val="21"/>
                <w:szCs w:val="21"/>
                <w:lang w:val="en-US" w:eastAsia="zh-CN"/>
              </w:rPr>
            </w:pPr>
            <w:r>
              <w:rPr>
                <w:rStyle w:val="114"/>
                <w:rFonts w:hint="eastAsia" w:ascii="宋体" w:hAnsi="宋体" w:eastAsia="宋体" w:cs="宋体"/>
                <w:sz w:val="21"/>
                <w:szCs w:val="21"/>
                <w:lang w:val="en-US" w:eastAsia="zh-CN"/>
              </w:rPr>
              <w:t>26</w:t>
            </w:r>
          </w:p>
        </w:tc>
      </w:tr>
      <w:tr w14:paraId="2AB0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shd w:val="clear" w:color="auto" w:fill="auto"/>
            <w:vAlign w:val="center"/>
          </w:tcPr>
          <w:p w14:paraId="4CD7B8F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项目</w:t>
            </w:r>
          </w:p>
          <w:p w14:paraId="2A7E2FB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rPr>
              <w:t>理解</w:t>
            </w:r>
            <w:r>
              <w:rPr>
                <w:rFonts w:hint="eastAsia" w:ascii="宋体" w:hAnsi="宋体" w:eastAsia="宋体" w:cs="宋体"/>
                <w:sz w:val="21"/>
                <w:szCs w:val="21"/>
              </w:rPr>
              <w:t>与分析</w:t>
            </w:r>
          </w:p>
        </w:tc>
        <w:tc>
          <w:tcPr>
            <w:tcW w:w="441" w:type="pct"/>
            <w:shd w:val="clear" w:color="auto" w:fill="auto"/>
            <w:vAlign w:val="center"/>
          </w:tcPr>
          <w:p w14:paraId="5B116B32">
            <w:pPr>
              <w:keepNext w:val="0"/>
              <w:keepLines w:val="0"/>
              <w:widowControl/>
              <w:suppressLineNumbers w:val="0"/>
              <w:spacing w:before="0" w:beforeAutospacing="0" w:after="0" w:afterAutospacing="0" w:line="360" w:lineRule="auto"/>
              <w:ind w:left="0" w:right="0"/>
              <w:jc w:val="center"/>
              <w:textAlignment w:val="center"/>
              <w:rPr>
                <w:rStyle w:val="68"/>
                <w:rFonts w:hint="eastAsia" w:ascii="宋体" w:hAnsi="宋体" w:eastAsia="宋体" w:cs="宋体"/>
                <w:b w:val="0"/>
                <w:bCs/>
                <w:sz w:val="21"/>
                <w:szCs w:val="21"/>
              </w:rPr>
            </w:pPr>
            <w:r>
              <w:rPr>
                <w:rFonts w:hint="eastAsia" w:ascii="宋体" w:hAnsi="宋体" w:eastAsia="宋体" w:cs="宋体"/>
                <w:sz w:val="21"/>
                <w:szCs w:val="21"/>
              </w:rPr>
              <w:t>主观</w:t>
            </w:r>
          </w:p>
        </w:tc>
        <w:tc>
          <w:tcPr>
            <w:tcW w:w="3702" w:type="pct"/>
            <w:shd w:val="clear" w:color="auto" w:fill="auto"/>
            <w:vAlign w:val="center"/>
          </w:tcPr>
          <w:p w14:paraId="04D76E73">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根据投标人</w:t>
            </w:r>
            <w:r>
              <w:rPr>
                <w:rFonts w:hint="eastAsia" w:ascii="宋体" w:hAnsi="宋体" w:eastAsia="宋体" w:cs="宋体"/>
                <w:sz w:val="21"/>
                <w:szCs w:val="21"/>
                <w:lang w:val="en-US" w:eastAsia="zh-CN"/>
              </w:rPr>
              <w:t>提供的</w:t>
            </w:r>
            <w:r>
              <w:rPr>
                <w:rFonts w:hint="eastAsia" w:ascii="宋体" w:hAnsi="宋体" w:eastAsia="宋体" w:cs="宋体"/>
                <w:sz w:val="21"/>
                <w:szCs w:val="21"/>
              </w:rPr>
              <w:t>对本项目</w:t>
            </w:r>
            <w:r>
              <w:rPr>
                <w:rFonts w:hint="eastAsia" w:ascii="宋体" w:hAnsi="宋体" w:eastAsia="宋体" w:cs="宋体"/>
                <w:bCs/>
                <w:color w:val="000000"/>
                <w:sz w:val="21"/>
                <w:szCs w:val="21"/>
              </w:rPr>
              <w:t>理解</w:t>
            </w:r>
            <w:r>
              <w:rPr>
                <w:rFonts w:hint="eastAsia" w:ascii="宋体" w:hAnsi="宋体" w:eastAsia="宋体" w:cs="宋体"/>
                <w:sz w:val="21"/>
                <w:szCs w:val="21"/>
              </w:rPr>
              <w:t>与分析</w:t>
            </w:r>
            <w:r>
              <w:rPr>
                <w:rFonts w:hint="eastAsia" w:ascii="宋体" w:hAnsi="宋体" w:eastAsia="宋体" w:cs="宋体"/>
                <w:bCs/>
                <w:color w:val="000000"/>
                <w:sz w:val="21"/>
                <w:szCs w:val="21"/>
                <w:lang w:val="en-US" w:eastAsia="zh-CN"/>
              </w:rPr>
              <w:t>情况（</w:t>
            </w:r>
            <w:r>
              <w:rPr>
                <w:rFonts w:hint="eastAsia" w:ascii="宋体" w:hAnsi="宋体" w:eastAsia="宋体" w:cs="宋体"/>
                <w:sz w:val="21"/>
                <w:szCs w:val="21"/>
                <w:lang w:val="en-US" w:eastAsia="zh-CN"/>
              </w:rPr>
              <w:t>包括但不限于</w:t>
            </w:r>
            <w:r>
              <w:rPr>
                <w:rFonts w:hint="eastAsia" w:ascii="宋体" w:hAnsi="宋体" w:eastAsia="宋体" w:cs="宋体"/>
                <w:sz w:val="21"/>
                <w:szCs w:val="21"/>
              </w:rPr>
              <w:t>改造背景</w:t>
            </w:r>
            <w:r>
              <w:rPr>
                <w:rFonts w:hint="eastAsia" w:ascii="宋体" w:hAnsi="宋体" w:eastAsia="宋体" w:cs="宋体"/>
                <w:sz w:val="21"/>
                <w:szCs w:val="21"/>
                <w:lang w:eastAsia="zh-CN"/>
              </w:rPr>
              <w:t>，</w:t>
            </w:r>
            <w:r>
              <w:rPr>
                <w:rFonts w:hint="eastAsia" w:ascii="宋体" w:hAnsi="宋体" w:eastAsia="宋体" w:cs="宋体"/>
                <w:sz w:val="21"/>
                <w:szCs w:val="21"/>
              </w:rPr>
              <w:t>改造需求，建设现状</w:t>
            </w:r>
            <w:r>
              <w:rPr>
                <w:rFonts w:hint="eastAsia" w:ascii="宋体" w:hAnsi="宋体" w:eastAsia="宋体" w:cs="宋体"/>
                <w:sz w:val="21"/>
                <w:szCs w:val="21"/>
                <w:lang w:val="en-US" w:eastAsia="zh-CN"/>
              </w:rPr>
              <w:t>及必要性等</w:t>
            </w:r>
            <w:r>
              <w:rPr>
                <w:rFonts w:hint="eastAsia" w:ascii="宋体" w:hAnsi="宋体" w:eastAsia="宋体" w:cs="宋体"/>
                <w:bCs/>
                <w:color w:val="000000"/>
                <w:sz w:val="21"/>
                <w:szCs w:val="21"/>
                <w:lang w:val="en-US" w:eastAsia="zh-CN"/>
              </w:rPr>
              <w:t>）</w:t>
            </w:r>
            <w:r>
              <w:rPr>
                <w:rFonts w:hint="eastAsia" w:ascii="宋体" w:hAnsi="宋体" w:eastAsia="宋体" w:cs="宋体"/>
                <w:sz w:val="21"/>
                <w:szCs w:val="21"/>
              </w:rPr>
              <w:t>进行综合评分：</w:t>
            </w:r>
          </w:p>
          <w:p w14:paraId="0C29D57A">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Style w:val="114"/>
                <w:rFonts w:hint="eastAsia" w:ascii="宋体" w:hAnsi="宋体" w:eastAsia="宋体" w:cs="宋体"/>
                <w:sz w:val="21"/>
                <w:szCs w:val="21"/>
                <w:lang w:val="en-US" w:eastAsia="zh-CN"/>
              </w:rPr>
              <w:t>对项目现状</w:t>
            </w:r>
            <w:r>
              <w:rPr>
                <w:rFonts w:hint="eastAsia" w:ascii="宋体" w:hAnsi="宋体" w:eastAsia="宋体" w:cs="宋体"/>
                <w:sz w:val="21"/>
                <w:szCs w:val="21"/>
              </w:rPr>
              <w:t>内容</w:t>
            </w:r>
            <w:r>
              <w:rPr>
                <w:rFonts w:hint="eastAsia" w:ascii="宋体" w:hAnsi="宋体" w:eastAsia="宋体" w:cs="宋体"/>
                <w:color w:val="000000"/>
                <w:kern w:val="0"/>
                <w:sz w:val="21"/>
                <w:szCs w:val="21"/>
              </w:rPr>
              <w:t>了解和熟悉程度</w:t>
            </w:r>
            <w:r>
              <w:rPr>
                <w:rFonts w:hint="eastAsia" w:ascii="宋体" w:hAnsi="宋体" w:eastAsia="宋体" w:cs="宋体"/>
                <w:color w:val="000000"/>
                <w:kern w:val="0"/>
                <w:sz w:val="21"/>
                <w:szCs w:val="21"/>
                <w:lang w:val="en-US" w:eastAsia="zh-CN"/>
              </w:rPr>
              <w:t>深，</w:t>
            </w:r>
            <w:r>
              <w:rPr>
                <w:rFonts w:hint="eastAsia" w:ascii="宋体" w:hAnsi="宋体" w:eastAsia="宋体" w:cs="宋体"/>
                <w:sz w:val="21"/>
                <w:szCs w:val="21"/>
              </w:rPr>
              <w:t>需求分析和认识到位</w:t>
            </w:r>
            <w:r>
              <w:rPr>
                <w:rFonts w:hint="eastAsia" w:ascii="宋体" w:hAnsi="宋体" w:eastAsia="宋体" w:cs="宋体"/>
                <w:sz w:val="21"/>
                <w:szCs w:val="21"/>
                <w:lang w:val="en-US" w:eastAsia="zh-CN"/>
              </w:rPr>
              <w:t>得8分</w:t>
            </w:r>
            <w:r>
              <w:rPr>
                <w:rFonts w:hint="eastAsia" w:ascii="宋体" w:hAnsi="宋体" w:eastAsia="宋体" w:cs="宋体"/>
                <w:kern w:val="2"/>
                <w:sz w:val="21"/>
                <w:szCs w:val="21"/>
                <w:lang w:val="en-US" w:eastAsia="zh-CN" w:bidi="ar-SA"/>
              </w:rPr>
              <w:t>；</w:t>
            </w:r>
          </w:p>
          <w:p w14:paraId="5A18357D">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2、对项目现状内容了解和熟悉程度较深，需求分析和认识程度较为到位得5分；</w:t>
            </w:r>
          </w:p>
          <w:p w14:paraId="63D44ADA">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3、对项目现状内容了解和熟悉程度一般，需求分析和认识程度一般得2分；</w:t>
            </w:r>
          </w:p>
          <w:p w14:paraId="0737E3F5">
            <w:pPr>
              <w:keepNext w:val="0"/>
              <w:keepLines w:val="0"/>
              <w:widowControl/>
              <w:numPr>
                <w:ilvl w:val="0"/>
                <w:numId w:val="0"/>
              </w:numPr>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b/>
                <w:bCs/>
                <w:sz w:val="21"/>
                <w:szCs w:val="21"/>
                <w:highlight w:val="none"/>
              </w:rPr>
            </w:pPr>
            <w:r>
              <w:rPr>
                <w:rFonts w:hint="eastAsia" w:ascii="宋体" w:hAnsi="宋体" w:eastAsia="宋体" w:cs="宋体"/>
                <w:kern w:val="2"/>
                <w:sz w:val="21"/>
                <w:szCs w:val="21"/>
                <w:lang w:val="en-US" w:eastAsia="zh-CN" w:bidi="ar-SA"/>
              </w:rPr>
              <w:t>4、未提供不得分。</w:t>
            </w:r>
          </w:p>
        </w:tc>
        <w:tc>
          <w:tcPr>
            <w:tcW w:w="350" w:type="pct"/>
            <w:shd w:val="clear" w:color="auto" w:fill="auto"/>
            <w:vAlign w:val="center"/>
          </w:tcPr>
          <w:p w14:paraId="5359AB6B">
            <w:pPr>
              <w:keepNext w:val="0"/>
              <w:keepLines w:val="0"/>
              <w:widowControl/>
              <w:suppressLineNumbers w:val="0"/>
              <w:spacing w:before="0" w:beforeAutospacing="0" w:after="0" w:afterAutospacing="0" w:line="360" w:lineRule="auto"/>
              <w:ind w:left="0" w:right="0"/>
              <w:jc w:val="center"/>
              <w:textAlignment w:val="center"/>
              <w:rPr>
                <w:rStyle w:val="114"/>
                <w:rFonts w:hint="default" w:ascii="宋体" w:hAnsi="宋体" w:eastAsia="宋体" w:cs="宋体"/>
                <w:sz w:val="21"/>
                <w:szCs w:val="21"/>
                <w:lang w:val="en-US" w:eastAsia="zh-CN"/>
              </w:rPr>
            </w:pPr>
            <w:r>
              <w:rPr>
                <w:rStyle w:val="114"/>
                <w:rFonts w:hint="eastAsia" w:ascii="宋体" w:hAnsi="宋体" w:eastAsia="宋体" w:cs="宋体"/>
                <w:sz w:val="21"/>
                <w:szCs w:val="21"/>
                <w:lang w:val="en-US" w:eastAsia="zh-CN"/>
              </w:rPr>
              <w:t>8</w:t>
            </w:r>
          </w:p>
        </w:tc>
      </w:tr>
      <w:tr w14:paraId="4CAC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shd w:val="clear" w:color="auto" w:fill="auto"/>
            <w:vAlign w:val="center"/>
          </w:tcPr>
          <w:p w14:paraId="353B7F2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Cs/>
                <w:color w:val="000000"/>
                <w:sz w:val="21"/>
                <w:szCs w:val="21"/>
                <w:lang w:val="en-US" w:eastAsia="zh-CN"/>
              </w:rPr>
            </w:pPr>
            <w:r>
              <w:rPr>
                <w:rFonts w:hint="eastAsia" w:ascii="宋体" w:hAnsi="宋体" w:eastAsia="宋体" w:cs="宋体"/>
                <w:sz w:val="21"/>
                <w:szCs w:val="21"/>
              </w:rPr>
              <w:t>服务技术方案</w:t>
            </w:r>
          </w:p>
        </w:tc>
        <w:tc>
          <w:tcPr>
            <w:tcW w:w="441" w:type="pct"/>
            <w:shd w:val="clear" w:color="auto" w:fill="auto"/>
            <w:vAlign w:val="center"/>
          </w:tcPr>
          <w:p w14:paraId="617B5A7D">
            <w:pPr>
              <w:keepNext w:val="0"/>
              <w:keepLines w:val="0"/>
              <w:widowControl/>
              <w:suppressLineNumbers w:val="0"/>
              <w:spacing w:before="0" w:beforeAutospacing="0" w:after="0" w:afterAutospacing="0" w:line="360" w:lineRule="auto"/>
              <w:ind w:left="0" w:right="0"/>
              <w:jc w:val="center"/>
              <w:textAlignment w:val="center"/>
              <w:rPr>
                <w:rStyle w:val="68"/>
                <w:rFonts w:hint="eastAsia" w:ascii="宋体" w:hAnsi="宋体" w:eastAsia="宋体" w:cs="宋体"/>
                <w:b w:val="0"/>
                <w:bCs/>
                <w:sz w:val="21"/>
                <w:szCs w:val="21"/>
              </w:rPr>
            </w:pPr>
            <w:r>
              <w:rPr>
                <w:rFonts w:hint="eastAsia" w:ascii="宋体" w:hAnsi="宋体" w:eastAsia="宋体" w:cs="宋体"/>
                <w:sz w:val="21"/>
                <w:szCs w:val="21"/>
              </w:rPr>
              <w:t>主观</w:t>
            </w:r>
          </w:p>
        </w:tc>
        <w:tc>
          <w:tcPr>
            <w:tcW w:w="3702" w:type="pct"/>
            <w:shd w:val="clear" w:color="auto" w:fill="auto"/>
            <w:vAlign w:val="center"/>
          </w:tcPr>
          <w:p w14:paraId="6BB679A9">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根据投标人</w:t>
            </w:r>
            <w:r>
              <w:rPr>
                <w:rFonts w:hint="eastAsia" w:ascii="宋体" w:hAnsi="宋体" w:eastAsia="宋体" w:cs="宋体"/>
                <w:sz w:val="21"/>
                <w:szCs w:val="21"/>
                <w:lang w:val="en-US" w:eastAsia="zh-CN"/>
              </w:rPr>
              <w:t>提供的</w:t>
            </w:r>
            <w:r>
              <w:rPr>
                <w:rFonts w:hint="eastAsia" w:ascii="宋体" w:hAnsi="宋体" w:eastAsia="宋体" w:cs="宋体"/>
                <w:sz w:val="21"/>
                <w:szCs w:val="21"/>
              </w:rPr>
              <w:t>服务技术方案进行综合评分：</w:t>
            </w:r>
          </w:p>
          <w:p w14:paraId="6D0BB294">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1、服务技术方案完整详细，安排合理，条理清晰，操作性强</w:t>
            </w:r>
            <w:r>
              <w:rPr>
                <w:rFonts w:hint="eastAsia" w:ascii="宋体" w:hAnsi="宋体" w:eastAsia="宋体" w:cs="宋体"/>
                <w:sz w:val="21"/>
                <w:szCs w:val="21"/>
                <w:lang w:val="en-US" w:eastAsia="zh-CN"/>
              </w:rPr>
              <w:t>得8</w:t>
            </w:r>
            <w:r>
              <w:rPr>
                <w:rFonts w:hint="eastAsia" w:ascii="宋体" w:hAnsi="宋体" w:eastAsia="宋体" w:cs="宋体"/>
                <w:sz w:val="21"/>
                <w:szCs w:val="21"/>
              </w:rPr>
              <w:t>分；</w:t>
            </w:r>
          </w:p>
          <w:p w14:paraId="44CB9B79">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2、服务技术方案较为完整，安排较为合理，条理</w:t>
            </w:r>
            <w:r>
              <w:rPr>
                <w:rFonts w:hint="eastAsia" w:ascii="宋体" w:hAnsi="宋体" w:eastAsia="宋体" w:cs="宋体"/>
                <w:sz w:val="21"/>
                <w:szCs w:val="21"/>
                <w:lang w:val="en-US" w:eastAsia="zh-CN"/>
              </w:rPr>
              <w:t>较</w:t>
            </w:r>
            <w:r>
              <w:rPr>
                <w:rFonts w:hint="eastAsia" w:ascii="宋体" w:hAnsi="宋体" w:eastAsia="宋体" w:cs="宋体"/>
                <w:sz w:val="21"/>
                <w:szCs w:val="21"/>
              </w:rPr>
              <w:t>清晰，操作性</w:t>
            </w:r>
            <w:r>
              <w:rPr>
                <w:rFonts w:hint="eastAsia" w:ascii="宋体" w:hAnsi="宋体" w:eastAsia="宋体" w:cs="宋体"/>
                <w:sz w:val="21"/>
                <w:szCs w:val="21"/>
                <w:lang w:val="en-US" w:eastAsia="zh-CN"/>
              </w:rPr>
              <w:t>较</w:t>
            </w:r>
            <w:r>
              <w:rPr>
                <w:rFonts w:hint="eastAsia" w:ascii="宋体" w:hAnsi="宋体" w:eastAsia="宋体" w:cs="宋体"/>
                <w:sz w:val="21"/>
                <w:szCs w:val="21"/>
              </w:rPr>
              <w:t>强</w:t>
            </w:r>
            <w:r>
              <w:rPr>
                <w:rFonts w:hint="eastAsia" w:ascii="宋体" w:hAnsi="宋体" w:eastAsia="宋体" w:cs="宋体"/>
                <w:sz w:val="21"/>
                <w:szCs w:val="21"/>
                <w:lang w:val="en-US" w:eastAsia="zh-CN"/>
              </w:rPr>
              <w:t>得5</w:t>
            </w:r>
            <w:r>
              <w:rPr>
                <w:rFonts w:hint="eastAsia" w:ascii="宋体" w:hAnsi="宋体" w:eastAsia="宋体" w:cs="宋体"/>
                <w:sz w:val="21"/>
                <w:szCs w:val="21"/>
              </w:rPr>
              <w:t>分；</w:t>
            </w:r>
          </w:p>
          <w:p w14:paraId="073C96BB">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3、服务技术方案一般，安排合理</w:t>
            </w:r>
            <w:r>
              <w:rPr>
                <w:rFonts w:hint="eastAsia" w:ascii="宋体" w:hAnsi="宋体" w:eastAsia="宋体" w:cs="宋体"/>
                <w:sz w:val="21"/>
                <w:szCs w:val="21"/>
                <w:lang w:val="en-US" w:eastAsia="zh-CN"/>
              </w:rPr>
              <w:t>性一般</w:t>
            </w:r>
            <w:r>
              <w:rPr>
                <w:rFonts w:hint="eastAsia" w:ascii="宋体" w:hAnsi="宋体" w:eastAsia="宋体" w:cs="宋体"/>
                <w:sz w:val="21"/>
                <w:szCs w:val="21"/>
              </w:rPr>
              <w:t>，</w:t>
            </w:r>
            <w:r>
              <w:rPr>
                <w:rFonts w:hint="eastAsia" w:ascii="宋体" w:hAnsi="宋体" w:eastAsia="宋体" w:cs="宋体"/>
                <w:sz w:val="21"/>
                <w:szCs w:val="21"/>
                <w:lang w:val="en-US" w:eastAsia="zh-CN"/>
              </w:rPr>
              <w:t>条理性一般，</w:t>
            </w:r>
            <w:r>
              <w:rPr>
                <w:rFonts w:hint="eastAsia" w:ascii="宋体" w:hAnsi="宋体" w:eastAsia="宋体" w:cs="宋体"/>
                <w:sz w:val="21"/>
                <w:szCs w:val="21"/>
              </w:rPr>
              <w:t>操作性</w:t>
            </w:r>
            <w:r>
              <w:rPr>
                <w:rFonts w:hint="eastAsia" w:ascii="宋体" w:hAnsi="宋体" w:eastAsia="宋体" w:cs="宋体"/>
                <w:sz w:val="21"/>
                <w:szCs w:val="21"/>
                <w:lang w:val="en-US" w:eastAsia="zh-CN"/>
              </w:rPr>
              <w:t>一般得2</w:t>
            </w:r>
            <w:r>
              <w:rPr>
                <w:rFonts w:hint="eastAsia" w:ascii="宋体" w:hAnsi="宋体" w:eastAsia="宋体" w:cs="宋体"/>
                <w:sz w:val="21"/>
                <w:szCs w:val="21"/>
              </w:rPr>
              <w:t>分；</w:t>
            </w:r>
          </w:p>
          <w:p w14:paraId="66E26E04">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bCs/>
                <w:sz w:val="21"/>
                <w:szCs w:val="21"/>
                <w:highlight w:val="none"/>
              </w:rPr>
            </w:pPr>
            <w:r>
              <w:rPr>
                <w:rFonts w:hint="eastAsia" w:ascii="宋体" w:hAnsi="宋体" w:eastAsia="宋体" w:cs="宋体"/>
                <w:sz w:val="21"/>
                <w:szCs w:val="21"/>
              </w:rPr>
              <w:t>4、未提供不得分。</w:t>
            </w:r>
          </w:p>
        </w:tc>
        <w:tc>
          <w:tcPr>
            <w:tcW w:w="350" w:type="pct"/>
            <w:shd w:val="clear" w:color="auto" w:fill="auto"/>
            <w:vAlign w:val="center"/>
          </w:tcPr>
          <w:p w14:paraId="166F1B18">
            <w:pPr>
              <w:keepNext w:val="0"/>
              <w:keepLines w:val="0"/>
              <w:widowControl/>
              <w:suppressLineNumbers w:val="0"/>
              <w:spacing w:before="0" w:beforeAutospacing="0" w:after="0" w:afterAutospacing="0" w:line="360" w:lineRule="auto"/>
              <w:ind w:left="0" w:right="0"/>
              <w:jc w:val="center"/>
              <w:textAlignment w:val="center"/>
              <w:rPr>
                <w:rStyle w:val="114"/>
                <w:rFonts w:hint="default" w:ascii="宋体" w:hAnsi="宋体" w:eastAsia="宋体" w:cs="宋体"/>
                <w:sz w:val="21"/>
                <w:szCs w:val="21"/>
                <w:lang w:val="en-US" w:eastAsia="zh-CN"/>
              </w:rPr>
            </w:pPr>
            <w:r>
              <w:rPr>
                <w:rStyle w:val="114"/>
                <w:rFonts w:hint="eastAsia" w:ascii="宋体" w:hAnsi="宋体" w:eastAsia="宋体" w:cs="宋体"/>
                <w:sz w:val="21"/>
                <w:szCs w:val="21"/>
                <w:lang w:val="en-US" w:eastAsia="zh-CN"/>
              </w:rPr>
              <w:t>8</w:t>
            </w:r>
          </w:p>
        </w:tc>
      </w:tr>
      <w:tr w14:paraId="43CD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shd w:val="clear" w:color="auto" w:fill="auto"/>
            <w:vAlign w:val="center"/>
          </w:tcPr>
          <w:p w14:paraId="6AED6ED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Cs/>
                <w:color w:val="000000"/>
                <w:sz w:val="21"/>
                <w:szCs w:val="21"/>
                <w:lang w:val="en-US" w:eastAsia="zh-CN"/>
              </w:rPr>
            </w:pPr>
            <w:r>
              <w:rPr>
                <w:rFonts w:hint="eastAsia" w:ascii="宋体" w:hAnsi="宋体" w:eastAsia="宋体" w:cs="宋体"/>
                <w:sz w:val="21"/>
                <w:szCs w:val="21"/>
              </w:rPr>
              <w:t>工期保障措施</w:t>
            </w:r>
          </w:p>
        </w:tc>
        <w:tc>
          <w:tcPr>
            <w:tcW w:w="441" w:type="pct"/>
            <w:shd w:val="clear" w:color="auto" w:fill="auto"/>
            <w:vAlign w:val="center"/>
          </w:tcPr>
          <w:p w14:paraId="1E480C75">
            <w:pPr>
              <w:keepNext w:val="0"/>
              <w:keepLines w:val="0"/>
              <w:widowControl/>
              <w:suppressLineNumbers w:val="0"/>
              <w:spacing w:before="0" w:beforeAutospacing="0" w:after="0" w:afterAutospacing="0" w:line="360" w:lineRule="auto"/>
              <w:ind w:left="0" w:right="0"/>
              <w:jc w:val="center"/>
              <w:textAlignment w:val="center"/>
              <w:rPr>
                <w:rStyle w:val="68"/>
                <w:rFonts w:hint="eastAsia" w:ascii="宋体" w:hAnsi="宋体" w:eastAsia="宋体" w:cs="宋体"/>
                <w:b w:val="0"/>
                <w:bCs/>
                <w:sz w:val="21"/>
                <w:szCs w:val="21"/>
              </w:rPr>
            </w:pPr>
            <w:r>
              <w:rPr>
                <w:rFonts w:hint="eastAsia" w:ascii="宋体" w:hAnsi="宋体" w:eastAsia="宋体" w:cs="宋体"/>
                <w:sz w:val="21"/>
                <w:szCs w:val="21"/>
              </w:rPr>
              <w:t>主观</w:t>
            </w:r>
          </w:p>
        </w:tc>
        <w:tc>
          <w:tcPr>
            <w:tcW w:w="3702" w:type="pct"/>
            <w:shd w:val="clear" w:color="auto" w:fill="auto"/>
            <w:vAlign w:val="center"/>
          </w:tcPr>
          <w:p w14:paraId="15579903">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根据投标人提供的</w:t>
            </w:r>
            <w:r>
              <w:rPr>
                <w:rFonts w:hint="eastAsia" w:ascii="宋体" w:hAnsi="宋体" w:eastAsia="宋体" w:cs="宋体"/>
                <w:sz w:val="21"/>
                <w:szCs w:val="21"/>
              </w:rPr>
              <w:t>工期保障措施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包括但不限于</w:t>
            </w:r>
            <w:r>
              <w:rPr>
                <w:rFonts w:hint="eastAsia" w:ascii="宋体" w:hAnsi="宋体" w:eastAsia="宋体" w:cs="宋体"/>
                <w:sz w:val="21"/>
                <w:szCs w:val="21"/>
              </w:rPr>
              <w:t>进度计划、保障进度的组织措施</w:t>
            </w:r>
            <w:r>
              <w:rPr>
                <w:rFonts w:hint="eastAsia" w:ascii="宋体" w:hAnsi="宋体" w:eastAsia="宋体" w:cs="宋体"/>
                <w:sz w:val="21"/>
                <w:szCs w:val="21"/>
                <w:lang w:val="en-US" w:eastAsia="zh-CN"/>
              </w:rPr>
              <w:t>等</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rPr>
              <w:t>进行综合评分：</w:t>
            </w:r>
          </w:p>
          <w:p w14:paraId="634BC663">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1、进度计划合理，相关措施完善得</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p w14:paraId="058C6927">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2、进度计划较合理，相关措施</w:t>
            </w:r>
            <w:r>
              <w:rPr>
                <w:rFonts w:hint="eastAsia" w:ascii="宋体" w:hAnsi="宋体" w:eastAsia="宋体" w:cs="宋体"/>
                <w:sz w:val="21"/>
                <w:szCs w:val="21"/>
                <w:lang w:val="en-US" w:eastAsia="zh-CN"/>
              </w:rPr>
              <w:t>较为完善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rPr>
              <w:br w:type="textWrapping"/>
            </w:r>
            <w:r>
              <w:rPr>
                <w:rFonts w:hint="eastAsia" w:ascii="宋体" w:hAnsi="宋体" w:eastAsia="宋体" w:cs="宋体"/>
                <w:sz w:val="21"/>
                <w:szCs w:val="21"/>
              </w:rPr>
              <w:t>3、进度计划</w:t>
            </w:r>
            <w:r>
              <w:rPr>
                <w:rFonts w:hint="eastAsia" w:ascii="宋体" w:hAnsi="宋体" w:eastAsia="宋体" w:cs="宋体"/>
                <w:sz w:val="21"/>
                <w:szCs w:val="21"/>
                <w:lang w:val="en-US" w:eastAsia="zh-CN"/>
              </w:rPr>
              <w:t>合理性一般</w:t>
            </w:r>
            <w:r>
              <w:rPr>
                <w:rFonts w:hint="eastAsia" w:ascii="宋体" w:hAnsi="宋体" w:eastAsia="宋体" w:cs="宋体"/>
                <w:sz w:val="21"/>
                <w:szCs w:val="21"/>
              </w:rPr>
              <w:t>，相关措施</w:t>
            </w:r>
            <w:r>
              <w:rPr>
                <w:rFonts w:hint="eastAsia" w:ascii="宋体" w:hAnsi="宋体" w:eastAsia="宋体" w:cs="宋体"/>
                <w:sz w:val="21"/>
                <w:szCs w:val="21"/>
                <w:lang w:val="en-US" w:eastAsia="zh-CN"/>
              </w:rPr>
              <w:t>一般</w:t>
            </w:r>
            <w:r>
              <w:rPr>
                <w:rFonts w:hint="eastAsia" w:ascii="宋体" w:hAnsi="宋体" w:eastAsia="宋体" w:cs="宋体"/>
                <w:sz w:val="21"/>
                <w:szCs w:val="21"/>
              </w:rPr>
              <w:t>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14:paraId="42DE2DA7">
            <w:pPr>
              <w:pStyle w:val="5"/>
              <w:keepNext w:val="0"/>
              <w:keepLines w:val="0"/>
              <w:suppressLineNumbers w:val="0"/>
              <w:spacing w:before="0" w:beforeAutospacing="0" w:afterAutospacing="0" w:line="360" w:lineRule="auto"/>
              <w:ind w:left="0" w:right="0"/>
              <w:rPr>
                <w:rFonts w:hint="eastAsia" w:ascii="宋体" w:hAnsi="宋体" w:eastAsia="宋体" w:cs="宋体"/>
                <w:b/>
                <w:bCs/>
                <w:sz w:val="21"/>
                <w:szCs w:val="21"/>
                <w:highlight w:val="none"/>
              </w:rPr>
            </w:pPr>
            <w:r>
              <w:rPr>
                <w:rFonts w:hint="eastAsia" w:ascii="宋体" w:hAnsi="宋体" w:eastAsia="宋体" w:cs="宋体"/>
                <w:sz w:val="21"/>
                <w:szCs w:val="21"/>
              </w:rPr>
              <w:t>4、未提供不得分。</w:t>
            </w:r>
          </w:p>
        </w:tc>
        <w:tc>
          <w:tcPr>
            <w:tcW w:w="350" w:type="pct"/>
            <w:shd w:val="clear" w:color="auto" w:fill="auto"/>
            <w:vAlign w:val="center"/>
          </w:tcPr>
          <w:p w14:paraId="61BF267A">
            <w:pPr>
              <w:keepNext w:val="0"/>
              <w:keepLines w:val="0"/>
              <w:widowControl/>
              <w:suppressLineNumbers w:val="0"/>
              <w:spacing w:before="0" w:beforeAutospacing="0" w:after="0" w:afterAutospacing="0" w:line="360" w:lineRule="auto"/>
              <w:ind w:left="0" w:right="0"/>
              <w:jc w:val="center"/>
              <w:textAlignment w:val="center"/>
              <w:rPr>
                <w:rStyle w:val="114"/>
                <w:rFonts w:hint="eastAsia" w:ascii="宋体" w:hAnsi="宋体" w:eastAsia="宋体" w:cs="宋体"/>
                <w:sz w:val="21"/>
                <w:szCs w:val="21"/>
                <w:lang w:val="en-US" w:eastAsia="zh-CN"/>
              </w:rPr>
            </w:pPr>
            <w:r>
              <w:rPr>
                <w:rStyle w:val="114"/>
                <w:rFonts w:hint="eastAsia" w:ascii="宋体" w:hAnsi="宋体" w:eastAsia="宋体" w:cs="宋体"/>
                <w:sz w:val="21"/>
                <w:szCs w:val="21"/>
                <w:lang w:val="en-US" w:eastAsia="zh-CN"/>
              </w:rPr>
              <w:t>8</w:t>
            </w:r>
          </w:p>
        </w:tc>
      </w:tr>
      <w:tr w14:paraId="07E5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shd w:val="clear" w:color="auto" w:fill="auto"/>
            <w:vAlign w:val="center"/>
          </w:tcPr>
          <w:p w14:paraId="561CB0F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Cs/>
                <w:color w:val="000000"/>
                <w:sz w:val="21"/>
                <w:szCs w:val="21"/>
                <w:lang w:val="en-US" w:eastAsia="zh-CN"/>
              </w:rPr>
            </w:pPr>
            <w:r>
              <w:rPr>
                <w:rFonts w:hint="eastAsia" w:ascii="宋体" w:hAnsi="宋体" w:eastAsia="宋体" w:cs="宋体"/>
                <w:sz w:val="21"/>
                <w:szCs w:val="21"/>
                <w:highlight w:val="none"/>
              </w:rPr>
              <w:t>售后服务方案</w:t>
            </w:r>
          </w:p>
        </w:tc>
        <w:tc>
          <w:tcPr>
            <w:tcW w:w="441" w:type="pct"/>
            <w:shd w:val="clear" w:color="auto" w:fill="auto"/>
            <w:vAlign w:val="center"/>
          </w:tcPr>
          <w:p w14:paraId="3233BC8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Style w:val="68"/>
                <w:rFonts w:hint="eastAsia" w:ascii="宋体" w:hAnsi="宋体" w:eastAsia="宋体" w:cs="宋体"/>
                <w:b w:val="0"/>
                <w:bCs/>
                <w:sz w:val="21"/>
                <w:szCs w:val="21"/>
              </w:rPr>
            </w:pPr>
            <w:r>
              <w:rPr>
                <w:rFonts w:hint="eastAsia" w:ascii="宋体" w:hAnsi="宋体" w:eastAsia="宋体" w:cs="宋体"/>
                <w:sz w:val="21"/>
                <w:szCs w:val="21"/>
                <w:highlight w:val="none"/>
                <w:lang w:val="en-US" w:eastAsia="zh-CN"/>
              </w:rPr>
              <w:t>主观</w:t>
            </w:r>
          </w:p>
        </w:tc>
        <w:tc>
          <w:tcPr>
            <w:tcW w:w="3702" w:type="pct"/>
            <w:shd w:val="clear" w:color="auto" w:fill="auto"/>
            <w:vAlign w:val="center"/>
          </w:tcPr>
          <w:p w14:paraId="2E51746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rightChars="0" w:firstLine="0"/>
              <w:jc w:val="both"/>
              <w:textAlignment w:val="auto"/>
              <w:rPr>
                <w:rFonts w:hint="eastAsia" w:ascii="宋体" w:hAnsi="宋体" w:eastAsia="宋体" w:cs="宋体"/>
                <w:sz w:val="21"/>
                <w:szCs w:val="21"/>
              </w:rPr>
            </w:pPr>
            <w:r>
              <w:rPr>
                <w:rFonts w:hint="eastAsia" w:ascii="宋体" w:hAnsi="宋体" w:eastAsia="宋体" w:cs="宋体"/>
                <w:sz w:val="21"/>
                <w:szCs w:val="21"/>
              </w:rPr>
              <w:t>根据投标人</w:t>
            </w:r>
            <w:r>
              <w:rPr>
                <w:rFonts w:hint="eastAsia" w:ascii="宋体" w:hAnsi="宋体" w:eastAsia="宋体" w:cs="宋体"/>
                <w:sz w:val="21"/>
                <w:szCs w:val="21"/>
                <w:lang w:val="en-US" w:eastAsia="zh-CN"/>
              </w:rPr>
              <w:t>提供的</w:t>
            </w:r>
            <w:r>
              <w:rPr>
                <w:rFonts w:hint="eastAsia" w:ascii="宋体" w:hAnsi="宋体" w:eastAsia="宋体" w:cs="宋体"/>
                <w:sz w:val="21"/>
                <w:szCs w:val="21"/>
                <w:highlight w:val="none"/>
              </w:rPr>
              <w:t>售后服务方案</w:t>
            </w:r>
            <w:r>
              <w:rPr>
                <w:rFonts w:hint="eastAsia" w:ascii="宋体" w:hAnsi="宋体" w:eastAsia="宋体" w:cs="宋体"/>
                <w:sz w:val="21"/>
                <w:szCs w:val="21"/>
              </w:rPr>
              <w:t>进行综合评分：</w:t>
            </w:r>
          </w:p>
          <w:p w14:paraId="3D02BE6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rightChars="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1、售后服务体系完整，服务方案条款合理，</w:t>
            </w:r>
            <w:r>
              <w:rPr>
                <w:rFonts w:hint="eastAsia" w:ascii="宋体" w:hAnsi="宋体" w:eastAsia="宋体" w:cs="宋体"/>
                <w:color w:val="000000"/>
                <w:kern w:val="0"/>
                <w:sz w:val="21"/>
                <w:szCs w:val="21"/>
              </w:rPr>
              <w:t>服务响应及时</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分；</w:t>
            </w:r>
          </w:p>
          <w:p w14:paraId="1A06396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rightChars="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2、售后服务体系较完整，服务方案条款较合理，</w:t>
            </w:r>
            <w:r>
              <w:rPr>
                <w:rFonts w:hint="eastAsia" w:ascii="宋体" w:hAnsi="宋体" w:eastAsia="宋体" w:cs="宋体"/>
                <w:color w:val="000000"/>
                <w:kern w:val="0"/>
                <w:sz w:val="21"/>
                <w:szCs w:val="21"/>
              </w:rPr>
              <w:t>服务响应</w:t>
            </w:r>
            <w:r>
              <w:rPr>
                <w:rFonts w:hint="eastAsia" w:ascii="宋体" w:hAnsi="宋体" w:eastAsia="宋体" w:cs="宋体"/>
                <w:color w:val="000000"/>
                <w:kern w:val="0"/>
                <w:sz w:val="21"/>
                <w:szCs w:val="21"/>
                <w:lang w:val="en-US" w:eastAsia="zh-CN"/>
              </w:rPr>
              <w:t>较</w:t>
            </w:r>
            <w:r>
              <w:rPr>
                <w:rFonts w:hint="eastAsia" w:ascii="宋体" w:hAnsi="宋体" w:eastAsia="宋体" w:cs="宋体"/>
                <w:color w:val="000000"/>
                <w:kern w:val="0"/>
                <w:sz w:val="21"/>
                <w:szCs w:val="21"/>
              </w:rPr>
              <w:t>及时</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p w14:paraId="46C6759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rightChars="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3、售后服务体系</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rPr>
              <w:t>，服务方案条款</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rPr>
              <w:t>，</w:t>
            </w:r>
            <w:r>
              <w:rPr>
                <w:rFonts w:hint="eastAsia" w:ascii="宋体" w:hAnsi="宋体" w:eastAsia="宋体" w:cs="宋体"/>
                <w:color w:val="000000"/>
                <w:kern w:val="0"/>
                <w:sz w:val="21"/>
                <w:szCs w:val="21"/>
              </w:rPr>
              <w:t>服务响应及时</w:t>
            </w:r>
            <w:r>
              <w:rPr>
                <w:rFonts w:hint="eastAsia" w:ascii="宋体" w:hAnsi="宋体" w:eastAsia="宋体" w:cs="宋体"/>
                <w:color w:val="000000"/>
                <w:kern w:val="0"/>
                <w:sz w:val="21"/>
                <w:szCs w:val="21"/>
                <w:lang w:val="en-US" w:eastAsia="zh-CN"/>
              </w:rPr>
              <w:t>性一般</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14:paraId="209BCFB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4、未提供不得分。</w:t>
            </w:r>
          </w:p>
        </w:tc>
        <w:tc>
          <w:tcPr>
            <w:tcW w:w="350" w:type="pct"/>
            <w:shd w:val="clear" w:color="auto" w:fill="auto"/>
            <w:vAlign w:val="center"/>
          </w:tcPr>
          <w:p w14:paraId="1912E9C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Style w:val="114"/>
                <w:rFonts w:hint="eastAsia" w:ascii="宋体" w:hAnsi="宋体" w:eastAsia="宋体" w:cs="宋体"/>
                <w:sz w:val="21"/>
                <w:szCs w:val="21"/>
                <w:lang w:val="en-US" w:eastAsia="zh-CN"/>
              </w:rPr>
            </w:pPr>
            <w:r>
              <w:rPr>
                <w:rStyle w:val="114"/>
                <w:rFonts w:hint="eastAsia" w:ascii="宋体" w:hAnsi="宋体" w:cs="宋体"/>
                <w:sz w:val="21"/>
                <w:szCs w:val="21"/>
                <w:lang w:val="en-US" w:eastAsia="zh-CN"/>
              </w:rPr>
              <w:t>9</w:t>
            </w:r>
          </w:p>
        </w:tc>
      </w:tr>
      <w:tr w14:paraId="71A1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shd w:val="clear" w:color="auto" w:fill="auto"/>
            <w:vAlign w:val="center"/>
          </w:tcPr>
          <w:p w14:paraId="78ED658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auto"/>
                <w:spacing w:val="4"/>
                <w:kern w:val="2"/>
                <w:sz w:val="21"/>
                <w:szCs w:val="21"/>
                <w:highlight w:val="none"/>
              </w:rPr>
              <w:t>应急预案</w:t>
            </w:r>
          </w:p>
        </w:tc>
        <w:tc>
          <w:tcPr>
            <w:tcW w:w="441" w:type="pct"/>
            <w:shd w:val="clear" w:color="auto" w:fill="auto"/>
            <w:vAlign w:val="center"/>
          </w:tcPr>
          <w:p w14:paraId="622AD1F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Style w:val="68"/>
                <w:rFonts w:hint="eastAsia" w:ascii="宋体" w:hAnsi="宋体" w:eastAsia="宋体" w:cs="宋体"/>
                <w:b w:val="0"/>
                <w:bCs/>
                <w:sz w:val="21"/>
                <w:szCs w:val="21"/>
              </w:rPr>
            </w:pPr>
            <w:r>
              <w:rPr>
                <w:rFonts w:hint="eastAsia" w:ascii="宋体" w:hAnsi="宋体" w:eastAsia="宋体" w:cs="宋体"/>
                <w:sz w:val="21"/>
                <w:szCs w:val="21"/>
                <w:highlight w:val="none"/>
                <w:lang w:val="en-US" w:eastAsia="zh-CN"/>
              </w:rPr>
              <w:t>主观</w:t>
            </w:r>
          </w:p>
        </w:tc>
        <w:tc>
          <w:tcPr>
            <w:tcW w:w="3702" w:type="pct"/>
            <w:shd w:val="clear" w:color="auto" w:fill="auto"/>
            <w:vAlign w:val="center"/>
          </w:tcPr>
          <w:p w14:paraId="21DC9B3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rightChars="0" w:firstLine="0"/>
              <w:jc w:val="both"/>
              <w:textAlignment w:val="auto"/>
              <w:rPr>
                <w:rFonts w:hint="eastAsia" w:ascii="宋体" w:hAnsi="宋体" w:eastAsia="宋体" w:cs="宋体"/>
                <w:sz w:val="21"/>
                <w:szCs w:val="21"/>
              </w:rPr>
            </w:pPr>
            <w:r>
              <w:rPr>
                <w:rFonts w:hint="eastAsia" w:ascii="宋体" w:hAnsi="宋体" w:eastAsia="宋体" w:cs="宋体"/>
                <w:sz w:val="21"/>
                <w:szCs w:val="21"/>
              </w:rPr>
              <w:t>根据投标人</w:t>
            </w:r>
            <w:r>
              <w:rPr>
                <w:rFonts w:hint="eastAsia" w:ascii="宋体" w:hAnsi="宋体" w:eastAsia="宋体" w:cs="宋体"/>
                <w:sz w:val="21"/>
                <w:szCs w:val="21"/>
                <w:lang w:val="en-US" w:eastAsia="zh-CN"/>
              </w:rPr>
              <w:t>提供的应急预案</w:t>
            </w:r>
            <w:r>
              <w:rPr>
                <w:rFonts w:hint="eastAsia" w:ascii="宋体" w:hAnsi="宋体" w:eastAsia="宋体" w:cs="宋体"/>
                <w:sz w:val="21"/>
                <w:szCs w:val="21"/>
              </w:rPr>
              <w:t>进行综合评分：</w:t>
            </w:r>
          </w:p>
          <w:p w14:paraId="732255C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rightChars="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1、应急反应速度快，可行性方案合理得</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分；</w:t>
            </w:r>
          </w:p>
          <w:p w14:paraId="1A8106F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rightChars="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2、应急反应速度较快，可行性方案较为合理得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14:paraId="02640FD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rightChars="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3、应急反应较慢，支撑方案不够详细得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14:paraId="02B2B1B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4、未提供不得分。</w:t>
            </w:r>
          </w:p>
        </w:tc>
        <w:tc>
          <w:tcPr>
            <w:tcW w:w="350" w:type="pct"/>
            <w:shd w:val="clear" w:color="auto" w:fill="auto"/>
            <w:vAlign w:val="center"/>
          </w:tcPr>
          <w:p w14:paraId="5CC4688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Style w:val="114"/>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9</w:t>
            </w:r>
          </w:p>
        </w:tc>
      </w:tr>
      <w:tr w14:paraId="25CE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shd w:val="clear" w:color="auto" w:fill="auto"/>
            <w:vAlign w:val="center"/>
          </w:tcPr>
          <w:p w14:paraId="566C87B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auto"/>
                <w:spacing w:val="4"/>
                <w:kern w:val="2"/>
                <w:sz w:val="21"/>
                <w:szCs w:val="21"/>
                <w:highlight w:val="none"/>
                <w:lang w:val="en-US" w:eastAsia="zh-CN"/>
              </w:rPr>
              <w:t>培训方案</w:t>
            </w:r>
          </w:p>
        </w:tc>
        <w:tc>
          <w:tcPr>
            <w:tcW w:w="441" w:type="pct"/>
            <w:shd w:val="clear" w:color="auto" w:fill="auto"/>
            <w:vAlign w:val="center"/>
          </w:tcPr>
          <w:p w14:paraId="1A6DC2A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Style w:val="68"/>
                <w:rFonts w:hint="eastAsia" w:ascii="宋体" w:hAnsi="宋体" w:eastAsia="宋体" w:cs="宋体"/>
                <w:b w:val="0"/>
                <w:bCs/>
                <w:sz w:val="21"/>
                <w:szCs w:val="21"/>
              </w:rPr>
            </w:pPr>
            <w:r>
              <w:rPr>
                <w:rFonts w:hint="eastAsia" w:ascii="宋体" w:hAnsi="宋体" w:eastAsia="宋体" w:cs="宋体"/>
                <w:sz w:val="21"/>
                <w:szCs w:val="21"/>
                <w:highlight w:val="none"/>
                <w:lang w:val="en-US" w:eastAsia="zh-CN"/>
              </w:rPr>
              <w:t>主观</w:t>
            </w:r>
          </w:p>
        </w:tc>
        <w:tc>
          <w:tcPr>
            <w:tcW w:w="3702" w:type="pct"/>
            <w:shd w:val="clear" w:color="auto" w:fill="auto"/>
            <w:vAlign w:val="center"/>
          </w:tcPr>
          <w:p w14:paraId="47DD181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rightChars="0" w:firstLine="0"/>
              <w:jc w:val="both"/>
              <w:textAlignment w:val="auto"/>
              <w:rPr>
                <w:rFonts w:hint="eastAsia" w:ascii="宋体" w:hAnsi="宋体" w:eastAsia="宋体" w:cs="宋体"/>
                <w:sz w:val="21"/>
                <w:szCs w:val="21"/>
              </w:rPr>
            </w:pPr>
            <w:r>
              <w:rPr>
                <w:rFonts w:hint="eastAsia" w:ascii="宋体" w:hAnsi="宋体" w:eastAsia="宋体" w:cs="宋体"/>
                <w:sz w:val="21"/>
                <w:szCs w:val="21"/>
              </w:rPr>
              <w:t>根据投标人</w:t>
            </w:r>
            <w:r>
              <w:rPr>
                <w:rFonts w:hint="eastAsia" w:ascii="宋体" w:hAnsi="宋体" w:eastAsia="宋体" w:cs="宋体"/>
                <w:sz w:val="21"/>
                <w:szCs w:val="21"/>
                <w:lang w:val="en-US" w:eastAsia="zh-CN"/>
              </w:rPr>
              <w:t>提供的</w:t>
            </w:r>
            <w:r>
              <w:rPr>
                <w:rFonts w:hint="eastAsia" w:ascii="宋体" w:hAnsi="宋体" w:eastAsia="宋体" w:cs="宋体"/>
                <w:bCs/>
                <w:color w:val="auto"/>
                <w:spacing w:val="4"/>
                <w:kern w:val="2"/>
                <w:sz w:val="21"/>
                <w:szCs w:val="21"/>
                <w:highlight w:val="none"/>
                <w:lang w:val="en-US" w:eastAsia="zh-CN"/>
              </w:rPr>
              <w:t>培训方案（</w:t>
            </w:r>
            <w:r>
              <w:rPr>
                <w:rFonts w:hint="eastAsia" w:ascii="宋体" w:hAnsi="宋体" w:eastAsia="宋体" w:cs="宋体"/>
                <w:kern w:val="0"/>
                <w:sz w:val="21"/>
                <w:szCs w:val="21"/>
              </w:rPr>
              <w:t>包括但不限于</w:t>
            </w:r>
            <w:r>
              <w:rPr>
                <w:rFonts w:hint="eastAsia" w:ascii="宋体" w:hAnsi="宋体" w:eastAsia="宋体" w:cs="宋体"/>
                <w:kern w:val="0"/>
                <w:sz w:val="21"/>
                <w:szCs w:val="21"/>
                <w:lang w:val="en-US" w:eastAsia="zh-CN"/>
              </w:rPr>
              <w:t>培训方式、培训时间、内容、培训师资、培训管理办法</w:t>
            </w:r>
            <w:r>
              <w:rPr>
                <w:rFonts w:hint="eastAsia" w:ascii="宋体" w:hAnsi="宋体" w:eastAsia="宋体" w:cs="宋体"/>
                <w:kern w:val="0"/>
                <w:sz w:val="21"/>
                <w:szCs w:val="21"/>
              </w:rPr>
              <w:t>等</w:t>
            </w:r>
            <w:r>
              <w:rPr>
                <w:rFonts w:hint="eastAsia" w:ascii="宋体" w:hAnsi="宋体" w:eastAsia="宋体" w:cs="宋体"/>
                <w:bCs/>
                <w:color w:val="auto"/>
                <w:spacing w:val="4"/>
                <w:kern w:val="2"/>
                <w:sz w:val="21"/>
                <w:szCs w:val="21"/>
                <w:highlight w:val="none"/>
                <w:lang w:val="en-US" w:eastAsia="zh-CN"/>
              </w:rPr>
              <w:t>）</w:t>
            </w:r>
            <w:r>
              <w:rPr>
                <w:rFonts w:hint="eastAsia" w:ascii="宋体" w:hAnsi="宋体" w:eastAsia="宋体" w:cs="宋体"/>
                <w:sz w:val="21"/>
                <w:szCs w:val="21"/>
              </w:rPr>
              <w:t>进行综合评分：</w:t>
            </w:r>
          </w:p>
          <w:p w14:paraId="49AB27F7">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1、投标</w:t>
            </w:r>
            <w:r>
              <w:rPr>
                <w:rFonts w:hint="eastAsia" w:ascii="宋体" w:hAnsi="宋体" w:eastAsia="宋体" w:cs="宋体"/>
                <w:sz w:val="21"/>
                <w:szCs w:val="21"/>
              </w:rPr>
              <w:t>人</w:t>
            </w:r>
            <w:r>
              <w:rPr>
                <w:rFonts w:hint="eastAsia" w:ascii="宋体" w:hAnsi="宋体" w:eastAsia="宋体" w:cs="宋体"/>
                <w:color w:val="000000"/>
                <w:kern w:val="0"/>
                <w:sz w:val="21"/>
                <w:szCs w:val="21"/>
              </w:rPr>
              <w:t>完全满足本项目</w:t>
            </w:r>
            <w:r>
              <w:rPr>
                <w:rFonts w:hint="eastAsia" w:ascii="宋体" w:hAnsi="宋体" w:eastAsia="宋体" w:cs="宋体"/>
                <w:color w:val="000000"/>
                <w:kern w:val="0"/>
                <w:sz w:val="21"/>
                <w:szCs w:val="21"/>
                <w:lang w:val="en-US" w:eastAsia="zh-CN"/>
              </w:rPr>
              <w:t>培训</w:t>
            </w:r>
            <w:r>
              <w:rPr>
                <w:rFonts w:hint="eastAsia" w:ascii="宋体" w:hAnsi="宋体" w:eastAsia="宋体" w:cs="宋体"/>
                <w:color w:val="000000"/>
                <w:kern w:val="0"/>
                <w:sz w:val="21"/>
                <w:szCs w:val="21"/>
              </w:rPr>
              <w:t>要求，具有完整的</w:t>
            </w:r>
            <w:r>
              <w:rPr>
                <w:rFonts w:hint="eastAsia" w:ascii="宋体" w:hAnsi="宋体" w:eastAsia="宋体" w:cs="宋体"/>
                <w:color w:val="000000"/>
                <w:kern w:val="0"/>
                <w:sz w:val="21"/>
                <w:szCs w:val="21"/>
                <w:lang w:val="en-US" w:eastAsia="zh-CN"/>
              </w:rPr>
              <w:t>培训</w:t>
            </w:r>
            <w:r>
              <w:rPr>
                <w:rFonts w:hint="eastAsia" w:ascii="宋体" w:hAnsi="宋体" w:eastAsia="宋体" w:cs="宋体"/>
                <w:color w:val="000000"/>
                <w:kern w:val="0"/>
                <w:sz w:val="21"/>
                <w:szCs w:val="21"/>
              </w:rPr>
              <w:t>方案</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措施合理可行</w:t>
            </w:r>
            <w:r>
              <w:rPr>
                <w:rFonts w:hint="eastAsia" w:ascii="宋体" w:hAnsi="宋体" w:eastAsia="宋体" w:cs="宋体"/>
                <w:color w:val="000000"/>
                <w:kern w:val="0"/>
                <w:sz w:val="21"/>
                <w:szCs w:val="21"/>
                <w:lang w:val="en-US" w:eastAsia="zh-CN"/>
              </w:rPr>
              <w:t>得8</w:t>
            </w:r>
            <w:r>
              <w:rPr>
                <w:rFonts w:hint="eastAsia" w:ascii="宋体" w:hAnsi="宋体" w:eastAsia="宋体" w:cs="宋体"/>
                <w:color w:val="000000"/>
                <w:kern w:val="0"/>
                <w:sz w:val="21"/>
                <w:szCs w:val="21"/>
              </w:rPr>
              <w:t>分；</w:t>
            </w:r>
          </w:p>
          <w:p w14:paraId="0066A68C">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color w:val="000000"/>
                <w:kern w:val="0"/>
                <w:sz w:val="21"/>
                <w:szCs w:val="21"/>
              </w:rPr>
              <w:t>投标</w:t>
            </w:r>
            <w:r>
              <w:rPr>
                <w:rFonts w:hint="eastAsia" w:ascii="宋体" w:hAnsi="宋体" w:eastAsia="宋体" w:cs="宋体"/>
                <w:sz w:val="21"/>
                <w:szCs w:val="21"/>
              </w:rPr>
              <w:t>人</w:t>
            </w:r>
            <w:r>
              <w:rPr>
                <w:rFonts w:hint="eastAsia" w:ascii="宋体" w:hAnsi="宋体" w:eastAsia="宋体" w:cs="宋体"/>
                <w:color w:val="000000"/>
                <w:kern w:val="0"/>
                <w:sz w:val="21"/>
                <w:szCs w:val="21"/>
              </w:rPr>
              <w:t>基本满足本项目</w:t>
            </w:r>
            <w:r>
              <w:rPr>
                <w:rFonts w:hint="eastAsia" w:ascii="宋体" w:hAnsi="宋体" w:eastAsia="宋体" w:cs="宋体"/>
                <w:color w:val="000000"/>
                <w:kern w:val="0"/>
                <w:sz w:val="21"/>
                <w:szCs w:val="21"/>
                <w:lang w:val="en-US" w:eastAsia="zh-CN"/>
              </w:rPr>
              <w:t>培训</w:t>
            </w:r>
            <w:r>
              <w:rPr>
                <w:rFonts w:hint="eastAsia" w:ascii="宋体" w:hAnsi="宋体" w:eastAsia="宋体" w:cs="宋体"/>
                <w:color w:val="000000"/>
                <w:kern w:val="0"/>
                <w:sz w:val="21"/>
                <w:szCs w:val="21"/>
              </w:rPr>
              <w:t>要求，具有</w:t>
            </w:r>
            <w:r>
              <w:rPr>
                <w:rFonts w:hint="eastAsia" w:ascii="宋体" w:hAnsi="宋体" w:eastAsia="宋体" w:cs="宋体"/>
                <w:color w:val="000000"/>
                <w:kern w:val="0"/>
                <w:sz w:val="21"/>
                <w:szCs w:val="21"/>
                <w:lang w:val="en-US" w:eastAsia="zh-CN"/>
              </w:rPr>
              <w:t>较为</w:t>
            </w:r>
            <w:r>
              <w:rPr>
                <w:rFonts w:hint="eastAsia" w:ascii="宋体" w:hAnsi="宋体" w:eastAsia="宋体" w:cs="宋体"/>
                <w:color w:val="000000"/>
                <w:kern w:val="0"/>
                <w:sz w:val="21"/>
                <w:szCs w:val="21"/>
              </w:rPr>
              <w:t>完整的</w:t>
            </w:r>
            <w:r>
              <w:rPr>
                <w:rFonts w:hint="eastAsia" w:ascii="宋体" w:hAnsi="宋体" w:eastAsia="宋体" w:cs="宋体"/>
                <w:color w:val="000000"/>
                <w:kern w:val="0"/>
                <w:sz w:val="21"/>
                <w:szCs w:val="21"/>
                <w:lang w:val="en-US" w:eastAsia="zh-CN"/>
              </w:rPr>
              <w:t>培训</w:t>
            </w:r>
            <w:r>
              <w:rPr>
                <w:rFonts w:hint="eastAsia" w:ascii="宋体" w:hAnsi="宋体" w:eastAsia="宋体" w:cs="宋体"/>
                <w:color w:val="000000"/>
                <w:kern w:val="0"/>
                <w:sz w:val="21"/>
                <w:szCs w:val="21"/>
              </w:rPr>
              <w:t>方案</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措施可行性程度较高</w:t>
            </w:r>
            <w:r>
              <w:rPr>
                <w:rFonts w:hint="eastAsia" w:ascii="宋体" w:hAnsi="宋体" w:eastAsia="宋体" w:cs="宋体"/>
                <w:color w:val="000000"/>
                <w:kern w:val="0"/>
                <w:sz w:val="21"/>
                <w:szCs w:val="21"/>
                <w:lang w:val="en-US" w:eastAsia="zh-CN"/>
              </w:rPr>
              <w:t>得5</w:t>
            </w:r>
            <w:r>
              <w:rPr>
                <w:rFonts w:hint="eastAsia" w:ascii="宋体" w:hAnsi="宋体" w:eastAsia="宋体" w:cs="宋体"/>
                <w:color w:val="000000"/>
                <w:kern w:val="0"/>
                <w:sz w:val="21"/>
                <w:szCs w:val="21"/>
              </w:rPr>
              <w:t>分；</w:t>
            </w:r>
          </w:p>
          <w:p w14:paraId="6A3808C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en-US" w:eastAsia="zh-CN"/>
              </w:rPr>
              <w:t>培训方案完整性一般，措施可行性一般</w:t>
            </w:r>
            <w:r>
              <w:rPr>
                <w:rFonts w:hint="eastAsia" w:ascii="宋体" w:hAnsi="宋体" w:eastAsia="宋体" w:cs="宋体"/>
                <w:color w:val="000000"/>
                <w:kern w:val="0"/>
                <w:sz w:val="21"/>
                <w:szCs w:val="21"/>
              </w:rPr>
              <w:t>得</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分；</w:t>
            </w:r>
          </w:p>
          <w:p w14:paraId="71F6FE3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bCs/>
                <w:sz w:val="21"/>
                <w:szCs w:val="21"/>
                <w:highlight w:val="none"/>
              </w:rPr>
            </w:pPr>
            <w:r>
              <w:rPr>
                <w:rFonts w:hint="eastAsia" w:ascii="宋体" w:hAnsi="宋体" w:eastAsia="宋体" w:cs="宋体"/>
                <w:color w:val="000000"/>
                <w:kern w:val="0"/>
                <w:sz w:val="21"/>
                <w:szCs w:val="21"/>
                <w:lang w:val="en-US" w:eastAsia="zh-CN"/>
              </w:rPr>
              <w:t>4、</w:t>
            </w:r>
            <w:r>
              <w:rPr>
                <w:rFonts w:hint="eastAsia" w:ascii="宋体" w:hAnsi="宋体" w:eastAsia="宋体" w:cs="宋体"/>
                <w:sz w:val="21"/>
                <w:szCs w:val="21"/>
              </w:rPr>
              <w:t>未提供不得分。</w:t>
            </w:r>
          </w:p>
        </w:tc>
        <w:tc>
          <w:tcPr>
            <w:tcW w:w="350" w:type="pct"/>
            <w:shd w:val="clear" w:color="auto" w:fill="auto"/>
            <w:vAlign w:val="center"/>
          </w:tcPr>
          <w:p w14:paraId="2934983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Style w:val="114"/>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8</w:t>
            </w:r>
          </w:p>
        </w:tc>
      </w:tr>
      <w:tr w14:paraId="4F99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49" w:type="pct"/>
            <w:gridSpan w:val="3"/>
            <w:shd w:val="clear" w:color="auto" w:fill="auto"/>
            <w:vAlign w:val="center"/>
          </w:tcPr>
          <w:p w14:paraId="1070940D">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outlineLvl w:val="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合计</w:t>
            </w:r>
          </w:p>
        </w:tc>
        <w:tc>
          <w:tcPr>
            <w:tcW w:w="350" w:type="pct"/>
            <w:shd w:val="clear" w:color="auto" w:fill="auto"/>
            <w:vAlign w:val="center"/>
          </w:tcPr>
          <w:p w14:paraId="72B7B530">
            <w:pPr>
              <w:keepNext w:val="0"/>
              <w:keepLines w:val="0"/>
              <w:widowControl/>
              <w:suppressLineNumbers w:val="0"/>
              <w:spacing w:before="0" w:beforeAutospacing="0" w:after="0" w:afterAutospacing="0" w:line="360" w:lineRule="auto"/>
              <w:ind w:left="0" w:right="0"/>
              <w:jc w:val="center"/>
              <w:textAlignment w:val="center"/>
              <w:rPr>
                <w:rStyle w:val="114"/>
                <w:rFonts w:hint="eastAsia" w:ascii="宋体" w:hAnsi="宋体" w:eastAsia="宋体" w:cs="宋体"/>
                <w:sz w:val="21"/>
                <w:szCs w:val="21"/>
                <w:lang w:val="en-US" w:eastAsia="zh-CN"/>
              </w:rPr>
            </w:pPr>
            <w:r>
              <w:rPr>
                <w:rStyle w:val="114"/>
                <w:rFonts w:hint="eastAsia" w:ascii="宋体" w:hAnsi="宋体" w:eastAsia="宋体" w:cs="宋体"/>
                <w:sz w:val="21"/>
                <w:szCs w:val="21"/>
                <w:lang w:val="en-US" w:eastAsia="zh-CN"/>
              </w:rPr>
              <w:t>90</w:t>
            </w:r>
          </w:p>
        </w:tc>
      </w:tr>
    </w:tbl>
    <w:p w14:paraId="25042B2F">
      <w:pPr>
        <w:pStyle w:val="14"/>
        <w:keepNext w:val="0"/>
        <w:keepLines w:val="0"/>
        <w:pageBreakBefore w:val="0"/>
        <w:widowControl w:val="0"/>
        <w:kinsoku/>
        <w:wordWrap/>
        <w:overflowPunct/>
        <w:topLinePunct w:val="0"/>
        <w:autoSpaceDE/>
        <w:autoSpaceDN/>
        <w:bidi w:val="0"/>
        <w:adjustRightInd/>
        <w:snapToGrid w:val="0"/>
        <w:spacing w:after="0" w:line="360" w:lineRule="auto"/>
        <w:ind w:left="0" w:leftChars="0" w:firstLine="422" w:firstLineChars="200"/>
        <w:jc w:val="both"/>
        <w:textAlignment w:val="auto"/>
        <w:outlineLvl w:val="9"/>
        <w:rPr>
          <w:rFonts w:hint="eastAsia" w:ascii="宋体" w:hAnsi="宋体" w:cs="宋体"/>
          <w:b/>
          <w:sz w:val="21"/>
          <w:szCs w:val="21"/>
          <w:lang w:val="en-US" w:eastAsia="zh-CN"/>
        </w:rPr>
      </w:pPr>
      <w:r>
        <w:rPr>
          <w:rFonts w:hint="eastAsia" w:ascii="宋体" w:hAnsi="宋体" w:cs="宋体"/>
          <w:b/>
          <w:sz w:val="21"/>
          <w:szCs w:val="21"/>
          <w:lang w:val="en-US" w:eastAsia="zh-CN"/>
        </w:rPr>
        <w:t>注：合同签订前，供应商须提供在投标（响应）文件中涉及客观分评审内容的检测报告、认证证书等资料给采购代理机构进行原件核对，无法提供或提供的资料与投标文件不符的，采购人可拒绝签订合同。采购人可以按照评审报告推荐的中标或者成交候选人名单排序，确定下一候选人为中标或者成交供应商，也可以重新开展政府采购活动。</w:t>
      </w:r>
    </w:p>
    <w:p w14:paraId="39230C0F">
      <w:pPr>
        <w:rPr>
          <w:rFonts w:hint="eastAsia"/>
          <w:lang w:val="en-US" w:eastAsia="zh-CN"/>
        </w:rPr>
      </w:pPr>
    </w:p>
    <w:p w14:paraId="1EEFF92A">
      <w:pPr>
        <w:rPr>
          <w:rFonts w:hint="eastAsia" w:ascii="宋体" w:hAnsi="宋体" w:cs="宋体"/>
          <w:b/>
          <w:sz w:val="28"/>
          <w:szCs w:val="28"/>
        </w:rPr>
      </w:pPr>
      <w:r>
        <w:rPr>
          <w:rFonts w:hint="eastAsia" w:ascii="宋体" w:hAnsi="宋体" w:cs="宋体"/>
          <w:b/>
          <w:sz w:val="28"/>
          <w:szCs w:val="28"/>
        </w:rPr>
        <w:br w:type="page"/>
      </w:r>
    </w:p>
    <w:p w14:paraId="4E422CF2">
      <w:pPr>
        <w:pStyle w:val="14"/>
        <w:keepNext w:val="0"/>
        <w:keepLines w:val="0"/>
        <w:pageBreakBefore w:val="0"/>
        <w:widowControl w:val="0"/>
        <w:kinsoku/>
        <w:wordWrap/>
        <w:overflowPunct/>
        <w:topLinePunct w:val="0"/>
        <w:autoSpaceDE/>
        <w:autoSpaceDN/>
        <w:bidi w:val="0"/>
        <w:adjustRightInd/>
        <w:snapToGrid w:val="0"/>
        <w:spacing w:after="0" w:line="360" w:lineRule="auto"/>
        <w:ind w:left="0" w:leftChars="0" w:firstLine="562" w:firstLineChars="200"/>
        <w:jc w:val="center"/>
        <w:textAlignment w:val="auto"/>
        <w:outlineLvl w:val="0"/>
        <w:rPr>
          <w:rFonts w:hint="eastAsia" w:ascii="宋体" w:hAnsi="宋体" w:cs="宋体"/>
          <w:b/>
          <w:sz w:val="28"/>
          <w:szCs w:val="28"/>
        </w:rPr>
      </w:pPr>
      <w:r>
        <w:rPr>
          <w:rFonts w:hint="eastAsia" w:ascii="宋体" w:hAnsi="宋体" w:cs="宋体"/>
          <w:b/>
          <w:sz w:val="28"/>
          <w:szCs w:val="28"/>
        </w:rPr>
        <w:t>第五章  合同主要条款</w:t>
      </w:r>
      <w:bookmarkEnd w:id="41"/>
      <w:bookmarkEnd w:id="42"/>
      <w:bookmarkEnd w:id="43"/>
    </w:p>
    <w:p w14:paraId="5437FC31">
      <w:pPr>
        <w:snapToGrid w:val="0"/>
        <w:jc w:val="center"/>
        <w:outlineLvl w:val="9"/>
        <w:rPr>
          <w:rFonts w:hint="eastAsia"/>
          <w:sz w:val="28"/>
          <w:szCs w:val="28"/>
        </w:rPr>
      </w:pPr>
      <w:bookmarkStart w:id="44" w:name="_Toc6951"/>
      <w:r>
        <w:rPr>
          <w:rFonts w:hint="eastAsia" w:ascii="宋体" w:hAnsi="宋体" w:cs="宋体"/>
          <w:b/>
          <w:sz w:val="28"/>
          <w:szCs w:val="28"/>
        </w:rPr>
        <w:t>（具体条款以甲方为主协商确定）</w:t>
      </w:r>
      <w:bookmarkEnd w:id="44"/>
    </w:p>
    <w:p w14:paraId="6FC6D267">
      <w:pPr>
        <w:spacing w:line="360" w:lineRule="auto"/>
        <w:jc w:val="center"/>
        <w:rPr>
          <w:rFonts w:ascii="宋体" w:hAnsi="宋体" w:cs="宋体"/>
          <w:w w:val="95"/>
          <w:sz w:val="22"/>
          <w:szCs w:val="22"/>
        </w:rPr>
      </w:pPr>
    </w:p>
    <w:p w14:paraId="5268BDB5">
      <w:pPr>
        <w:spacing w:line="360" w:lineRule="auto"/>
        <w:jc w:val="center"/>
        <w:rPr>
          <w:rFonts w:ascii="宋体" w:hAnsi="宋体" w:cs="宋体"/>
          <w:w w:val="95"/>
          <w:sz w:val="22"/>
          <w:szCs w:val="22"/>
        </w:rPr>
      </w:pPr>
    </w:p>
    <w:p w14:paraId="4C36AFF1">
      <w:pPr>
        <w:spacing w:line="360" w:lineRule="auto"/>
        <w:jc w:val="center"/>
        <w:rPr>
          <w:rFonts w:ascii="宋体" w:hAnsi="宋体" w:cs="宋体"/>
          <w:w w:val="95"/>
          <w:sz w:val="22"/>
          <w:szCs w:val="22"/>
        </w:rPr>
      </w:pPr>
    </w:p>
    <w:p w14:paraId="73FF1791">
      <w:pPr>
        <w:spacing w:line="360" w:lineRule="auto"/>
        <w:jc w:val="center"/>
        <w:rPr>
          <w:rFonts w:ascii="宋体" w:hAnsi="宋体" w:cs="宋体"/>
          <w:w w:val="95"/>
          <w:sz w:val="22"/>
          <w:szCs w:val="22"/>
        </w:rPr>
      </w:pPr>
    </w:p>
    <w:p w14:paraId="2DB50423">
      <w:pPr>
        <w:spacing w:line="360" w:lineRule="auto"/>
        <w:jc w:val="center"/>
        <w:rPr>
          <w:rFonts w:hint="eastAsia" w:ascii="宋体" w:hAnsi="宋体" w:cs="宋体"/>
          <w:sz w:val="44"/>
        </w:rPr>
      </w:pPr>
      <w:r>
        <w:rPr>
          <w:rFonts w:hint="eastAsia" w:ascii="宋体" w:hAnsi="宋体" w:cs="宋体"/>
          <w:sz w:val="44"/>
        </w:rPr>
        <w:t>项目合同</w:t>
      </w:r>
    </w:p>
    <w:p w14:paraId="5A58239A">
      <w:pPr>
        <w:spacing w:line="276" w:lineRule="auto"/>
        <w:jc w:val="center"/>
        <w:rPr>
          <w:rFonts w:hint="eastAsia" w:ascii="宋体" w:hAnsi="宋体" w:cs="宋体"/>
          <w:sz w:val="30"/>
          <w:szCs w:val="30"/>
        </w:rPr>
      </w:pPr>
    </w:p>
    <w:p w14:paraId="1AA3CF1C">
      <w:pPr>
        <w:spacing w:line="700" w:lineRule="exact"/>
        <w:ind w:firstLine="1026" w:firstLineChars="342"/>
        <w:rPr>
          <w:rFonts w:hint="eastAsia" w:ascii="宋体" w:hAnsi="宋体" w:cs="宋体"/>
          <w:sz w:val="30"/>
          <w:szCs w:val="30"/>
        </w:rPr>
      </w:pPr>
      <w:r>
        <w:rPr>
          <w:rFonts w:hint="eastAsia" w:ascii="宋体" w:hAnsi="宋体" w:cs="宋体"/>
          <w:sz w:val="30"/>
          <w:szCs w:val="30"/>
        </w:rPr>
        <w:t>项目名称：</w:t>
      </w:r>
      <w:r>
        <w:rPr>
          <w:rFonts w:hint="eastAsia" w:ascii="宋体" w:hAnsi="宋体" w:cs="宋体"/>
          <w:sz w:val="30"/>
          <w:szCs w:val="30"/>
          <w:u w:val="single"/>
        </w:rPr>
        <w:t xml:space="preserve">                                        </w:t>
      </w:r>
    </w:p>
    <w:p w14:paraId="1AC8664F">
      <w:pPr>
        <w:spacing w:line="500" w:lineRule="exact"/>
        <w:ind w:firstLine="354" w:firstLineChars="118"/>
        <w:rPr>
          <w:rFonts w:hint="eastAsia" w:ascii="宋体" w:hAnsi="宋体" w:cs="宋体"/>
          <w:sz w:val="30"/>
          <w:szCs w:val="30"/>
        </w:rPr>
      </w:pPr>
    </w:p>
    <w:p w14:paraId="0BFA31D9">
      <w:pPr>
        <w:spacing w:line="700" w:lineRule="exact"/>
        <w:ind w:firstLine="1026" w:firstLineChars="342"/>
        <w:rPr>
          <w:rFonts w:hint="eastAsia" w:ascii="宋体" w:hAnsi="宋体" w:cs="宋体"/>
          <w:sz w:val="30"/>
          <w:szCs w:val="30"/>
          <w:u w:val="single"/>
        </w:rPr>
      </w:pPr>
      <w:r>
        <w:rPr>
          <w:rFonts w:hint="eastAsia" w:ascii="宋体" w:hAnsi="宋体" w:cs="宋体"/>
          <w:sz w:val="30"/>
          <w:szCs w:val="30"/>
        </w:rPr>
        <w:t>项目编号：</w:t>
      </w:r>
      <w:r>
        <w:rPr>
          <w:rFonts w:hint="eastAsia" w:ascii="宋体" w:hAnsi="宋体" w:cs="宋体"/>
          <w:sz w:val="30"/>
          <w:szCs w:val="30"/>
          <w:u w:val="single"/>
        </w:rPr>
        <w:t xml:space="preserve">                                        </w:t>
      </w:r>
    </w:p>
    <w:p w14:paraId="49F5D6A2">
      <w:pPr>
        <w:spacing w:line="500" w:lineRule="exact"/>
        <w:rPr>
          <w:rFonts w:hint="eastAsia" w:ascii="宋体" w:hAnsi="宋体" w:cs="宋体"/>
          <w:sz w:val="28"/>
          <w:szCs w:val="28"/>
        </w:rPr>
      </w:pPr>
    </w:p>
    <w:p w14:paraId="1BEFB82D">
      <w:pPr>
        <w:spacing w:line="700" w:lineRule="exact"/>
        <w:rPr>
          <w:rFonts w:hint="eastAsia" w:ascii="宋体" w:hAnsi="宋体" w:cs="宋体"/>
          <w:sz w:val="30"/>
          <w:szCs w:val="30"/>
        </w:rPr>
      </w:pPr>
    </w:p>
    <w:p w14:paraId="1544345A">
      <w:pPr>
        <w:spacing w:line="700" w:lineRule="exact"/>
        <w:rPr>
          <w:rFonts w:hint="eastAsia" w:ascii="宋体" w:hAnsi="宋体" w:cs="宋体"/>
          <w:sz w:val="30"/>
          <w:szCs w:val="30"/>
        </w:rPr>
      </w:pPr>
    </w:p>
    <w:p w14:paraId="080979BE">
      <w:pPr>
        <w:spacing w:line="700" w:lineRule="exact"/>
        <w:rPr>
          <w:rFonts w:hint="eastAsia" w:ascii="宋体" w:hAnsi="宋体" w:cs="宋体"/>
          <w:sz w:val="30"/>
          <w:szCs w:val="30"/>
        </w:rPr>
      </w:pPr>
    </w:p>
    <w:p w14:paraId="758C6732">
      <w:pPr>
        <w:spacing w:line="700" w:lineRule="exact"/>
        <w:rPr>
          <w:rFonts w:hint="eastAsia" w:ascii="宋体" w:hAnsi="宋体" w:cs="宋体"/>
          <w:sz w:val="30"/>
          <w:szCs w:val="30"/>
        </w:rPr>
      </w:pPr>
    </w:p>
    <w:p w14:paraId="0AFEDF3F">
      <w:pPr>
        <w:spacing w:line="700" w:lineRule="exact"/>
        <w:ind w:firstLine="1026" w:firstLineChars="342"/>
        <w:rPr>
          <w:rFonts w:hint="eastAsia" w:ascii="宋体" w:hAnsi="宋体" w:cs="宋体"/>
          <w:sz w:val="30"/>
          <w:szCs w:val="30"/>
        </w:rPr>
      </w:pPr>
      <w:r>
        <w:rPr>
          <w:rFonts w:hint="eastAsia" w:ascii="宋体" w:hAnsi="宋体" w:cs="宋体"/>
          <w:sz w:val="30"/>
          <w:szCs w:val="30"/>
        </w:rPr>
        <w:t>采购人（甲方）：</w:t>
      </w:r>
      <w:r>
        <w:rPr>
          <w:rFonts w:hint="eastAsia" w:ascii="宋体" w:hAnsi="宋体" w:cs="宋体"/>
          <w:sz w:val="36"/>
          <w:szCs w:val="36"/>
          <w:u w:val="single"/>
        </w:rPr>
        <w:t xml:space="preserve">                              </w:t>
      </w:r>
    </w:p>
    <w:p w14:paraId="7F333113">
      <w:pPr>
        <w:spacing w:line="700" w:lineRule="exact"/>
        <w:ind w:firstLine="1026" w:firstLineChars="342"/>
        <w:rPr>
          <w:rFonts w:hint="eastAsia" w:ascii="宋体" w:hAnsi="宋体" w:cs="宋体"/>
          <w:sz w:val="30"/>
          <w:szCs w:val="30"/>
        </w:rPr>
      </w:pPr>
      <w:r>
        <w:rPr>
          <w:rFonts w:hint="eastAsia" w:ascii="宋体" w:hAnsi="宋体" w:cs="宋体"/>
          <w:sz w:val="30"/>
          <w:szCs w:val="30"/>
        </w:rPr>
        <w:t>中标人（乙方）：</w:t>
      </w:r>
      <w:r>
        <w:rPr>
          <w:rFonts w:hint="eastAsia" w:ascii="宋体" w:hAnsi="宋体" w:cs="宋体"/>
          <w:sz w:val="36"/>
          <w:szCs w:val="36"/>
          <w:u w:val="single"/>
        </w:rPr>
        <w:t xml:space="preserve">                              </w:t>
      </w:r>
    </w:p>
    <w:p w14:paraId="2279492F">
      <w:pPr>
        <w:spacing w:line="700" w:lineRule="exact"/>
        <w:ind w:firstLine="1026" w:firstLineChars="342"/>
        <w:rPr>
          <w:rFonts w:hint="eastAsia" w:ascii="宋体" w:hAnsi="宋体" w:cs="宋体"/>
          <w:sz w:val="30"/>
          <w:szCs w:val="30"/>
        </w:rPr>
      </w:pPr>
      <w:r>
        <w:rPr>
          <w:rFonts w:hint="eastAsia" w:ascii="宋体" w:hAnsi="宋体" w:cs="宋体"/>
          <w:sz w:val="30"/>
          <w:szCs w:val="30"/>
        </w:rPr>
        <w:t>合同签订日：</w:t>
      </w:r>
      <w:r>
        <w:rPr>
          <w:rFonts w:hint="eastAsia" w:ascii="宋体" w:hAnsi="宋体" w:cs="宋体"/>
          <w:sz w:val="30"/>
          <w:szCs w:val="30"/>
          <w:u w:val="single"/>
        </w:rPr>
        <w:t>20</w:t>
      </w:r>
      <w:r>
        <w:rPr>
          <w:rFonts w:ascii="宋体" w:hAnsi="宋体" w:cs="宋体"/>
          <w:sz w:val="30"/>
          <w:szCs w:val="30"/>
          <w:u w:val="single"/>
        </w:rPr>
        <w:t xml:space="preserve">  </w:t>
      </w:r>
      <w:r>
        <w:rPr>
          <w:rFonts w:hint="eastAsia" w:ascii="宋体" w:hAnsi="宋体" w:cs="宋体"/>
          <w:sz w:val="30"/>
          <w:szCs w:val="30"/>
          <w:u w:val="single"/>
        </w:rPr>
        <w:t xml:space="preserve">年   月   日    </w:t>
      </w:r>
      <w:r>
        <w:rPr>
          <w:rFonts w:hint="eastAsia" w:ascii="宋体" w:hAnsi="宋体" w:cs="宋体"/>
          <w:sz w:val="30"/>
          <w:szCs w:val="30"/>
          <w:u w:val="single"/>
          <w:lang w:val="en-US" w:eastAsia="zh-CN"/>
        </w:rPr>
        <w:t xml:space="preserve"> </w:t>
      </w:r>
      <w:r>
        <w:rPr>
          <w:rFonts w:hint="eastAsia" w:ascii="宋体" w:hAnsi="宋体" w:cs="宋体"/>
          <w:sz w:val="30"/>
          <w:szCs w:val="30"/>
          <w:u w:val="single"/>
        </w:rPr>
        <w:t xml:space="preserve">           </w:t>
      </w:r>
      <w:r>
        <w:rPr>
          <w:rFonts w:hint="eastAsia" w:ascii="宋体" w:hAnsi="宋体" w:cs="宋体"/>
          <w:sz w:val="30"/>
          <w:szCs w:val="30"/>
          <w:u w:val="single"/>
          <w:lang w:val="en-US" w:eastAsia="zh-CN"/>
        </w:rPr>
        <w:t xml:space="preserve"> </w:t>
      </w:r>
      <w:r>
        <w:rPr>
          <w:rFonts w:hint="eastAsia" w:ascii="宋体" w:hAnsi="宋体" w:cs="宋体"/>
          <w:sz w:val="30"/>
          <w:szCs w:val="30"/>
          <w:u w:val="single"/>
        </w:rPr>
        <w:t xml:space="preserve">       </w:t>
      </w:r>
    </w:p>
    <w:p w14:paraId="67FF7A0F">
      <w:pPr>
        <w:spacing w:line="700" w:lineRule="exact"/>
        <w:ind w:right="63" w:rightChars="30" w:firstLine="1026" w:firstLineChars="342"/>
        <w:rPr>
          <w:rFonts w:hint="eastAsia" w:ascii="宋体" w:hAnsi="宋体" w:cs="宋体"/>
          <w:sz w:val="30"/>
          <w:szCs w:val="30"/>
        </w:rPr>
      </w:pPr>
      <w:r>
        <w:rPr>
          <w:rFonts w:hint="eastAsia" w:ascii="宋体" w:hAnsi="宋体" w:cs="宋体"/>
          <w:sz w:val="30"/>
          <w:szCs w:val="30"/>
        </w:rPr>
        <w:t>合同签订地点：</w:t>
      </w:r>
      <w:r>
        <w:rPr>
          <w:rFonts w:hint="eastAsia" w:ascii="宋体" w:hAnsi="宋体" w:cs="宋体"/>
          <w:sz w:val="30"/>
          <w:szCs w:val="30"/>
          <w:u w:val="single"/>
        </w:rPr>
        <w:t>舟山市</w:t>
      </w:r>
      <w:r>
        <w:rPr>
          <w:rFonts w:hint="eastAsia" w:ascii="宋体" w:hAnsi="宋体" w:cs="宋体"/>
          <w:sz w:val="30"/>
          <w:szCs w:val="30"/>
          <w:u w:val="single"/>
          <w:lang w:val="en-US" w:eastAsia="zh-CN"/>
        </w:rPr>
        <w:t>岱山县</w:t>
      </w:r>
      <w:r>
        <w:rPr>
          <w:rFonts w:hint="eastAsia" w:ascii="宋体" w:hAnsi="宋体" w:cs="宋体"/>
          <w:sz w:val="36"/>
          <w:szCs w:val="36"/>
          <w:u w:val="single"/>
        </w:rPr>
        <w:t xml:space="preserve">   </w:t>
      </w:r>
      <w:r>
        <w:rPr>
          <w:rFonts w:hint="eastAsia" w:ascii="宋体" w:hAnsi="宋体" w:cs="宋体"/>
          <w:sz w:val="36"/>
          <w:szCs w:val="36"/>
          <w:u w:val="single"/>
          <w:lang w:val="en-US" w:eastAsia="zh-CN"/>
        </w:rPr>
        <w:t xml:space="preserve">    </w:t>
      </w:r>
      <w:r>
        <w:rPr>
          <w:rFonts w:hint="eastAsia" w:ascii="宋体" w:hAnsi="宋体" w:cs="宋体"/>
          <w:sz w:val="36"/>
          <w:szCs w:val="36"/>
          <w:u w:val="single"/>
        </w:rPr>
        <w:t xml:space="preserve">             </w:t>
      </w:r>
      <w:r>
        <w:rPr>
          <w:rFonts w:hint="eastAsia" w:ascii="宋体" w:hAnsi="宋体" w:cs="宋体"/>
          <w:sz w:val="36"/>
          <w:szCs w:val="36"/>
          <w:u w:val="single"/>
          <w:lang w:val="en-US" w:eastAsia="zh-CN"/>
        </w:rPr>
        <w:t xml:space="preserve"> </w:t>
      </w:r>
      <w:r>
        <w:rPr>
          <w:rFonts w:hint="eastAsia" w:ascii="宋体" w:hAnsi="宋体" w:cs="宋体"/>
          <w:sz w:val="36"/>
          <w:szCs w:val="36"/>
          <w:u w:val="single"/>
        </w:rPr>
        <w:t xml:space="preserve"> </w:t>
      </w:r>
    </w:p>
    <w:p w14:paraId="3DAEEE15">
      <w:pPr>
        <w:spacing w:line="360" w:lineRule="auto"/>
        <w:ind w:firstLine="436" w:firstLineChars="200"/>
        <w:rPr>
          <w:rFonts w:hint="eastAsia" w:ascii="宋体" w:hAnsi="宋体" w:cs="宋体"/>
          <w:spacing w:val="4"/>
          <w:szCs w:val="21"/>
        </w:rPr>
      </w:pPr>
      <w:r>
        <w:rPr>
          <w:rFonts w:hint="eastAsia" w:ascii="宋体" w:hAnsi="宋体" w:cs="宋体"/>
          <w:spacing w:val="4"/>
          <w:szCs w:val="21"/>
        </w:rPr>
        <w:br w:type="page"/>
      </w:r>
      <w:r>
        <w:rPr>
          <w:rFonts w:hint="eastAsia" w:ascii="宋体" w:hAnsi="宋体" w:cs="宋体"/>
          <w:spacing w:val="4"/>
          <w:szCs w:val="21"/>
        </w:rPr>
        <w:t>甲方对</w:t>
      </w:r>
      <w:r>
        <w:rPr>
          <w:rFonts w:hint="eastAsia" w:ascii="宋体" w:hAnsi="宋体" w:cs="宋体"/>
          <w:szCs w:val="21"/>
          <w:u w:val="single"/>
        </w:rPr>
        <w:t xml:space="preserve">                                                </w:t>
      </w:r>
      <w:r>
        <w:rPr>
          <w:rFonts w:hint="eastAsia" w:ascii="宋体" w:hAnsi="宋体" w:cs="宋体"/>
          <w:spacing w:val="4"/>
          <w:szCs w:val="21"/>
        </w:rPr>
        <w:t>进行公开招标。经评审小组评定并最终审核通过，确定乙方为本项采购项目的中标人。甲乙双方根据《中华人民共和国政府采购法》、《中华人民共和国民法典》等相关法律法规及本项目招标文件的规定，双方经平等协商达成一致意见，订立本合同。</w:t>
      </w:r>
    </w:p>
    <w:p w14:paraId="0DF51702">
      <w:pPr>
        <w:spacing w:line="360" w:lineRule="auto"/>
        <w:outlineLvl w:val="1"/>
        <w:rPr>
          <w:rFonts w:hint="eastAsia" w:ascii="宋体" w:hAnsi="宋体" w:eastAsia="宋体" w:cs="宋体"/>
          <w:b/>
          <w:sz w:val="21"/>
          <w:szCs w:val="21"/>
        </w:rPr>
      </w:pPr>
      <w:r>
        <w:rPr>
          <w:rFonts w:hint="eastAsia" w:ascii="宋体" w:hAnsi="宋体" w:eastAsia="宋体" w:cs="宋体"/>
          <w:b/>
          <w:sz w:val="21"/>
          <w:szCs w:val="21"/>
        </w:rPr>
        <w:t>一、合同文件</w:t>
      </w:r>
    </w:p>
    <w:p w14:paraId="6AC6AD7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下列文件构成本合同的组成部分：</w:t>
      </w:r>
    </w:p>
    <w:p w14:paraId="3CA5284A">
      <w:pPr>
        <w:adjustRightIn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1、招标文件</w:t>
      </w:r>
    </w:p>
    <w:p w14:paraId="1F962C6D">
      <w:pPr>
        <w:adjustRightIn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2、中标文件</w:t>
      </w:r>
    </w:p>
    <w:p w14:paraId="71C6B53E">
      <w:pPr>
        <w:adjustRightIn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3、相关补充文件</w:t>
      </w:r>
    </w:p>
    <w:p w14:paraId="21DC945F">
      <w:pPr>
        <w:adjustRightInd w:val="0"/>
        <w:spacing w:line="360" w:lineRule="auto"/>
        <w:textAlignment w:val="baseline"/>
        <w:outlineLvl w:val="1"/>
        <w:rPr>
          <w:rFonts w:hint="eastAsia" w:ascii="宋体" w:hAnsi="宋体" w:eastAsia="宋体" w:cs="宋体"/>
          <w:sz w:val="21"/>
          <w:szCs w:val="21"/>
        </w:rPr>
      </w:pPr>
      <w:r>
        <w:rPr>
          <w:rFonts w:hint="eastAsia" w:ascii="宋体" w:hAnsi="宋体" w:eastAsia="宋体" w:cs="宋体"/>
          <w:b/>
          <w:sz w:val="21"/>
          <w:szCs w:val="21"/>
        </w:rPr>
        <w:t>二、合同范围和条件</w:t>
      </w:r>
    </w:p>
    <w:p w14:paraId="01C93F4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本合同的范围和条件与上述规定的合同文件内容一致。</w:t>
      </w:r>
    </w:p>
    <w:p w14:paraId="3A16661C">
      <w:pPr>
        <w:spacing w:line="360" w:lineRule="auto"/>
        <w:outlineLvl w:val="1"/>
        <w:rPr>
          <w:rFonts w:hint="eastAsia" w:ascii="宋体" w:hAnsi="宋体" w:eastAsia="宋体" w:cs="宋体"/>
          <w:b/>
          <w:sz w:val="21"/>
          <w:szCs w:val="21"/>
        </w:rPr>
      </w:pPr>
      <w:r>
        <w:rPr>
          <w:rFonts w:hint="eastAsia" w:ascii="宋体" w:hAnsi="宋体" w:eastAsia="宋体" w:cs="宋体"/>
          <w:b/>
          <w:kern w:val="2"/>
          <w:sz w:val="21"/>
          <w:szCs w:val="21"/>
          <w:lang w:val="en-US" w:eastAsia="zh-CN" w:bidi="ar-SA"/>
        </w:rPr>
        <w:t>三、</w:t>
      </w:r>
      <w:r>
        <w:rPr>
          <w:rFonts w:hint="eastAsia" w:ascii="宋体" w:hAnsi="宋体" w:eastAsia="宋体" w:cs="宋体"/>
          <w:b/>
          <w:sz w:val="21"/>
          <w:szCs w:val="21"/>
        </w:rPr>
        <w:t>合同金额</w:t>
      </w:r>
    </w:p>
    <w:p w14:paraId="6E0C5A85">
      <w:pPr>
        <w:spacing w:line="360" w:lineRule="auto"/>
        <w:ind w:firstLine="436" w:firstLineChars="200"/>
        <w:rPr>
          <w:rFonts w:hint="eastAsia" w:ascii="宋体" w:hAnsi="宋体" w:eastAsia="宋体" w:cs="宋体"/>
          <w:b/>
          <w:sz w:val="21"/>
          <w:szCs w:val="21"/>
          <w:highlight w:val="none"/>
        </w:rPr>
      </w:pPr>
      <w:r>
        <w:rPr>
          <w:rFonts w:hint="eastAsia" w:ascii="宋体" w:hAnsi="宋体" w:eastAsia="宋体" w:cs="宋体"/>
          <w:spacing w:val="4"/>
          <w:sz w:val="21"/>
          <w:szCs w:val="21"/>
          <w:highlight w:val="none"/>
        </w:rPr>
        <w:t>本项目的</w:t>
      </w:r>
      <w:r>
        <w:rPr>
          <w:rFonts w:hint="eastAsia" w:ascii="宋体" w:hAnsi="宋体" w:eastAsia="宋体" w:cs="宋体"/>
          <w:sz w:val="21"/>
          <w:szCs w:val="21"/>
          <w:highlight w:val="none"/>
        </w:rPr>
        <w:t>合同总价为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元人民币。 </w:t>
      </w:r>
    </w:p>
    <w:p w14:paraId="0723CDA4">
      <w:pPr>
        <w:spacing w:line="360" w:lineRule="auto"/>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四</w:t>
      </w:r>
      <w:r>
        <w:rPr>
          <w:rFonts w:hint="eastAsia" w:ascii="宋体" w:hAnsi="宋体" w:eastAsia="宋体" w:cs="宋体"/>
          <w:b/>
          <w:sz w:val="21"/>
          <w:szCs w:val="21"/>
          <w:highlight w:val="none"/>
        </w:rPr>
        <w:t>、付款方式</w:t>
      </w:r>
    </w:p>
    <w:p w14:paraId="168B6E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合同签订后7个工作日内，</w:t>
      </w:r>
      <w:r>
        <w:rPr>
          <w:rFonts w:hint="eastAsia" w:ascii="宋体" w:hAnsi="宋体" w:cs="宋体"/>
          <w:kern w:val="0"/>
          <w:sz w:val="21"/>
          <w:szCs w:val="21"/>
          <w:highlight w:val="none"/>
          <w:lang w:val="en-US" w:eastAsia="zh-CN" w:bidi="ar-SA"/>
        </w:rPr>
        <w:t>甲方</w:t>
      </w:r>
      <w:r>
        <w:rPr>
          <w:rFonts w:hint="eastAsia" w:ascii="宋体" w:hAnsi="宋体" w:eastAsia="宋体" w:cs="宋体"/>
          <w:kern w:val="0"/>
          <w:sz w:val="21"/>
          <w:szCs w:val="21"/>
          <w:highlight w:val="none"/>
          <w:lang w:val="en-US" w:eastAsia="zh-CN" w:bidi="ar-SA"/>
        </w:rPr>
        <w:t>支付</w:t>
      </w:r>
      <w:r>
        <w:rPr>
          <w:rFonts w:hint="eastAsia" w:ascii="宋体" w:hAnsi="宋体" w:cs="宋体"/>
          <w:kern w:val="0"/>
          <w:sz w:val="21"/>
          <w:szCs w:val="21"/>
          <w:highlight w:val="none"/>
          <w:lang w:val="en-US" w:eastAsia="zh-CN" w:bidi="ar-SA"/>
        </w:rPr>
        <w:t>合同总额的30%</w:t>
      </w:r>
      <w:r>
        <w:rPr>
          <w:rFonts w:hint="eastAsia" w:ascii="宋体" w:hAnsi="宋体" w:eastAsia="宋体" w:cs="宋体"/>
          <w:kern w:val="0"/>
          <w:sz w:val="21"/>
          <w:szCs w:val="21"/>
          <w:highlight w:val="none"/>
          <w:lang w:val="en-US" w:eastAsia="zh-CN" w:bidi="ar-SA"/>
        </w:rPr>
        <w:t>作为预付款，剩余金额分2026-2027年2次平均支付。</w:t>
      </w:r>
    </w:p>
    <w:p w14:paraId="388130BB">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1"/>
        <w:rPr>
          <w:rFonts w:hint="default" w:ascii="宋体" w:hAnsi="宋体" w:eastAsia="宋体" w:cs="宋体"/>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注：采购人最后一次付款前，中标人需已完成改造工作并通过验收，否则不予支付</w:t>
      </w:r>
      <w:r>
        <w:rPr>
          <w:rFonts w:hint="eastAsia" w:ascii="宋体" w:hAnsi="宋体" w:eastAsia="宋体" w:cs="宋体"/>
          <w:kern w:val="0"/>
          <w:sz w:val="21"/>
          <w:szCs w:val="21"/>
          <w:highlight w:val="none"/>
          <w:lang w:val="en-US" w:eastAsia="zh-CN" w:bidi="ar-SA"/>
        </w:rPr>
        <w:t>。</w:t>
      </w:r>
    </w:p>
    <w:p w14:paraId="3D53B1F3">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五、项目验收及工期要求</w:t>
      </w:r>
    </w:p>
    <w:p w14:paraId="002A0269">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1、项目工期：</w:t>
      </w:r>
      <w:r>
        <w:rPr>
          <w:rFonts w:hint="eastAsia" w:ascii="宋体" w:hAnsi="宋体" w:eastAsia="宋体" w:cs="宋体"/>
          <w:b w:val="0"/>
          <w:bCs w:val="0"/>
          <w:sz w:val="21"/>
          <w:szCs w:val="21"/>
          <w:highlight w:val="none"/>
          <w:lang w:val="en-US" w:eastAsia="zh-CN"/>
        </w:rPr>
        <w:t>合同签订后3个月内完成</w:t>
      </w:r>
      <w:r>
        <w:rPr>
          <w:rFonts w:hint="eastAsia" w:cs="宋体"/>
          <w:b w:val="0"/>
          <w:bCs w:val="0"/>
          <w:sz w:val="21"/>
          <w:szCs w:val="21"/>
          <w:highlight w:val="none"/>
          <w:lang w:val="en-US" w:eastAsia="zh-CN"/>
        </w:rPr>
        <w:t>各个平台的改造并</w:t>
      </w:r>
      <w:r>
        <w:rPr>
          <w:rFonts w:hint="eastAsia" w:ascii="宋体" w:hAnsi="宋体" w:eastAsia="宋体" w:cs="宋体"/>
          <w:b w:val="0"/>
          <w:bCs w:val="0"/>
          <w:sz w:val="21"/>
          <w:szCs w:val="21"/>
          <w:highlight w:val="none"/>
          <w:lang w:val="en-US" w:eastAsia="zh-CN"/>
        </w:rPr>
        <w:t>初验</w:t>
      </w:r>
      <w:r>
        <w:rPr>
          <w:rFonts w:hint="eastAsia" w:cs="宋体"/>
          <w:b w:val="0"/>
          <w:bCs w:val="0"/>
          <w:sz w:val="21"/>
          <w:szCs w:val="21"/>
          <w:highlight w:val="none"/>
          <w:lang w:val="en-US" w:eastAsia="zh-CN"/>
        </w:rPr>
        <w:t>，初验通过后</w:t>
      </w:r>
      <w:r>
        <w:rPr>
          <w:rFonts w:hint="eastAsia" w:ascii="宋体" w:hAnsi="宋体" w:eastAsia="宋体" w:cs="宋体"/>
          <w:color w:val="000000"/>
          <w:sz w:val="21"/>
          <w:szCs w:val="21"/>
          <w:highlight w:val="none"/>
        </w:rPr>
        <w:t>进入试运行</w:t>
      </w:r>
      <w:r>
        <w:rPr>
          <w:rFonts w:hint="eastAsia" w:ascii="宋体" w:hAnsi="宋体" w:eastAsia="宋体" w:cs="宋体"/>
          <w:b w:val="0"/>
          <w:bCs w:val="0"/>
          <w:sz w:val="21"/>
          <w:szCs w:val="21"/>
          <w:highlight w:val="none"/>
          <w:lang w:val="en-US" w:eastAsia="zh-CN"/>
        </w:rPr>
        <w:t>，试运行3个月后</w:t>
      </w:r>
      <w:r>
        <w:rPr>
          <w:rFonts w:hint="eastAsia" w:cs="宋体"/>
          <w:b w:val="0"/>
          <w:bCs w:val="0"/>
          <w:sz w:val="21"/>
          <w:szCs w:val="21"/>
          <w:highlight w:val="none"/>
          <w:lang w:val="en-US" w:eastAsia="zh-CN"/>
        </w:rPr>
        <w:t>无任何问题，</w:t>
      </w:r>
      <w:r>
        <w:rPr>
          <w:rFonts w:hint="eastAsia" w:ascii="宋体" w:hAnsi="宋体" w:eastAsia="宋体" w:cs="宋体"/>
          <w:b w:val="0"/>
          <w:bCs w:val="0"/>
          <w:sz w:val="21"/>
          <w:szCs w:val="21"/>
          <w:highlight w:val="none"/>
          <w:lang w:val="en-US" w:eastAsia="zh-CN"/>
        </w:rPr>
        <w:t>进行终验。</w:t>
      </w:r>
    </w:p>
    <w:p w14:paraId="1C6EB438">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2、项目验收要求</w:t>
      </w:r>
    </w:p>
    <w:p w14:paraId="44D50E80">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2"/>
          <w:sz w:val="21"/>
          <w:szCs w:val="21"/>
          <w:lang w:val="en-US" w:eastAsia="zh-CN" w:bidi="ar-SA"/>
        </w:rPr>
        <w:t>1）</w:t>
      </w:r>
      <w:r>
        <w:rPr>
          <w:rFonts w:hint="eastAsia" w:ascii="宋体" w:hAnsi="宋体" w:eastAsia="宋体" w:cs="宋体"/>
          <w:b w:val="0"/>
          <w:bCs w:val="0"/>
          <w:sz w:val="21"/>
          <w:szCs w:val="21"/>
          <w:lang w:val="en-US" w:eastAsia="zh-CN"/>
        </w:rPr>
        <w:t>初验</w:t>
      </w:r>
    </w:p>
    <w:p w14:paraId="7C6B5F40">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合同签订后3个月内完成信创适配改造、系统功能优化、平台迁移等工作，采购相应的国产操作系统、中间件和数据库，对各个系统做好代码审计以及渗透测试，并通过项目初验。</w:t>
      </w:r>
    </w:p>
    <w:p w14:paraId="176FA464">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试运行</w:t>
      </w:r>
    </w:p>
    <w:p w14:paraId="6BB34655">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初验合格后，系统进入试运行，试</w:t>
      </w:r>
      <w:r>
        <w:rPr>
          <w:rFonts w:hint="eastAsia" w:ascii="宋体" w:hAnsi="宋体" w:eastAsia="宋体" w:cs="宋体"/>
          <w:color w:val="000000"/>
          <w:sz w:val="21"/>
          <w:szCs w:val="21"/>
          <w:highlight w:val="none"/>
        </w:rPr>
        <w:t>运行时间为</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个月。</w:t>
      </w:r>
    </w:p>
    <w:p w14:paraId="7DCC81ED">
      <w:pPr>
        <w:pStyle w:val="5"/>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终验</w:t>
      </w:r>
    </w:p>
    <w:p w14:paraId="492D7FE5">
      <w:pPr>
        <w:spacing w:line="360" w:lineRule="auto"/>
        <w:ind w:firstLine="420" w:firstLineChars="200"/>
        <w:rPr>
          <w:rFonts w:hint="eastAsia" w:ascii="宋体" w:hAnsi="宋体" w:eastAsia="宋体" w:cs="宋体"/>
          <w:sz w:val="21"/>
          <w:szCs w:val="21"/>
        </w:rPr>
      </w:pPr>
      <w:r>
        <w:rPr>
          <w:rFonts w:hint="eastAsia" w:ascii="宋体" w:hAnsi="宋体" w:eastAsia="宋体" w:cs="宋体"/>
          <w:b w:val="0"/>
          <w:bCs w:val="0"/>
          <w:sz w:val="21"/>
          <w:szCs w:val="21"/>
          <w:highlight w:val="none"/>
          <w:lang w:val="en-US" w:eastAsia="zh-CN"/>
        </w:rPr>
        <w:t>完成网络安全等级定级、备案等工作，并出具安全测评报告后，</w:t>
      </w:r>
      <w:r>
        <w:rPr>
          <w:rFonts w:hint="eastAsia" w:ascii="宋体" w:hAnsi="宋体" w:eastAsia="宋体" w:cs="宋体"/>
          <w:sz w:val="21"/>
          <w:szCs w:val="21"/>
          <w:lang w:eastAsia="zh-CN"/>
        </w:rPr>
        <w:t>乙方</w:t>
      </w:r>
      <w:r>
        <w:rPr>
          <w:rFonts w:hint="eastAsia" w:ascii="宋体" w:hAnsi="宋体" w:eastAsia="宋体" w:cs="宋体"/>
          <w:sz w:val="21"/>
          <w:szCs w:val="21"/>
        </w:rPr>
        <w:t>向</w:t>
      </w:r>
      <w:r>
        <w:rPr>
          <w:rFonts w:hint="eastAsia" w:ascii="宋体" w:hAnsi="宋体" w:eastAsia="宋体" w:cs="宋体"/>
          <w:sz w:val="21"/>
          <w:szCs w:val="21"/>
          <w:lang w:eastAsia="zh-CN"/>
        </w:rPr>
        <w:t>甲方</w:t>
      </w:r>
      <w:r>
        <w:rPr>
          <w:rFonts w:hint="eastAsia" w:ascii="宋体" w:hAnsi="宋体" w:eastAsia="宋体" w:cs="宋体"/>
          <w:sz w:val="21"/>
          <w:szCs w:val="21"/>
        </w:rPr>
        <w:t>提出终验申请，</w:t>
      </w:r>
      <w:r>
        <w:rPr>
          <w:rFonts w:hint="eastAsia" w:ascii="宋体" w:hAnsi="宋体" w:eastAsia="宋体" w:cs="宋体"/>
          <w:sz w:val="21"/>
          <w:szCs w:val="21"/>
          <w:lang w:eastAsia="zh-CN"/>
        </w:rPr>
        <w:t>甲方</w:t>
      </w:r>
      <w:r>
        <w:rPr>
          <w:rFonts w:hint="eastAsia" w:ascii="宋体" w:hAnsi="宋体" w:eastAsia="宋体" w:cs="宋体"/>
          <w:sz w:val="21"/>
          <w:szCs w:val="21"/>
        </w:rPr>
        <w:t>组织相关单位进行项目的终验。项目终验通过，进入正式运行阶段。</w:t>
      </w:r>
    </w:p>
    <w:p w14:paraId="1F367508">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2"/>
          <w:sz w:val="21"/>
          <w:szCs w:val="21"/>
          <w:lang w:val="en-US" w:eastAsia="zh-CN" w:bidi="ar-SA"/>
        </w:rPr>
        <w:t>4）</w:t>
      </w:r>
      <w:r>
        <w:rPr>
          <w:rFonts w:hint="eastAsia" w:ascii="宋体" w:hAnsi="宋体" w:eastAsia="宋体" w:cs="宋体"/>
          <w:b w:val="0"/>
          <w:bCs w:val="0"/>
          <w:sz w:val="21"/>
          <w:szCs w:val="21"/>
          <w:lang w:val="en-US" w:eastAsia="zh-CN"/>
        </w:rPr>
        <w:t>其他</w:t>
      </w:r>
    </w:p>
    <w:p w14:paraId="0DD0BD57">
      <w:pPr>
        <w:spacing w:line="360" w:lineRule="auto"/>
        <w:ind w:firstLine="420" w:firstLineChars="200"/>
        <w:rPr>
          <w:rFonts w:hint="eastAsia" w:ascii="宋体" w:hAnsi="宋体" w:eastAsia="宋体" w:cs="宋体"/>
          <w:b/>
          <w:bCs/>
          <w:color w:val="000000"/>
          <w:sz w:val="21"/>
          <w:szCs w:val="21"/>
        </w:rPr>
      </w:pPr>
      <w:r>
        <w:rPr>
          <w:rFonts w:hint="eastAsia" w:ascii="宋体" w:hAnsi="宋体" w:eastAsia="宋体" w:cs="宋体"/>
          <w:kern w:val="0"/>
          <w:sz w:val="21"/>
          <w:szCs w:val="21"/>
        </w:rPr>
        <w:t>对</w:t>
      </w:r>
      <w:r>
        <w:rPr>
          <w:rFonts w:hint="eastAsia" w:ascii="宋体" w:hAnsi="宋体" w:eastAsia="宋体" w:cs="宋体"/>
          <w:kern w:val="0"/>
          <w:sz w:val="21"/>
          <w:szCs w:val="21"/>
          <w:lang w:eastAsia="zh-CN"/>
        </w:rPr>
        <w:t>甲方</w:t>
      </w:r>
      <w:r>
        <w:rPr>
          <w:rFonts w:hint="eastAsia" w:ascii="宋体" w:hAnsi="宋体" w:eastAsia="宋体" w:cs="宋体"/>
          <w:kern w:val="0"/>
          <w:sz w:val="21"/>
          <w:szCs w:val="21"/>
        </w:rPr>
        <w:t>的验收工作，</w:t>
      </w:r>
      <w:r>
        <w:rPr>
          <w:rFonts w:hint="eastAsia" w:ascii="宋体" w:hAnsi="宋体" w:eastAsia="宋体" w:cs="宋体"/>
          <w:color w:val="000000"/>
          <w:sz w:val="21"/>
          <w:szCs w:val="21"/>
          <w:lang w:eastAsia="zh-CN"/>
        </w:rPr>
        <w:t>乙方</w:t>
      </w:r>
      <w:r>
        <w:rPr>
          <w:rFonts w:hint="eastAsia" w:ascii="宋体" w:hAnsi="宋体" w:eastAsia="宋体" w:cs="宋体"/>
          <w:kern w:val="0"/>
          <w:sz w:val="21"/>
          <w:szCs w:val="21"/>
        </w:rPr>
        <w:t>须按</w:t>
      </w:r>
      <w:r>
        <w:rPr>
          <w:rFonts w:hint="eastAsia" w:ascii="宋体" w:hAnsi="宋体" w:eastAsia="宋体" w:cs="宋体"/>
          <w:kern w:val="0"/>
          <w:sz w:val="21"/>
          <w:szCs w:val="21"/>
          <w:lang w:eastAsia="zh-CN"/>
        </w:rPr>
        <w:t>甲方</w:t>
      </w:r>
      <w:r>
        <w:rPr>
          <w:rFonts w:hint="eastAsia" w:ascii="宋体" w:hAnsi="宋体" w:eastAsia="宋体" w:cs="宋体"/>
          <w:kern w:val="0"/>
          <w:sz w:val="21"/>
          <w:szCs w:val="21"/>
        </w:rPr>
        <w:t>要求进行配合工作并提供相应的验收资料（项目如需第三方检测，需经过</w:t>
      </w:r>
      <w:r>
        <w:rPr>
          <w:rFonts w:hint="eastAsia" w:ascii="宋体" w:hAnsi="宋体" w:eastAsia="宋体" w:cs="宋体"/>
          <w:kern w:val="0"/>
          <w:sz w:val="21"/>
          <w:szCs w:val="21"/>
          <w:lang w:eastAsia="zh-CN"/>
        </w:rPr>
        <w:t>甲方</w:t>
      </w:r>
      <w:r>
        <w:rPr>
          <w:rFonts w:hint="eastAsia" w:ascii="宋体" w:hAnsi="宋体" w:eastAsia="宋体" w:cs="宋体"/>
          <w:kern w:val="0"/>
          <w:sz w:val="21"/>
          <w:szCs w:val="21"/>
        </w:rPr>
        <w:t>认可的第三方检测机构检测，费用由</w:t>
      </w:r>
      <w:r>
        <w:rPr>
          <w:rFonts w:hint="eastAsia" w:ascii="宋体" w:hAnsi="宋体" w:eastAsia="宋体" w:cs="宋体"/>
          <w:color w:val="000000"/>
          <w:sz w:val="21"/>
          <w:szCs w:val="21"/>
          <w:lang w:eastAsia="zh-CN"/>
        </w:rPr>
        <w:t>乙方</w:t>
      </w:r>
      <w:r>
        <w:rPr>
          <w:rFonts w:hint="eastAsia" w:ascii="宋体" w:hAnsi="宋体" w:eastAsia="宋体" w:cs="宋体"/>
          <w:kern w:val="0"/>
          <w:sz w:val="21"/>
          <w:szCs w:val="21"/>
        </w:rPr>
        <w:t>承担），其他验收未尽事宜根据《舟山市政府采购履约验收管理暂行办法》的通知执行。</w:t>
      </w:r>
    </w:p>
    <w:p w14:paraId="309A74A4">
      <w:pPr>
        <w:keepNext w:val="0"/>
        <w:keepLines w:val="0"/>
        <w:pageBreakBefore w:val="0"/>
        <w:widowControl w:val="0"/>
        <w:kinsoku/>
        <w:wordWrap/>
        <w:overflowPunct/>
        <w:topLinePunct w:val="0"/>
        <w:autoSpaceDE/>
        <w:autoSpaceDN/>
        <w:bidi w:val="0"/>
        <w:snapToGrid/>
        <w:spacing w:line="360" w:lineRule="auto"/>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w:t>
      </w:r>
      <w:r>
        <w:rPr>
          <w:rFonts w:hint="eastAsia" w:ascii="宋体" w:hAnsi="宋体" w:eastAsia="宋体" w:cs="宋体"/>
          <w:b/>
          <w:sz w:val="21"/>
          <w:szCs w:val="21"/>
        </w:rPr>
        <w:t>项目建设情况及价格</w:t>
      </w:r>
    </w:p>
    <w:tbl>
      <w:tblPr>
        <w:tblStyle w:val="33"/>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1369"/>
        <w:gridCol w:w="1254"/>
        <w:gridCol w:w="1209"/>
        <w:gridCol w:w="1225"/>
        <w:gridCol w:w="1110"/>
        <w:gridCol w:w="1439"/>
        <w:gridCol w:w="1680"/>
      </w:tblGrid>
      <w:tr w14:paraId="262F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4" w:type="pct"/>
            <w:vAlign w:val="center"/>
          </w:tcPr>
          <w:p w14:paraId="4CBC8E3A">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Style w:val="69"/>
                <w:rFonts w:hint="eastAsia" w:ascii="宋体" w:hAnsi="宋体" w:eastAsia="宋体" w:cs="宋体"/>
                <w:b/>
                <w:bCs/>
                <w:sz w:val="21"/>
                <w:szCs w:val="21"/>
              </w:rPr>
              <w:t>序号</w:t>
            </w:r>
          </w:p>
        </w:tc>
        <w:tc>
          <w:tcPr>
            <w:tcW w:w="704" w:type="pct"/>
            <w:vAlign w:val="center"/>
          </w:tcPr>
          <w:p w14:paraId="271485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Style w:val="69"/>
                <w:rFonts w:hint="eastAsia" w:ascii="宋体" w:hAnsi="宋体" w:eastAsia="宋体" w:cs="宋体"/>
                <w:b/>
                <w:bCs/>
                <w:sz w:val="21"/>
                <w:szCs w:val="21"/>
              </w:rPr>
            </w:pPr>
            <w:r>
              <w:rPr>
                <w:rFonts w:hint="eastAsia" w:ascii="宋体" w:hAnsi="宋体" w:eastAsia="宋体" w:cs="宋体"/>
                <w:b/>
                <w:bCs/>
                <w:sz w:val="21"/>
                <w:szCs w:val="21"/>
                <w:lang w:val="en-US" w:eastAsia="zh-CN"/>
              </w:rPr>
              <w:t>小类</w:t>
            </w:r>
          </w:p>
        </w:tc>
        <w:tc>
          <w:tcPr>
            <w:tcW w:w="645" w:type="pct"/>
            <w:vAlign w:val="center"/>
          </w:tcPr>
          <w:p w14:paraId="026EDD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Style w:val="69"/>
                <w:rFonts w:hint="eastAsia" w:ascii="宋体" w:hAnsi="宋体" w:eastAsia="宋体" w:cs="宋体"/>
                <w:b/>
                <w:bCs/>
                <w:sz w:val="21"/>
                <w:szCs w:val="21"/>
              </w:rPr>
            </w:pPr>
            <w:r>
              <w:rPr>
                <w:rFonts w:hint="eastAsia" w:ascii="宋体" w:hAnsi="宋体" w:eastAsia="宋体" w:cs="宋体"/>
                <w:b/>
                <w:bCs/>
                <w:sz w:val="21"/>
                <w:szCs w:val="21"/>
                <w:lang w:val="en-US" w:eastAsia="zh-CN"/>
              </w:rPr>
              <w:t>改造模块</w:t>
            </w:r>
          </w:p>
        </w:tc>
        <w:tc>
          <w:tcPr>
            <w:tcW w:w="622" w:type="pct"/>
            <w:vAlign w:val="center"/>
          </w:tcPr>
          <w:p w14:paraId="76D65A49">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Style w:val="69"/>
                <w:rFonts w:hint="eastAsia" w:ascii="宋体" w:hAnsi="宋体" w:eastAsia="宋体" w:cs="宋体"/>
                <w:b/>
                <w:bCs/>
                <w:sz w:val="21"/>
                <w:szCs w:val="21"/>
              </w:rPr>
              <w:t>开发者/品牌型号</w:t>
            </w:r>
          </w:p>
        </w:tc>
        <w:tc>
          <w:tcPr>
            <w:tcW w:w="630" w:type="pct"/>
            <w:vAlign w:val="center"/>
          </w:tcPr>
          <w:p w14:paraId="118686F4">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Style w:val="69"/>
                <w:rFonts w:hint="eastAsia" w:ascii="宋体" w:hAnsi="宋体" w:eastAsia="宋体" w:cs="宋体"/>
                <w:b/>
                <w:bCs/>
                <w:sz w:val="21"/>
                <w:szCs w:val="21"/>
              </w:rPr>
              <w:t>生产厂家及其他</w:t>
            </w:r>
          </w:p>
        </w:tc>
        <w:tc>
          <w:tcPr>
            <w:tcW w:w="571" w:type="pct"/>
            <w:vAlign w:val="center"/>
          </w:tcPr>
          <w:p w14:paraId="46054F8D">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Style w:val="69"/>
                <w:rFonts w:hint="eastAsia" w:ascii="宋体" w:hAnsi="宋体" w:eastAsia="宋体" w:cs="宋体"/>
                <w:b/>
                <w:bCs/>
                <w:sz w:val="21"/>
                <w:szCs w:val="21"/>
              </w:rPr>
              <w:t>数量/单位</w:t>
            </w:r>
          </w:p>
        </w:tc>
        <w:tc>
          <w:tcPr>
            <w:tcW w:w="740" w:type="pct"/>
            <w:vAlign w:val="center"/>
          </w:tcPr>
          <w:p w14:paraId="3E056765">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Fonts w:hint="eastAsia" w:ascii="宋体" w:hAnsi="宋体" w:eastAsia="宋体" w:cs="宋体"/>
                <w:b/>
                <w:sz w:val="21"/>
                <w:szCs w:val="21"/>
              </w:rPr>
              <w:t>单价（元）</w:t>
            </w:r>
          </w:p>
        </w:tc>
        <w:tc>
          <w:tcPr>
            <w:tcW w:w="861" w:type="pct"/>
            <w:vAlign w:val="center"/>
          </w:tcPr>
          <w:p w14:paraId="028F4C66">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总价（元）</w:t>
            </w:r>
          </w:p>
        </w:tc>
      </w:tr>
      <w:tr w14:paraId="57A2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4" w:type="pct"/>
            <w:vAlign w:val="center"/>
          </w:tcPr>
          <w:p w14:paraId="16A208C9">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04" w:type="pct"/>
            <w:vAlign w:val="center"/>
          </w:tcPr>
          <w:p w14:paraId="6966BEC3">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45" w:type="pct"/>
            <w:vAlign w:val="center"/>
          </w:tcPr>
          <w:p w14:paraId="4133E9E3">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22" w:type="pct"/>
            <w:vAlign w:val="center"/>
          </w:tcPr>
          <w:p w14:paraId="40089B3A">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30" w:type="pct"/>
            <w:vAlign w:val="center"/>
          </w:tcPr>
          <w:p w14:paraId="46788040">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571" w:type="pct"/>
            <w:vAlign w:val="center"/>
          </w:tcPr>
          <w:p w14:paraId="5E9EF5A5">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40" w:type="pct"/>
            <w:vAlign w:val="center"/>
          </w:tcPr>
          <w:p w14:paraId="4D3731DB">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861" w:type="pct"/>
            <w:vAlign w:val="center"/>
          </w:tcPr>
          <w:p w14:paraId="515B2F5A">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r>
      <w:tr w14:paraId="22A3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4" w:type="pct"/>
            <w:vAlign w:val="center"/>
          </w:tcPr>
          <w:p w14:paraId="678AC72B">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04" w:type="pct"/>
            <w:vAlign w:val="center"/>
          </w:tcPr>
          <w:p w14:paraId="4CA3DCD1">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45" w:type="pct"/>
            <w:vAlign w:val="center"/>
          </w:tcPr>
          <w:p w14:paraId="7C4614BB">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22" w:type="pct"/>
            <w:vAlign w:val="center"/>
          </w:tcPr>
          <w:p w14:paraId="5C3D90F2">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30" w:type="pct"/>
            <w:vAlign w:val="center"/>
          </w:tcPr>
          <w:p w14:paraId="56E2E1E4">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571" w:type="pct"/>
            <w:vAlign w:val="center"/>
          </w:tcPr>
          <w:p w14:paraId="0DA0B22E">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40" w:type="pct"/>
            <w:vAlign w:val="center"/>
          </w:tcPr>
          <w:p w14:paraId="3E2F959D">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861" w:type="pct"/>
            <w:vAlign w:val="center"/>
          </w:tcPr>
          <w:p w14:paraId="4B3B3486">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r>
      <w:tr w14:paraId="3DDF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4" w:type="pct"/>
            <w:vAlign w:val="center"/>
          </w:tcPr>
          <w:p w14:paraId="0B713DAB">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04" w:type="pct"/>
            <w:vAlign w:val="center"/>
          </w:tcPr>
          <w:p w14:paraId="2AFA4AB1">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45" w:type="pct"/>
            <w:vAlign w:val="center"/>
          </w:tcPr>
          <w:p w14:paraId="751EAE41">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22" w:type="pct"/>
            <w:vAlign w:val="center"/>
          </w:tcPr>
          <w:p w14:paraId="363440A4">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30" w:type="pct"/>
            <w:vAlign w:val="center"/>
          </w:tcPr>
          <w:p w14:paraId="4E9A636C">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571" w:type="pct"/>
            <w:vAlign w:val="center"/>
          </w:tcPr>
          <w:p w14:paraId="0D5CE82E">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40" w:type="pct"/>
            <w:vAlign w:val="center"/>
          </w:tcPr>
          <w:p w14:paraId="59C92614">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861" w:type="pct"/>
            <w:vAlign w:val="center"/>
          </w:tcPr>
          <w:p w14:paraId="475DB97E">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r>
      <w:tr w14:paraId="0611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8"/>
            <w:vAlign w:val="center"/>
          </w:tcPr>
          <w:p w14:paraId="46C5D64B">
            <w:pPr>
              <w:keepNext w:val="0"/>
              <w:keepLines w:val="0"/>
              <w:suppressLineNumbers w:val="0"/>
              <w:spacing w:before="0" w:beforeAutospacing="0" w:after="0" w:afterAutospacing="0" w:line="360" w:lineRule="auto"/>
              <w:ind w:left="0" w:right="0"/>
              <w:jc w:val="left"/>
              <w:rPr>
                <w:rStyle w:val="69"/>
                <w:rFonts w:hint="eastAsia" w:ascii="宋体" w:hAnsi="宋体" w:eastAsia="宋体" w:cs="宋体"/>
                <w:b/>
                <w:bCs/>
                <w:sz w:val="21"/>
                <w:szCs w:val="21"/>
              </w:rPr>
            </w:pPr>
            <w:r>
              <w:rPr>
                <w:rStyle w:val="69"/>
                <w:rFonts w:hint="eastAsia" w:ascii="宋体" w:hAnsi="宋体" w:eastAsia="宋体" w:cs="宋体"/>
                <w:b/>
                <w:bCs/>
                <w:sz w:val="21"/>
                <w:szCs w:val="21"/>
              </w:rPr>
              <w:t>合计：</w:t>
            </w:r>
          </w:p>
        </w:tc>
      </w:tr>
      <w:tr w14:paraId="1450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8"/>
            <w:vAlign w:val="center"/>
          </w:tcPr>
          <w:p w14:paraId="0BB0BB65">
            <w:pPr>
              <w:keepNext w:val="0"/>
              <w:keepLines w:val="0"/>
              <w:suppressLineNumbers w:val="0"/>
              <w:spacing w:before="0" w:beforeAutospacing="0" w:after="0" w:afterAutospacing="0" w:line="360" w:lineRule="auto"/>
              <w:ind w:left="0" w:right="0"/>
              <w:jc w:val="left"/>
              <w:rPr>
                <w:rStyle w:val="69"/>
                <w:rFonts w:hint="eastAsia" w:ascii="宋体" w:hAnsi="宋体" w:eastAsia="宋体" w:cs="宋体"/>
                <w:b/>
                <w:bCs/>
                <w:sz w:val="21"/>
                <w:szCs w:val="21"/>
              </w:rPr>
            </w:pPr>
            <w:r>
              <w:rPr>
                <w:rStyle w:val="69"/>
                <w:rFonts w:hint="eastAsia" w:ascii="宋体" w:hAnsi="宋体" w:eastAsia="宋体" w:cs="宋体"/>
                <w:b/>
                <w:bCs/>
                <w:sz w:val="21"/>
                <w:szCs w:val="21"/>
              </w:rPr>
              <w:t>大写：</w:t>
            </w:r>
          </w:p>
        </w:tc>
      </w:tr>
    </w:tbl>
    <w:p w14:paraId="11240D36">
      <w:pPr>
        <w:keepNext w:val="0"/>
        <w:keepLines w:val="0"/>
        <w:pageBreakBefore w:val="0"/>
        <w:widowControl w:val="0"/>
        <w:kinsoku/>
        <w:wordWrap/>
        <w:overflowPunct/>
        <w:topLinePunct w:val="0"/>
        <w:autoSpaceDE/>
        <w:autoSpaceDN/>
        <w:bidi w:val="0"/>
        <w:snapToGrid/>
        <w:spacing w:line="360" w:lineRule="auto"/>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七、</w:t>
      </w:r>
      <w:r>
        <w:rPr>
          <w:rFonts w:hint="eastAsia" w:ascii="宋体" w:hAnsi="宋体" w:eastAsia="宋体" w:cs="宋体"/>
          <w:b/>
          <w:bCs/>
          <w:sz w:val="21"/>
          <w:szCs w:val="21"/>
        </w:rPr>
        <w:t>团队及其他要求</w:t>
      </w:r>
    </w:p>
    <w:tbl>
      <w:tblPr>
        <w:tblStyle w:val="3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2763"/>
        <w:gridCol w:w="2525"/>
        <w:gridCol w:w="2525"/>
      </w:tblGrid>
      <w:tr w14:paraId="5481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88" w:type="pct"/>
            <w:vAlign w:val="center"/>
          </w:tcPr>
          <w:p w14:paraId="310BA41E">
            <w:pPr>
              <w:keepNext w:val="0"/>
              <w:keepLines w:val="0"/>
              <w:suppressLineNumbers w:val="0"/>
              <w:spacing w:before="0" w:beforeAutospacing="0" w:after="0" w:afterAutospacing="0" w:line="360" w:lineRule="auto"/>
              <w:ind w:left="0" w:right="0"/>
              <w:jc w:val="center"/>
              <w:rPr>
                <w:rFonts w:hint="eastAsia" w:ascii="宋体" w:hAnsi="宋体" w:eastAsia="宋体" w:cs="宋体"/>
                <w:b/>
                <w:bCs/>
                <w:spacing w:val="4"/>
                <w:sz w:val="21"/>
                <w:szCs w:val="21"/>
              </w:rPr>
            </w:pPr>
            <w:r>
              <w:rPr>
                <w:rFonts w:hint="eastAsia" w:ascii="宋体" w:hAnsi="宋体" w:eastAsia="宋体" w:cs="宋体"/>
                <w:b/>
                <w:bCs/>
                <w:spacing w:val="4"/>
                <w:sz w:val="21"/>
                <w:szCs w:val="21"/>
              </w:rPr>
              <w:t>序号</w:t>
            </w:r>
          </w:p>
        </w:tc>
        <w:tc>
          <w:tcPr>
            <w:tcW w:w="1418" w:type="pct"/>
            <w:vAlign w:val="center"/>
          </w:tcPr>
          <w:p w14:paraId="1D4B3EB0">
            <w:pPr>
              <w:keepNext w:val="0"/>
              <w:keepLines w:val="0"/>
              <w:suppressLineNumbers w:val="0"/>
              <w:spacing w:before="0" w:beforeAutospacing="0" w:after="0" w:afterAutospacing="0" w:line="360" w:lineRule="auto"/>
              <w:ind w:left="0" w:right="0"/>
              <w:jc w:val="center"/>
              <w:rPr>
                <w:rFonts w:hint="eastAsia" w:ascii="宋体" w:hAnsi="宋体" w:eastAsia="宋体" w:cs="宋体"/>
                <w:b/>
                <w:bCs/>
                <w:spacing w:val="4"/>
                <w:sz w:val="21"/>
                <w:szCs w:val="21"/>
              </w:rPr>
            </w:pPr>
            <w:r>
              <w:rPr>
                <w:rFonts w:hint="eastAsia" w:ascii="宋体" w:hAnsi="宋体" w:eastAsia="宋体" w:cs="宋体"/>
                <w:b/>
                <w:bCs/>
                <w:spacing w:val="4"/>
                <w:sz w:val="21"/>
                <w:szCs w:val="21"/>
              </w:rPr>
              <w:t>姓名</w:t>
            </w:r>
          </w:p>
        </w:tc>
        <w:tc>
          <w:tcPr>
            <w:tcW w:w="1296" w:type="pct"/>
            <w:vAlign w:val="center"/>
          </w:tcPr>
          <w:p w14:paraId="7C757A92">
            <w:pPr>
              <w:keepNext w:val="0"/>
              <w:keepLines w:val="0"/>
              <w:suppressLineNumbers w:val="0"/>
              <w:spacing w:before="0" w:beforeAutospacing="0" w:after="0" w:afterAutospacing="0" w:line="360" w:lineRule="auto"/>
              <w:ind w:left="0" w:right="0"/>
              <w:jc w:val="center"/>
              <w:rPr>
                <w:rFonts w:hint="eastAsia" w:ascii="宋体" w:hAnsi="宋体" w:eastAsia="宋体" w:cs="宋体"/>
                <w:b/>
                <w:bCs/>
                <w:spacing w:val="4"/>
                <w:sz w:val="21"/>
                <w:szCs w:val="21"/>
              </w:rPr>
            </w:pPr>
            <w:r>
              <w:rPr>
                <w:rFonts w:hint="eastAsia" w:ascii="宋体" w:hAnsi="宋体" w:eastAsia="宋体" w:cs="宋体"/>
                <w:b/>
                <w:bCs/>
                <w:spacing w:val="4"/>
                <w:sz w:val="21"/>
                <w:szCs w:val="21"/>
              </w:rPr>
              <w:t>职责</w:t>
            </w:r>
          </w:p>
        </w:tc>
        <w:tc>
          <w:tcPr>
            <w:tcW w:w="1296" w:type="pct"/>
            <w:vAlign w:val="center"/>
          </w:tcPr>
          <w:p w14:paraId="7E7556FE">
            <w:pPr>
              <w:keepNext w:val="0"/>
              <w:keepLines w:val="0"/>
              <w:suppressLineNumbers w:val="0"/>
              <w:spacing w:before="0" w:beforeAutospacing="0" w:after="0" w:afterAutospacing="0" w:line="360" w:lineRule="auto"/>
              <w:ind w:left="0" w:right="0"/>
              <w:jc w:val="center"/>
              <w:rPr>
                <w:rFonts w:hint="eastAsia" w:ascii="宋体" w:hAnsi="宋体" w:eastAsia="宋体" w:cs="宋体"/>
                <w:b/>
                <w:bCs/>
                <w:spacing w:val="4"/>
                <w:sz w:val="21"/>
                <w:szCs w:val="21"/>
              </w:rPr>
            </w:pPr>
            <w:r>
              <w:rPr>
                <w:rFonts w:hint="eastAsia" w:ascii="宋体" w:hAnsi="宋体" w:eastAsia="宋体" w:cs="宋体"/>
                <w:b/>
                <w:bCs/>
                <w:spacing w:val="4"/>
                <w:sz w:val="21"/>
                <w:szCs w:val="21"/>
              </w:rPr>
              <w:t>联系方式</w:t>
            </w:r>
          </w:p>
        </w:tc>
      </w:tr>
      <w:tr w14:paraId="086C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Align w:val="center"/>
          </w:tcPr>
          <w:p w14:paraId="2AD11CA4">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r>
              <w:rPr>
                <w:rFonts w:hint="eastAsia" w:ascii="宋体" w:hAnsi="宋体" w:eastAsia="宋体" w:cs="宋体"/>
                <w:spacing w:val="4"/>
                <w:sz w:val="21"/>
                <w:szCs w:val="21"/>
              </w:rPr>
              <w:t>1</w:t>
            </w:r>
          </w:p>
        </w:tc>
        <w:tc>
          <w:tcPr>
            <w:tcW w:w="1418" w:type="pct"/>
            <w:vAlign w:val="center"/>
          </w:tcPr>
          <w:p w14:paraId="7FCF6BFE">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p>
        </w:tc>
        <w:tc>
          <w:tcPr>
            <w:tcW w:w="1296" w:type="pct"/>
            <w:vAlign w:val="center"/>
          </w:tcPr>
          <w:p w14:paraId="101874F9">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r>
              <w:rPr>
                <w:rFonts w:hint="eastAsia" w:ascii="宋体" w:hAnsi="宋体" w:eastAsia="宋体" w:cs="宋体"/>
                <w:spacing w:val="4"/>
                <w:sz w:val="21"/>
                <w:szCs w:val="21"/>
              </w:rPr>
              <w:t>项目负责人</w:t>
            </w:r>
          </w:p>
        </w:tc>
        <w:tc>
          <w:tcPr>
            <w:tcW w:w="1296" w:type="pct"/>
            <w:vAlign w:val="center"/>
          </w:tcPr>
          <w:p w14:paraId="62479034">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p>
        </w:tc>
      </w:tr>
      <w:tr w14:paraId="2EE5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Align w:val="center"/>
          </w:tcPr>
          <w:p w14:paraId="7BF3E534">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r>
              <w:rPr>
                <w:rFonts w:hint="eastAsia" w:ascii="宋体" w:hAnsi="宋体" w:eastAsia="宋体" w:cs="宋体"/>
                <w:spacing w:val="4"/>
                <w:sz w:val="21"/>
                <w:szCs w:val="21"/>
              </w:rPr>
              <w:t>2</w:t>
            </w:r>
          </w:p>
        </w:tc>
        <w:tc>
          <w:tcPr>
            <w:tcW w:w="1418" w:type="pct"/>
            <w:vAlign w:val="center"/>
          </w:tcPr>
          <w:p w14:paraId="4370682D">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p>
        </w:tc>
        <w:tc>
          <w:tcPr>
            <w:tcW w:w="1296" w:type="pct"/>
            <w:vAlign w:val="center"/>
          </w:tcPr>
          <w:p w14:paraId="261AA20D">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r>
              <w:rPr>
                <w:rFonts w:hint="eastAsia" w:ascii="宋体" w:hAnsi="宋体" w:eastAsia="宋体" w:cs="宋体"/>
                <w:spacing w:val="4"/>
                <w:sz w:val="21"/>
                <w:szCs w:val="21"/>
              </w:rPr>
              <w:t>技术负责人</w:t>
            </w:r>
          </w:p>
        </w:tc>
        <w:tc>
          <w:tcPr>
            <w:tcW w:w="1296" w:type="pct"/>
            <w:vAlign w:val="center"/>
          </w:tcPr>
          <w:p w14:paraId="2BA4032A">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p>
        </w:tc>
      </w:tr>
      <w:tr w14:paraId="276B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Align w:val="center"/>
          </w:tcPr>
          <w:p w14:paraId="14ECE984">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r>
              <w:rPr>
                <w:rFonts w:hint="eastAsia" w:ascii="宋体" w:hAnsi="宋体" w:eastAsia="宋体" w:cs="宋体"/>
                <w:spacing w:val="4"/>
                <w:sz w:val="21"/>
                <w:szCs w:val="21"/>
              </w:rPr>
              <w:t>3</w:t>
            </w:r>
          </w:p>
        </w:tc>
        <w:tc>
          <w:tcPr>
            <w:tcW w:w="1418" w:type="pct"/>
            <w:vAlign w:val="center"/>
          </w:tcPr>
          <w:p w14:paraId="4023BE98">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p>
        </w:tc>
        <w:tc>
          <w:tcPr>
            <w:tcW w:w="1296" w:type="pct"/>
            <w:vAlign w:val="center"/>
          </w:tcPr>
          <w:p w14:paraId="2749FA33">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r>
              <w:rPr>
                <w:rFonts w:hint="eastAsia" w:ascii="宋体" w:hAnsi="宋体" w:eastAsia="宋体" w:cs="宋体"/>
                <w:spacing w:val="4"/>
                <w:sz w:val="21"/>
                <w:szCs w:val="21"/>
              </w:rPr>
              <w:t>实施人员</w:t>
            </w:r>
          </w:p>
        </w:tc>
        <w:tc>
          <w:tcPr>
            <w:tcW w:w="1296" w:type="pct"/>
            <w:vAlign w:val="center"/>
          </w:tcPr>
          <w:p w14:paraId="30D731F9">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p>
        </w:tc>
      </w:tr>
      <w:tr w14:paraId="1E9A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Align w:val="center"/>
          </w:tcPr>
          <w:p w14:paraId="2ADD0CA8">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r>
              <w:rPr>
                <w:rFonts w:hint="eastAsia" w:ascii="宋体" w:hAnsi="宋体" w:eastAsia="宋体" w:cs="宋体"/>
                <w:spacing w:val="4"/>
                <w:sz w:val="21"/>
                <w:szCs w:val="21"/>
              </w:rPr>
              <w:t>...</w:t>
            </w:r>
          </w:p>
        </w:tc>
        <w:tc>
          <w:tcPr>
            <w:tcW w:w="1418" w:type="pct"/>
            <w:vAlign w:val="center"/>
          </w:tcPr>
          <w:p w14:paraId="78DB31C3">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p>
        </w:tc>
        <w:tc>
          <w:tcPr>
            <w:tcW w:w="1296" w:type="pct"/>
            <w:vAlign w:val="center"/>
          </w:tcPr>
          <w:p w14:paraId="09E8D745">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r>
              <w:rPr>
                <w:rFonts w:hint="eastAsia" w:ascii="宋体" w:hAnsi="宋体" w:eastAsia="宋体" w:cs="宋体"/>
                <w:spacing w:val="4"/>
                <w:sz w:val="21"/>
                <w:szCs w:val="21"/>
              </w:rPr>
              <w:t>...</w:t>
            </w:r>
          </w:p>
        </w:tc>
        <w:tc>
          <w:tcPr>
            <w:tcW w:w="1296" w:type="pct"/>
            <w:vAlign w:val="center"/>
          </w:tcPr>
          <w:p w14:paraId="260E0CA9">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p>
        </w:tc>
      </w:tr>
    </w:tbl>
    <w:p w14:paraId="7D33C4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1、乙方中标后需要在5个工作日内根据投标文件拟派团队成立工作团队，明确一名项目负责人，本项目的项</w:t>
      </w:r>
      <w:r>
        <w:rPr>
          <w:rFonts w:hint="eastAsia" w:ascii="宋体" w:hAnsi="宋体" w:eastAsia="宋体" w:cs="宋体"/>
          <w:b w:val="0"/>
          <w:bCs w:val="0"/>
          <w:sz w:val="21"/>
          <w:szCs w:val="21"/>
          <w:lang w:eastAsia="zh-CN"/>
        </w:rPr>
        <w:t>目负责人在项目验收前不得更换，如更换需向甲方提出书面申请并经其同意方可更换，否则将承担违约责任；本项目的项目组成员在实施</w:t>
      </w:r>
      <w:r>
        <w:rPr>
          <w:rFonts w:hint="eastAsia" w:ascii="宋体" w:hAnsi="宋体" w:eastAsia="宋体" w:cs="宋体"/>
          <w:b w:val="0"/>
          <w:bCs w:val="0"/>
          <w:sz w:val="21"/>
          <w:szCs w:val="21"/>
          <w:lang w:val="en-US" w:eastAsia="zh-CN"/>
        </w:rPr>
        <w:t>前</w:t>
      </w:r>
      <w:r>
        <w:rPr>
          <w:rFonts w:hint="eastAsia" w:ascii="宋体" w:hAnsi="宋体" w:eastAsia="宋体" w:cs="宋体"/>
          <w:b w:val="0"/>
          <w:bCs w:val="0"/>
          <w:sz w:val="21"/>
          <w:szCs w:val="21"/>
          <w:lang w:eastAsia="zh-CN"/>
        </w:rPr>
        <w:t>需向甲方报备，实施期间人员更换比例超过30%要承担违约责任。</w:t>
      </w:r>
    </w:p>
    <w:p w14:paraId="4B9EA5F4">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outlineLvl w:val="9"/>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除项目负责人外，项目组须配备专职的实施人员，按照项目实施的要求，配置相应的项目管理、安装设计、测</w:t>
      </w:r>
      <w:r>
        <w:rPr>
          <w:rFonts w:hint="eastAsia" w:ascii="宋体" w:hAnsi="宋体" w:eastAsia="宋体" w:cs="宋体"/>
          <w:b w:val="0"/>
          <w:bCs w:val="0"/>
          <w:sz w:val="21"/>
          <w:szCs w:val="21"/>
          <w:lang w:val="en-US" w:eastAsia="zh-CN"/>
        </w:rPr>
        <w:t>试、集成、培训、质量保证等人员。</w:t>
      </w:r>
    </w:p>
    <w:p w14:paraId="28FA90F6">
      <w:pPr>
        <w:keepNext w:val="0"/>
        <w:keepLines w:val="0"/>
        <w:pageBreakBefore w:val="0"/>
        <w:widowControl w:val="0"/>
        <w:kinsoku/>
        <w:wordWrap/>
        <w:overflowPunct/>
        <w:topLinePunct w:val="0"/>
        <w:autoSpaceDE/>
        <w:autoSpaceDN/>
        <w:bidi w:val="0"/>
        <w:snapToGrid/>
        <w:spacing w:line="360" w:lineRule="auto"/>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八、项目实施要求</w:t>
      </w:r>
    </w:p>
    <w:p w14:paraId="6390E6F5">
      <w:pPr>
        <w:bidi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1、本项目为信创改造项目，不涉及系统关键功能调整，数据结构与数据资源共享需求与现有系统保持一致，系统运行性能参照原运行性能要求，不得降低。</w:t>
      </w:r>
    </w:p>
    <w:p w14:paraId="283EC800">
      <w:pPr>
        <w:bidi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2、完成针对国产化服务器CPU、操作系统、数据库适配完成后的政务、感知数据的迁移工作，提供稳定高效的数据迁移工具以保障迁移工作的顺利进行。</w:t>
      </w:r>
    </w:p>
    <w:p w14:paraId="26001967">
      <w:pPr>
        <w:bidi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3、提供全面的数据准确性、一致性验证机制，以确保迁移前后数据不出错、不丢失。并制定完善的迁移方案，以减少迁移工作对业务应用带来的影响。</w:t>
      </w:r>
    </w:p>
    <w:p w14:paraId="6AE7A80B">
      <w:pPr>
        <w:bidi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4、系统须具备充足的分析和存储能力，提供可靠的计算、存储、网络资源。系统在硬件、网络、软件等方面考虑适当冗余，避免单点故障，保障系统的可靠运行，计算和数据可靠性达99%以上。</w:t>
      </w:r>
    </w:p>
    <w:p w14:paraId="5C9FC073">
      <w:pPr>
        <w:bidi w:val="0"/>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5、数据资源应用系统能实现数十个数据源采集和数据流同步实现高速读写速度，按数据的加工等级做原始层、沉淀层、衍生层、立体查询层建立分层的数据模式，满足数据处理能</w:t>
      </w:r>
      <w:r>
        <w:rPr>
          <w:rFonts w:hint="eastAsia" w:ascii="宋体" w:hAnsi="宋体" w:eastAsia="宋体" w:cs="宋体"/>
          <w:b w:val="0"/>
          <w:bCs w:val="0"/>
          <w:sz w:val="21"/>
          <w:szCs w:val="21"/>
          <w:lang w:val="en-US" w:eastAsia="zh-CN"/>
        </w:rPr>
        <w:t>力。</w:t>
      </w:r>
    </w:p>
    <w:p w14:paraId="578969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6、系统配置</w:t>
      </w:r>
      <w:r>
        <w:rPr>
          <w:rFonts w:hint="eastAsia" w:ascii="宋体" w:hAnsi="宋体" w:eastAsia="宋体" w:cs="宋体"/>
          <w:b w:val="0"/>
          <w:bCs w:val="0"/>
          <w:sz w:val="21"/>
          <w:szCs w:val="21"/>
          <w:lang w:eastAsia="zh-CN"/>
        </w:rPr>
        <w:t>建设合理规范，应满足后续方便扩展的需要。当系统数据量和访问量增大而导致系统配置不能满足要求时，可以通过增加服务器配置进行解决，如增加内存、存储等，无需对软件进行调整。</w:t>
      </w:r>
    </w:p>
    <w:p w14:paraId="3F44FB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7、在系</w:t>
      </w:r>
      <w:r>
        <w:rPr>
          <w:rFonts w:hint="eastAsia" w:ascii="宋体" w:hAnsi="宋体" w:eastAsia="宋体" w:cs="宋体"/>
          <w:sz w:val="21"/>
          <w:szCs w:val="21"/>
          <w:lang w:val="en-US" w:eastAsia="zh-CN"/>
        </w:rPr>
        <w:t>统安全性方面应充分考虑整个系统运行的安全策略和机制，可根据不同的业务要求和应用处理需求，设置不同的安全措施。同时具有良好的数据安全保障机制，对数据采取集中管理和存储的模式，数据库结构设计良好，具有迅速的数据检索能力。</w:t>
      </w:r>
    </w:p>
    <w:p w14:paraId="3EE258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8、系统应具有海量数据存储和管理能力，支持存储设备容量的平滑升级。采用当前行业先进的基于计算机网络的软硬件产品以及模块化的软件设计，从而保证系统在技术上领先。</w:t>
      </w:r>
    </w:p>
    <w:p w14:paraId="36F26F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9、系统</w:t>
      </w:r>
      <w:r>
        <w:rPr>
          <w:rFonts w:hint="eastAsia" w:ascii="宋体" w:hAnsi="宋体" w:eastAsia="宋体" w:cs="宋体"/>
          <w:color w:val="000000" w:themeColor="text1"/>
          <w:sz w:val="21"/>
          <w:szCs w:val="21"/>
          <w14:textFill>
            <w14:solidFill>
              <w14:schemeClr w14:val="tx1"/>
            </w14:solidFill>
          </w14:textFill>
        </w:rPr>
        <w:t>在设计上完全基于国产化软硬件环境的要求，各个软件模块针对基础硬件、基础软件、应用软件、信息安</w:t>
      </w:r>
      <w:r>
        <w:rPr>
          <w:rFonts w:hint="eastAsia" w:ascii="宋体" w:hAnsi="宋体" w:eastAsia="宋体" w:cs="宋体"/>
          <w:sz w:val="21"/>
          <w:szCs w:val="21"/>
          <w:lang w:val="en-US" w:eastAsia="zh-CN"/>
        </w:rPr>
        <w:t>全层面的设计均满足信创工作要求，在信创环境运行。</w:t>
      </w:r>
    </w:p>
    <w:p w14:paraId="7B4EC8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10、整个系统的各种软硬件均应符合相关的国家标准的技术规范标准。</w:t>
      </w:r>
    </w:p>
    <w:p w14:paraId="22B98C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11、软件系统采用国家标准的软件开发、软件测试及验收过程模式，要满足跨平台的要求以及系统的安全要求，提供完整的项目开发、测试过程记录和文档。</w:t>
      </w:r>
    </w:p>
    <w:p w14:paraId="273BF3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12、须建立并实施完整的软件工程质量保障体系，具有专职的软件测试组织、人员、工具，并且在项目中能强有力地开展测试工作。</w:t>
      </w:r>
    </w:p>
    <w:p w14:paraId="435DA13C">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1"/>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九、</w:t>
      </w:r>
      <w:r>
        <w:rPr>
          <w:rFonts w:hint="eastAsia" w:ascii="宋体" w:hAnsi="宋体" w:eastAsia="宋体" w:cs="宋体"/>
          <w:b/>
          <w:bCs/>
          <w:sz w:val="21"/>
          <w:szCs w:val="21"/>
          <w:lang w:val="en-US" w:eastAsia="zh-CN"/>
        </w:rPr>
        <w:t>培训要求</w:t>
      </w:r>
    </w:p>
    <w:p w14:paraId="308C54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1、乙方应向甲方提供不少于3次的系统操作、维护相关的技术培训。每次培训不少于2课时。培训的时间和地点</w:t>
      </w:r>
      <w:r>
        <w:rPr>
          <w:rFonts w:hint="eastAsia" w:ascii="宋体" w:hAnsi="宋体" w:eastAsia="宋体" w:cs="宋体"/>
          <w:sz w:val="21"/>
          <w:szCs w:val="21"/>
          <w:lang w:val="en-US" w:eastAsia="zh-CN"/>
        </w:rPr>
        <w:t>由双方协商决定，甲方需安排专人配合讲师开展培训工作。培训涉及的场地、人员餐宿等由甲方负责解决并负担相应费用。</w:t>
      </w:r>
    </w:p>
    <w:p w14:paraId="726EDD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2、乙方需根据不同的培训对象制定不同的培训内容，具体对象分为：1）领导层；2）业务承办层；3）系统管理员；4）子系统操作员；5）参与的相关业务部门。</w:t>
      </w:r>
    </w:p>
    <w:p w14:paraId="3BE921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3、培训方式采用现场授课+上机辅导为主，远程培训、热线支持为辅。</w:t>
      </w:r>
    </w:p>
    <w:p w14:paraId="54CF4C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培训需在固定时间段、固定地点、分批次培训。部分不能参加现场培训的人员，可以通过远程视频会议方式参加培训。现场讲解配有文档投影、系统线上实操等，充分运用多媒体手段促进培训质量。除现场集中培训之外，也可将培训内容制作成视频文件或多媒体课件，由操作人员在网上在线学习或下载后离线自学。</w:t>
      </w:r>
    </w:p>
    <w:p w14:paraId="118969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en-US" w:eastAsia="zh-CN"/>
        </w:rPr>
        <w:t>5、培训内容分为理论知识培训和实践技能培</w:t>
      </w:r>
      <w:r>
        <w:rPr>
          <w:rFonts w:hint="eastAsia" w:ascii="宋体" w:hAnsi="宋体" w:eastAsia="宋体" w:cs="宋体"/>
          <w:color w:val="000000" w:themeColor="text1"/>
          <w:sz w:val="21"/>
          <w:szCs w:val="21"/>
          <w14:textFill>
            <w14:solidFill>
              <w14:schemeClr w14:val="tx1"/>
            </w14:solidFill>
          </w14:textFill>
        </w:rPr>
        <w:t>训两个方面。只有在充分掌握了相应的理论基础上才能进入实际操作步骤的培训，使理论培训的内容得到巩固和发挥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两种培训</w:t>
      </w:r>
      <w:r>
        <w:rPr>
          <w:rFonts w:hint="eastAsia" w:ascii="宋体" w:hAnsi="宋体" w:eastAsia="宋体" w:cs="宋体"/>
          <w:color w:val="000000" w:themeColor="text1"/>
          <w:sz w:val="21"/>
          <w:szCs w:val="21"/>
          <w:lang w:val="en-US" w:eastAsia="zh-CN"/>
          <w14:textFill>
            <w14:solidFill>
              <w14:schemeClr w14:val="tx1"/>
            </w14:solidFill>
          </w14:textFill>
        </w:rPr>
        <w:t>内容在</w:t>
      </w:r>
      <w:r>
        <w:rPr>
          <w:rFonts w:hint="eastAsia" w:ascii="宋体" w:hAnsi="宋体" w:eastAsia="宋体" w:cs="宋体"/>
          <w:color w:val="000000" w:themeColor="text1"/>
          <w:sz w:val="21"/>
          <w:szCs w:val="21"/>
          <w14:textFill>
            <w14:solidFill>
              <w14:schemeClr w14:val="tx1"/>
            </w14:solidFill>
          </w14:textFill>
        </w:rPr>
        <w:t>每一个过程中密切联系在一起并达到相辅相成</w:t>
      </w:r>
      <w:r>
        <w:rPr>
          <w:rFonts w:hint="eastAsia" w:ascii="宋体" w:hAnsi="宋体" w:eastAsia="宋体" w:cs="宋体"/>
          <w:color w:val="000000" w:themeColor="text1"/>
          <w:sz w:val="21"/>
          <w:szCs w:val="21"/>
          <w:lang w:val="en-US" w:eastAsia="zh-CN"/>
          <w14:textFill>
            <w14:solidFill>
              <w14:schemeClr w14:val="tx1"/>
            </w14:solidFill>
          </w14:textFill>
        </w:rPr>
        <w:t>的作用</w:t>
      </w:r>
      <w:r>
        <w:rPr>
          <w:rFonts w:hint="eastAsia" w:ascii="宋体" w:hAnsi="宋体" w:eastAsia="宋体" w:cs="宋体"/>
          <w:color w:val="000000" w:themeColor="text1"/>
          <w:sz w:val="21"/>
          <w:szCs w:val="21"/>
          <w14:textFill>
            <w14:solidFill>
              <w14:schemeClr w14:val="tx1"/>
            </w14:solidFill>
          </w14:textFill>
        </w:rPr>
        <w:t>。</w:t>
      </w:r>
    </w:p>
    <w:p w14:paraId="4F523F8A">
      <w:pPr>
        <w:spacing w:line="360" w:lineRule="auto"/>
        <w:ind w:firstLine="420" w:firstLineChars="200"/>
        <w:rPr>
          <w:rStyle w:val="69"/>
          <w:rFonts w:hint="eastAsia" w:ascii="宋体" w:hAnsi="宋体" w:eastAsia="宋体" w:cs="宋体"/>
          <w:sz w:val="21"/>
          <w:szCs w:val="21"/>
        </w:rPr>
      </w:pPr>
      <w:r>
        <w:rPr>
          <w:rStyle w:val="69"/>
          <w:rFonts w:hint="eastAsia" w:ascii="宋体" w:hAnsi="宋体" w:eastAsia="宋体" w:cs="宋体"/>
          <w:sz w:val="21"/>
          <w:szCs w:val="21"/>
          <w:lang w:val="en-US" w:eastAsia="zh-CN"/>
        </w:rPr>
        <w:t>6、</w:t>
      </w:r>
      <w:r>
        <w:rPr>
          <w:rStyle w:val="69"/>
          <w:rFonts w:hint="eastAsia" w:ascii="宋体" w:hAnsi="宋体" w:eastAsia="宋体" w:cs="宋体"/>
          <w:sz w:val="21"/>
          <w:szCs w:val="21"/>
        </w:rPr>
        <w:t>培训工作须在合同生效之后</w:t>
      </w:r>
      <w:r>
        <w:rPr>
          <w:rStyle w:val="69"/>
          <w:rFonts w:hint="eastAsia" w:ascii="宋体" w:hAnsi="宋体" w:eastAsia="宋体" w:cs="宋体"/>
          <w:sz w:val="21"/>
          <w:szCs w:val="21"/>
          <w:lang w:val="en-US" w:eastAsia="zh-CN"/>
        </w:rPr>
        <w:t>项目</w:t>
      </w:r>
      <w:r>
        <w:rPr>
          <w:rStyle w:val="69"/>
          <w:rFonts w:hint="eastAsia" w:ascii="宋体" w:hAnsi="宋体" w:eastAsia="宋体" w:cs="宋体"/>
          <w:sz w:val="21"/>
          <w:szCs w:val="21"/>
        </w:rPr>
        <w:t>试运行之前安排。</w:t>
      </w:r>
    </w:p>
    <w:p w14:paraId="473A9D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Style w:val="69"/>
          <w:rFonts w:hint="eastAsia" w:ascii="宋体" w:hAnsi="宋体" w:eastAsia="宋体" w:cs="宋体"/>
          <w:sz w:val="21"/>
          <w:szCs w:val="21"/>
          <w:lang w:val="en-US" w:eastAsia="zh-CN"/>
        </w:rPr>
        <w:t>7、</w:t>
      </w:r>
      <w:r>
        <w:rPr>
          <w:rStyle w:val="69"/>
          <w:rFonts w:hint="eastAsia" w:ascii="宋体" w:hAnsi="宋体" w:eastAsia="宋体" w:cs="宋体"/>
          <w:sz w:val="21"/>
          <w:szCs w:val="21"/>
        </w:rPr>
        <w:t>所</w:t>
      </w:r>
      <w:r>
        <w:rPr>
          <w:rFonts w:hint="eastAsia" w:ascii="宋体" w:hAnsi="宋体" w:eastAsia="宋体" w:cs="宋体"/>
          <w:sz w:val="21"/>
          <w:szCs w:val="21"/>
          <w:lang w:val="en-US" w:eastAsia="zh-CN"/>
        </w:rPr>
        <w:t>有培训费用（含培训教材费），已包括在投标报价中。</w:t>
      </w:r>
    </w:p>
    <w:p w14:paraId="020C7DCC">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十、售后服务要求</w:t>
      </w:r>
    </w:p>
    <w:p w14:paraId="5C54B58E">
      <w:pPr>
        <w:adjustRightInd w:val="0"/>
        <w:spacing w:line="360" w:lineRule="auto"/>
        <w:ind w:firstLine="420" w:firstLineChars="200"/>
        <w:rPr>
          <w:rFonts w:hint="eastAsia" w:ascii="宋体" w:hAnsi="宋体" w:eastAsia="宋体" w:cs="宋体"/>
          <w:sz w:val="21"/>
          <w:szCs w:val="21"/>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运维期要求：本项目要求</w:t>
      </w: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rPr>
        <w:t>提供不少于</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年的</w:t>
      </w:r>
      <w:r>
        <w:rPr>
          <w:rFonts w:hint="eastAsia" w:ascii="宋体" w:hAnsi="宋体" w:eastAsia="宋体" w:cs="宋体"/>
          <w:sz w:val="21"/>
          <w:szCs w:val="21"/>
        </w:rPr>
        <w:t>软件免费运维期。（项目终验通过之日起计算）</w:t>
      </w:r>
    </w:p>
    <w:p w14:paraId="1319963A">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color w:val="000000"/>
          <w:sz w:val="21"/>
          <w:szCs w:val="21"/>
        </w:rPr>
        <w:t>在免费运维期内由于系统本身质量原因造成的任何问题，</w:t>
      </w:r>
      <w:r>
        <w:rPr>
          <w:rFonts w:hint="eastAsia" w:ascii="宋体" w:hAnsi="宋体" w:eastAsia="宋体" w:cs="宋体"/>
          <w:sz w:val="21"/>
          <w:szCs w:val="21"/>
          <w:lang w:eastAsia="zh-CN"/>
        </w:rPr>
        <w:t>乙方</w:t>
      </w:r>
      <w:r>
        <w:rPr>
          <w:rFonts w:hint="eastAsia" w:ascii="宋体" w:hAnsi="宋体" w:eastAsia="宋体" w:cs="宋体"/>
          <w:color w:val="000000"/>
          <w:sz w:val="21"/>
          <w:szCs w:val="21"/>
        </w:rPr>
        <w:t>须免费负责修复。</w:t>
      </w:r>
    </w:p>
    <w:p w14:paraId="039C9610">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color w:val="000000"/>
          <w:sz w:val="21"/>
          <w:szCs w:val="21"/>
        </w:rPr>
        <w:t>免费运维期</w:t>
      </w:r>
      <w:r>
        <w:rPr>
          <w:rFonts w:hint="eastAsia" w:ascii="宋体" w:hAnsi="宋体" w:eastAsia="宋体" w:cs="宋体"/>
          <w:sz w:val="21"/>
          <w:szCs w:val="21"/>
        </w:rPr>
        <w:t>自项目正式验收合格之日开始计算。</w:t>
      </w:r>
      <w:r>
        <w:rPr>
          <w:rFonts w:hint="eastAsia" w:ascii="宋体" w:hAnsi="宋体" w:eastAsia="宋体" w:cs="宋体"/>
          <w:color w:val="000000"/>
          <w:sz w:val="21"/>
          <w:szCs w:val="21"/>
        </w:rPr>
        <w:t>免费运维期</w:t>
      </w:r>
      <w:r>
        <w:rPr>
          <w:rFonts w:hint="eastAsia" w:ascii="宋体" w:hAnsi="宋体" w:eastAsia="宋体" w:cs="宋体"/>
          <w:sz w:val="21"/>
          <w:szCs w:val="21"/>
        </w:rPr>
        <w:t>内，在接到</w:t>
      </w:r>
      <w:r>
        <w:rPr>
          <w:rFonts w:hint="eastAsia" w:ascii="宋体" w:hAnsi="宋体" w:eastAsia="宋体" w:cs="宋体"/>
          <w:sz w:val="21"/>
          <w:szCs w:val="21"/>
          <w:lang w:eastAsia="zh-Hans"/>
        </w:rPr>
        <w:t>系统</w:t>
      </w:r>
      <w:r>
        <w:rPr>
          <w:rFonts w:hint="eastAsia" w:ascii="宋体" w:hAnsi="宋体" w:eastAsia="宋体" w:cs="宋体"/>
          <w:sz w:val="21"/>
          <w:szCs w:val="21"/>
        </w:rPr>
        <w:t>故障通知后，</w:t>
      </w:r>
      <w:r>
        <w:rPr>
          <w:rFonts w:hint="eastAsia" w:ascii="宋体" w:hAnsi="宋体" w:eastAsia="宋体" w:cs="宋体"/>
          <w:sz w:val="21"/>
          <w:szCs w:val="21"/>
          <w:lang w:eastAsia="zh-CN"/>
        </w:rPr>
        <w:t>乙方</w:t>
      </w:r>
      <w:r>
        <w:rPr>
          <w:rFonts w:hint="eastAsia" w:ascii="宋体" w:hAnsi="宋体" w:eastAsia="宋体" w:cs="宋体"/>
          <w:sz w:val="21"/>
          <w:szCs w:val="21"/>
        </w:rPr>
        <w:t>必须在2小时内响应。对于影响正常运行的严重故障，</w:t>
      </w:r>
      <w:r>
        <w:rPr>
          <w:rFonts w:hint="eastAsia" w:ascii="宋体" w:hAnsi="宋体" w:eastAsia="宋体" w:cs="宋体"/>
          <w:sz w:val="21"/>
          <w:szCs w:val="21"/>
          <w:lang w:eastAsia="zh-CN"/>
        </w:rPr>
        <w:t>乙方</w:t>
      </w:r>
      <w:r>
        <w:rPr>
          <w:rFonts w:hint="eastAsia" w:ascii="宋体" w:hAnsi="宋体" w:eastAsia="宋体" w:cs="宋体"/>
          <w:sz w:val="21"/>
          <w:szCs w:val="21"/>
        </w:rPr>
        <w:t>工程师及其它相关技术人员必须在在接到故障通知后6小时内赶到现场，查找原因，提出解决方案，并工作直至故障修</w:t>
      </w:r>
      <w:r>
        <w:rPr>
          <w:rFonts w:hint="eastAsia" w:ascii="宋体" w:hAnsi="宋体" w:cs="宋体"/>
          <w:sz w:val="21"/>
          <w:szCs w:val="21"/>
          <w:lang w:val="en-US" w:eastAsia="zh-CN"/>
        </w:rPr>
        <w:t>至</w:t>
      </w:r>
      <w:r>
        <w:rPr>
          <w:rFonts w:hint="eastAsia" w:ascii="宋体" w:hAnsi="宋体" w:eastAsia="宋体" w:cs="宋体"/>
          <w:sz w:val="21"/>
          <w:szCs w:val="21"/>
        </w:rPr>
        <w:t>完全恢复正常服务为止，一般要求保证系统在12小时之内修复，</w:t>
      </w:r>
      <w:r>
        <w:rPr>
          <w:rStyle w:val="69"/>
          <w:rFonts w:hint="eastAsia" w:ascii="宋体" w:hAnsi="宋体" w:eastAsia="宋体" w:cs="宋体"/>
          <w:sz w:val="21"/>
          <w:szCs w:val="21"/>
        </w:rPr>
        <w:t>及时提供应急措施，并提出书面解决方案报</w:t>
      </w:r>
      <w:r>
        <w:rPr>
          <w:rStyle w:val="69"/>
          <w:rFonts w:hint="eastAsia" w:ascii="宋体" w:hAnsi="宋体" w:eastAsia="宋体" w:cs="宋体"/>
          <w:sz w:val="21"/>
          <w:szCs w:val="21"/>
          <w:lang w:eastAsia="zh-CN"/>
        </w:rPr>
        <w:t>甲方</w:t>
      </w:r>
      <w:r>
        <w:rPr>
          <w:rStyle w:val="69"/>
          <w:rFonts w:hint="eastAsia" w:ascii="宋体" w:hAnsi="宋体" w:eastAsia="宋体" w:cs="宋体"/>
          <w:sz w:val="21"/>
          <w:szCs w:val="21"/>
        </w:rPr>
        <w:t>批准。</w:t>
      </w:r>
    </w:p>
    <w:p w14:paraId="3428B4E9">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、为保证平台系统正常、安全地运行，技术支持力量和优良的服务是系统正常、安全运行的保障。</w:t>
      </w:r>
      <w:r>
        <w:rPr>
          <w:rFonts w:hint="eastAsia" w:ascii="宋体" w:hAnsi="宋体" w:eastAsia="宋体" w:cs="宋体"/>
          <w:sz w:val="21"/>
          <w:szCs w:val="21"/>
          <w:lang w:eastAsia="zh-CN"/>
        </w:rPr>
        <w:t>乙方</w:t>
      </w:r>
      <w:r>
        <w:rPr>
          <w:rFonts w:hint="eastAsia" w:ascii="宋体" w:hAnsi="宋体" w:eastAsia="宋体" w:cs="宋体"/>
          <w:sz w:val="21"/>
          <w:szCs w:val="21"/>
        </w:rPr>
        <w:t>应据此制定系统详细的技术支持与服务方案，包括服务内容、服务方式、服务响应时间、应急措施及组织结构等。</w:t>
      </w:r>
    </w:p>
    <w:p w14:paraId="4797E285">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eastAsia="zh-CN"/>
        </w:rPr>
        <w:t>乙方</w:t>
      </w:r>
      <w:r>
        <w:rPr>
          <w:rFonts w:hint="eastAsia" w:ascii="宋体" w:hAnsi="宋体" w:eastAsia="宋体" w:cs="宋体"/>
          <w:sz w:val="21"/>
          <w:szCs w:val="21"/>
        </w:rPr>
        <w:t>须做出无推诿承诺。即</w:t>
      </w:r>
      <w:r>
        <w:rPr>
          <w:rFonts w:hint="eastAsia" w:ascii="宋体" w:hAnsi="宋体" w:eastAsia="宋体" w:cs="宋体"/>
          <w:sz w:val="21"/>
          <w:szCs w:val="21"/>
          <w:lang w:eastAsia="zh-CN"/>
        </w:rPr>
        <w:t>乙方</w:t>
      </w:r>
      <w:r>
        <w:rPr>
          <w:rFonts w:hint="eastAsia" w:ascii="宋体" w:hAnsi="宋体" w:eastAsia="宋体" w:cs="宋体"/>
          <w:sz w:val="21"/>
          <w:szCs w:val="21"/>
        </w:rPr>
        <w:t>应提供特殊措施，无论由于哪一方产生的问题而使</w:t>
      </w:r>
      <w:r>
        <w:rPr>
          <w:rFonts w:hint="eastAsia" w:ascii="宋体" w:hAnsi="宋体" w:eastAsia="宋体" w:cs="宋体"/>
          <w:sz w:val="21"/>
          <w:szCs w:val="21"/>
          <w:lang w:val="en-US" w:eastAsia="zh-CN"/>
        </w:rPr>
        <w:t>系统</w:t>
      </w:r>
      <w:r>
        <w:rPr>
          <w:rFonts w:hint="eastAsia" w:ascii="宋体" w:hAnsi="宋体" w:eastAsia="宋体" w:cs="宋体"/>
          <w:sz w:val="21"/>
          <w:szCs w:val="21"/>
        </w:rPr>
        <w:t>发生不正常情况时，并在得到</w:t>
      </w:r>
      <w:r>
        <w:rPr>
          <w:rFonts w:hint="eastAsia" w:ascii="宋体" w:hAnsi="宋体" w:eastAsia="宋体" w:cs="宋体"/>
          <w:sz w:val="21"/>
          <w:szCs w:val="21"/>
          <w:lang w:eastAsia="zh-CN"/>
        </w:rPr>
        <w:t>甲方</w:t>
      </w:r>
      <w:r>
        <w:rPr>
          <w:rFonts w:hint="eastAsia" w:ascii="宋体" w:hAnsi="宋体" w:eastAsia="宋体" w:cs="宋体"/>
          <w:sz w:val="21"/>
          <w:szCs w:val="21"/>
        </w:rPr>
        <w:t>通知后，</w:t>
      </w:r>
      <w:r>
        <w:rPr>
          <w:rFonts w:hint="eastAsia" w:ascii="宋体" w:hAnsi="宋体" w:cs="宋体"/>
          <w:sz w:val="21"/>
          <w:szCs w:val="21"/>
          <w:lang w:val="en-US" w:eastAsia="zh-CN"/>
        </w:rPr>
        <w:t>节假日内3个小时内，工作日1个小时内</w:t>
      </w:r>
      <w:r>
        <w:rPr>
          <w:rFonts w:hint="eastAsia" w:ascii="宋体" w:hAnsi="宋体" w:eastAsia="宋体" w:cs="宋体"/>
          <w:sz w:val="21"/>
          <w:szCs w:val="21"/>
        </w:rPr>
        <w:t>派工程师到场，全力协助系统集成商，使系统尽快恢复正常。</w:t>
      </w:r>
    </w:p>
    <w:p w14:paraId="18E6DA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rPr>
        <w:t>、在</w:t>
      </w:r>
      <w:r>
        <w:rPr>
          <w:rFonts w:hint="eastAsia" w:ascii="宋体" w:hAnsi="宋体" w:eastAsia="宋体" w:cs="宋体"/>
          <w:color w:val="000000"/>
          <w:sz w:val="21"/>
          <w:szCs w:val="21"/>
        </w:rPr>
        <w:t>免费运维期</w:t>
      </w:r>
      <w:r>
        <w:rPr>
          <w:rFonts w:hint="eastAsia" w:ascii="宋体" w:hAnsi="宋体" w:eastAsia="宋体" w:cs="宋体"/>
          <w:sz w:val="21"/>
          <w:szCs w:val="21"/>
        </w:rPr>
        <w:t>结束前，须由</w:t>
      </w:r>
      <w:r>
        <w:rPr>
          <w:rFonts w:hint="eastAsia" w:ascii="宋体" w:hAnsi="宋体" w:eastAsia="宋体" w:cs="宋体"/>
          <w:sz w:val="21"/>
          <w:szCs w:val="21"/>
          <w:lang w:val="en-US" w:eastAsia="zh-CN"/>
        </w:rPr>
        <w:t>乙方</w:t>
      </w:r>
      <w:r>
        <w:rPr>
          <w:rFonts w:hint="eastAsia" w:ascii="宋体" w:hAnsi="宋体" w:eastAsia="宋体" w:cs="宋体"/>
          <w:sz w:val="21"/>
          <w:szCs w:val="21"/>
        </w:rPr>
        <w:t>工程师和</w:t>
      </w:r>
      <w:r>
        <w:rPr>
          <w:rFonts w:hint="eastAsia" w:ascii="宋体" w:hAnsi="宋体" w:eastAsia="宋体" w:cs="宋体"/>
          <w:sz w:val="21"/>
          <w:szCs w:val="21"/>
          <w:lang w:eastAsia="zh-CN"/>
        </w:rPr>
        <w:t>甲方</w:t>
      </w:r>
      <w:r>
        <w:rPr>
          <w:rFonts w:hint="eastAsia" w:ascii="宋体" w:hAnsi="宋体" w:eastAsia="宋体" w:cs="宋体"/>
          <w:sz w:val="21"/>
          <w:szCs w:val="21"/>
        </w:rPr>
        <w:t>代表进行一次全面检查，任何缺陷须由</w:t>
      </w:r>
      <w:r>
        <w:rPr>
          <w:rFonts w:hint="eastAsia" w:ascii="宋体" w:hAnsi="宋体" w:eastAsia="宋体" w:cs="宋体"/>
          <w:sz w:val="21"/>
          <w:szCs w:val="21"/>
          <w:lang w:eastAsia="zh-CN"/>
        </w:rPr>
        <w:t>乙方</w:t>
      </w:r>
      <w:r>
        <w:rPr>
          <w:rFonts w:hint="eastAsia" w:ascii="宋体" w:hAnsi="宋体" w:eastAsia="宋体" w:cs="宋体"/>
          <w:sz w:val="21"/>
          <w:szCs w:val="21"/>
        </w:rPr>
        <w:t>负责修改。在修改之后，</w:t>
      </w:r>
      <w:r>
        <w:rPr>
          <w:rFonts w:hint="eastAsia" w:ascii="宋体" w:hAnsi="宋体" w:eastAsia="宋体" w:cs="宋体"/>
          <w:sz w:val="21"/>
          <w:szCs w:val="21"/>
          <w:lang w:val="en-US" w:eastAsia="zh-CN"/>
        </w:rPr>
        <w:t>乙方</w:t>
      </w:r>
      <w:r>
        <w:rPr>
          <w:rFonts w:hint="eastAsia" w:ascii="宋体" w:hAnsi="宋体" w:eastAsia="宋体" w:cs="宋体"/>
          <w:sz w:val="21"/>
          <w:szCs w:val="21"/>
        </w:rPr>
        <w:t>应将缺陷原因、修改内容、完成修改及恢复</w:t>
      </w:r>
      <w:r>
        <w:rPr>
          <w:rFonts w:hint="eastAsia" w:ascii="宋体" w:hAnsi="宋体" w:eastAsia="宋体" w:cs="宋体"/>
          <w:color w:val="000000"/>
          <w:sz w:val="21"/>
          <w:szCs w:val="21"/>
        </w:rPr>
        <w:t>正常的时间和日期等报告给</w:t>
      </w:r>
      <w:r>
        <w:rPr>
          <w:rFonts w:hint="eastAsia" w:ascii="宋体" w:hAnsi="宋体" w:eastAsia="宋体" w:cs="宋体"/>
          <w:color w:val="000000"/>
          <w:sz w:val="21"/>
          <w:szCs w:val="21"/>
          <w:lang w:eastAsia="zh-CN"/>
        </w:rPr>
        <w:t>甲</w:t>
      </w:r>
      <w:r>
        <w:rPr>
          <w:rFonts w:hint="eastAsia" w:ascii="宋体" w:hAnsi="宋体" w:eastAsia="宋体" w:cs="宋体"/>
          <w:sz w:val="21"/>
          <w:szCs w:val="21"/>
          <w:lang w:val="en-US" w:eastAsia="zh-CN"/>
        </w:rPr>
        <w:t>方。</w:t>
      </w:r>
    </w:p>
    <w:p w14:paraId="11732E9A">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十一、等保要求</w:t>
      </w:r>
    </w:p>
    <w:p w14:paraId="51BB7F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sz w:val="21"/>
          <w:szCs w:val="21"/>
          <w:lang w:val="en-US" w:eastAsia="zh-CN"/>
        </w:rPr>
        <w:t>1、</w:t>
      </w:r>
      <w:r>
        <w:rPr>
          <w:rFonts w:hint="eastAsia" w:ascii="宋体" w:hAnsi="宋体" w:eastAsia="宋体" w:cs="宋体"/>
          <w:color w:val="000000"/>
          <w:sz w:val="21"/>
          <w:szCs w:val="21"/>
          <w:lang w:val="en-US" w:eastAsia="zh-CN"/>
        </w:rPr>
        <w:t>按照《</w:t>
      </w:r>
      <w:r>
        <w:rPr>
          <w:rFonts w:hint="eastAsia" w:ascii="宋体" w:hAnsi="宋体" w:eastAsia="宋体" w:cs="宋体"/>
          <w:b w:val="0"/>
          <w:bCs w:val="0"/>
          <w:color w:val="auto"/>
          <w:kern w:val="2"/>
          <w:sz w:val="21"/>
          <w:szCs w:val="21"/>
          <w:highlight w:val="none"/>
          <w:lang w:val="en-US" w:eastAsia="zh-CN" w:bidi="ar"/>
        </w:rPr>
        <w:t>信息安全技术—网络安全等级保护定级指南（GB/T 22240-2020）》《信息安全技术—网络安全等级保护测评要求（GB/T 28448-2019）》等要求，按照项目建设内容以及信息系统受到破坏后，对社会秩序、公共利益、国家安全以及公民、法人和其他组织的合法权益所造成的损害程度，本项目计划通过网络安全等级保护测评，设计预评估为等保达到第三级。</w:t>
      </w:r>
    </w:p>
    <w:p w14:paraId="1EA6E2C5">
      <w:pPr>
        <w:bidi w:val="0"/>
        <w:spacing w:line="360" w:lineRule="auto"/>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在项目终验前，甲方聘请第三方专业测评机构，按照以下流程，从技术和管理两大维度，对本项目涉及的系统开展网络安全等级保护测评，包括物理环境、网络设备、主机系统、应用系统等软硬件设备，以及人员、组织结构、管理制度、系统运行保障措施，完成网络安全等级定级、备案等工作，并出具安全测评报告。</w:t>
      </w:r>
    </w:p>
    <w:p w14:paraId="29C8CA9C">
      <w:pPr>
        <w:pStyle w:val="13"/>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3、乙方须根据下表格中各个系统的等保定级标准进行改造，并配合甲方做好二级/三级等保测评工作。</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6273"/>
        <w:gridCol w:w="2345"/>
      </w:tblGrid>
      <w:tr w14:paraId="23AD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14:paraId="1981E8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序号</w:t>
            </w:r>
          </w:p>
        </w:tc>
        <w:tc>
          <w:tcPr>
            <w:tcW w:w="3221" w:type="pct"/>
            <w:vAlign w:val="center"/>
          </w:tcPr>
          <w:p w14:paraId="54A101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内容</w:t>
            </w:r>
          </w:p>
        </w:tc>
        <w:tc>
          <w:tcPr>
            <w:tcW w:w="1204" w:type="pct"/>
            <w:vAlign w:val="center"/>
          </w:tcPr>
          <w:p w14:paraId="129A65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等保定级</w:t>
            </w:r>
          </w:p>
        </w:tc>
      </w:tr>
      <w:tr w14:paraId="51E6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top"/>
          </w:tcPr>
          <w:p w14:paraId="3D03D66D">
            <w:pPr>
              <w:pStyle w:val="31"/>
              <w:keepNext w:val="0"/>
              <w:keepLines w:val="0"/>
              <w:suppressLineNumbers w:val="0"/>
              <w:spacing w:before="0" w:beforeAutospacing="0" w:afterAutospacing="0" w:line="360" w:lineRule="auto"/>
              <w:ind w:left="0" w:leftChars="0" w:right="0" w:righ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w:t>
            </w:r>
          </w:p>
        </w:tc>
        <w:tc>
          <w:tcPr>
            <w:tcW w:w="4425" w:type="pct"/>
            <w:gridSpan w:val="2"/>
          </w:tcPr>
          <w:p w14:paraId="36B9DC7E">
            <w:pPr>
              <w:pStyle w:val="31"/>
              <w:keepNext w:val="0"/>
              <w:keepLines w:val="0"/>
              <w:suppressLineNumbers w:val="0"/>
              <w:spacing w:before="0" w:beforeAutospacing="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平台国产化适配改造</w:t>
            </w:r>
          </w:p>
        </w:tc>
      </w:tr>
      <w:tr w14:paraId="3C65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top"/>
          </w:tcPr>
          <w:p w14:paraId="1BF7AA3E">
            <w:pPr>
              <w:pStyle w:val="31"/>
              <w:keepNext w:val="0"/>
              <w:keepLines w:val="0"/>
              <w:suppressLineNumbers w:val="0"/>
              <w:spacing w:before="0" w:beforeAutospacing="0" w:afterAutospacing="0" w:line="360" w:lineRule="auto"/>
              <w:ind w:left="0" w:leftChars="0" w:right="0" w:righ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w:t>
            </w:r>
          </w:p>
        </w:tc>
        <w:tc>
          <w:tcPr>
            <w:tcW w:w="3221" w:type="pct"/>
          </w:tcPr>
          <w:p w14:paraId="49B9D2A3">
            <w:pPr>
              <w:pStyle w:val="31"/>
              <w:keepNext w:val="0"/>
              <w:keepLines w:val="0"/>
              <w:suppressLineNumbers w:val="0"/>
              <w:spacing w:before="0" w:beforeAutospacing="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一体化智能化公共数据平台改造</w:t>
            </w:r>
          </w:p>
        </w:tc>
        <w:tc>
          <w:tcPr>
            <w:tcW w:w="1204" w:type="pct"/>
          </w:tcPr>
          <w:p w14:paraId="6141FA88">
            <w:pPr>
              <w:pStyle w:val="31"/>
              <w:keepNext w:val="0"/>
              <w:keepLines w:val="0"/>
              <w:suppressLineNumbers w:val="0"/>
              <w:spacing w:before="0" w:beforeAutospacing="0" w:afterAutospacing="0" w:line="360" w:lineRule="auto"/>
              <w:ind w:left="0" w:leftChars="0" w:righ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三级</w:t>
            </w:r>
          </w:p>
        </w:tc>
      </w:tr>
      <w:tr w14:paraId="77EB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14:paraId="6F224B78">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lang w:val="en-US" w:eastAsia="zh-CN"/>
              </w:rPr>
              <w:t>二</w:t>
            </w:r>
            <w:r>
              <w:rPr>
                <w:rFonts w:hint="eastAsia" w:ascii="宋体" w:hAnsi="宋体" w:cs="宋体"/>
                <w:sz w:val="21"/>
                <w:szCs w:val="21"/>
                <w:vertAlign w:val="baseline"/>
                <w:lang w:val="en-US" w:eastAsia="zh-CN"/>
              </w:rPr>
              <w:t>）</w:t>
            </w:r>
          </w:p>
        </w:tc>
        <w:tc>
          <w:tcPr>
            <w:tcW w:w="3221" w:type="pct"/>
          </w:tcPr>
          <w:p w14:paraId="17DE6EC0">
            <w:pPr>
              <w:pStyle w:val="31"/>
              <w:keepNext w:val="0"/>
              <w:keepLines w:val="0"/>
              <w:suppressLineNumbers w:val="0"/>
              <w:spacing w:before="0" w:beforeAutospacing="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highlight w:val="none"/>
                <w:lang w:val="en-US" w:eastAsia="zh-CN"/>
              </w:rPr>
              <w:t>岱山县基层数据通及全息档案数据产品改造</w:t>
            </w:r>
          </w:p>
        </w:tc>
        <w:tc>
          <w:tcPr>
            <w:tcW w:w="1204" w:type="pct"/>
          </w:tcPr>
          <w:p w14:paraId="43CEA3B3">
            <w:pPr>
              <w:pStyle w:val="31"/>
              <w:keepNext w:val="0"/>
              <w:keepLines w:val="0"/>
              <w:suppressLineNumbers w:val="0"/>
              <w:spacing w:before="0" w:beforeAutospacing="0" w:afterAutospacing="0" w:line="36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二级</w:t>
            </w:r>
          </w:p>
        </w:tc>
      </w:tr>
      <w:tr w14:paraId="2F9A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14:paraId="03D34938">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lang w:val="en-US" w:eastAsia="zh-CN"/>
              </w:rPr>
              <w:t>三</w:t>
            </w:r>
            <w:r>
              <w:rPr>
                <w:rFonts w:hint="eastAsia" w:ascii="宋体" w:hAnsi="宋体" w:cs="宋体"/>
                <w:sz w:val="21"/>
                <w:szCs w:val="21"/>
                <w:vertAlign w:val="baseline"/>
                <w:lang w:val="en-US" w:eastAsia="zh-CN"/>
              </w:rPr>
              <w:t>）</w:t>
            </w:r>
          </w:p>
        </w:tc>
        <w:tc>
          <w:tcPr>
            <w:tcW w:w="3221" w:type="pct"/>
          </w:tcPr>
          <w:p w14:paraId="77BC1C93">
            <w:pPr>
              <w:pStyle w:val="31"/>
              <w:keepNext w:val="0"/>
              <w:keepLines w:val="0"/>
              <w:suppressLineNumbers w:val="0"/>
              <w:spacing w:before="0" w:beforeAutospacing="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highlight w:val="none"/>
                <w:lang w:val="en-US" w:eastAsia="zh-CN"/>
              </w:rPr>
              <w:t>舟山市岱山县智慧海上一体化平台系统改造</w:t>
            </w:r>
          </w:p>
        </w:tc>
        <w:tc>
          <w:tcPr>
            <w:tcW w:w="1204" w:type="pct"/>
          </w:tcPr>
          <w:p w14:paraId="5564C7B8">
            <w:pPr>
              <w:pStyle w:val="31"/>
              <w:keepNext w:val="0"/>
              <w:keepLines w:val="0"/>
              <w:suppressLineNumbers w:val="0"/>
              <w:spacing w:before="0" w:beforeAutospacing="0" w:afterAutospacing="0" w:line="36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二级</w:t>
            </w:r>
          </w:p>
        </w:tc>
      </w:tr>
      <w:tr w14:paraId="3C70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14:paraId="350FCC8F">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lang w:val="en-US" w:eastAsia="zh-CN"/>
              </w:rPr>
              <w:t>四</w:t>
            </w:r>
            <w:r>
              <w:rPr>
                <w:rFonts w:hint="eastAsia" w:ascii="宋体" w:hAnsi="宋体" w:cs="宋体"/>
                <w:sz w:val="21"/>
                <w:szCs w:val="21"/>
                <w:vertAlign w:val="baseline"/>
                <w:lang w:val="en-US" w:eastAsia="zh-CN"/>
              </w:rPr>
              <w:t>）</w:t>
            </w:r>
          </w:p>
        </w:tc>
        <w:tc>
          <w:tcPr>
            <w:tcW w:w="3221" w:type="pct"/>
          </w:tcPr>
          <w:p w14:paraId="6A1DC7FC">
            <w:pPr>
              <w:pStyle w:val="31"/>
              <w:keepNext w:val="0"/>
              <w:keepLines w:val="0"/>
              <w:suppressLineNumbers w:val="0"/>
              <w:spacing w:before="0" w:beforeAutospacing="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highlight w:val="none"/>
                <w:lang w:val="en-US" w:eastAsia="zh-CN"/>
              </w:rPr>
              <w:t>岱山县机关内部“最多跑一次”平台</w:t>
            </w:r>
          </w:p>
        </w:tc>
        <w:tc>
          <w:tcPr>
            <w:tcW w:w="1204" w:type="pct"/>
          </w:tcPr>
          <w:p w14:paraId="3FD2BA98">
            <w:pPr>
              <w:pStyle w:val="31"/>
              <w:keepNext w:val="0"/>
              <w:keepLines w:val="0"/>
              <w:suppressLineNumbers w:val="0"/>
              <w:spacing w:before="0" w:beforeAutospacing="0" w:afterAutospacing="0" w:line="36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二级</w:t>
            </w:r>
          </w:p>
        </w:tc>
      </w:tr>
    </w:tbl>
    <w:p w14:paraId="033E10EB">
      <w:pPr>
        <w:spacing w:line="360" w:lineRule="auto"/>
        <w:outlineLvl w:val="1"/>
        <w:rPr>
          <w:rFonts w:hint="eastAsia" w:ascii="宋体" w:hAnsi="宋体" w:eastAsia="宋体" w:cs="宋体"/>
          <w:b/>
          <w:sz w:val="21"/>
          <w:szCs w:val="21"/>
        </w:rPr>
      </w:pPr>
      <w:r>
        <w:rPr>
          <w:rFonts w:hint="eastAsia" w:ascii="宋体" w:hAnsi="宋体" w:eastAsia="宋体" w:cs="宋体"/>
          <w:b/>
          <w:sz w:val="21"/>
          <w:szCs w:val="21"/>
        </w:rPr>
        <w:t>十</w:t>
      </w:r>
      <w:r>
        <w:rPr>
          <w:rFonts w:hint="eastAsia" w:ascii="宋体" w:hAnsi="宋体" w:eastAsia="宋体" w:cs="宋体"/>
          <w:b/>
          <w:sz w:val="21"/>
          <w:szCs w:val="21"/>
          <w:lang w:val="en-US" w:eastAsia="zh-CN"/>
        </w:rPr>
        <w:t>二</w:t>
      </w:r>
      <w:r>
        <w:rPr>
          <w:rFonts w:hint="eastAsia" w:ascii="宋体" w:hAnsi="宋体" w:eastAsia="宋体" w:cs="宋体"/>
          <w:b/>
          <w:sz w:val="21"/>
          <w:szCs w:val="21"/>
        </w:rPr>
        <w:t>、延期交货</w:t>
      </w:r>
    </w:p>
    <w:p w14:paraId="24F5914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在履行合同过程中，如果乙方遇到不能按时完成系统的安装、调试情况，应及时以书面形式将不能按时完成系统的安装、调试情况的理由、延误时间通知甲方。甲方收到乙方的通知后，应进行分析，如果同意，可通过修改合同，酌情延长</w:t>
      </w:r>
      <w:r>
        <w:rPr>
          <w:rFonts w:hint="eastAsia" w:ascii="宋体" w:hAnsi="宋体" w:cs="宋体"/>
          <w:sz w:val="21"/>
          <w:szCs w:val="21"/>
          <w:lang w:val="en-US" w:eastAsia="zh-CN"/>
        </w:rPr>
        <w:t>履约</w:t>
      </w:r>
      <w:r>
        <w:rPr>
          <w:rFonts w:hint="eastAsia" w:ascii="宋体" w:hAnsi="宋体" w:eastAsia="宋体" w:cs="宋体"/>
          <w:sz w:val="21"/>
          <w:szCs w:val="21"/>
        </w:rPr>
        <w:t>时间。</w:t>
      </w:r>
    </w:p>
    <w:p w14:paraId="645DC44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2、如果乙方无正当理由不按时完成系统的安装、调试，将承担违约损失赔偿。</w:t>
      </w:r>
    </w:p>
    <w:p w14:paraId="6599C726">
      <w:pPr>
        <w:spacing w:line="360" w:lineRule="auto"/>
        <w:outlineLvl w:val="1"/>
        <w:rPr>
          <w:rFonts w:hint="eastAsia" w:ascii="宋体" w:hAnsi="宋体" w:eastAsia="宋体" w:cs="宋体"/>
          <w:b/>
          <w:sz w:val="21"/>
          <w:szCs w:val="21"/>
        </w:rPr>
      </w:pPr>
      <w:r>
        <w:rPr>
          <w:rFonts w:hint="eastAsia" w:ascii="宋体" w:hAnsi="宋体" w:eastAsia="宋体" w:cs="宋体"/>
          <w:b/>
          <w:sz w:val="21"/>
          <w:szCs w:val="21"/>
        </w:rPr>
        <w:t>十</w:t>
      </w:r>
      <w:r>
        <w:rPr>
          <w:rFonts w:hint="eastAsia" w:ascii="宋体" w:hAnsi="宋体" w:eastAsia="宋体" w:cs="宋体"/>
          <w:b/>
          <w:sz w:val="21"/>
          <w:szCs w:val="21"/>
          <w:lang w:val="en-US" w:eastAsia="zh-CN"/>
        </w:rPr>
        <w:t>三</w:t>
      </w:r>
      <w:r>
        <w:rPr>
          <w:rFonts w:hint="eastAsia" w:ascii="宋体" w:hAnsi="宋体" w:eastAsia="宋体" w:cs="宋体"/>
          <w:b/>
          <w:sz w:val="21"/>
          <w:szCs w:val="21"/>
        </w:rPr>
        <w:t>、违约责任</w:t>
      </w:r>
    </w:p>
    <w:p w14:paraId="505401E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由于乙方过错造成未按期履行交付的，则每延期一日，按照合同总金额的1%向甲方支付违约金；由于乙方过错造成延期交付超过30日的，甲方有权解除合同，乙方除应退还甲方已支付的款项外，还应按合同金额的30%支付违约金，如甲方实际损失高于违约金的以实际损失为准。</w:t>
      </w:r>
    </w:p>
    <w:p w14:paraId="522C257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2、若由于甲方的原因致使乙方不能按期履行交付的，乙方不承担相应的违约责任。</w:t>
      </w:r>
    </w:p>
    <w:p w14:paraId="5BE7B26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3、经甲乙双方友好协商同意，延期交付、调试、延期支付资金且无须罚者可不受上述条款约束。</w:t>
      </w:r>
    </w:p>
    <w:p w14:paraId="37B7A7F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4、系统免费运维期内故障率累计不得超过60天；如达不到要求，超过1次，</w:t>
      </w:r>
      <w:r>
        <w:rPr>
          <w:rFonts w:hint="eastAsia" w:ascii="宋体" w:hAnsi="宋体" w:cs="宋体"/>
          <w:sz w:val="21"/>
          <w:szCs w:val="21"/>
          <w:lang w:val="en-US" w:eastAsia="zh-CN"/>
        </w:rPr>
        <w:t>运维期</w:t>
      </w:r>
      <w:r>
        <w:rPr>
          <w:rFonts w:hint="eastAsia" w:ascii="宋体" w:hAnsi="宋体" w:eastAsia="宋体" w:cs="宋体"/>
          <w:sz w:val="21"/>
          <w:szCs w:val="21"/>
        </w:rPr>
        <w:t>相应延长10天；超过2次，</w:t>
      </w:r>
      <w:r>
        <w:rPr>
          <w:rFonts w:hint="eastAsia" w:ascii="宋体" w:hAnsi="宋体" w:cs="宋体"/>
          <w:sz w:val="21"/>
          <w:szCs w:val="21"/>
          <w:lang w:val="en-US" w:eastAsia="zh-CN"/>
        </w:rPr>
        <w:t>运维期</w:t>
      </w:r>
      <w:r>
        <w:rPr>
          <w:rFonts w:hint="eastAsia" w:ascii="宋体" w:hAnsi="宋体" w:eastAsia="宋体" w:cs="宋体"/>
          <w:sz w:val="21"/>
          <w:szCs w:val="21"/>
        </w:rPr>
        <w:t>相应延长30天；超过3次，甲方有权解除合同。</w:t>
      </w:r>
    </w:p>
    <w:p w14:paraId="37886CF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5、甲乙双方除合同约定解除条款和法定事由外，不得单方解除合同，任何一方违约解除合同，违约方应向非违约方按合同金额的30%支付违约金，并赔偿守约方所遭受的所有损失，且守约方有权单方解除本合同。</w:t>
      </w:r>
    </w:p>
    <w:p w14:paraId="277D6E0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6、因乙方侵犯第三方的专利权、版权、工业履行合同义务权或其他知识产权而引起的任何责任均应由乙方承担。</w:t>
      </w:r>
    </w:p>
    <w:p w14:paraId="34C6365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7、在诉讼期间，除正在进行诉讼的部分外，本合同其它部分可继续执行。</w:t>
      </w:r>
    </w:p>
    <w:p w14:paraId="1D5EFDAF">
      <w:pPr>
        <w:spacing w:line="360" w:lineRule="auto"/>
        <w:outlineLvl w:val="1"/>
        <w:rPr>
          <w:rFonts w:hint="eastAsia" w:ascii="宋体" w:hAnsi="宋体" w:eastAsia="宋体" w:cs="宋体"/>
          <w:b/>
          <w:sz w:val="21"/>
          <w:szCs w:val="21"/>
        </w:rPr>
      </w:pPr>
      <w:r>
        <w:rPr>
          <w:rFonts w:hint="eastAsia" w:ascii="宋体" w:hAnsi="宋体" w:eastAsia="宋体" w:cs="宋体"/>
          <w:b/>
          <w:sz w:val="21"/>
          <w:szCs w:val="21"/>
        </w:rPr>
        <w:t>十</w:t>
      </w:r>
      <w:r>
        <w:rPr>
          <w:rFonts w:hint="eastAsia" w:ascii="宋体" w:hAnsi="宋体" w:eastAsia="宋体" w:cs="宋体"/>
          <w:b/>
          <w:sz w:val="21"/>
          <w:szCs w:val="21"/>
          <w:lang w:val="en-US" w:eastAsia="zh-CN"/>
        </w:rPr>
        <w:t>四</w:t>
      </w:r>
      <w:r>
        <w:rPr>
          <w:rFonts w:hint="eastAsia" w:ascii="宋体" w:hAnsi="宋体" w:eastAsia="宋体" w:cs="宋体"/>
          <w:b/>
          <w:sz w:val="21"/>
          <w:szCs w:val="21"/>
        </w:rPr>
        <w:t>、争议的解决</w:t>
      </w:r>
    </w:p>
    <w:p w14:paraId="1C57F09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1、甲乙双方应通过友好协商，解决在执行本合同中所发生的或与本合同有关的一切争端，如果协商得不到解决，任何一方均可按《中华人民共和国</w:t>
      </w:r>
      <w:r>
        <w:rPr>
          <w:rFonts w:hint="eastAsia" w:ascii="宋体" w:hAnsi="宋体" w:eastAsia="宋体" w:cs="宋体"/>
          <w:sz w:val="21"/>
          <w:szCs w:val="21"/>
          <w:lang w:val="en-US" w:eastAsia="zh-CN"/>
        </w:rPr>
        <w:t>民事诉讼法</w:t>
      </w:r>
      <w:r>
        <w:rPr>
          <w:rFonts w:hint="eastAsia" w:ascii="宋体" w:hAnsi="宋体" w:eastAsia="宋体" w:cs="宋体"/>
          <w:sz w:val="21"/>
          <w:szCs w:val="21"/>
        </w:rPr>
        <w:t>》规定提交诉讼，诉讼应在甲方所在地进行。</w:t>
      </w:r>
    </w:p>
    <w:p w14:paraId="209D30E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2、诉讼费应由败诉方负担。</w:t>
      </w:r>
    </w:p>
    <w:p w14:paraId="2F035DD7">
      <w:pPr>
        <w:spacing w:line="360" w:lineRule="auto"/>
        <w:outlineLvl w:val="1"/>
        <w:rPr>
          <w:rFonts w:hint="eastAsia" w:ascii="宋体" w:hAnsi="宋体" w:eastAsia="宋体" w:cs="宋体"/>
          <w:b/>
          <w:sz w:val="21"/>
          <w:szCs w:val="21"/>
        </w:rPr>
      </w:pPr>
      <w:r>
        <w:rPr>
          <w:rFonts w:hint="eastAsia" w:ascii="宋体" w:hAnsi="宋体" w:eastAsia="宋体" w:cs="宋体"/>
          <w:b/>
          <w:sz w:val="21"/>
          <w:szCs w:val="21"/>
        </w:rPr>
        <w:t>十</w:t>
      </w:r>
      <w:r>
        <w:rPr>
          <w:rFonts w:hint="eastAsia" w:ascii="宋体" w:hAnsi="宋体" w:eastAsia="宋体" w:cs="宋体"/>
          <w:b/>
          <w:sz w:val="21"/>
          <w:szCs w:val="21"/>
          <w:lang w:val="en-US" w:eastAsia="zh-CN"/>
        </w:rPr>
        <w:t>五</w:t>
      </w:r>
      <w:r>
        <w:rPr>
          <w:rFonts w:hint="eastAsia" w:ascii="宋体" w:hAnsi="宋体" w:eastAsia="宋体" w:cs="宋体"/>
          <w:b/>
          <w:sz w:val="21"/>
          <w:szCs w:val="21"/>
        </w:rPr>
        <w:t>、合同修改</w:t>
      </w:r>
    </w:p>
    <w:p w14:paraId="2D4B1CC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合同条款的任何改动，均须由合同签署双方签署合同修改书或合同补充协议。该合同修改或补充被视为本合同的组成部分，具有与本合同同等法律效力。</w:t>
      </w:r>
    </w:p>
    <w:p w14:paraId="1177D421">
      <w:pPr>
        <w:spacing w:line="360" w:lineRule="auto"/>
        <w:outlineLvl w:val="1"/>
        <w:rPr>
          <w:rFonts w:hint="eastAsia" w:ascii="宋体" w:hAnsi="宋体" w:eastAsia="宋体" w:cs="宋体"/>
          <w:b/>
          <w:sz w:val="21"/>
          <w:szCs w:val="21"/>
        </w:rPr>
      </w:pPr>
      <w:r>
        <w:rPr>
          <w:rFonts w:hint="eastAsia" w:ascii="宋体" w:hAnsi="宋体" w:eastAsia="宋体" w:cs="宋体"/>
          <w:b/>
          <w:sz w:val="21"/>
          <w:szCs w:val="21"/>
        </w:rPr>
        <w:t>十</w:t>
      </w:r>
      <w:r>
        <w:rPr>
          <w:rFonts w:hint="eastAsia" w:ascii="宋体" w:hAnsi="宋体" w:eastAsia="宋体" w:cs="宋体"/>
          <w:b/>
          <w:sz w:val="21"/>
          <w:szCs w:val="21"/>
          <w:lang w:val="en-US" w:eastAsia="zh-CN"/>
        </w:rPr>
        <w:t>六</w:t>
      </w:r>
      <w:r>
        <w:rPr>
          <w:rFonts w:hint="eastAsia" w:ascii="宋体" w:hAnsi="宋体" w:eastAsia="宋体" w:cs="宋体"/>
          <w:b/>
          <w:sz w:val="21"/>
          <w:szCs w:val="21"/>
        </w:rPr>
        <w:t>、不可抗力的处理</w:t>
      </w:r>
    </w:p>
    <w:p w14:paraId="127E62F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1、在合同有效期内，任何一方因不可抗力事件导致不能履行合同，则合同履行期可延长，其延长期与不可抗力影响期相同。</w:t>
      </w:r>
    </w:p>
    <w:p w14:paraId="1E76519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2、不可抗力的事故发生后尽快通知另一方，将有关部门出具的证明文件用挂号信邮寄或派人送达另一方。</w:t>
      </w:r>
    </w:p>
    <w:p w14:paraId="3592DC60">
      <w:pPr>
        <w:spacing w:line="360" w:lineRule="auto"/>
        <w:outlineLvl w:val="1"/>
        <w:rPr>
          <w:rFonts w:hint="eastAsia" w:ascii="宋体" w:hAnsi="宋体" w:eastAsia="宋体" w:cs="宋体"/>
          <w:sz w:val="21"/>
          <w:szCs w:val="21"/>
        </w:rPr>
      </w:pPr>
      <w:r>
        <w:rPr>
          <w:rFonts w:hint="eastAsia" w:ascii="宋体" w:hAnsi="宋体" w:eastAsia="宋体" w:cs="宋体"/>
          <w:b/>
          <w:sz w:val="21"/>
          <w:szCs w:val="21"/>
        </w:rPr>
        <w:t>十</w:t>
      </w:r>
      <w:r>
        <w:rPr>
          <w:rFonts w:hint="eastAsia" w:ascii="宋体" w:hAnsi="宋体" w:eastAsia="宋体" w:cs="宋体"/>
          <w:b/>
          <w:sz w:val="21"/>
          <w:szCs w:val="21"/>
          <w:lang w:val="en-US" w:eastAsia="zh-CN"/>
        </w:rPr>
        <w:t>七</w:t>
      </w:r>
      <w:r>
        <w:rPr>
          <w:rFonts w:hint="eastAsia" w:ascii="宋体" w:hAnsi="宋体" w:eastAsia="宋体" w:cs="宋体"/>
          <w:b/>
          <w:sz w:val="21"/>
          <w:szCs w:val="21"/>
        </w:rPr>
        <w:t>、适用法律</w:t>
      </w:r>
    </w:p>
    <w:p w14:paraId="5BBA519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甲乙双方所订立的合同应按照中华人民共和国的法律进行解释。</w:t>
      </w:r>
    </w:p>
    <w:p w14:paraId="35DF5A1F">
      <w:pPr>
        <w:spacing w:line="360" w:lineRule="auto"/>
        <w:outlineLvl w:val="1"/>
        <w:rPr>
          <w:rFonts w:hint="eastAsia" w:ascii="宋体" w:hAnsi="宋体" w:eastAsia="宋体" w:cs="宋体"/>
          <w:sz w:val="21"/>
          <w:szCs w:val="21"/>
        </w:rPr>
      </w:pPr>
      <w:r>
        <w:rPr>
          <w:rFonts w:hint="eastAsia" w:ascii="宋体" w:hAnsi="宋体" w:eastAsia="宋体" w:cs="宋体"/>
          <w:b/>
          <w:sz w:val="21"/>
          <w:szCs w:val="21"/>
        </w:rPr>
        <w:t>十</w:t>
      </w:r>
      <w:r>
        <w:rPr>
          <w:rFonts w:hint="eastAsia" w:ascii="宋体" w:hAnsi="宋体" w:eastAsia="宋体" w:cs="宋体"/>
          <w:b/>
          <w:sz w:val="21"/>
          <w:szCs w:val="21"/>
          <w:lang w:val="en-US" w:eastAsia="zh-CN"/>
        </w:rPr>
        <w:t>八</w:t>
      </w:r>
      <w:r>
        <w:rPr>
          <w:rFonts w:hint="eastAsia" w:ascii="宋体" w:hAnsi="宋体" w:eastAsia="宋体" w:cs="宋体"/>
          <w:b/>
          <w:sz w:val="21"/>
          <w:szCs w:val="21"/>
        </w:rPr>
        <w:t>、合同生效及其它</w:t>
      </w:r>
    </w:p>
    <w:p w14:paraId="6E3A404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1、合同经双方法定代表人或授权委托代理人签字并加盖单位公章后生效。</w:t>
      </w:r>
    </w:p>
    <w:p w14:paraId="60415F1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2、合同执行中涉及采购资金和采购内容修改或补充的，须经财政部门审批，并</w:t>
      </w:r>
      <w:r>
        <w:rPr>
          <w:rFonts w:hint="eastAsia" w:ascii="宋体" w:hAnsi="宋体" w:eastAsia="宋体" w:cs="宋体"/>
          <w:sz w:val="21"/>
          <w:szCs w:val="21"/>
          <w:lang w:eastAsia="zh-CN"/>
        </w:rPr>
        <w:t>签订</w:t>
      </w:r>
      <w:r>
        <w:rPr>
          <w:rFonts w:hint="eastAsia" w:ascii="宋体" w:hAnsi="宋体" w:eastAsia="宋体" w:cs="宋体"/>
          <w:sz w:val="21"/>
          <w:szCs w:val="21"/>
        </w:rPr>
        <w:t>书面补充协议报财政部门备案，方可作为主合同不可分割的一部分。</w:t>
      </w:r>
    </w:p>
    <w:p w14:paraId="20DB65A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3、本合同未尽事宜，遵照</w:t>
      </w:r>
      <w:r>
        <w:rPr>
          <w:rFonts w:hint="eastAsia" w:ascii="宋体" w:hAnsi="宋体" w:eastAsia="宋体" w:cs="宋体"/>
          <w:sz w:val="21"/>
          <w:szCs w:val="21"/>
          <w:lang w:val="en-US" w:eastAsia="zh-CN"/>
        </w:rPr>
        <w:t>中华人民共和国相关法律法规</w:t>
      </w:r>
      <w:r>
        <w:rPr>
          <w:rFonts w:hint="eastAsia" w:ascii="宋体" w:hAnsi="宋体" w:eastAsia="宋体" w:cs="宋体"/>
          <w:sz w:val="21"/>
          <w:szCs w:val="21"/>
        </w:rPr>
        <w:t>有关条文执行。</w:t>
      </w:r>
    </w:p>
    <w:p w14:paraId="49B11DA6">
      <w:pPr>
        <w:spacing w:line="360" w:lineRule="auto"/>
        <w:ind w:firstLine="420" w:firstLineChars="200"/>
        <w:rPr>
          <w:rFonts w:hint="eastAsia"/>
        </w:rPr>
      </w:pPr>
      <w:r>
        <w:rPr>
          <w:rFonts w:hint="eastAsia" w:ascii="宋体" w:hAnsi="宋体" w:eastAsia="宋体" w:cs="宋体"/>
          <w:sz w:val="21"/>
          <w:szCs w:val="21"/>
        </w:rPr>
        <w:t>4、本合同正本一式</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份，具有同等法律效力，甲乙双方各执</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份，招标代理机构执1份。</w:t>
      </w:r>
    </w:p>
    <w:p w14:paraId="4D2A16FC">
      <w:pPr>
        <w:spacing w:line="360" w:lineRule="auto"/>
        <w:ind w:firstLine="420" w:firstLineChars="200"/>
        <w:rPr>
          <w:rFonts w:hint="eastAsia" w:ascii="宋体" w:hAnsi="宋体" w:cs="宋体"/>
          <w:szCs w:val="21"/>
        </w:rPr>
      </w:pPr>
    </w:p>
    <w:p w14:paraId="3E6F623F">
      <w:pPr>
        <w:spacing w:line="360" w:lineRule="auto"/>
        <w:ind w:firstLine="420" w:firstLineChars="200"/>
        <w:rPr>
          <w:rFonts w:ascii="宋体" w:hAnsi="宋体" w:cs="宋体"/>
          <w:szCs w:val="21"/>
        </w:rPr>
      </w:pPr>
      <w:r>
        <w:rPr>
          <w:rFonts w:hint="eastAsia" w:ascii="宋体" w:hAnsi="宋体" w:cs="宋体"/>
          <w:szCs w:val="21"/>
        </w:rPr>
        <w:t xml:space="preserve">甲方：（盖章）                                 乙方：（盖章） </w:t>
      </w:r>
    </w:p>
    <w:p w14:paraId="359CD007">
      <w:pPr>
        <w:spacing w:line="360" w:lineRule="auto"/>
        <w:ind w:firstLine="420" w:firstLineChars="200"/>
        <w:rPr>
          <w:rFonts w:ascii="宋体" w:hAnsi="宋体" w:cs="宋体"/>
          <w:szCs w:val="21"/>
        </w:rPr>
      </w:pPr>
      <w:r>
        <w:rPr>
          <w:rFonts w:hint="eastAsia" w:ascii="宋体" w:hAnsi="宋体" w:cs="宋体"/>
          <w:szCs w:val="21"/>
        </w:rPr>
        <w:t xml:space="preserve">地址：                                         地址： </w:t>
      </w:r>
    </w:p>
    <w:p w14:paraId="0D68A85D">
      <w:pPr>
        <w:spacing w:line="360" w:lineRule="auto"/>
        <w:ind w:firstLine="420" w:firstLineChars="200"/>
        <w:rPr>
          <w:rFonts w:ascii="宋体" w:hAnsi="宋体" w:cs="宋体"/>
          <w:szCs w:val="21"/>
        </w:rPr>
      </w:pPr>
      <w:r>
        <w:rPr>
          <w:rFonts w:hint="eastAsia" w:ascii="宋体" w:hAnsi="宋体" w:cs="宋体"/>
          <w:szCs w:val="21"/>
        </w:rPr>
        <w:t>法定代表人或授权签字代表：（签字）             法定代表人或授权签字代表：（签字）</w:t>
      </w:r>
    </w:p>
    <w:p w14:paraId="28934592">
      <w:pPr>
        <w:spacing w:line="360" w:lineRule="auto"/>
        <w:ind w:firstLine="420" w:firstLineChars="200"/>
        <w:rPr>
          <w:rFonts w:ascii="宋体" w:hAnsi="宋体" w:cs="宋体"/>
          <w:szCs w:val="21"/>
        </w:rPr>
      </w:pPr>
      <w:r>
        <w:rPr>
          <w:rFonts w:hint="eastAsia" w:ascii="宋体" w:hAnsi="宋体" w:cs="宋体"/>
          <w:szCs w:val="21"/>
        </w:rPr>
        <w:t>签订日期：   年  月  日                        签订日期：   年  月  日</w:t>
      </w:r>
    </w:p>
    <w:p w14:paraId="38639DCC">
      <w:pPr>
        <w:spacing w:line="360" w:lineRule="auto"/>
        <w:ind w:firstLine="420" w:firstLineChars="200"/>
        <w:rPr>
          <w:rFonts w:ascii="宋体" w:hAnsi="宋体" w:cs="宋体"/>
          <w:szCs w:val="21"/>
        </w:rPr>
      </w:pPr>
      <w:r>
        <w:rPr>
          <w:rFonts w:hint="eastAsia" w:ascii="宋体" w:hAnsi="宋体" w:cs="宋体"/>
          <w:szCs w:val="21"/>
        </w:rPr>
        <w:t>甲方收款银行：                                 乙方收款银行：</w:t>
      </w:r>
    </w:p>
    <w:p w14:paraId="17F2CFB3">
      <w:pPr>
        <w:spacing w:line="360" w:lineRule="auto"/>
        <w:ind w:firstLine="420" w:firstLineChars="200"/>
        <w:rPr>
          <w:rFonts w:ascii="宋体" w:hAnsi="宋体" w:cs="宋体"/>
          <w:szCs w:val="21"/>
        </w:rPr>
      </w:pPr>
      <w:r>
        <w:rPr>
          <w:rFonts w:hint="eastAsia" w:ascii="宋体" w:hAnsi="宋体" w:cs="宋体"/>
          <w:szCs w:val="21"/>
        </w:rPr>
        <w:t>甲方收款开户账号：                             乙方收款开户账号：</w:t>
      </w:r>
    </w:p>
    <w:p w14:paraId="2429692A">
      <w:pPr>
        <w:snapToGrid w:val="0"/>
        <w:spacing w:line="420" w:lineRule="atLeast"/>
        <w:rPr>
          <w:rFonts w:hint="eastAsia" w:ascii="宋体" w:hAnsi="宋体" w:cs="宋体"/>
          <w:szCs w:val="21"/>
        </w:rPr>
      </w:pPr>
    </w:p>
    <w:p w14:paraId="0C6F7404">
      <w:pPr>
        <w:snapToGrid w:val="0"/>
        <w:spacing w:line="420" w:lineRule="atLeast"/>
        <w:rPr>
          <w:rFonts w:hint="eastAsia" w:ascii="宋体" w:hAnsi="宋体" w:cs="宋体"/>
          <w:szCs w:val="21"/>
        </w:rPr>
      </w:pPr>
      <w:r>
        <w:rPr>
          <w:rFonts w:hint="eastAsia" w:ascii="宋体" w:hAnsi="宋体" w:cs="宋体"/>
          <w:szCs w:val="21"/>
        </w:rPr>
        <w:t>鉴证方：（盖章）</w:t>
      </w:r>
    </w:p>
    <w:p w14:paraId="4A7865F9">
      <w:pPr>
        <w:snapToGrid w:val="0"/>
        <w:spacing w:line="360" w:lineRule="auto"/>
        <w:rPr>
          <w:rFonts w:hint="eastAsia" w:ascii="宋体" w:hAnsi="宋体" w:cs="宋体"/>
          <w:color w:val="000000"/>
          <w:szCs w:val="21"/>
        </w:rPr>
      </w:pPr>
    </w:p>
    <w:p w14:paraId="6037997B">
      <w:pPr>
        <w:snapToGrid w:val="0"/>
        <w:spacing w:line="360" w:lineRule="auto"/>
        <w:rPr>
          <w:rFonts w:ascii="宋体" w:hAnsi="宋体" w:cs="宋体"/>
          <w:color w:val="000000"/>
          <w:szCs w:val="21"/>
        </w:rPr>
      </w:pPr>
      <w:r>
        <w:rPr>
          <w:rFonts w:hint="eastAsia" w:ascii="宋体" w:hAnsi="宋体" w:cs="宋体"/>
          <w:color w:val="000000"/>
          <w:szCs w:val="21"/>
        </w:rPr>
        <w:t>注意事项：</w:t>
      </w:r>
    </w:p>
    <w:p w14:paraId="05BF436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1.用于政府采购信用融资的政府采购合同：</w:t>
      </w:r>
    </w:p>
    <w:p w14:paraId="1807379E">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（1）应当包含如下条款：</w:t>
      </w:r>
    </w:p>
    <w:p w14:paraId="1DA76F31">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“第</w:t>
      </w:r>
      <w:r>
        <w:rPr>
          <w:rFonts w:hint="eastAsia" w:ascii="宋体" w:hAnsi="宋体" w:cs="宋体"/>
          <w:color w:val="000000"/>
          <w:szCs w:val="21"/>
          <w:u w:val="single"/>
        </w:rPr>
        <w:t xml:space="preserve">   </w:t>
      </w:r>
      <w:r>
        <w:rPr>
          <w:rFonts w:hint="eastAsia" w:ascii="宋体" w:hAnsi="宋体" w:cs="宋体"/>
          <w:color w:val="000000"/>
          <w:szCs w:val="21"/>
        </w:rPr>
        <w:t>条：政府采购合同贷款</w:t>
      </w:r>
    </w:p>
    <w:p w14:paraId="7CE05134">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本合同同时用于乙方向</w:t>
      </w:r>
      <w:r>
        <w:rPr>
          <w:rFonts w:hint="eastAsia" w:ascii="宋体" w:hAnsi="宋体" w:cs="宋体"/>
          <w:color w:val="000000"/>
          <w:szCs w:val="21"/>
          <w:u w:val="single"/>
        </w:rPr>
        <w:t xml:space="preserve">      </w:t>
      </w:r>
      <w:r>
        <w:rPr>
          <w:rFonts w:hint="eastAsia" w:ascii="宋体" w:hAnsi="宋体" w:cs="宋体"/>
          <w:color w:val="000000"/>
          <w:szCs w:val="21"/>
        </w:rPr>
        <w:t>银行（金融机构）申请政府采购信用贷款。</w:t>
      </w:r>
    </w:p>
    <w:p w14:paraId="48F04B10">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本合同一经签订，原则上不得更改乙方收款账户信息。</w:t>
      </w:r>
      <w:r>
        <w:rPr>
          <w:rFonts w:hint="eastAsia" w:ascii="宋体" w:hAnsi="宋体" w:cs="宋体"/>
          <w:color w:val="000000"/>
          <w:szCs w:val="21"/>
          <w:lang w:eastAsia="zh-CN"/>
        </w:rPr>
        <w:t>确需</w:t>
      </w:r>
      <w:r>
        <w:rPr>
          <w:rFonts w:hint="eastAsia" w:ascii="宋体" w:hAnsi="宋体" w:cs="宋体"/>
          <w:color w:val="000000"/>
          <w:szCs w:val="21"/>
        </w:rPr>
        <w:t>更改的，乙方应取得原合同收款账户开户银行书面同意，否则修改后的合同不予备案，采购资金不予支付。”</w:t>
      </w:r>
    </w:p>
    <w:p w14:paraId="4918A463">
      <w:pPr>
        <w:snapToGrid w:val="0"/>
        <w:spacing w:line="360" w:lineRule="auto"/>
        <w:ind w:firstLine="420" w:firstLineChars="200"/>
        <w:rPr>
          <w:rFonts w:hint="eastAsia" w:ascii="宋体" w:hAnsi="宋体" w:cs="宋体"/>
          <w:b/>
          <w:sz w:val="28"/>
          <w:szCs w:val="28"/>
        </w:rPr>
      </w:pP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rPr>
        <w:t>）乙方需确保政府采购合同的收款账户与融资银行开户账户一致。</w:t>
      </w:r>
    </w:p>
    <w:p w14:paraId="2AD31411">
      <w:pPr>
        <w:rPr>
          <w:rFonts w:ascii="宋体" w:hAnsi="宋体" w:cs="宋体"/>
          <w:szCs w:val="21"/>
        </w:rPr>
      </w:pPr>
    </w:p>
    <w:p w14:paraId="3471248B"/>
    <w:p w14:paraId="59692DB6">
      <w:pPr>
        <w:pStyle w:val="3"/>
        <w:snapToGrid w:val="0"/>
        <w:spacing w:before="120" w:after="120" w:line="360" w:lineRule="auto"/>
        <w:ind w:left="602" w:hanging="602" w:hangingChars="200"/>
        <w:jc w:val="center"/>
        <w:outlineLvl w:val="0"/>
        <w:rPr>
          <w:rFonts w:hAnsi="宋体" w:cs="宋体"/>
          <w:b/>
          <w:sz w:val="28"/>
          <w:szCs w:val="28"/>
        </w:rPr>
      </w:pPr>
      <w:r>
        <w:rPr>
          <w:rFonts w:hint="eastAsia" w:asciiTheme="minorEastAsia" w:hAnsiTheme="minorEastAsia" w:eastAsiaTheme="minorEastAsia"/>
          <w:b/>
        </w:rPr>
        <w:br w:type="page"/>
      </w:r>
      <w:bookmarkStart w:id="45" w:name="_Toc32435"/>
      <w:bookmarkStart w:id="46" w:name="_Toc21996"/>
      <w:bookmarkStart w:id="47" w:name="_Toc15200"/>
      <w:r>
        <w:rPr>
          <w:rFonts w:hint="eastAsia" w:hAnsi="宋体" w:eastAsia="宋体" w:cs="宋体"/>
          <w:b/>
          <w:sz w:val="28"/>
          <w:szCs w:val="28"/>
        </w:rPr>
        <w:t>第六章  投标文件组成</w:t>
      </w:r>
      <w:bookmarkEnd w:id="45"/>
      <w:bookmarkEnd w:id="46"/>
      <w:bookmarkEnd w:id="47"/>
    </w:p>
    <w:p w14:paraId="3EB311DA">
      <w:pPr>
        <w:snapToGrid w:val="0"/>
        <w:spacing w:line="360" w:lineRule="auto"/>
        <w:ind w:firstLine="417" w:firstLineChars="198"/>
        <w:rPr>
          <w:rFonts w:ascii="宋体" w:hAnsi="宋体" w:cs="宋体"/>
          <w:b/>
          <w:szCs w:val="21"/>
        </w:rPr>
      </w:pPr>
      <w:r>
        <w:rPr>
          <w:rFonts w:hint="eastAsia" w:ascii="宋体" w:hAnsi="宋体" w:cs="宋体"/>
          <w:b/>
          <w:szCs w:val="21"/>
        </w:rPr>
        <w:t>投标文件由投标报价文件、资格证明文件、商务文件、技术文件组成。投标文件中涉及的有关内容均须提供合法有效的证明材料复印件。（复印件未加盖公章作无效处理，特别注明的除外，有▲标识的条款为必须提交的资料）</w:t>
      </w:r>
    </w:p>
    <w:p w14:paraId="424B8417">
      <w:pPr>
        <w:snapToGrid w:val="0"/>
        <w:spacing w:line="360" w:lineRule="auto"/>
        <w:ind w:firstLine="211" w:firstLineChars="100"/>
        <w:jc w:val="left"/>
        <w:outlineLvl w:val="1"/>
        <w:rPr>
          <w:rFonts w:ascii="宋体" w:hAnsi="宋体" w:cs="宋体"/>
          <w:b/>
          <w:szCs w:val="21"/>
        </w:rPr>
      </w:pPr>
      <w:bookmarkStart w:id="48" w:name="_Toc32054"/>
      <w:r>
        <w:rPr>
          <w:rFonts w:hint="eastAsia" w:ascii="宋体" w:hAnsi="宋体" w:cs="宋体"/>
          <w:b/>
          <w:szCs w:val="21"/>
        </w:rPr>
        <w:t>1、投标报价文件部分</w:t>
      </w:r>
      <w:bookmarkEnd w:id="48"/>
    </w:p>
    <w:p w14:paraId="7DB561BD">
      <w:pPr>
        <w:snapToGrid w:val="0"/>
        <w:spacing w:line="360" w:lineRule="auto"/>
        <w:jc w:val="left"/>
        <w:rPr>
          <w:rFonts w:ascii="宋体" w:hAnsi="宋体" w:cs="宋体"/>
          <w:b/>
          <w:szCs w:val="21"/>
        </w:rPr>
      </w:pPr>
      <w:r>
        <w:rPr>
          <w:rFonts w:hint="eastAsia" w:ascii="宋体" w:hAnsi="宋体" w:cs="宋体"/>
          <w:b/>
          <w:szCs w:val="21"/>
        </w:rPr>
        <w:t>（投标报价信息不得出现在资格证明、商务、技术文件中，否则将导致投标无效。）</w:t>
      </w:r>
    </w:p>
    <w:p w14:paraId="0DDD0CD9">
      <w:pPr>
        <w:snapToGrid w:val="0"/>
        <w:spacing w:line="360" w:lineRule="auto"/>
        <w:ind w:firstLine="211" w:firstLineChars="100"/>
        <w:rPr>
          <w:rFonts w:ascii="宋体" w:hAnsi="宋体" w:cs="宋体"/>
          <w:b/>
          <w:szCs w:val="21"/>
        </w:rPr>
      </w:pPr>
      <w:r>
        <w:rPr>
          <w:rFonts w:hint="eastAsia" w:ascii="宋体" w:hAnsi="宋体" w:cs="宋体"/>
          <w:b/>
          <w:szCs w:val="21"/>
        </w:rPr>
        <w:t>▲1.1开标一览表；（格式一）</w:t>
      </w:r>
    </w:p>
    <w:p w14:paraId="4D5BFCFF">
      <w:pPr>
        <w:snapToGrid w:val="0"/>
        <w:spacing w:line="360" w:lineRule="auto"/>
        <w:ind w:firstLine="211" w:firstLineChars="100"/>
        <w:rPr>
          <w:rFonts w:hint="eastAsia" w:ascii="宋体" w:hAnsi="宋体" w:cs="宋体"/>
          <w:b/>
          <w:szCs w:val="21"/>
        </w:rPr>
      </w:pPr>
      <w:r>
        <w:rPr>
          <w:rFonts w:hint="eastAsia" w:ascii="宋体" w:hAnsi="宋体" w:cs="宋体"/>
          <w:b/>
          <w:szCs w:val="21"/>
        </w:rPr>
        <w:t>▲1.2报价</w:t>
      </w:r>
      <w:r>
        <w:rPr>
          <w:rFonts w:hint="eastAsia" w:ascii="宋体" w:hAnsi="宋体" w:cs="宋体"/>
          <w:b/>
          <w:szCs w:val="21"/>
          <w:lang w:eastAsia="zh-CN"/>
        </w:rPr>
        <w:t>明细表</w:t>
      </w:r>
      <w:r>
        <w:rPr>
          <w:rFonts w:hint="eastAsia" w:ascii="宋体" w:hAnsi="宋体" w:cs="宋体"/>
          <w:b/>
          <w:szCs w:val="21"/>
        </w:rPr>
        <w:t>；（格式二）</w:t>
      </w:r>
    </w:p>
    <w:p w14:paraId="6BED5F40">
      <w:pPr>
        <w:snapToGrid w:val="0"/>
        <w:spacing w:line="360" w:lineRule="auto"/>
        <w:ind w:firstLine="420" w:firstLineChars="200"/>
        <w:rPr>
          <w:rFonts w:hint="eastAsia" w:ascii="宋体" w:hAnsi="宋体" w:cs="宋体"/>
          <w:b/>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享受价格扣除优惠政策相关证明文件：投标人须提供《中小企业声明函》（监狱企业须提供由省级以上监狱管理局、戒毒管理局（含新疆生产建设兵团）出具的属于监狱企业的证明文件；残疾人福利性单位须提供《残疾人福利性单位声明函》）。（格式</w:t>
      </w:r>
      <w:r>
        <w:rPr>
          <w:rFonts w:hint="eastAsia" w:ascii="宋体" w:hAnsi="宋体" w:cs="宋体"/>
          <w:szCs w:val="21"/>
          <w:lang w:val="en-US" w:eastAsia="zh-CN"/>
        </w:rPr>
        <w:t>三</w:t>
      </w:r>
      <w:r>
        <w:rPr>
          <w:rFonts w:hint="eastAsia" w:ascii="宋体" w:hAnsi="宋体" w:cs="宋体"/>
          <w:szCs w:val="21"/>
        </w:rPr>
        <w:t>-</w:t>
      </w:r>
      <w:r>
        <w:rPr>
          <w:rFonts w:hint="eastAsia" w:ascii="宋体" w:hAnsi="宋体" w:cs="宋体"/>
          <w:szCs w:val="21"/>
          <w:lang w:val="en-US" w:eastAsia="zh-CN"/>
        </w:rPr>
        <w:t>四</w:t>
      </w:r>
      <w:r>
        <w:rPr>
          <w:rFonts w:hint="eastAsia" w:ascii="宋体" w:hAnsi="宋体" w:cs="宋体"/>
          <w:szCs w:val="21"/>
        </w:rPr>
        <w:t>）</w:t>
      </w:r>
    </w:p>
    <w:p w14:paraId="56E388C5">
      <w:pPr>
        <w:snapToGrid w:val="0"/>
        <w:spacing w:line="360" w:lineRule="auto"/>
        <w:outlineLvl w:val="1"/>
        <w:rPr>
          <w:rFonts w:ascii="宋体" w:hAnsi="宋体" w:cs="宋体"/>
          <w:b/>
          <w:szCs w:val="21"/>
        </w:rPr>
      </w:pPr>
      <w:bookmarkStart w:id="49" w:name="_Toc30288"/>
      <w:r>
        <w:rPr>
          <w:rFonts w:hint="eastAsia" w:ascii="宋体" w:hAnsi="宋体" w:cs="宋体"/>
          <w:b/>
          <w:szCs w:val="21"/>
        </w:rPr>
        <w:t>▲2、资格证明文件部分</w:t>
      </w:r>
      <w:bookmarkEnd w:id="49"/>
    </w:p>
    <w:p w14:paraId="01EE49C8">
      <w:pPr>
        <w:snapToGrid w:val="0"/>
        <w:spacing w:line="360" w:lineRule="auto"/>
        <w:ind w:firstLine="417" w:firstLineChars="198"/>
        <w:rPr>
          <w:rFonts w:hint="eastAsia" w:ascii="宋体" w:hAnsi="宋体" w:cs="宋体"/>
          <w:b/>
          <w:szCs w:val="21"/>
          <w:lang w:eastAsia="zh-CN"/>
        </w:rPr>
      </w:pPr>
      <w:bookmarkStart w:id="50" w:name="_Toc1443"/>
      <w:r>
        <w:rPr>
          <w:rFonts w:hint="eastAsia" w:ascii="宋体" w:hAnsi="宋体" w:cs="宋体"/>
          <w:b/>
          <w:szCs w:val="21"/>
        </w:rPr>
        <w:t>2.1投标人具有独立承担民事责任的能力证明资料</w:t>
      </w:r>
      <w:r>
        <w:rPr>
          <w:rFonts w:hint="eastAsia" w:ascii="宋体" w:hAnsi="宋体" w:cs="宋体"/>
          <w:b/>
          <w:szCs w:val="21"/>
          <w:lang w:eastAsia="zh-CN"/>
        </w:rPr>
        <w:t>：投标人须在投标文件中出具符合以下情况的证明材料复印件（五选一）</w:t>
      </w:r>
    </w:p>
    <w:p w14:paraId="216B052C">
      <w:pPr>
        <w:snapToGrid w:val="0"/>
        <w:spacing w:line="360" w:lineRule="auto"/>
        <w:ind w:firstLine="417" w:firstLineChars="198"/>
        <w:rPr>
          <w:rFonts w:hint="eastAsia" w:ascii="宋体" w:hAnsi="宋体" w:cs="宋体"/>
          <w:b/>
          <w:szCs w:val="21"/>
          <w:lang w:eastAsia="zh-CN"/>
        </w:rPr>
      </w:pPr>
      <w:r>
        <w:rPr>
          <w:rFonts w:hint="eastAsia" w:ascii="宋体" w:hAnsi="宋体" w:cs="宋体"/>
          <w:b/>
          <w:szCs w:val="21"/>
          <w:lang w:eastAsia="zh-CN"/>
        </w:rPr>
        <w:t>a)如供应商是企业（包括合伙企业），提供在工商部门注册的有效“企业法人营业执照”或“营业执照”；</w:t>
      </w:r>
    </w:p>
    <w:p w14:paraId="7DCAECA3">
      <w:pPr>
        <w:snapToGrid w:val="0"/>
        <w:spacing w:line="360" w:lineRule="auto"/>
        <w:ind w:firstLine="417" w:firstLineChars="198"/>
        <w:rPr>
          <w:rFonts w:hint="eastAsia" w:ascii="宋体" w:hAnsi="宋体" w:cs="宋体"/>
          <w:b/>
          <w:szCs w:val="21"/>
          <w:lang w:eastAsia="zh-CN"/>
        </w:rPr>
      </w:pPr>
      <w:r>
        <w:rPr>
          <w:rFonts w:hint="eastAsia" w:ascii="宋体" w:hAnsi="宋体" w:cs="宋体"/>
          <w:b/>
          <w:szCs w:val="21"/>
          <w:lang w:eastAsia="zh-CN"/>
        </w:rPr>
        <w:t>b)如供应商是事业单位，提供有效的“事业单位法人证书”；</w:t>
      </w:r>
    </w:p>
    <w:p w14:paraId="78CE0993">
      <w:pPr>
        <w:snapToGrid w:val="0"/>
        <w:spacing w:line="360" w:lineRule="auto"/>
        <w:ind w:firstLine="417" w:firstLineChars="198"/>
        <w:rPr>
          <w:rFonts w:hint="eastAsia" w:ascii="宋体" w:hAnsi="宋体" w:cs="宋体"/>
          <w:b/>
          <w:szCs w:val="21"/>
          <w:lang w:eastAsia="zh-CN"/>
        </w:rPr>
      </w:pPr>
      <w:r>
        <w:rPr>
          <w:rFonts w:hint="eastAsia" w:ascii="宋体" w:hAnsi="宋体" w:cs="宋体"/>
          <w:b/>
          <w:szCs w:val="21"/>
          <w:lang w:eastAsia="zh-CN"/>
        </w:rPr>
        <w:t>c)如供应商是非企业专业服务机构的，提供执业许可证等证明文件；</w:t>
      </w:r>
    </w:p>
    <w:p w14:paraId="7899FE71">
      <w:pPr>
        <w:snapToGrid w:val="0"/>
        <w:spacing w:line="360" w:lineRule="auto"/>
        <w:ind w:firstLine="417" w:firstLineChars="198"/>
        <w:rPr>
          <w:rFonts w:hint="eastAsia" w:ascii="宋体" w:hAnsi="宋体" w:cs="宋体"/>
          <w:b/>
          <w:szCs w:val="21"/>
          <w:lang w:eastAsia="zh-CN"/>
        </w:rPr>
      </w:pPr>
      <w:r>
        <w:rPr>
          <w:rFonts w:hint="eastAsia" w:ascii="宋体" w:hAnsi="宋体" w:cs="宋体"/>
          <w:b/>
          <w:szCs w:val="21"/>
          <w:lang w:eastAsia="zh-CN"/>
        </w:rPr>
        <w:t>d)如供应商是个体工商户，提供有效的“个体工商户营业执照”；</w:t>
      </w:r>
    </w:p>
    <w:p w14:paraId="4A09988D">
      <w:pPr>
        <w:snapToGrid w:val="0"/>
        <w:spacing w:line="360" w:lineRule="auto"/>
        <w:ind w:firstLine="417" w:firstLineChars="198"/>
        <w:rPr>
          <w:rFonts w:hint="eastAsia" w:ascii="宋体" w:hAnsi="宋体" w:cs="宋体"/>
          <w:b/>
          <w:szCs w:val="21"/>
          <w:lang w:eastAsia="zh-CN"/>
        </w:rPr>
      </w:pPr>
      <w:r>
        <w:rPr>
          <w:rFonts w:hint="eastAsia" w:ascii="宋体" w:hAnsi="宋体" w:cs="宋体"/>
          <w:b/>
          <w:szCs w:val="21"/>
          <w:lang w:eastAsia="zh-CN"/>
        </w:rPr>
        <w:t>e)如供应商是自然人，提供有效的自然人身份证明（居民身份证正反面或公安机关出具的临时居民身份证正反面或港澳台胞证或证照）。</w:t>
      </w:r>
    </w:p>
    <w:p w14:paraId="2715F186">
      <w:pPr>
        <w:snapToGrid w:val="0"/>
        <w:spacing w:line="360" w:lineRule="auto"/>
        <w:ind w:firstLine="417" w:firstLineChars="198"/>
        <w:rPr>
          <w:rFonts w:ascii="宋体" w:hAnsi="宋体" w:cs="宋体"/>
          <w:b/>
          <w:szCs w:val="21"/>
        </w:rPr>
      </w:pPr>
      <w:r>
        <w:rPr>
          <w:rFonts w:hint="eastAsia" w:ascii="宋体" w:hAnsi="宋体" w:cs="宋体"/>
          <w:b/>
          <w:szCs w:val="21"/>
        </w:rPr>
        <w:t>2.2投标人法定代表人身份证复印件；</w:t>
      </w:r>
    </w:p>
    <w:p w14:paraId="2E09990F">
      <w:pPr>
        <w:snapToGrid w:val="0"/>
        <w:spacing w:line="360" w:lineRule="auto"/>
        <w:ind w:firstLine="417" w:firstLineChars="198"/>
        <w:rPr>
          <w:rFonts w:ascii="宋体" w:hAnsi="宋体" w:cs="宋体"/>
          <w:b/>
          <w:szCs w:val="21"/>
        </w:rPr>
      </w:pPr>
      <w:r>
        <w:rPr>
          <w:rFonts w:hint="eastAsia" w:ascii="宋体" w:hAnsi="宋体" w:cs="宋体"/>
          <w:b/>
          <w:szCs w:val="21"/>
        </w:rPr>
        <w:t>2.3投标函；（格式</w:t>
      </w:r>
      <w:r>
        <w:rPr>
          <w:rFonts w:hint="eastAsia" w:ascii="宋体" w:hAnsi="宋体" w:cs="宋体"/>
          <w:b/>
          <w:szCs w:val="21"/>
          <w:lang w:val="en-US" w:eastAsia="zh-CN"/>
        </w:rPr>
        <w:t>五</w:t>
      </w:r>
      <w:r>
        <w:rPr>
          <w:rFonts w:hint="eastAsia" w:ascii="宋体" w:hAnsi="宋体" w:cs="宋体"/>
          <w:b/>
          <w:szCs w:val="21"/>
        </w:rPr>
        <w:t>）</w:t>
      </w:r>
    </w:p>
    <w:p w14:paraId="5F5F9154">
      <w:pPr>
        <w:snapToGrid w:val="0"/>
        <w:spacing w:line="360" w:lineRule="auto"/>
        <w:ind w:firstLine="417" w:firstLineChars="198"/>
        <w:rPr>
          <w:rFonts w:ascii="宋体" w:hAnsi="宋体" w:cs="宋体"/>
          <w:b/>
          <w:szCs w:val="21"/>
        </w:rPr>
      </w:pPr>
      <w:r>
        <w:rPr>
          <w:rFonts w:hint="eastAsia" w:ascii="宋体" w:hAnsi="宋体" w:cs="宋体"/>
          <w:b/>
          <w:szCs w:val="21"/>
        </w:rPr>
        <w:t>2.4法定代表人授权函，非法定代表人参加投标时提供；（格式</w:t>
      </w:r>
      <w:r>
        <w:rPr>
          <w:rFonts w:hint="eastAsia" w:ascii="宋体" w:hAnsi="宋体" w:cs="宋体"/>
          <w:b/>
          <w:szCs w:val="21"/>
          <w:lang w:val="en-US" w:eastAsia="zh-CN"/>
        </w:rPr>
        <w:t>六</w:t>
      </w:r>
      <w:r>
        <w:rPr>
          <w:rFonts w:hint="eastAsia" w:ascii="宋体" w:hAnsi="宋体" w:cs="宋体"/>
          <w:b/>
          <w:szCs w:val="21"/>
        </w:rPr>
        <w:t>）</w:t>
      </w:r>
    </w:p>
    <w:p w14:paraId="584363BA">
      <w:pPr>
        <w:snapToGrid w:val="0"/>
        <w:spacing w:line="360" w:lineRule="auto"/>
        <w:ind w:firstLine="417" w:firstLineChars="198"/>
        <w:rPr>
          <w:rFonts w:ascii="宋体" w:hAnsi="宋体" w:cs="宋体"/>
          <w:b/>
          <w:szCs w:val="21"/>
        </w:rPr>
      </w:pPr>
      <w:r>
        <w:rPr>
          <w:rFonts w:hint="eastAsia" w:ascii="宋体" w:hAnsi="宋体" w:cs="宋体"/>
          <w:b/>
          <w:szCs w:val="21"/>
        </w:rPr>
        <w:t>2.5投标人代表身份证复印件，非法定代表人参加投标时提供</w:t>
      </w:r>
      <w:r>
        <w:rPr>
          <w:rFonts w:ascii="宋体" w:hAnsi="宋体" w:cs="宋体"/>
          <w:b/>
          <w:szCs w:val="21"/>
        </w:rPr>
        <w:t>。</w:t>
      </w:r>
    </w:p>
    <w:p w14:paraId="136796C9">
      <w:pPr>
        <w:snapToGrid w:val="0"/>
        <w:spacing w:line="360" w:lineRule="auto"/>
        <w:ind w:firstLine="211" w:firstLineChars="100"/>
        <w:outlineLvl w:val="1"/>
        <w:rPr>
          <w:rFonts w:ascii="宋体" w:hAnsi="宋体" w:cs="宋体"/>
          <w:b/>
          <w:szCs w:val="21"/>
        </w:rPr>
      </w:pPr>
      <w:r>
        <w:rPr>
          <w:rFonts w:hint="eastAsia" w:ascii="宋体" w:hAnsi="宋体" w:cs="宋体"/>
          <w:b/>
          <w:szCs w:val="21"/>
        </w:rPr>
        <w:t>3、商务技术文件部分</w:t>
      </w:r>
      <w:bookmarkEnd w:id="50"/>
    </w:p>
    <w:p w14:paraId="2803FFCE">
      <w:pPr>
        <w:snapToGrid w:val="0"/>
        <w:spacing w:line="360" w:lineRule="auto"/>
        <w:ind w:firstLine="420" w:firstLineChars="200"/>
        <w:outlineLvl w:val="9"/>
        <w:rPr>
          <w:rFonts w:hint="eastAsia" w:ascii="宋体" w:hAnsi="宋体" w:eastAsia="宋体" w:cs="宋体"/>
        </w:rPr>
      </w:pPr>
      <w:r>
        <w:rPr>
          <w:rFonts w:hint="eastAsia" w:ascii="宋体" w:hAnsi="宋体" w:eastAsia="宋体" w:cs="宋体"/>
        </w:rPr>
        <w:t>3.1评分标准页码索引；</w:t>
      </w:r>
    </w:p>
    <w:p w14:paraId="0941BDB0">
      <w:pPr>
        <w:snapToGrid w:val="0"/>
        <w:spacing w:line="360" w:lineRule="auto"/>
        <w:ind w:firstLine="420" w:firstLineChars="200"/>
        <w:outlineLvl w:val="9"/>
        <w:rPr>
          <w:rFonts w:hint="eastAsia" w:ascii="宋体" w:hAnsi="宋体" w:eastAsia="宋体" w:cs="宋体"/>
        </w:rPr>
      </w:pPr>
      <w:r>
        <w:rPr>
          <w:rFonts w:hint="eastAsia" w:ascii="宋体" w:hAnsi="宋体" w:eastAsia="宋体" w:cs="宋体"/>
        </w:rPr>
        <w:t>3.2</w:t>
      </w:r>
      <w:r>
        <w:rPr>
          <w:rFonts w:hint="eastAsia" w:ascii="宋体" w:hAnsi="宋体" w:eastAsia="宋体" w:cs="宋体"/>
          <w:bCs/>
          <w:szCs w:val="21"/>
        </w:rPr>
        <w:t>投标</w:t>
      </w:r>
      <w:r>
        <w:rPr>
          <w:rFonts w:hint="eastAsia" w:ascii="宋体" w:hAnsi="宋体" w:eastAsia="宋体" w:cs="宋体"/>
        </w:rPr>
        <w:t>人简介；</w:t>
      </w:r>
    </w:p>
    <w:p w14:paraId="70CA0543">
      <w:pPr>
        <w:snapToGrid w:val="0"/>
        <w:spacing w:line="360" w:lineRule="auto"/>
        <w:ind w:firstLine="420" w:firstLineChars="200"/>
        <w:rPr>
          <w:rFonts w:ascii="宋体" w:hAnsi="宋体" w:cs="宋体"/>
        </w:rPr>
      </w:pPr>
      <w:r>
        <w:rPr>
          <w:rFonts w:hint="eastAsia" w:ascii="宋体" w:hAnsi="宋体" w:cs="宋体"/>
        </w:rPr>
        <w:t>3.</w:t>
      </w:r>
      <w:r>
        <w:rPr>
          <w:rFonts w:hint="eastAsia" w:ascii="宋体" w:hAnsi="宋体" w:cs="宋体"/>
          <w:lang w:val="en-US" w:eastAsia="zh-CN"/>
        </w:rPr>
        <w:t>3</w:t>
      </w:r>
      <w:r>
        <w:rPr>
          <w:rFonts w:hint="eastAsia" w:ascii="宋体" w:hAnsi="宋体" w:cs="宋体"/>
          <w:bCs/>
          <w:szCs w:val="21"/>
        </w:rPr>
        <w:t>投标</w:t>
      </w:r>
      <w:r>
        <w:rPr>
          <w:rFonts w:hint="eastAsia" w:ascii="宋体" w:hAnsi="宋体" w:cs="宋体"/>
        </w:rPr>
        <w:t>人相关业绩；（格式</w:t>
      </w:r>
      <w:r>
        <w:rPr>
          <w:rFonts w:hint="eastAsia" w:ascii="宋体" w:hAnsi="宋体" w:cs="宋体"/>
          <w:lang w:val="en-US" w:eastAsia="zh-CN"/>
        </w:rPr>
        <w:t>七</w:t>
      </w:r>
      <w:r>
        <w:rPr>
          <w:rFonts w:hint="eastAsia" w:ascii="宋体" w:hAnsi="宋体" w:cs="宋体"/>
        </w:rPr>
        <w:t>）</w:t>
      </w:r>
    </w:p>
    <w:p w14:paraId="631C6735">
      <w:pPr>
        <w:snapToGrid w:val="0"/>
        <w:spacing w:line="360" w:lineRule="auto"/>
        <w:ind w:firstLine="420" w:firstLineChars="200"/>
        <w:rPr>
          <w:rFonts w:ascii="宋体" w:hAnsi="宋体" w:cs="宋体"/>
        </w:rPr>
      </w:pPr>
      <w:r>
        <w:rPr>
          <w:rFonts w:hint="eastAsia" w:ascii="宋体" w:hAnsi="宋体" w:cs="宋体"/>
        </w:rPr>
        <w:t>3.</w:t>
      </w:r>
      <w:r>
        <w:rPr>
          <w:rFonts w:hint="eastAsia" w:ascii="宋体" w:hAnsi="宋体" w:cs="宋体"/>
          <w:lang w:val="en-US" w:eastAsia="zh-CN"/>
        </w:rPr>
        <w:t>4</w:t>
      </w:r>
      <w:r>
        <w:rPr>
          <w:rFonts w:hint="eastAsia" w:ascii="宋体" w:hAnsi="宋体" w:cs="宋体"/>
          <w:bCs/>
          <w:szCs w:val="21"/>
        </w:rPr>
        <w:t>投标</w:t>
      </w:r>
      <w:r>
        <w:rPr>
          <w:rFonts w:hint="eastAsia" w:ascii="宋体" w:hAnsi="宋体" w:cs="宋体"/>
        </w:rPr>
        <w:t>人拟派项目团队；（格式</w:t>
      </w:r>
      <w:r>
        <w:rPr>
          <w:rFonts w:hint="eastAsia" w:ascii="宋体" w:hAnsi="宋体" w:cs="宋体"/>
          <w:lang w:val="en-US" w:eastAsia="zh-CN"/>
        </w:rPr>
        <w:t>八</w:t>
      </w:r>
      <w:r>
        <w:rPr>
          <w:rFonts w:hint="eastAsia" w:ascii="宋体" w:hAnsi="宋体" w:cs="宋体"/>
        </w:rPr>
        <w:t>）</w:t>
      </w:r>
    </w:p>
    <w:p w14:paraId="13C2C119">
      <w:pPr>
        <w:snapToGrid w:val="0"/>
        <w:spacing w:line="360" w:lineRule="auto"/>
        <w:ind w:firstLine="210" w:firstLineChars="100"/>
        <w:rPr>
          <w:rFonts w:ascii="宋体" w:hAnsi="宋体" w:cs="宋体"/>
        </w:rPr>
      </w:pPr>
      <w:r>
        <w:rPr>
          <w:rFonts w:hint="eastAsia" w:ascii="宋体" w:hAnsi="宋体" w:cs="宋体"/>
        </w:rPr>
        <w:t>▲3.</w:t>
      </w:r>
      <w:r>
        <w:rPr>
          <w:rFonts w:hint="eastAsia" w:ascii="宋体" w:hAnsi="宋体" w:cs="宋体"/>
          <w:lang w:val="en-US" w:eastAsia="zh-CN"/>
        </w:rPr>
        <w:t>5</w:t>
      </w:r>
      <w:r>
        <w:rPr>
          <w:rFonts w:hint="eastAsia" w:ascii="宋体" w:hAnsi="宋体" w:cs="宋体"/>
        </w:rPr>
        <w:t>投标清单表；（格式</w:t>
      </w:r>
      <w:r>
        <w:rPr>
          <w:rFonts w:hint="eastAsia" w:ascii="宋体" w:hAnsi="宋体" w:cs="宋体"/>
          <w:lang w:val="en-US" w:eastAsia="zh-CN"/>
        </w:rPr>
        <w:t>九</w:t>
      </w:r>
      <w:r>
        <w:rPr>
          <w:rFonts w:hint="eastAsia" w:ascii="宋体" w:hAnsi="宋体" w:cs="宋体"/>
        </w:rPr>
        <w:t>）</w:t>
      </w:r>
    </w:p>
    <w:p w14:paraId="56E5A6F4">
      <w:pPr>
        <w:snapToGrid w:val="0"/>
        <w:spacing w:line="360" w:lineRule="auto"/>
        <w:ind w:firstLine="210" w:firstLineChars="100"/>
        <w:rPr>
          <w:rFonts w:ascii="宋体" w:hAnsi="宋体" w:cs="宋体"/>
        </w:rPr>
      </w:pPr>
      <w:r>
        <w:rPr>
          <w:rFonts w:hint="eastAsia" w:ascii="宋体" w:hAnsi="宋体" w:cs="宋体"/>
        </w:rPr>
        <w:t>▲3.</w:t>
      </w:r>
      <w:r>
        <w:rPr>
          <w:rFonts w:hint="eastAsia" w:ascii="宋体" w:hAnsi="宋体" w:cs="宋体"/>
          <w:lang w:val="en-US" w:eastAsia="zh-CN"/>
        </w:rPr>
        <w:t>6</w:t>
      </w:r>
      <w:r>
        <w:rPr>
          <w:rFonts w:hint="eastAsia" w:ascii="宋体" w:hAnsi="宋体" w:cs="宋体"/>
        </w:rPr>
        <w:t>投标技术参数偏离表；（格式十）</w:t>
      </w:r>
    </w:p>
    <w:p w14:paraId="36766495">
      <w:pPr>
        <w:snapToGrid w:val="0"/>
        <w:spacing w:line="360" w:lineRule="auto"/>
        <w:ind w:firstLine="210" w:firstLineChars="100"/>
        <w:rPr>
          <w:rFonts w:ascii="宋体" w:hAnsi="宋体" w:cs="宋体"/>
        </w:rPr>
      </w:pPr>
      <w:r>
        <w:rPr>
          <w:rFonts w:hint="eastAsia" w:ascii="宋体" w:hAnsi="宋体" w:cs="宋体"/>
        </w:rPr>
        <w:t>▲3.</w:t>
      </w:r>
      <w:r>
        <w:rPr>
          <w:rFonts w:hint="eastAsia" w:ascii="宋体" w:hAnsi="宋体" w:cs="宋体"/>
          <w:lang w:val="en-US" w:eastAsia="zh-CN"/>
        </w:rPr>
        <w:t>7</w:t>
      </w:r>
      <w:r>
        <w:rPr>
          <w:rFonts w:hint="eastAsia" w:ascii="宋体" w:hAnsi="宋体" w:cs="宋体"/>
        </w:rPr>
        <w:t>无推诿承诺书；（格式十</w:t>
      </w:r>
      <w:r>
        <w:rPr>
          <w:rFonts w:hint="eastAsia" w:ascii="宋体" w:hAnsi="宋体" w:cs="宋体"/>
          <w:lang w:val="en-US" w:eastAsia="zh-CN"/>
        </w:rPr>
        <w:t>一</w:t>
      </w:r>
      <w:r>
        <w:rPr>
          <w:rFonts w:hint="eastAsia" w:ascii="宋体" w:hAnsi="宋体" w:cs="宋体"/>
        </w:rPr>
        <w:t>）</w:t>
      </w:r>
    </w:p>
    <w:p w14:paraId="1776E594">
      <w:pPr>
        <w:snapToGrid w:val="0"/>
        <w:spacing w:line="360" w:lineRule="auto"/>
        <w:ind w:firstLine="420" w:firstLineChars="200"/>
        <w:rPr>
          <w:rFonts w:hint="eastAsia" w:ascii="宋体" w:hAnsi="宋体" w:eastAsia="宋体" w:cs="宋体"/>
          <w:lang w:eastAsia="zh-CN"/>
        </w:rPr>
      </w:pPr>
      <w:r>
        <w:rPr>
          <w:rFonts w:hint="eastAsia" w:ascii="宋体" w:hAnsi="宋体" w:cs="宋体"/>
        </w:rPr>
        <w:t>3.</w:t>
      </w:r>
      <w:r>
        <w:rPr>
          <w:rFonts w:hint="eastAsia" w:ascii="宋体" w:hAnsi="宋体" w:cs="宋体"/>
          <w:lang w:val="en-US" w:eastAsia="zh-CN"/>
        </w:rPr>
        <w:t>8</w:t>
      </w:r>
      <w:r>
        <w:rPr>
          <w:rFonts w:hint="eastAsia" w:ascii="宋体" w:hAnsi="宋体" w:cs="宋体"/>
          <w:bCs/>
          <w:szCs w:val="21"/>
        </w:rPr>
        <w:t>投标</w:t>
      </w:r>
      <w:r>
        <w:rPr>
          <w:rFonts w:hint="eastAsia" w:ascii="宋体" w:hAnsi="宋体" w:cs="宋体"/>
        </w:rPr>
        <w:t>人相关方案；</w:t>
      </w:r>
    </w:p>
    <w:p w14:paraId="7D45705B">
      <w:pPr>
        <w:snapToGrid w:val="0"/>
        <w:spacing w:line="360" w:lineRule="auto"/>
        <w:ind w:firstLine="420" w:firstLineChars="200"/>
        <w:outlineLvl w:val="9"/>
        <w:rPr>
          <w:rFonts w:hint="eastAsia" w:ascii="宋体" w:hAnsi="宋体" w:eastAsia="宋体" w:cs="宋体"/>
        </w:rPr>
      </w:pPr>
      <w:r>
        <w:rPr>
          <w:rFonts w:hint="eastAsia" w:ascii="宋体" w:hAnsi="宋体" w:eastAsia="宋体" w:cs="宋体"/>
        </w:rPr>
        <w:t>3.</w:t>
      </w:r>
      <w:r>
        <w:rPr>
          <w:rFonts w:hint="eastAsia" w:ascii="宋体" w:hAnsi="宋体" w:cs="宋体"/>
          <w:lang w:val="en-US" w:eastAsia="zh-CN"/>
        </w:rPr>
        <w:t>9</w:t>
      </w:r>
      <w:r>
        <w:rPr>
          <w:rFonts w:hint="eastAsia" w:ascii="宋体" w:hAnsi="宋体" w:eastAsia="宋体" w:cs="宋体"/>
        </w:rPr>
        <w:t>按照评分标准依次编制相应的说明、证明材料复印件；</w:t>
      </w:r>
    </w:p>
    <w:p w14:paraId="1E2DF0FE">
      <w:pPr>
        <w:snapToGrid w:val="0"/>
        <w:spacing w:line="360" w:lineRule="auto"/>
        <w:ind w:firstLine="415" w:firstLineChars="198"/>
        <w:outlineLvl w:val="9"/>
        <w:rPr>
          <w:rFonts w:hint="eastAsia" w:ascii="宋体" w:hAnsi="宋体" w:eastAsia="宋体" w:cs="宋体"/>
          <w:szCs w:val="21"/>
        </w:rPr>
      </w:pPr>
      <w:r>
        <w:rPr>
          <w:rFonts w:hint="eastAsia" w:ascii="宋体" w:hAnsi="宋体" w:eastAsia="宋体" w:cs="宋体"/>
        </w:rPr>
        <w:t>3.</w:t>
      </w:r>
      <w:r>
        <w:rPr>
          <w:rFonts w:hint="eastAsia" w:ascii="宋体" w:hAnsi="宋体" w:cs="宋体"/>
          <w:lang w:val="en-US" w:eastAsia="zh-CN"/>
        </w:rPr>
        <w:t>10</w:t>
      </w:r>
      <w:r>
        <w:rPr>
          <w:rFonts w:hint="eastAsia" w:ascii="宋体" w:hAnsi="宋体" w:eastAsia="宋体" w:cs="宋体"/>
        </w:rPr>
        <w:t>本招标文件要求提供的和</w:t>
      </w:r>
      <w:r>
        <w:rPr>
          <w:rFonts w:hint="eastAsia" w:ascii="宋体" w:hAnsi="宋体" w:eastAsia="宋体" w:cs="宋体"/>
          <w:bCs/>
          <w:szCs w:val="21"/>
        </w:rPr>
        <w:t>投标</w:t>
      </w:r>
      <w:r>
        <w:rPr>
          <w:rFonts w:hint="eastAsia" w:ascii="宋体" w:hAnsi="宋体" w:eastAsia="宋体" w:cs="宋体"/>
        </w:rPr>
        <w:t>人认为需要提供的其它说明和资料/文件。</w:t>
      </w:r>
    </w:p>
    <w:p w14:paraId="009DB8D5">
      <w:pPr>
        <w:snapToGrid w:val="0"/>
        <w:spacing w:before="120" w:after="120" w:line="360" w:lineRule="auto"/>
        <w:jc w:val="center"/>
        <w:outlineLvl w:val="1"/>
        <w:rPr>
          <w:rFonts w:ascii="宋体" w:hAnsi="宋体" w:cs="宋体"/>
          <w:b/>
          <w:sz w:val="28"/>
          <w:szCs w:val="28"/>
        </w:rPr>
      </w:pPr>
      <w:r>
        <w:rPr>
          <w:rFonts w:hint="eastAsia" w:ascii="宋体" w:hAnsi="宋体" w:cs="宋体"/>
          <w:b/>
          <w:sz w:val="28"/>
          <w:szCs w:val="28"/>
        </w:rPr>
        <w:br w:type="page"/>
      </w:r>
      <w:bookmarkStart w:id="51" w:name="_Toc1147"/>
      <w:r>
        <w:rPr>
          <w:rFonts w:hint="eastAsia" w:ascii="宋体" w:hAnsi="宋体" w:cs="宋体"/>
          <w:b/>
          <w:sz w:val="28"/>
          <w:szCs w:val="28"/>
        </w:rPr>
        <w:t>投标文件格式</w:t>
      </w:r>
      <w:bookmarkEnd w:id="51"/>
    </w:p>
    <w:p w14:paraId="11C50A90">
      <w:pPr>
        <w:snapToGrid w:val="0"/>
        <w:spacing w:before="50" w:after="50"/>
        <w:outlineLvl w:val="2"/>
        <w:rPr>
          <w:rFonts w:ascii="宋体" w:hAnsi="宋体" w:cs="宋体"/>
          <w:b/>
          <w:spacing w:val="20"/>
          <w:szCs w:val="21"/>
        </w:rPr>
      </w:pPr>
      <w:r>
        <w:rPr>
          <w:rFonts w:hint="eastAsia" w:ascii="宋体" w:hAnsi="宋体" w:cs="宋体"/>
          <w:b/>
          <w:spacing w:val="20"/>
          <w:szCs w:val="21"/>
        </w:rPr>
        <w:t>格式一、开标一览表</w:t>
      </w:r>
    </w:p>
    <w:p w14:paraId="369ECFD0">
      <w:pPr>
        <w:snapToGrid w:val="0"/>
        <w:spacing w:before="50" w:after="50"/>
        <w:rPr>
          <w:rFonts w:ascii="宋体" w:hAnsi="宋体" w:cs="宋体"/>
          <w:b/>
          <w:spacing w:val="20"/>
          <w:szCs w:val="21"/>
        </w:rPr>
      </w:pPr>
    </w:p>
    <w:p w14:paraId="0B7DB02E">
      <w:pPr>
        <w:spacing w:line="360" w:lineRule="auto"/>
        <w:jc w:val="right"/>
        <w:rPr>
          <w:rFonts w:ascii="宋体" w:hAnsi="宋体" w:cs="宋体"/>
          <w:b/>
          <w:spacing w:val="20"/>
          <w:szCs w:val="21"/>
        </w:rPr>
      </w:pPr>
      <w:r>
        <w:rPr>
          <w:rFonts w:hint="eastAsia" w:ascii="宋体" w:hAnsi="宋体" w:cs="宋体"/>
          <w:spacing w:val="20"/>
          <w:szCs w:val="21"/>
        </w:rPr>
        <w:t>金额单位：人民币元</w:t>
      </w:r>
    </w:p>
    <w:tbl>
      <w:tblPr>
        <w:tblStyle w:val="33"/>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53"/>
        <w:gridCol w:w="7322"/>
      </w:tblGrid>
      <w:tr w14:paraId="18C7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9" w:hRule="atLeast"/>
          <w:jc w:val="center"/>
        </w:trPr>
        <w:tc>
          <w:tcPr>
            <w:tcW w:w="2353" w:type="dxa"/>
            <w:vAlign w:val="center"/>
          </w:tcPr>
          <w:p w14:paraId="38B8BFC2">
            <w:pPr>
              <w:keepNext w:val="0"/>
              <w:keepLines w:val="0"/>
              <w:suppressLineNumbers w:val="0"/>
              <w:spacing w:before="240" w:beforeAutospacing="0" w:after="24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7322" w:type="dxa"/>
            <w:vAlign w:val="center"/>
          </w:tcPr>
          <w:p w14:paraId="72B512C0">
            <w:pPr>
              <w:keepNext w:val="0"/>
              <w:keepLines w:val="0"/>
              <w:suppressLineNumbers w:val="0"/>
              <w:spacing w:before="240" w:beforeAutospacing="0" w:after="240" w:afterAutospacing="0"/>
              <w:ind w:left="0" w:right="0"/>
              <w:jc w:val="center"/>
              <w:rPr>
                <w:rFonts w:hint="eastAsia" w:ascii="宋体" w:hAnsi="宋体" w:eastAsia="宋体" w:cs="宋体"/>
                <w:b/>
                <w:sz w:val="21"/>
                <w:szCs w:val="21"/>
              </w:rPr>
            </w:pPr>
            <w:r>
              <w:rPr>
                <w:rFonts w:hint="eastAsia" w:ascii="宋体" w:hAnsi="宋体" w:eastAsia="宋体" w:cs="宋体"/>
                <w:b w:val="0"/>
                <w:bCs/>
                <w:sz w:val="21"/>
                <w:szCs w:val="21"/>
              </w:rPr>
              <w:t>岱山县数据服务中心应用系统国产化适配改造项目（标段一）</w:t>
            </w:r>
          </w:p>
        </w:tc>
      </w:tr>
      <w:tr w14:paraId="1A3D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9" w:hRule="atLeast"/>
          <w:jc w:val="center"/>
        </w:trPr>
        <w:tc>
          <w:tcPr>
            <w:tcW w:w="2353" w:type="dxa"/>
            <w:vAlign w:val="center"/>
          </w:tcPr>
          <w:p w14:paraId="6D0E625E">
            <w:pPr>
              <w:keepNext w:val="0"/>
              <w:keepLines w:val="0"/>
              <w:suppressLineNumbers w:val="0"/>
              <w:spacing w:before="240" w:beforeAutospacing="0" w:after="24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投标内容</w:t>
            </w:r>
          </w:p>
        </w:tc>
        <w:tc>
          <w:tcPr>
            <w:tcW w:w="7322" w:type="dxa"/>
            <w:vAlign w:val="center"/>
          </w:tcPr>
          <w:p w14:paraId="09768420">
            <w:pPr>
              <w:keepNext w:val="0"/>
              <w:keepLines w:val="0"/>
              <w:suppressLineNumbers w:val="0"/>
              <w:spacing w:before="240" w:beforeAutospacing="0" w:after="240" w:afterAutospacing="0"/>
              <w:ind w:left="0" w:right="0"/>
              <w:jc w:val="center"/>
              <w:rPr>
                <w:rFonts w:hint="eastAsia" w:ascii="宋体" w:hAnsi="宋体" w:eastAsia="宋体" w:cs="宋体"/>
                <w:sz w:val="21"/>
                <w:szCs w:val="21"/>
                <w:highlight w:val="none"/>
              </w:rPr>
            </w:pPr>
            <w:r>
              <w:rPr>
                <w:rFonts w:hint="eastAsia" w:ascii="宋体" w:hAnsi="宋体"/>
                <w:szCs w:val="21"/>
                <w:highlight w:val="none"/>
                <w:lang w:val="en-US" w:eastAsia="zh-CN"/>
              </w:rPr>
              <w:t>4个平台国产化改造及链路</w:t>
            </w:r>
          </w:p>
        </w:tc>
      </w:tr>
      <w:tr w14:paraId="619A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5" w:hRule="atLeast"/>
          <w:jc w:val="center"/>
        </w:trPr>
        <w:tc>
          <w:tcPr>
            <w:tcW w:w="2353" w:type="dxa"/>
            <w:vAlign w:val="center"/>
          </w:tcPr>
          <w:p w14:paraId="5A32AEC7">
            <w:pPr>
              <w:keepNext w:val="0"/>
              <w:keepLines w:val="0"/>
              <w:suppressLineNumbers w:val="0"/>
              <w:spacing w:before="240" w:beforeAutospacing="0" w:after="24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投标报价（元）</w:t>
            </w:r>
          </w:p>
        </w:tc>
        <w:tc>
          <w:tcPr>
            <w:tcW w:w="7322" w:type="dxa"/>
            <w:vAlign w:val="center"/>
          </w:tcPr>
          <w:p w14:paraId="3C86DC40">
            <w:pPr>
              <w:keepNext w:val="0"/>
              <w:keepLines w:val="0"/>
              <w:suppressLineNumbers w:val="0"/>
              <w:spacing w:before="240" w:beforeAutospacing="0" w:after="24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 xml:space="preserve">大写：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小写：</w:t>
            </w:r>
          </w:p>
        </w:tc>
      </w:tr>
    </w:tbl>
    <w:p w14:paraId="3CACFC07">
      <w:pPr>
        <w:spacing w:line="360" w:lineRule="auto"/>
        <w:rPr>
          <w:rFonts w:ascii="宋体" w:hAnsi="宋体" w:cs="宋体"/>
          <w:szCs w:val="21"/>
        </w:rPr>
      </w:pPr>
    </w:p>
    <w:p w14:paraId="17185EA0">
      <w:pPr>
        <w:spacing w:line="480" w:lineRule="auto"/>
        <w:rPr>
          <w:rFonts w:ascii="宋体" w:hAnsi="宋体" w:cs="宋体"/>
          <w:szCs w:val="21"/>
        </w:rPr>
      </w:pPr>
    </w:p>
    <w:p w14:paraId="75766025">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0CBEBA71">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659A68CD">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D7D601A">
      <w:pPr>
        <w:spacing w:line="360" w:lineRule="auto"/>
        <w:rPr>
          <w:rFonts w:ascii="宋体" w:hAnsi="宋体" w:cs="宋体"/>
          <w:szCs w:val="21"/>
        </w:rPr>
      </w:pPr>
    </w:p>
    <w:p w14:paraId="1252BE16">
      <w:pPr>
        <w:spacing w:line="480" w:lineRule="auto"/>
        <w:outlineLvl w:val="2"/>
        <w:rPr>
          <w:rFonts w:ascii="宋体" w:hAnsi="宋体" w:cs="宋体"/>
          <w:b/>
          <w:szCs w:val="21"/>
        </w:rPr>
      </w:pPr>
      <w:r>
        <w:rPr>
          <w:rFonts w:hint="eastAsia" w:ascii="宋体" w:hAnsi="宋体" w:cs="宋体"/>
          <w:b/>
          <w:szCs w:val="21"/>
        </w:rPr>
        <w:br w:type="page"/>
      </w:r>
      <w:r>
        <w:rPr>
          <w:rFonts w:hint="eastAsia" w:ascii="宋体" w:hAnsi="宋体" w:cs="宋体"/>
          <w:b/>
          <w:szCs w:val="21"/>
        </w:rPr>
        <w:t>格式二、报价明细表</w:t>
      </w:r>
    </w:p>
    <w:p w14:paraId="47EB051B">
      <w:pPr>
        <w:spacing w:line="360" w:lineRule="auto"/>
        <w:jc w:val="right"/>
      </w:pPr>
      <w:r>
        <w:rPr>
          <w:rFonts w:hint="eastAsia" w:ascii="宋体" w:hAnsi="宋体" w:cs="宋体"/>
          <w:spacing w:val="20"/>
          <w:szCs w:val="21"/>
        </w:rPr>
        <w:t>金额单位：人民币元</w:t>
      </w:r>
    </w:p>
    <w:tbl>
      <w:tblPr>
        <w:tblStyle w:val="33"/>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1369"/>
        <w:gridCol w:w="1254"/>
        <w:gridCol w:w="1209"/>
        <w:gridCol w:w="1225"/>
        <w:gridCol w:w="1110"/>
        <w:gridCol w:w="1439"/>
        <w:gridCol w:w="1680"/>
      </w:tblGrid>
      <w:tr w14:paraId="7C7B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4" w:type="pct"/>
            <w:vAlign w:val="center"/>
          </w:tcPr>
          <w:p w14:paraId="10AE66D9">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Style w:val="69"/>
                <w:rFonts w:hint="eastAsia" w:ascii="宋体" w:hAnsi="宋体" w:eastAsia="宋体" w:cs="宋体"/>
                <w:b/>
                <w:bCs/>
                <w:sz w:val="21"/>
                <w:szCs w:val="21"/>
              </w:rPr>
              <w:t>序号</w:t>
            </w:r>
          </w:p>
        </w:tc>
        <w:tc>
          <w:tcPr>
            <w:tcW w:w="704" w:type="pct"/>
            <w:vAlign w:val="center"/>
          </w:tcPr>
          <w:p w14:paraId="66B10D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Style w:val="69"/>
                <w:rFonts w:hint="eastAsia" w:ascii="宋体" w:hAnsi="宋体" w:eastAsia="宋体" w:cs="宋体"/>
                <w:b/>
                <w:bCs/>
                <w:sz w:val="21"/>
                <w:szCs w:val="21"/>
              </w:rPr>
            </w:pPr>
            <w:r>
              <w:rPr>
                <w:rFonts w:hint="eastAsia" w:ascii="宋体" w:hAnsi="宋体" w:eastAsia="宋体" w:cs="宋体"/>
                <w:b/>
                <w:bCs/>
                <w:sz w:val="21"/>
                <w:szCs w:val="21"/>
                <w:lang w:val="en-US" w:eastAsia="zh-CN"/>
              </w:rPr>
              <w:t>小类</w:t>
            </w:r>
          </w:p>
        </w:tc>
        <w:tc>
          <w:tcPr>
            <w:tcW w:w="645" w:type="pct"/>
            <w:vAlign w:val="center"/>
          </w:tcPr>
          <w:p w14:paraId="48B67C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Style w:val="69"/>
                <w:rFonts w:hint="eastAsia" w:ascii="宋体" w:hAnsi="宋体" w:eastAsia="宋体" w:cs="宋体"/>
                <w:b/>
                <w:bCs/>
                <w:sz w:val="21"/>
                <w:szCs w:val="21"/>
              </w:rPr>
            </w:pPr>
            <w:r>
              <w:rPr>
                <w:rFonts w:hint="eastAsia" w:ascii="宋体" w:hAnsi="宋体" w:eastAsia="宋体" w:cs="宋体"/>
                <w:b/>
                <w:bCs/>
                <w:sz w:val="21"/>
                <w:szCs w:val="21"/>
                <w:lang w:val="en-US" w:eastAsia="zh-CN"/>
              </w:rPr>
              <w:t>改造模块</w:t>
            </w:r>
          </w:p>
        </w:tc>
        <w:tc>
          <w:tcPr>
            <w:tcW w:w="622" w:type="pct"/>
            <w:vAlign w:val="center"/>
          </w:tcPr>
          <w:p w14:paraId="66E653F9">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Style w:val="69"/>
                <w:rFonts w:hint="eastAsia" w:ascii="宋体" w:hAnsi="宋体" w:eastAsia="宋体" w:cs="宋体"/>
                <w:b/>
                <w:bCs/>
                <w:sz w:val="21"/>
                <w:szCs w:val="21"/>
              </w:rPr>
              <w:t>开发者/品牌型号</w:t>
            </w:r>
          </w:p>
        </w:tc>
        <w:tc>
          <w:tcPr>
            <w:tcW w:w="630" w:type="pct"/>
            <w:vAlign w:val="center"/>
          </w:tcPr>
          <w:p w14:paraId="719A27BE">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Style w:val="69"/>
                <w:rFonts w:hint="eastAsia" w:ascii="宋体" w:hAnsi="宋体" w:eastAsia="宋体" w:cs="宋体"/>
                <w:b/>
                <w:bCs/>
                <w:sz w:val="21"/>
                <w:szCs w:val="21"/>
              </w:rPr>
              <w:t>生产厂家及其他</w:t>
            </w:r>
          </w:p>
        </w:tc>
        <w:tc>
          <w:tcPr>
            <w:tcW w:w="571" w:type="pct"/>
            <w:vAlign w:val="center"/>
          </w:tcPr>
          <w:p w14:paraId="660CAC65">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Style w:val="69"/>
                <w:rFonts w:hint="eastAsia" w:ascii="宋体" w:hAnsi="宋体" w:eastAsia="宋体" w:cs="宋体"/>
                <w:b/>
                <w:bCs/>
                <w:sz w:val="21"/>
                <w:szCs w:val="21"/>
              </w:rPr>
              <w:t>数量/单位</w:t>
            </w:r>
          </w:p>
        </w:tc>
        <w:tc>
          <w:tcPr>
            <w:tcW w:w="740" w:type="pct"/>
            <w:vAlign w:val="center"/>
          </w:tcPr>
          <w:p w14:paraId="3F49073F">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Fonts w:hint="eastAsia" w:ascii="宋体" w:hAnsi="宋体" w:eastAsia="宋体" w:cs="宋体"/>
                <w:b/>
                <w:sz w:val="21"/>
                <w:szCs w:val="21"/>
              </w:rPr>
              <w:t>单价（元）</w:t>
            </w:r>
          </w:p>
        </w:tc>
        <w:tc>
          <w:tcPr>
            <w:tcW w:w="861" w:type="pct"/>
            <w:vAlign w:val="center"/>
          </w:tcPr>
          <w:p w14:paraId="41CADF0F">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总价（元）</w:t>
            </w:r>
          </w:p>
        </w:tc>
      </w:tr>
      <w:tr w14:paraId="4347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4" w:type="pct"/>
            <w:vAlign w:val="center"/>
          </w:tcPr>
          <w:p w14:paraId="677C6098">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04" w:type="pct"/>
            <w:vAlign w:val="center"/>
          </w:tcPr>
          <w:p w14:paraId="11E3D7AF">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45" w:type="pct"/>
            <w:vAlign w:val="center"/>
          </w:tcPr>
          <w:p w14:paraId="6BBEDDD5">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22" w:type="pct"/>
            <w:vAlign w:val="center"/>
          </w:tcPr>
          <w:p w14:paraId="46762F3E">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30" w:type="pct"/>
            <w:vAlign w:val="center"/>
          </w:tcPr>
          <w:p w14:paraId="17CD21C1">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571" w:type="pct"/>
            <w:vAlign w:val="center"/>
          </w:tcPr>
          <w:p w14:paraId="382EFE8B">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40" w:type="pct"/>
            <w:vAlign w:val="center"/>
          </w:tcPr>
          <w:p w14:paraId="2F412570">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861" w:type="pct"/>
            <w:vAlign w:val="center"/>
          </w:tcPr>
          <w:p w14:paraId="12EE66F1">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r>
      <w:tr w14:paraId="4335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4" w:type="pct"/>
            <w:vAlign w:val="center"/>
          </w:tcPr>
          <w:p w14:paraId="7D926BCC">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04" w:type="pct"/>
            <w:vAlign w:val="center"/>
          </w:tcPr>
          <w:p w14:paraId="51C51B16">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45" w:type="pct"/>
            <w:vAlign w:val="center"/>
          </w:tcPr>
          <w:p w14:paraId="56C1AF5D">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22" w:type="pct"/>
            <w:vAlign w:val="center"/>
          </w:tcPr>
          <w:p w14:paraId="1466E2E3">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30" w:type="pct"/>
            <w:vAlign w:val="center"/>
          </w:tcPr>
          <w:p w14:paraId="13F1E26F">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571" w:type="pct"/>
            <w:vAlign w:val="center"/>
          </w:tcPr>
          <w:p w14:paraId="13C4FEAE">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40" w:type="pct"/>
            <w:vAlign w:val="center"/>
          </w:tcPr>
          <w:p w14:paraId="20FA0BA7">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861" w:type="pct"/>
            <w:vAlign w:val="center"/>
          </w:tcPr>
          <w:p w14:paraId="3D5B649C">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r>
      <w:tr w14:paraId="4379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4" w:type="pct"/>
            <w:vAlign w:val="center"/>
          </w:tcPr>
          <w:p w14:paraId="6A4DB33E">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04" w:type="pct"/>
            <w:vAlign w:val="center"/>
          </w:tcPr>
          <w:p w14:paraId="06763197">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45" w:type="pct"/>
            <w:vAlign w:val="center"/>
          </w:tcPr>
          <w:p w14:paraId="04A326D5">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22" w:type="pct"/>
            <w:vAlign w:val="center"/>
          </w:tcPr>
          <w:p w14:paraId="475609CC">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30" w:type="pct"/>
            <w:vAlign w:val="center"/>
          </w:tcPr>
          <w:p w14:paraId="1996767D">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571" w:type="pct"/>
            <w:vAlign w:val="center"/>
          </w:tcPr>
          <w:p w14:paraId="486BFE61">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40" w:type="pct"/>
            <w:vAlign w:val="center"/>
          </w:tcPr>
          <w:p w14:paraId="5D409614">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861" w:type="pct"/>
            <w:vAlign w:val="center"/>
          </w:tcPr>
          <w:p w14:paraId="42CF5933">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r>
      <w:tr w14:paraId="7397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8"/>
            <w:vAlign w:val="center"/>
          </w:tcPr>
          <w:p w14:paraId="76BFFD16">
            <w:pPr>
              <w:keepNext w:val="0"/>
              <w:keepLines w:val="0"/>
              <w:suppressLineNumbers w:val="0"/>
              <w:spacing w:before="0" w:beforeAutospacing="0" w:after="0" w:afterAutospacing="0" w:line="360" w:lineRule="auto"/>
              <w:ind w:left="0" w:right="0"/>
              <w:jc w:val="left"/>
              <w:rPr>
                <w:rStyle w:val="69"/>
                <w:rFonts w:hint="eastAsia" w:ascii="宋体" w:hAnsi="宋体" w:eastAsia="宋体" w:cs="宋体"/>
                <w:b/>
                <w:bCs/>
                <w:sz w:val="21"/>
                <w:szCs w:val="21"/>
              </w:rPr>
            </w:pPr>
            <w:r>
              <w:rPr>
                <w:rStyle w:val="69"/>
                <w:rFonts w:hint="eastAsia" w:ascii="宋体" w:hAnsi="宋体" w:eastAsia="宋体" w:cs="宋体"/>
                <w:b/>
                <w:bCs/>
                <w:sz w:val="21"/>
                <w:szCs w:val="21"/>
              </w:rPr>
              <w:t>合计：</w:t>
            </w:r>
          </w:p>
        </w:tc>
      </w:tr>
      <w:tr w14:paraId="2E62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8"/>
            <w:vAlign w:val="center"/>
          </w:tcPr>
          <w:p w14:paraId="156AF9C4">
            <w:pPr>
              <w:keepNext w:val="0"/>
              <w:keepLines w:val="0"/>
              <w:suppressLineNumbers w:val="0"/>
              <w:spacing w:before="0" w:beforeAutospacing="0" w:after="0" w:afterAutospacing="0" w:line="360" w:lineRule="auto"/>
              <w:ind w:left="0" w:right="0"/>
              <w:jc w:val="left"/>
              <w:rPr>
                <w:rStyle w:val="69"/>
                <w:rFonts w:hint="eastAsia" w:ascii="宋体" w:hAnsi="宋体" w:eastAsia="宋体" w:cs="宋体"/>
                <w:b/>
                <w:bCs/>
                <w:sz w:val="21"/>
                <w:szCs w:val="21"/>
              </w:rPr>
            </w:pPr>
            <w:r>
              <w:rPr>
                <w:rStyle w:val="69"/>
                <w:rFonts w:hint="eastAsia" w:ascii="宋体" w:hAnsi="宋体" w:eastAsia="宋体" w:cs="宋体"/>
                <w:b/>
                <w:bCs/>
                <w:sz w:val="21"/>
                <w:szCs w:val="21"/>
              </w:rPr>
              <w:t>大写：</w:t>
            </w:r>
          </w:p>
        </w:tc>
      </w:tr>
    </w:tbl>
    <w:p w14:paraId="3F9D3A9E">
      <w:pPr>
        <w:spacing w:line="480" w:lineRule="auto"/>
        <w:rPr>
          <w:rFonts w:ascii="宋体" w:hAnsi="宋体" w:cs="宋体"/>
          <w:szCs w:val="21"/>
        </w:rPr>
      </w:pPr>
    </w:p>
    <w:p w14:paraId="297AC811">
      <w:pPr>
        <w:spacing w:line="480" w:lineRule="auto"/>
        <w:rPr>
          <w:rFonts w:ascii="宋体" w:hAnsi="宋体" w:cs="宋体"/>
          <w:szCs w:val="21"/>
        </w:rPr>
      </w:pPr>
    </w:p>
    <w:p w14:paraId="0D01A3C6">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607A91D3">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4AF0D6BC">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018720C">
      <w:pPr>
        <w:spacing w:line="480" w:lineRule="auto"/>
        <w:rPr>
          <w:rFonts w:ascii="宋体" w:hAnsi="宋体" w:cs="宋体"/>
          <w:b/>
          <w:szCs w:val="21"/>
        </w:rPr>
      </w:pPr>
    </w:p>
    <w:p w14:paraId="536AB0F4">
      <w:pPr>
        <w:rPr>
          <w:rFonts w:ascii="宋体" w:hAnsi="宋体" w:cs="宋体"/>
          <w:b/>
          <w:szCs w:val="21"/>
        </w:rPr>
      </w:pPr>
      <w:r>
        <w:rPr>
          <w:rFonts w:hint="eastAsia" w:ascii="宋体" w:hAnsi="宋体" w:cs="宋体"/>
          <w:b/>
          <w:szCs w:val="21"/>
        </w:rPr>
        <w:br w:type="page"/>
      </w:r>
    </w:p>
    <w:p w14:paraId="229E9661">
      <w:pPr>
        <w:spacing w:line="480" w:lineRule="auto"/>
        <w:outlineLvl w:val="2"/>
        <w:rPr>
          <w:rFonts w:ascii="宋体" w:hAnsi="宋体" w:cs="宋体"/>
          <w:b/>
          <w:color w:val="000000"/>
          <w:kern w:val="0"/>
          <w:szCs w:val="21"/>
        </w:rPr>
      </w:pPr>
      <w:r>
        <w:rPr>
          <w:rFonts w:hint="eastAsia" w:ascii="宋体" w:hAnsi="宋体" w:cs="宋体"/>
          <w:b/>
          <w:szCs w:val="21"/>
        </w:rPr>
        <w:t>格式三、中小企业声明函</w:t>
      </w:r>
    </w:p>
    <w:p w14:paraId="1BCCC718">
      <w:pPr>
        <w:widowControl/>
        <w:spacing w:line="360" w:lineRule="auto"/>
        <w:jc w:val="center"/>
        <w:rPr>
          <w:rFonts w:hint="eastAsia" w:ascii="宋体" w:hAnsi="宋体" w:eastAsia="宋体" w:cs="宋体"/>
          <w:szCs w:val="21"/>
        </w:rPr>
      </w:pPr>
      <w:r>
        <w:rPr>
          <w:rFonts w:hint="eastAsia" w:ascii="宋体" w:hAnsi="宋体" w:eastAsia="宋体" w:cs="宋体"/>
          <w:b/>
          <w:color w:val="000000"/>
          <w:kern w:val="0"/>
          <w:szCs w:val="21"/>
        </w:rPr>
        <w:t>中小企业声明函（服务）</w:t>
      </w:r>
    </w:p>
    <w:p w14:paraId="638EB418">
      <w:pPr>
        <w:widowControl/>
        <w:spacing w:line="360" w:lineRule="auto"/>
        <w:ind w:firstLine="601"/>
        <w:rPr>
          <w:rFonts w:hint="eastAsia" w:ascii="宋体" w:hAnsi="宋体" w:eastAsia="宋体" w:cs="宋体"/>
          <w:spacing w:val="6"/>
          <w:szCs w:val="21"/>
        </w:rPr>
      </w:pPr>
      <w:r>
        <w:rPr>
          <w:rFonts w:hint="eastAsia" w:ascii="宋体" w:hAnsi="宋体" w:eastAsia="宋体" w:cs="宋体"/>
          <w:spacing w:val="6"/>
          <w:szCs w:val="21"/>
        </w:rPr>
        <w:t>本公司（联合体）郑重声明，根据《政府采购促进中小企业发展管理办法》（财库﹝2020﹞46号）的规定，本公司（联合体）参加</w:t>
      </w:r>
      <w:r>
        <w:rPr>
          <w:rFonts w:hint="eastAsia" w:ascii="宋体" w:hAnsi="宋体" w:eastAsia="宋体" w:cs="宋体"/>
          <w:spacing w:val="6"/>
          <w:szCs w:val="21"/>
          <w:u w:val="single"/>
        </w:rPr>
        <w:t>（单位名称）</w:t>
      </w:r>
      <w:r>
        <w:rPr>
          <w:rFonts w:hint="eastAsia" w:ascii="宋体" w:hAnsi="宋体" w:eastAsia="宋体" w:cs="宋体"/>
          <w:spacing w:val="6"/>
          <w:szCs w:val="21"/>
        </w:rPr>
        <w:t>的</w:t>
      </w:r>
      <w:r>
        <w:rPr>
          <w:rFonts w:hint="eastAsia" w:ascii="宋体" w:hAnsi="宋体" w:eastAsia="宋体" w:cs="宋体"/>
          <w:spacing w:val="6"/>
          <w:szCs w:val="21"/>
          <w:u w:val="single"/>
        </w:rPr>
        <w:t>（项目名称）</w:t>
      </w:r>
      <w:r>
        <w:rPr>
          <w:rFonts w:hint="eastAsia" w:ascii="宋体" w:hAnsi="宋体" w:eastAsia="宋体" w:cs="宋体"/>
          <w:spacing w:val="6"/>
          <w:szCs w:val="21"/>
        </w:rPr>
        <w:t>采购活动，服务全部由符合政策要求的中小企业承接。相关企业（含联合体中的中小企业、签订分包意向协议的中小企业）的具体情况如下：</w:t>
      </w:r>
    </w:p>
    <w:p w14:paraId="144DAEA1">
      <w:pPr>
        <w:spacing w:line="360" w:lineRule="auto"/>
        <w:ind w:firstLine="444" w:firstLineChars="200"/>
        <w:rPr>
          <w:rFonts w:hint="eastAsia" w:ascii="宋体" w:hAnsi="宋体" w:eastAsia="宋体" w:cs="宋体"/>
          <w:spacing w:val="6"/>
          <w:szCs w:val="21"/>
        </w:rPr>
      </w:pPr>
      <w:r>
        <w:rPr>
          <w:rFonts w:hint="eastAsia" w:ascii="宋体" w:hAnsi="宋体" w:eastAsia="宋体" w:cs="宋体"/>
          <w:spacing w:val="6"/>
          <w:szCs w:val="21"/>
        </w:rPr>
        <w:t>1.</w:t>
      </w:r>
      <w:r>
        <w:rPr>
          <w:rFonts w:hint="eastAsia" w:ascii="宋体" w:hAnsi="宋体" w:eastAsia="宋体" w:cs="宋体"/>
          <w:spacing w:val="6"/>
          <w:szCs w:val="21"/>
          <w:u w:val="single"/>
        </w:rPr>
        <w:t>（标的名称）</w:t>
      </w:r>
      <w:r>
        <w:rPr>
          <w:rFonts w:hint="eastAsia" w:ascii="宋体" w:hAnsi="宋体" w:eastAsia="宋体" w:cs="宋体"/>
          <w:spacing w:val="6"/>
          <w:szCs w:val="21"/>
        </w:rPr>
        <w:t>，属于</w:t>
      </w:r>
      <w:r>
        <w:rPr>
          <w:rFonts w:hint="eastAsia" w:ascii="宋体" w:hAnsi="宋体" w:eastAsia="宋体" w:cs="宋体"/>
          <w:spacing w:val="6"/>
          <w:szCs w:val="21"/>
          <w:u w:val="single"/>
        </w:rPr>
        <w:t>（采购文件中明确的所属行业）行业</w:t>
      </w:r>
      <w:r>
        <w:rPr>
          <w:rFonts w:hint="eastAsia" w:ascii="宋体" w:hAnsi="宋体" w:eastAsia="宋体" w:cs="宋体"/>
          <w:spacing w:val="6"/>
          <w:szCs w:val="21"/>
        </w:rPr>
        <w:t>；承建（承接）企业为</w:t>
      </w:r>
      <w:r>
        <w:rPr>
          <w:rFonts w:hint="eastAsia" w:ascii="宋体" w:hAnsi="宋体" w:eastAsia="宋体" w:cs="宋体"/>
          <w:spacing w:val="6"/>
          <w:szCs w:val="21"/>
          <w:u w:val="single"/>
        </w:rPr>
        <w:t>（企业名称）</w:t>
      </w:r>
      <w:r>
        <w:rPr>
          <w:rFonts w:hint="eastAsia" w:ascii="宋体" w:hAnsi="宋体" w:eastAsia="宋体" w:cs="宋体"/>
          <w:spacing w:val="6"/>
          <w:szCs w:val="21"/>
        </w:rPr>
        <w:t>，从业人员人，营业收入为万元，资产总额为万元，属于</w:t>
      </w:r>
      <w:r>
        <w:rPr>
          <w:rFonts w:hint="eastAsia" w:ascii="宋体" w:hAnsi="宋体" w:eastAsia="宋体" w:cs="宋体"/>
          <w:spacing w:val="6"/>
          <w:szCs w:val="21"/>
          <w:u w:val="single"/>
        </w:rPr>
        <w:t>（中型企业、小型企业、微型企业）</w:t>
      </w:r>
      <w:r>
        <w:rPr>
          <w:rFonts w:hint="eastAsia" w:ascii="宋体" w:hAnsi="宋体" w:eastAsia="宋体" w:cs="宋体"/>
          <w:spacing w:val="6"/>
          <w:szCs w:val="21"/>
        </w:rPr>
        <w:t>；</w:t>
      </w:r>
    </w:p>
    <w:p w14:paraId="26292EDE">
      <w:pPr>
        <w:spacing w:line="360" w:lineRule="auto"/>
        <w:ind w:firstLine="444" w:firstLineChars="200"/>
        <w:rPr>
          <w:rFonts w:hint="eastAsia" w:ascii="宋体" w:hAnsi="宋体" w:eastAsia="宋体" w:cs="宋体"/>
          <w:spacing w:val="6"/>
          <w:szCs w:val="21"/>
        </w:rPr>
      </w:pPr>
      <w:r>
        <w:rPr>
          <w:rFonts w:hint="eastAsia" w:ascii="宋体" w:hAnsi="宋体" w:eastAsia="宋体" w:cs="宋体"/>
          <w:spacing w:val="6"/>
          <w:szCs w:val="21"/>
        </w:rPr>
        <w:t>2.</w:t>
      </w:r>
      <w:r>
        <w:rPr>
          <w:rFonts w:hint="eastAsia" w:ascii="宋体" w:hAnsi="宋体" w:eastAsia="宋体" w:cs="宋体"/>
          <w:spacing w:val="6"/>
          <w:szCs w:val="21"/>
          <w:u w:val="single"/>
        </w:rPr>
        <w:t>（标的名称）</w:t>
      </w:r>
      <w:r>
        <w:rPr>
          <w:rFonts w:hint="eastAsia" w:ascii="宋体" w:hAnsi="宋体" w:eastAsia="宋体" w:cs="宋体"/>
          <w:spacing w:val="6"/>
          <w:szCs w:val="21"/>
        </w:rPr>
        <w:t>，属于</w:t>
      </w:r>
      <w:r>
        <w:rPr>
          <w:rFonts w:hint="eastAsia" w:ascii="宋体" w:hAnsi="宋体" w:eastAsia="宋体" w:cs="宋体"/>
          <w:spacing w:val="6"/>
          <w:szCs w:val="21"/>
          <w:u w:val="single"/>
        </w:rPr>
        <w:t>（采购文件中明确的所属行业）行业</w:t>
      </w:r>
      <w:r>
        <w:rPr>
          <w:rFonts w:hint="eastAsia" w:ascii="宋体" w:hAnsi="宋体" w:eastAsia="宋体" w:cs="宋体"/>
          <w:spacing w:val="6"/>
          <w:szCs w:val="21"/>
        </w:rPr>
        <w:t>；承建（承接）企业为</w:t>
      </w:r>
      <w:r>
        <w:rPr>
          <w:rFonts w:hint="eastAsia" w:ascii="宋体" w:hAnsi="宋体" w:eastAsia="宋体" w:cs="宋体"/>
          <w:spacing w:val="6"/>
          <w:szCs w:val="21"/>
          <w:u w:val="single"/>
        </w:rPr>
        <w:t>（企业名称）</w:t>
      </w:r>
      <w:r>
        <w:rPr>
          <w:rFonts w:hint="eastAsia" w:ascii="宋体" w:hAnsi="宋体" w:eastAsia="宋体" w:cs="宋体"/>
          <w:spacing w:val="6"/>
          <w:szCs w:val="21"/>
        </w:rPr>
        <w:t>，从业人员人，营业收入为万元，资产总额为万元，属于</w:t>
      </w:r>
      <w:r>
        <w:rPr>
          <w:rFonts w:hint="eastAsia" w:ascii="宋体" w:hAnsi="宋体" w:eastAsia="宋体" w:cs="宋体"/>
          <w:spacing w:val="6"/>
          <w:szCs w:val="21"/>
          <w:u w:val="single"/>
        </w:rPr>
        <w:t>（中型企业、小型 企业、微型企业）</w:t>
      </w:r>
      <w:r>
        <w:rPr>
          <w:rFonts w:hint="eastAsia" w:ascii="宋体" w:hAnsi="宋体" w:eastAsia="宋体" w:cs="宋体"/>
          <w:spacing w:val="6"/>
          <w:szCs w:val="21"/>
        </w:rPr>
        <w:t xml:space="preserve">； </w:t>
      </w:r>
    </w:p>
    <w:p w14:paraId="43B670BC">
      <w:pPr>
        <w:spacing w:line="360" w:lineRule="auto"/>
        <w:ind w:firstLine="444" w:firstLineChars="200"/>
        <w:rPr>
          <w:rFonts w:hint="eastAsia" w:ascii="宋体" w:hAnsi="宋体" w:eastAsia="宋体" w:cs="宋体"/>
          <w:spacing w:val="6"/>
          <w:szCs w:val="21"/>
        </w:rPr>
      </w:pPr>
      <w:r>
        <w:rPr>
          <w:rFonts w:hint="eastAsia" w:ascii="宋体" w:hAnsi="宋体" w:eastAsia="宋体" w:cs="宋体"/>
          <w:spacing w:val="6"/>
          <w:szCs w:val="21"/>
        </w:rPr>
        <w:t>……</w:t>
      </w:r>
    </w:p>
    <w:p w14:paraId="7B1AB51F">
      <w:pPr>
        <w:spacing w:line="360" w:lineRule="auto"/>
        <w:ind w:firstLine="444" w:firstLineChars="200"/>
        <w:rPr>
          <w:rFonts w:hint="eastAsia" w:ascii="宋体" w:hAnsi="宋体" w:eastAsia="宋体" w:cs="宋体"/>
          <w:spacing w:val="6"/>
          <w:szCs w:val="21"/>
        </w:rPr>
      </w:pPr>
      <w:r>
        <w:rPr>
          <w:rFonts w:hint="eastAsia" w:ascii="宋体" w:hAnsi="宋体" w:eastAsia="宋体" w:cs="宋体"/>
          <w:spacing w:val="6"/>
          <w:szCs w:val="21"/>
        </w:rPr>
        <w:t>以上企业，不属于大企业的分支机构，不存在控股股东为大企业的情形，也不存在与大企业的负责人为同一人的情形。</w:t>
      </w:r>
    </w:p>
    <w:p w14:paraId="2AA56C05">
      <w:pPr>
        <w:spacing w:line="360" w:lineRule="auto"/>
        <w:ind w:firstLine="444" w:firstLineChars="200"/>
        <w:rPr>
          <w:rFonts w:hint="eastAsia" w:ascii="宋体" w:hAnsi="宋体" w:eastAsia="宋体" w:cs="宋体"/>
          <w:spacing w:val="6"/>
          <w:szCs w:val="21"/>
        </w:rPr>
      </w:pPr>
      <w:r>
        <w:rPr>
          <w:rFonts w:hint="eastAsia" w:ascii="宋体" w:hAnsi="宋体" w:eastAsia="宋体" w:cs="宋体"/>
          <w:spacing w:val="6"/>
          <w:szCs w:val="21"/>
        </w:rPr>
        <w:t xml:space="preserve">本企业对上述声明内容的真实性负责。如有虚假，将依法承担相应责任。 </w:t>
      </w:r>
    </w:p>
    <w:p w14:paraId="154DEACD">
      <w:pPr>
        <w:widowControl/>
        <w:spacing w:line="360" w:lineRule="auto"/>
        <w:ind w:firstLine="2520" w:firstLineChars="1200"/>
        <w:jc w:val="right"/>
        <w:rPr>
          <w:rFonts w:hint="eastAsia" w:ascii="宋体" w:hAnsi="宋体" w:eastAsia="宋体" w:cs="宋体"/>
          <w:szCs w:val="21"/>
        </w:rPr>
      </w:pPr>
      <w:r>
        <w:rPr>
          <w:rFonts w:hint="eastAsia" w:ascii="宋体" w:hAnsi="宋体" w:eastAsia="宋体" w:cs="宋体"/>
          <w:color w:val="000000"/>
          <w:kern w:val="0"/>
          <w:szCs w:val="21"/>
          <w:lang w:bidi="ar"/>
        </w:rPr>
        <w:t xml:space="preserve">企业名称（盖章）： </w:t>
      </w:r>
    </w:p>
    <w:p w14:paraId="26D0C974">
      <w:pPr>
        <w:widowControl/>
        <w:spacing w:line="360" w:lineRule="auto"/>
        <w:ind w:firstLine="2520" w:firstLineChars="1200"/>
        <w:jc w:val="right"/>
        <w:rPr>
          <w:rFonts w:hint="eastAsia" w:ascii="宋体" w:hAnsi="宋体" w:eastAsia="宋体" w:cs="宋体"/>
          <w:szCs w:val="21"/>
        </w:rPr>
      </w:pPr>
      <w:r>
        <w:rPr>
          <w:rFonts w:hint="eastAsia" w:ascii="宋体" w:hAnsi="宋体" w:eastAsia="宋体" w:cs="宋体"/>
          <w:color w:val="000000"/>
          <w:kern w:val="0"/>
          <w:szCs w:val="21"/>
          <w:lang w:bidi="ar"/>
        </w:rPr>
        <w:t xml:space="preserve">日 期： </w:t>
      </w:r>
    </w:p>
    <w:p w14:paraId="4673CAEA">
      <w:pPr>
        <w:snapToGrid w:val="0"/>
        <w:spacing w:line="360" w:lineRule="auto"/>
        <w:ind w:firstLine="502" w:firstLineChars="200"/>
        <w:outlineLvl w:val="9"/>
        <w:rPr>
          <w:rFonts w:hint="eastAsia" w:ascii="宋体" w:hAnsi="宋体" w:eastAsia="宋体" w:cs="宋体"/>
          <w:b/>
          <w:spacing w:val="20"/>
          <w:szCs w:val="21"/>
        </w:rPr>
      </w:pPr>
      <w:r>
        <w:rPr>
          <w:rFonts w:hint="eastAsia" w:ascii="宋体" w:hAnsi="宋体" w:eastAsia="宋体" w:cs="宋体"/>
          <w:b/>
          <w:spacing w:val="20"/>
          <w:szCs w:val="21"/>
        </w:rPr>
        <w:t>注：</w:t>
      </w:r>
    </w:p>
    <w:p w14:paraId="25ADA68D">
      <w:pPr>
        <w:snapToGrid w:val="0"/>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1.从业人员、营业收入、资产总额填报上一年度数据，无上一年度数据的新成立企业可不填报。</w:t>
      </w:r>
    </w:p>
    <w:p w14:paraId="564D336E">
      <w:pPr>
        <w:snapToGrid w:val="0"/>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2.符合中小企业划分标准的个体工商户，在政府采购活动中视同中小企业。</w:t>
      </w:r>
    </w:p>
    <w:p w14:paraId="797C3B77">
      <w:pPr>
        <w:snapToGrid w:val="0"/>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3.符合财政部 司法部关于政府采购支持监狱企业发展有关问题的通知（财库〔2014〕68 号）的监狱企业、符合财政部 民政部 中国残疾人联合会关于促进残疾人就业政府采购政策的通知（财库〔2017〕141 号）的残疾人福利性单位，在政府采购活动中，视同小型、微型企业，享受《政府采购促进中小企业发展管理办法》（财库[2020]46号）规定的中小企业扶持政策。监狱企业、残疾人福利性单位属于小型、微型企业的，不重复享受政策。</w:t>
      </w:r>
    </w:p>
    <w:p w14:paraId="0DA6EC3B">
      <w:pPr>
        <w:snapToGrid w:val="0"/>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4.中标、成交供应商享受《政府采购促进中小企业发展管理办法》（财库[2020]46号）规定的中小企业扶持政策的，《中小企业声明函》随中标、成交结果公开。</w:t>
      </w:r>
    </w:p>
    <w:p w14:paraId="6B7972B6">
      <w:pPr>
        <w:snapToGrid w:val="0"/>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5.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1D03BB68">
      <w:pPr>
        <w:snapToGrid w:val="0"/>
        <w:spacing w:line="360" w:lineRule="auto"/>
        <w:ind w:firstLine="422" w:firstLineChars="200"/>
        <w:rPr>
          <w:rFonts w:hint="eastAsia" w:ascii="宋体" w:hAnsi="宋体" w:cs="宋体"/>
          <w:b/>
          <w:spacing w:val="20"/>
          <w:szCs w:val="21"/>
        </w:rPr>
      </w:pPr>
      <w:r>
        <w:rPr>
          <w:rFonts w:hint="eastAsia" w:ascii="宋体" w:hAnsi="宋体" w:eastAsia="宋体" w:cs="宋体"/>
          <w:b/>
          <w:bCs/>
          <w:szCs w:val="21"/>
        </w:rPr>
        <w:t>6.本项目采购标的对应的中小企业划分标准所属行业：</w:t>
      </w:r>
      <w:r>
        <w:rPr>
          <w:rFonts w:hint="eastAsia" w:ascii="宋体" w:hAnsi="宋体" w:cs="宋体"/>
          <w:b/>
          <w:kern w:val="0"/>
          <w:szCs w:val="21"/>
        </w:rPr>
        <w:t>软件和信息技术服务业</w:t>
      </w:r>
      <w:r>
        <w:rPr>
          <w:rFonts w:hint="eastAsia" w:ascii="宋体" w:hAnsi="宋体" w:eastAsia="宋体" w:cs="宋体"/>
          <w:b/>
          <w:bCs/>
          <w:szCs w:val="21"/>
        </w:rPr>
        <w:t>。</w:t>
      </w:r>
    </w:p>
    <w:p w14:paraId="5347DA29">
      <w:pPr>
        <w:snapToGrid w:val="0"/>
        <w:spacing w:line="360" w:lineRule="auto"/>
        <w:outlineLvl w:val="2"/>
        <w:rPr>
          <w:rFonts w:ascii="宋体" w:hAnsi="宋体" w:cs="宋体"/>
          <w:b/>
          <w:szCs w:val="21"/>
        </w:rPr>
      </w:pPr>
      <w:r>
        <w:rPr>
          <w:rFonts w:hint="eastAsia" w:ascii="宋体" w:hAnsi="宋体" w:cs="宋体"/>
          <w:b/>
          <w:szCs w:val="21"/>
        </w:rPr>
        <w:br w:type="page"/>
      </w:r>
      <w:r>
        <w:rPr>
          <w:rFonts w:hint="eastAsia" w:ascii="宋体" w:hAnsi="宋体" w:cs="宋体"/>
          <w:b/>
          <w:szCs w:val="21"/>
        </w:rPr>
        <w:t>格式四、</w:t>
      </w:r>
      <w:bookmarkStart w:id="52" w:name="OLE_LINK14"/>
      <w:bookmarkStart w:id="53" w:name="OLE_LINK13"/>
      <w:r>
        <w:rPr>
          <w:rFonts w:hint="eastAsia" w:ascii="宋体" w:hAnsi="宋体" w:cs="宋体"/>
          <w:b/>
          <w:bCs/>
          <w:szCs w:val="21"/>
        </w:rPr>
        <w:t>残疾人福利性单位声明函</w:t>
      </w:r>
    </w:p>
    <w:bookmarkEnd w:id="52"/>
    <w:bookmarkEnd w:id="53"/>
    <w:p w14:paraId="726CCF57">
      <w:pPr>
        <w:spacing w:beforeLines="100" w:line="440" w:lineRule="atLeast"/>
        <w:ind w:firstLine="444" w:firstLineChars="200"/>
        <w:rPr>
          <w:rFonts w:ascii="宋体" w:hAnsi="宋体" w:cs="宋体"/>
          <w:spacing w:val="6"/>
          <w:szCs w:val="21"/>
        </w:rPr>
      </w:pPr>
    </w:p>
    <w:p w14:paraId="7470334A">
      <w:pPr>
        <w:widowControl/>
        <w:spacing w:line="360" w:lineRule="auto"/>
        <w:jc w:val="center"/>
        <w:rPr>
          <w:rFonts w:hint="eastAsia" w:ascii="宋体" w:hAnsi="宋体" w:eastAsia="宋体" w:cs="宋体"/>
          <w:b/>
          <w:spacing w:val="6"/>
          <w:kern w:val="0"/>
          <w:szCs w:val="21"/>
        </w:rPr>
      </w:pPr>
      <w:r>
        <w:rPr>
          <w:rFonts w:hint="eastAsia" w:ascii="宋体" w:hAnsi="宋体" w:eastAsia="宋体" w:cs="宋体"/>
          <w:b/>
          <w:spacing w:val="6"/>
          <w:kern w:val="0"/>
          <w:szCs w:val="21"/>
        </w:rPr>
        <w:t>残疾人福利性单位声明函（服务）</w:t>
      </w:r>
    </w:p>
    <w:p w14:paraId="08555CB3">
      <w:pPr>
        <w:widowControl/>
        <w:spacing w:before="312" w:beforeLines="100" w:line="360" w:lineRule="auto"/>
        <w:ind w:firstLine="601"/>
        <w:rPr>
          <w:rFonts w:hint="eastAsia" w:ascii="宋体" w:hAnsi="宋体" w:eastAsia="宋体" w:cs="宋体"/>
          <w:color w:val="auto"/>
          <w:szCs w:val="21"/>
        </w:rPr>
      </w:pPr>
      <w:r>
        <w:rPr>
          <w:rFonts w:hint="eastAsia" w:ascii="宋体" w:hAnsi="宋体" w:eastAsia="宋体" w:cs="宋体"/>
          <w:color w:val="auto"/>
          <w:szCs w:val="21"/>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p>
    <w:p w14:paraId="2709D65D">
      <w:pPr>
        <w:widowControl/>
        <w:spacing w:line="360" w:lineRule="auto"/>
        <w:ind w:firstLine="600"/>
        <w:rPr>
          <w:rFonts w:hint="eastAsia" w:ascii="宋体" w:hAnsi="宋体" w:eastAsia="宋体" w:cs="宋体"/>
          <w:color w:val="auto"/>
          <w:szCs w:val="21"/>
        </w:rPr>
      </w:pPr>
      <w:r>
        <w:rPr>
          <w:rFonts w:hint="eastAsia" w:ascii="宋体" w:hAnsi="宋体" w:eastAsia="宋体" w:cs="宋体"/>
          <w:color w:val="auto"/>
          <w:szCs w:val="21"/>
        </w:rPr>
        <w:t>本单位对上述声明的真实性负责。如有虚假，将依法承担相应责任。</w:t>
      </w:r>
    </w:p>
    <w:p w14:paraId="6E005337">
      <w:pPr>
        <w:widowControl/>
        <w:spacing w:line="500" w:lineRule="exact"/>
        <w:rPr>
          <w:rFonts w:hint="eastAsia" w:ascii="宋体" w:hAnsi="宋体" w:cs="宋体"/>
          <w:kern w:val="0"/>
          <w:szCs w:val="21"/>
        </w:rPr>
      </w:pPr>
    </w:p>
    <w:p w14:paraId="2255E986">
      <w:pPr>
        <w:widowControl/>
        <w:spacing w:line="500" w:lineRule="exact"/>
        <w:ind w:right="1560" w:firstLine="600"/>
        <w:jc w:val="center"/>
        <w:rPr>
          <w:rFonts w:hint="eastAsia" w:ascii="宋体" w:hAnsi="宋体" w:cs="宋体"/>
          <w:szCs w:val="21"/>
        </w:rPr>
      </w:pPr>
      <w:r>
        <w:rPr>
          <w:rFonts w:hint="eastAsia" w:ascii="宋体" w:hAnsi="宋体" w:cs="宋体"/>
          <w:kern w:val="0"/>
          <w:szCs w:val="21"/>
        </w:rPr>
        <w:t xml:space="preserve">               </w:t>
      </w:r>
      <w:r>
        <w:rPr>
          <w:rFonts w:hint="eastAsia" w:ascii="宋体" w:hAnsi="宋体" w:cs="宋体"/>
          <w:szCs w:val="21"/>
        </w:rPr>
        <w:t>单位名称（盖章）：</w:t>
      </w:r>
    </w:p>
    <w:p w14:paraId="42E4CEE7">
      <w:pPr>
        <w:widowControl/>
        <w:spacing w:line="500" w:lineRule="exact"/>
        <w:ind w:right="1560" w:firstLine="600"/>
        <w:jc w:val="center"/>
        <w:rPr>
          <w:rFonts w:hint="eastAsia" w:ascii="宋体" w:hAnsi="宋体" w:cs="宋体"/>
          <w:szCs w:val="21"/>
        </w:rPr>
      </w:pPr>
      <w:r>
        <w:rPr>
          <w:rFonts w:hint="eastAsia" w:ascii="宋体" w:hAnsi="宋体" w:cs="宋体"/>
          <w:szCs w:val="21"/>
        </w:rPr>
        <w:t xml:space="preserve">       日  期：</w:t>
      </w:r>
    </w:p>
    <w:p w14:paraId="46FAFF8A">
      <w:pPr>
        <w:widowControl/>
        <w:spacing w:line="500" w:lineRule="exact"/>
        <w:rPr>
          <w:rFonts w:ascii="宋体" w:hAnsi="宋体" w:cs="宋体"/>
          <w:spacing w:val="6"/>
          <w:kern w:val="0"/>
          <w:szCs w:val="21"/>
        </w:rPr>
      </w:pPr>
    </w:p>
    <w:p w14:paraId="6FB6D645">
      <w:pPr>
        <w:spacing w:beforeLines="100" w:line="440" w:lineRule="atLeast"/>
        <w:ind w:firstLine="444" w:firstLineChars="200"/>
        <w:rPr>
          <w:rFonts w:ascii="宋体" w:hAnsi="宋体" w:cs="宋体"/>
          <w:spacing w:val="6"/>
          <w:szCs w:val="21"/>
        </w:rPr>
      </w:pPr>
    </w:p>
    <w:p w14:paraId="67418C06">
      <w:pPr>
        <w:spacing w:line="360" w:lineRule="auto"/>
        <w:rPr>
          <w:rFonts w:ascii="宋体" w:hAnsi="宋体" w:cs="宋体"/>
          <w:b/>
          <w:spacing w:val="20"/>
          <w:szCs w:val="21"/>
        </w:rPr>
      </w:pPr>
      <w:r>
        <w:rPr>
          <w:rFonts w:hint="eastAsia" w:ascii="宋体" w:hAnsi="宋体" w:cs="宋体"/>
          <w:b/>
          <w:spacing w:val="20"/>
          <w:szCs w:val="21"/>
        </w:rPr>
        <w:t>注：</w:t>
      </w:r>
    </w:p>
    <w:p w14:paraId="52B91F13">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03C31ED9">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2.供应商提供的《残疾人福利性单位声明函》与事实不符的，依照《</w:t>
      </w:r>
      <w:r>
        <w:rPr>
          <w:rFonts w:hint="eastAsia" w:ascii="宋体" w:hAnsi="宋体" w:cs="宋体"/>
          <w:b/>
          <w:szCs w:val="21"/>
          <w:lang w:eastAsia="zh-CN"/>
        </w:rPr>
        <w:t>中华人民共和国政府采购法</w:t>
      </w:r>
      <w:r>
        <w:rPr>
          <w:rFonts w:hint="eastAsia" w:ascii="宋体" w:hAnsi="宋体" w:cs="宋体"/>
          <w:b/>
          <w:szCs w:val="21"/>
        </w:rPr>
        <w:t>》第七十七条第一款的规定追究法律责任。</w:t>
      </w:r>
    </w:p>
    <w:p w14:paraId="59E602D6">
      <w:pPr>
        <w:spacing w:line="360" w:lineRule="auto"/>
        <w:outlineLvl w:val="2"/>
        <w:rPr>
          <w:rFonts w:ascii="宋体" w:hAnsi="宋体" w:cs="宋体"/>
          <w:szCs w:val="21"/>
        </w:rPr>
      </w:pPr>
      <w:r>
        <w:rPr>
          <w:rFonts w:hint="eastAsia" w:ascii="宋体" w:hAnsi="宋体" w:cs="宋体"/>
          <w:b/>
          <w:spacing w:val="20"/>
          <w:szCs w:val="21"/>
        </w:rPr>
        <w:br w:type="page"/>
      </w:r>
      <w:r>
        <w:rPr>
          <w:rFonts w:hint="eastAsia" w:ascii="宋体" w:hAnsi="宋体" w:cs="宋体"/>
          <w:b/>
          <w:spacing w:val="20"/>
          <w:szCs w:val="21"/>
          <w:highlight w:val="none"/>
        </w:rPr>
        <w:t>格式五、投标函</w:t>
      </w:r>
    </w:p>
    <w:p w14:paraId="60592B22">
      <w:pPr>
        <w:spacing w:line="360" w:lineRule="auto"/>
        <w:jc w:val="left"/>
        <w:rPr>
          <w:rFonts w:hint="eastAsia" w:ascii="宋体" w:hAnsi="宋体" w:eastAsia="宋体" w:cs="宋体"/>
          <w:szCs w:val="21"/>
          <w:lang w:eastAsia="zh-CN"/>
        </w:rPr>
      </w:pPr>
      <w:r>
        <w:rPr>
          <w:rFonts w:hint="eastAsia" w:ascii="宋体" w:hAnsi="宋体" w:cs="宋体"/>
          <w:spacing w:val="-4"/>
          <w:szCs w:val="21"/>
        </w:rPr>
        <w:t>致：</w:t>
      </w:r>
      <w:r>
        <w:rPr>
          <w:rFonts w:hint="eastAsia" w:ascii="宋体" w:hAnsi="宋体" w:eastAsia="宋体" w:cs="宋体"/>
          <w:spacing w:val="-4"/>
          <w:szCs w:val="21"/>
          <w:lang w:eastAsia="zh-CN"/>
        </w:rPr>
        <w:t>岱山县数据服务中心</w:t>
      </w:r>
    </w:p>
    <w:p w14:paraId="39FEA0DE">
      <w:pPr>
        <w:spacing w:line="360" w:lineRule="auto"/>
        <w:ind w:firstLine="420" w:firstLineChars="200"/>
        <w:jc w:val="left"/>
        <w:rPr>
          <w:rFonts w:hint="eastAsia" w:ascii="宋体" w:hAnsi="宋体" w:eastAsia="宋体" w:cs="宋体"/>
          <w:spacing w:val="-4"/>
          <w:szCs w:val="21"/>
        </w:rPr>
      </w:pPr>
      <w:r>
        <w:rPr>
          <w:rFonts w:hint="eastAsia" w:ascii="宋体" w:hAnsi="宋体" w:eastAsia="宋体" w:cs="宋体"/>
          <w:szCs w:val="21"/>
        </w:rPr>
        <w:t>中金招标有限责任公司</w:t>
      </w:r>
    </w:p>
    <w:p w14:paraId="79B83F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我方</w:t>
      </w:r>
      <w:r>
        <w:rPr>
          <w:rFonts w:hint="eastAsia" w:ascii="宋体" w:hAnsi="宋体" w:eastAsia="宋体" w:cs="宋体"/>
          <w:b/>
          <w:szCs w:val="21"/>
          <w:u w:val="single"/>
        </w:rPr>
        <w:t>（投标人名称）</w:t>
      </w:r>
      <w:r>
        <w:rPr>
          <w:rFonts w:hint="eastAsia" w:ascii="宋体" w:hAnsi="宋体" w:eastAsia="宋体" w:cs="宋体"/>
          <w:szCs w:val="21"/>
        </w:rPr>
        <w:t>已详细审查了</w:t>
      </w:r>
      <w:r>
        <w:rPr>
          <w:rFonts w:hint="eastAsia" w:ascii="宋体" w:hAnsi="宋体" w:eastAsia="宋体" w:cs="宋体"/>
          <w:b/>
          <w:szCs w:val="21"/>
          <w:u w:val="single"/>
        </w:rPr>
        <w:t xml:space="preserve">（项目编号）（项目名称）    </w:t>
      </w:r>
      <w:r>
        <w:rPr>
          <w:rFonts w:hint="eastAsia" w:ascii="宋体" w:hAnsi="宋体" w:eastAsia="宋体" w:cs="宋体"/>
          <w:szCs w:val="21"/>
        </w:rPr>
        <w:t>的招标文件及其相关补充文件</w:t>
      </w:r>
      <w:r>
        <w:rPr>
          <w:rFonts w:hint="eastAsia" w:ascii="宋体" w:hAnsi="宋体" w:eastAsia="宋体" w:cs="宋体"/>
          <w:b/>
          <w:szCs w:val="21"/>
        </w:rPr>
        <w:t>（若有）</w:t>
      </w:r>
      <w:r>
        <w:rPr>
          <w:rFonts w:hint="eastAsia" w:ascii="宋体" w:hAnsi="宋体" w:eastAsia="宋体" w:cs="宋体"/>
          <w:szCs w:val="21"/>
        </w:rPr>
        <w:t>，并正式授权我公司的</w:t>
      </w:r>
      <w:r>
        <w:rPr>
          <w:rFonts w:hint="eastAsia" w:ascii="宋体" w:hAnsi="宋体" w:eastAsia="宋体" w:cs="宋体"/>
          <w:b/>
          <w:szCs w:val="21"/>
          <w:u w:val="single"/>
        </w:rPr>
        <w:t>（被授权人姓名）</w:t>
      </w:r>
      <w:r>
        <w:rPr>
          <w:rFonts w:hint="eastAsia" w:ascii="宋体" w:hAnsi="宋体" w:eastAsia="宋体" w:cs="宋体"/>
          <w:szCs w:val="21"/>
        </w:rPr>
        <w:t>以本公司名义，全权代表我方自愿参加上述采购项目的投标，现就有关事项向采购代理机构郑重承诺如下：</w:t>
      </w:r>
    </w:p>
    <w:p w14:paraId="3135383A">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szCs w:val="21"/>
        </w:rPr>
      </w:pPr>
      <w:r>
        <w:rPr>
          <w:rFonts w:hint="eastAsia" w:ascii="宋体" w:hAnsi="宋体" w:eastAsia="宋体" w:cs="宋体"/>
          <w:szCs w:val="21"/>
        </w:rPr>
        <w:t>1、我方已详细审查了招标文件的全部内容及其相关补充文件</w:t>
      </w:r>
      <w:r>
        <w:rPr>
          <w:rFonts w:hint="eastAsia" w:ascii="宋体" w:hAnsi="宋体" w:eastAsia="宋体" w:cs="宋体"/>
          <w:b/>
          <w:szCs w:val="21"/>
        </w:rPr>
        <w:t>（若有）</w:t>
      </w:r>
      <w:r>
        <w:rPr>
          <w:rFonts w:hint="eastAsia" w:ascii="宋体" w:hAnsi="宋体" w:eastAsia="宋体" w:cs="宋体"/>
          <w:szCs w:val="21"/>
        </w:rPr>
        <w:t>，并完全清晰理解全部内容及相关的补充文件</w:t>
      </w:r>
      <w:r>
        <w:rPr>
          <w:rFonts w:hint="eastAsia" w:ascii="宋体" w:hAnsi="宋体" w:eastAsia="宋体" w:cs="宋体"/>
          <w:b/>
          <w:szCs w:val="21"/>
        </w:rPr>
        <w:t>（若有）</w:t>
      </w:r>
      <w:r>
        <w:rPr>
          <w:rFonts w:hint="eastAsia" w:ascii="宋体" w:hAnsi="宋体" w:eastAsia="宋体" w:cs="宋体"/>
          <w:szCs w:val="21"/>
        </w:rPr>
        <w:t>，不存在任何误解之处，同意放弃提出异议和质疑的权利。</w:t>
      </w:r>
    </w:p>
    <w:p w14:paraId="73217781">
      <w:pPr>
        <w:keepNext w:val="0"/>
        <w:keepLines w:val="0"/>
        <w:pageBreakBefore w:val="0"/>
        <w:widowControl w:val="0"/>
        <w:kinsoku/>
        <w:wordWrap/>
        <w:overflowPunct/>
        <w:topLinePunct w:val="0"/>
        <w:autoSpaceDE/>
        <w:autoSpaceDN/>
        <w:bidi w:val="0"/>
        <w:adjustRightInd/>
        <w:snapToGrid/>
        <w:spacing w:line="360" w:lineRule="auto"/>
        <w:ind w:right="0" w:firstLine="404" w:firstLineChars="200"/>
        <w:jc w:val="left"/>
        <w:textAlignment w:val="auto"/>
        <w:rPr>
          <w:rFonts w:hint="eastAsia" w:ascii="宋体" w:hAnsi="宋体" w:eastAsia="宋体" w:cs="宋体"/>
          <w:spacing w:val="-4"/>
          <w:szCs w:val="21"/>
        </w:rPr>
      </w:pPr>
      <w:r>
        <w:rPr>
          <w:rFonts w:hint="eastAsia" w:ascii="宋体" w:hAnsi="宋体" w:eastAsia="宋体" w:cs="宋体"/>
          <w:spacing w:val="-4"/>
          <w:szCs w:val="21"/>
        </w:rPr>
        <w:t>2、在项目实施过程中，我方完全响应招标文件的所有条款，履行合同义务。执行标准绝不低于招标文件的标准要求。</w:t>
      </w:r>
    </w:p>
    <w:p w14:paraId="1DDDE258">
      <w:pPr>
        <w:keepNext w:val="0"/>
        <w:keepLines w:val="0"/>
        <w:pageBreakBefore w:val="0"/>
        <w:widowControl w:val="0"/>
        <w:kinsoku/>
        <w:wordWrap/>
        <w:overflowPunct/>
        <w:topLinePunct w:val="0"/>
        <w:autoSpaceDE/>
        <w:autoSpaceDN/>
        <w:bidi w:val="0"/>
        <w:adjustRightInd/>
        <w:snapToGrid/>
        <w:spacing w:line="360" w:lineRule="auto"/>
        <w:ind w:right="0" w:firstLine="404" w:firstLineChars="200"/>
        <w:jc w:val="left"/>
        <w:textAlignment w:val="auto"/>
        <w:rPr>
          <w:rFonts w:hint="eastAsia" w:ascii="宋体" w:hAnsi="宋体" w:eastAsia="宋体" w:cs="宋体"/>
          <w:spacing w:val="-4"/>
          <w:szCs w:val="21"/>
        </w:rPr>
      </w:pPr>
      <w:r>
        <w:rPr>
          <w:rFonts w:hint="eastAsia" w:ascii="宋体" w:hAnsi="宋体" w:eastAsia="宋体" w:cs="宋体"/>
          <w:spacing w:val="-4"/>
          <w:szCs w:val="21"/>
        </w:rPr>
        <w:t>3、我方遵守《中华人民共和国政府采购法》及相关法律法规的规定。同意招标文件中所提到的无效标条款，并服从有关开标现场的会议纪律。否则，同意被废除投标资格。</w:t>
      </w:r>
    </w:p>
    <w:p w14:paraId="441F6082">
      <w:pPr>
        <w:keepNext w:val="0"/>
        <w:keepLines w:val="0"/>
        <w:pageBreakBefore w:val="0"/>
        <w:widowControl w:val="0"/>
        <w:kinsoku/>
        <w:wordWrap/>
        <w:overflowPunct/>
        <w:topLinePunct w:val="0"/>
        <w:autoSpaceDE/>
        <w:autoSpaceDN/>
        <w:bidi w:val="0"/>
        <w:adjustRightInd/>
        <w:snapToGrid/>
        <w:spacing w:line="360" w:lineRule="auto"/>
        <w:ind w:right="0" w:firstLine="404" w:firstLineChars="200"/>
        <w:jc w:val="left"/>
        <w:textAlignment w:val="auto"/>
        <w:rPr>
          <w:rFonts w:hint="eastAsia" w:ascii="宋体" w:hAnsi="宋体" w:eastAsia="宋体" w:cs="宋体"/>
          <w:spacing w:val="-4"/>
          <w:szCs w:val="21"/>
        </w:rPr>
      </w:pPr>
      <w:r>
        <w:rPr>
          <w:rFonts w:hint="eastAsia" w:ascii="宋体" w:hAnsi="宋体" w:eastAsia="宋体" w:cs="宋体"/>
          <w:spacing w:val="-4"/>
          <w:szCs w:val="21"/>
        </w:rPr>
        <w:t>4、我方承诺具有良好的商业信誉和健全的财务会计制度；具备履行合同所必需的设备和专业技术能力；具有依法缴纳税收和社会保障资金的良好记录；参加本次政府采购活动前3年内在经营活动中没有重大违法记录。</w:t>
      </w:r>
    </w:p>
    <w:p w14:paraId="596879B6">
      <w:pPr>
        <w:keepNext w:val="0"/>
        <w:keepLines w:val="0"/>
        <w:pageBreakBefore w:val="0"/>
        <w:widowControl w:val="0"/>
        <w:kinsoku/>
        <w:wordWrap/>
        <w:overflowPunct/>
        <w:topLinePunct w:val="0"/>
        <w:autoSpaceDE/>
        <w:autoSpaceDN/>
        <w:bidi w:val="0"/>
        <w:adjustRightInd/>
        <w:snapToGrid/>
        <w:spacing w:line="360" w:lineRule="auto"/>
        <w:ind w:right="0" w:firstLine="404" w:firstLineChars="200"/>
        <w:jc w:val="left"/>
        <w:textAlignment w:val="auto"/>
        <w:rPr>
          <w:rFonts w:hint="eastAsia" w:ascii="宋体" w:hAnsi="宋体" w:eastAsia="宋体" w:cs="宋体"/>
          <w:spacing w:val="-4"/>
          <w:szCs w:val="21"/>
        </w:rPr>
      </w:pPr>
      <w:r>
        <w:rPr>
          <w:rFonts w:hint="eastAsia" w:ascii="宋体" w:hAnsi="宋体" w:eastAsia="宋体" w:cs="宋体"/>
          <w:spacing w:val="-4"/>
          <w:szCs w:val="21"/>
        </w:rPr>
        <w:t>5、我方所提供的一次性投标报价具有充分的合理性和准确性，保证不存在低于成本的恶意报价行为，同时清楚理解到报价最低并非意味着必定获得合同授予资格。</w:t>
      </w:r>
    </w:p>
    <w:p w14:paraId="1356AEFF">
      <w:pPr>
        <w:keepNext w:val="0"/>
        <w:keepLines w:val="0"/>
        <w:pageBreakBefore w:val="0"/>
        <w:widowControl w:val="0"/>
        <w:kinsoku/>
        <w:wordWrap/>
        <w:overflowPunct/>
        <w:topLinePunct w:val="0"/>
        <w:autoSpaceDE/>
        <w:autoSpaceDN/>
        <w:bidi w:val="0"/>
        <w:adjustRightInd/>
        <w:snapToGrid/>
        <w:spacing w:line="360" w:lineRule="auto"/>
        <w:ind w:right="0" w:firstLine="404" w:firstLineChars="200"/>
        <w:jc w:val="left"/>
        <w:textAlignment w:val="auto"/>
        <w:rPr>
          <w:rFonts w:hint="eastAsia" w:ascii="宋体" w:hAnsi="宋体" w:eastAsia="宋体" w:cs="宋体"/>
          <w:spacing w:val="-4"/>
          <w:szCs w:val="21"/>
        </w:rPr>
      </w:pPr>
      <w:r>
        <w:rPr>
          <w:rFonts w:hint="eastAsia" w:ascii="宋体" w:hAnsi="宋体" w:eastAsia="宋体" w:cs="宋体"/>
          <w:spacing w:val="-4"/>
          <w:szCs w:val="21"/>
        </w:rPr>
        <w:t>6、投标有效期为自开标之日起90天内，如在投标有效期内撤回投标，我方同意被废除投标资格。</w:t>
      </w:r>
    </w:p>
    <w:p w14:paraId="2601C9A7">
      <w:pPr>
        <w:keepNext w:val="0"/>
        <w:keepLines w:val="0"/>
        <w:pageBreakBefore w:val="0"/>
        <w:widowControl w:val="0"/>
        <w:kinsoku/>
        <w:wordWrap/>
        <w:overflowPunct/>
        <w:topLinePunct w:val="0"/>
        <w:autoSpaceDE/>
        <w:autoSpaceDN/>
        <w:bidi w:val="0"/>
        <w:adjustRightInd/>
        <w:snapToGrid/>
        <w:spacing w:line="360" w:lineRule="auto"/>
        <w:ind w:right="0" w:firstLine="404" w:firstLineChars="200"/>
        <w:jc w:val="left"/>
        <w:textAlignment w:val="auto"/>
        <w:rPr>
          <w:rFonts w:hint="eastAsia" w:ascii="宋体" w:hAnsi="宋体" w:eastAsia="宋体" w:cs="宋体"/>
          <w:spacing w:val="-4"/>
          <w:szCs w:val="21"/>
        </w:rPr>
      </w:pPr>
      <w:r>
        <w:rPr>
          <w:rFonts w:hint="eastAsia" w:ascii="宋体" w:hAnsi="宋体" w:eastAsia="宋体" w:cs="宋体"/>
          <w:spacing w:val="-4"/>
          <w:szCs w:val="21"/>
        </w:rPr>
        <w:t>7、我方承诺所提供的一切投标文件均已认真严格审核，内容均为全面真实、准确有效且毫无保留，绝无任何遗漏、虚假、伪造和夸大的成分，若出现违背诚实信用和无如实告知之处，同意被废除投标资格和相关的处罚。</w:t>
      </w:r>
    </w:p>
    <w:p w14:paraId="7C65B3FD">
      <w:pPr>
        <w:keepNext w:val="0"/>
        <w:keepLines w:val="0"/>
        <w:pageBreakBefore w:val="0"/>
        <w:widowControl w:val="0"/>
        <w:kinsoku/>
        <w:wordWrap/>
        <w:overflowPunct/>
        <w:topLinePunct w:val="0"/>
        <w:autoSpaceDE/>
        <w:autoSpaceDN/>
        <w:bidi w:val="0"/>
        <w:adjustRightInd/>
        <w:snapToGrid/>
        <w:spacing w:line="360" w:lineRule="auto"/>
        <w:ind w:right="0" w:firstLine="404" w:firstLineChars="200"/>
        <w:jc w:val="left"/>
        <w:textAlignment w:val="auto"/>
        <w:rPr>
          <w:rFonts w:hint="eastAsia" w:ascii="宋体" w:hAnsi="宋体" w:eastAsia="宋体" w:cs="宋体"/>
          <w:spacing w:val="-4"/>
          <w:szCs w:val="21"/>
          <w:lang w:val="en-US" w:eastAsia="zh-CN"/>
        </w:rPr>
      </w:pPr>
      <w:r>
        <w:rPr>
          <w:rFonts w:hint="eastAsia" w:ascii="宋体" w:hAnsi="宋体" w:eastAsia="宋体" w:cs="宋体"/>
          <w:spacing w:val="-4"/>
          <w:szCs w:val="21"/>
          <w:lang w:val="en-US" w:eastAsia="zh-CN"/>
        </w:rPr>
        <w:t>8、我方承诺在收到《中标(成交)通知书》时按本项目招标文件的规定，向贵公司一次性支付全额招标代理服务费；若中标、成交后放弃中标、成交资格导致重新采购的，承担支付代理费和专家评审费等费用在内的赔偿责任。</w:t>
      </w:r>
    </w:p>
    <w:p w14:paraId="0DB930A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Cs w:val="21"/>
        </w:rPr>
      </w:pPr>
    </w:p>
    <w:p w14:paraId="2478D35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（加盖公章） </w:t>
      </w:r>
    </w:p>
    <w:p w14:paraId="3AD3149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b/>
          <w:szCs w:val="21"/>
          <w:u w:val="single"/>
        </w:rPr>
        <w:t xml:space="preserve">                  </w:t>
      </w:r>
      <w:r>
        <w:rPr>
          <w:rFonts w:hint="eastAsia" w:ascii="宋体" w:hAnsi="宋体" w:eastAsia="宋体" w:cs="宋体"/>
          <w:szCs w:val="21"/>
        </w:rPr>
        <w:t>（签字或盖章）</w:t>
      </w:r>
    </w:p>
    <w:p w14:paraId="1B4E6C1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Cs w:val="21"/>
        </w:rPr>
      </w:pPr>
      <w:r>
        <w:rPr>
          <w:rFonts w:hint="eastAsia" w:ascii="宋体" w:hAnsi="宋体" w:eastAsia="宋体" w:cs="宋体"/>
          <w:szCs w:val="21"/>
        </w:rPr>
        <w:t>投标人代表：</w:t>
      </w:r>
      <w:r>
        <w:rPr>
          <w:rFonts w:hint="eastAsia" w:ascii="宋体" w:hAnsi="宋体" w:eastAsia="宋体" w:cs="宋体"/>
          <w:szCs w:val="21"/>
          <w:u w:val="single"/>
        </w:rPr>
        <w:t xml:space="preserve">                  </w:t>
      </w:r>
      <w:r>
        <w:rPr>
          <w:rFonts w:hint="eastAsia" w:ascii="宋体" w:hAnsi="宋体" w:eastAsia="宋体" w:cs="宋体"/>
          <w:szCs w:val="21"/>
        </w:rPr>
        <w:t xml:space="preserve">（签字） </w:t>
      </w:r>
    </w:p>
    <w:p w14:paraId="56DB89D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Cs w:val="21"/>
          <w:u w:val="single"/>
        </w:rPr>
      </w:pPr>
      <w:r>
        <w:rPr>
          <w:rFonts w:hint="eastAsia" w:ascii="宋体" w:hAnsi="宋体" w:eastAsia="宋体" w:cs="宋体"/>
          <w:szCs w:val="21"/>
        </w:rPr>
        <w:t>投标人地址：</w:t>
      </w:r>
      <w:r>
        <w:rPr>
          <w:rFonts w:hint="eastAsia" w:ascii="宋体" w:hAnsi="宋体" w:eastAsia="宋体" w:cs="宋体"/>
          <w:szCs w:val="21"/>
          <w:u w:val="single"/>
        </w:rPr>
        <w:t xml:space="preserve">                  </w:t>
      </w:r>
    </w:p>
    <w:p w14:paraId="6C0BC477">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46204260">
      <w:pPr>
        <w:spacing w:line="360" w:lineRule="auto"/>
        <w:jc w:val="left"/>
        <w:outlineLvl w:val="2"/>
        <w:rPr>
          <w:rFonts w:ascii="宋体" w:hAnsi="宋体" w:cs="宋体"/>
          <w:b/>
          <w:szCs w:val="21"/>
        </w:rPr>
      </w:pPr>
      <w:r>
        <w:rPr>
          <w:rFonts w:hint="eastAsia" w:ascii="宋体" w:hAnsi="宋体" w:cs="宋体"/>
          <w:b/>
          <w:spacing w:val="20"/>
          <w:szCs w:val="21"/>
        </w:rPr>
        <w:t>格式六、法定代表人授权函</w:t>
      </w:r>
    </w:p>
    <w:p w14:paraId="0A797DC9">
      <w:pPr>
        <w:spacing w:line="360" w:lineRule="auto"/>
        <w:jc w:val="left"/>
        <w:rPr>
          <w:rFonts w:hint="eastAsia" w:ascii="宋体" w:hAnsi="宋体" w:eastAsia="宋体" w:cs="宋体"/>
          <w:spacing w:val="-4"/>
          <w:szCs w:val="21"/>
          <w:lang w:eastAsia="zh-CN"/>
        </w:rPr>
      </w:pPr>
      <w:r>
        <w:rPr>
          <w:rFonts w:hint="eastAsia" w:ascii="宋体" w:hAnsi="宋体" w:cs="宋体"/>
          <w:spacing w:val="-4"/>
          <w:szCs w:val="21"/>
        </w:rPr>
        <w:t>致：</w:t>
      </w:r>
      <w:r>
        <w:rPr>
          <w:rFonts w:hint="eastAsia" w:ascii="宋体" w:hAnsi="宋体" w:cs="宋体"/>
          <w:spacing w:val="-4"/>
          <w:szCs w:val="21"/>
          <w:lang w:eastAsia="zh-CN"/>
        </w:rPr>
        <w:t>岱山县数据服务中心</w:t>
      </w:r>
    </w:p>
    <w:p w14:paraId="5DF3BDD2">
      <w:pPr>
        <w:spacing w:line="360" w:lineRule="auto"/>
        <w:ind w:right="-89" w:firstLine="420" w:firstLineChars="200"/>
        <w:jc w:val="left"/>
        <w:rPr>
          <w:rFonts w:ascii="宋体" w:hAnsi="宋体" w:cs="宋体"/>
          <w:szCs w:val="21"/>
        </w:rPr>
      </w:pPr>
      <w:r>
        <w:rPr>
          <w:rFonts w:hint="eastAsia" w:ascii="宋体" w:hAnsi="宋体" w:cs="宋体"/>
          <w:szCs w:val="21"/>
        </w:rPr>
        <w:t>中金招标有限责任公司</w:t>
      </w:r>
    </w:p>
    <w:p w14:paraId="68F9D858">
      <w:pPr>
        <w:spacing w:line="360" w:lineRule="auto"/>
        <w:ind w:right="-89" w:firstLine="404" w:firstLineChars="200"/>
        <w:jc w:val="left"/>
        <w:rPr>
          <w:rFonts w:hint="eastAsia" w:ascii="宋体" w:hAnsi="宋体" w:cs="宋体"/>
          <w:spacing w:val="-4"/>
          <w:sz w:val="21"/>
          <w:szCs w:val="21"/>
        </w:rPr>
      </w:pPr>
      <w:r>
        <w:rPr>
          <w:rFonts w:hint="eastAsia" w:ascii="宋体" w:hAnsi="宋体" w:cs="宋体"/>
          <w:spacing w:val="-4"/>
          <w:sz w:val="21"/>
          <w:szCs w:val="21"/>
        </w:rPr>
        <w:t>我</w:t>
      </w:r>
      <w:r>
        <w:rPr>
          <w:rFonts w:hint="eastAsia" w:ascii="宋体" w:hAnsi="宋体" w:cs="宋体"/>
          <w:spacing w:val="-4"/>
          <w:sz w:val="21"/>
          <w:szCs w:val="21"/>
          <w:u w:val="single"/>
        </w:rPr>
        <w:t xml:space="preserve">              </w:t>
      </w:r>
      <w:r>
        <w:rPr>
          <w:rFonts w:hint="eastAsia" w:ascii="宋体" w:hAnsi="宋体" w:cs="宋体"/>
          <w:spacing w:val="-4"/>
          <w:sz w:val="21"/>
          <w:szCs w:val="21"/>
        </w:rPr>
        <w:t>（姓名）系</w:t>
      </w:r>
      <w:r>
        <w:rPr>
          <w:rFonts w:hint="eastAsia" w:ascii="宋体" w:hAnsi="宋体" w:cs="宋体"/>
          <w:spacing w:val="-4"/>
          <w:sz w:val="21"/>
          <w:szCs w:val="21"/>
          <w:u w:val="single"/>
        </w:rPr>
        <w:t xml:space="preserve">             </w:t>
      </w:r>
      <w:r>
        <w:rPr>
          <w:rFonts w:hint="eastAsia" w:ascii="宋体" w:hAnsi="宋体" w:cs="宋体"/>
          <w:spacing w:val="-4"/>
          <w:sz w:val="21"/>
          <w:szCs w:val="21"/>
        </w:rPr>
        <w:t>（投标人名称）的法定代表人，现授权委托本单位在职职工</w:t>
      </w:r>
      <w:r>
        <w:rPr>
          <w:rFonts w:hint="eastAsia" w:ascii="宋体" w:hAnsi="宋体" w:cs="宋体"/>
          <w:spacing w:val="-4"/>
          <w:sz w:val="21"/>
          <w:szCs w:val="21"/>
          <w:u w:val="single"/>
        </w:rPr>
        <w:t xml:space="preserve">                   </w:t>
      </w:r>
      <w:r>
        <w:rPr>
          <w:rFonts w:hint="eastAsia" w:ascii="宋体" w:hAnsi="宋体" w:cs="宋体"/>
          <w:spacing w:val="-4"/>
          <w:sz w:val="21"/>
          <w:szCs w:val="21"/>
        </w:rPr>
        <w:t>（姓名）(身份证号码：</w:t>
      </w:r>
      <w:r>
        <w:rPr>
          <w:rFonts w:hint="eastAsia" w:ascii="宋体" w:hAnsi="宋体" w:cs="宋体"/>
          <w:spacing w:val="-4"/>
          <w:sz w:val="21"/>
          <w:szCs w:val="21"/>
          <w:u w:val="single"/>
        </w:rPr>
        <w:t xml:space="preserve">                                </w:t>
      </w:r>
      <w:r>
        <w:rPr>
          <w:rFonts w:hint="eastAsia" w:ascii="宋体" w:hAnsi="宋体" w:cs="宋体"/>
          <w:spacing w:val="-4"/>
          <w:sz w:val="21"/>
          <w:szCs w:val="21"/>
        </w:rPr>
        <w:t>)以我方的名义参加</w:t>
      </w:r>
      <w:r>
        <w:rPr>
          <w:rFonts w:hint="eastAsia" w:ascii="宋体" w:hAnsi="宋体" w:cs="宋体"/>
          <w:spacing w:val="-4"/>
          <w:sz w:val="21"/>
          <w:szCs w:val="21"/>
          <w:u w:val="single"/>
        </w:rPr>
        <w:t xml:space="preserve">                           </w:t>
      </w:r>
      <w:r>
        <w:rPr>
          <w:rFonts w:hint="eastAsia" w:ascii="宋体" w:hAnsi="宋体" w:cs="宋体"/>
          <w:spacing w:val="-4"/>
          <w:sz w:val="21"/>
          <w:szCs w:val="21"/>
        </w:rPr>
        <w:t>（项目名称）（项目编号）的投标活动，并代表我方全权办理针对上述项目的投标、开标、评标、签约等具体事务和签署相关文件。</w:t>
      </w:r>
    </w:p>
    <w:p w14:paraId="2C8E7A94">
      <w:pPr>
        <w:spacing w:line="360" w:lineRule="auto"/>
        <w:ind w:right="-89" w:firstLine="404" w:firstLineChars="200"/>
        <w:jc w:val="left"/>
        <w:rPr>
          <w:rFonts w:hint="eastAsia" w:ascii="宋体" w:hAnsi="宋体" w:cs="宋体"/>
          <w:spacing w:val="-4"/>
          <w:sz w:val="21"/>
          <w:szCs w:val="21"/>
        </w:rPr>
      </w:pPr>
      <w:r>
        <w:rPr>
          <w:rFonts w:hint="eastAsia" w:ascii="宋体" w:hAnsi="宋体" w:cs="宋体"/>
          <w:spacing w:val="-4"/>
          <w:sz w:val="21"/>
          <w:szCs w:val="21"/>
        </w:rPr>
        <w:t>我方对被授权人的签名负全部责任。</w:t>
      </w:r>
    </w:p>
    <w:p w14:paraId="3C914CE9">
      <w:pPr>
        <w:spacing w:line="360" w:lineRule="auto"/>
        <w:ind w:right="-89" w:firstLine="404" w:firstLineChars="200"/>
        <w:jc w:val="left"/>
        <w:rPr>
          <w:rFonts w:hint="eastAsia" w:ascii="宋体" w:hAnsi="宋体" w:cs="宋体"/>
          <w:spacing w:val="-4"/>
          <w:sz w:val="21"/>
          <w:szCs w:val="21"/>
        </w:rPr>
      </w:pPr>
      <w:r>
        <w:rPr>
          <w:rFonts w:hint="eastAsia" w:ascii="宋体" w:hAnsi="宋体" w:cs="宋体"/>
          <w:spacing w:val="-4"/>
          <w:sz w:val="21"/>
          <w:szCs w:val="21"/>
        </w:rPr>
        <w:t>在撤销授权的书面通知以前，本授权函一直有效。被授权人在授权函有效期内签署的所有文件不因授权的撤销而失效。</w:t>
      </w:r>
    </w:p>
    <w:p w14:paraId="3206AFAA">
      <w:pPr>
        <w:spacing w:line="360" w:lineRule="auto"/>
        <w:ind w:right="-89" w:firstLine="404" w:firstLineChars="200"/>
        <w:jc w:val="left"/>
        <w:rPr>
          <w:rFonts w:hint="eastAsia" w:ascii="宋体" w:hAnsi="宋体" w:cs="宋体"/>
          <w:spacing w:val="-4"/>
          <w:sz w:val="21"/>
          <w:szCs w:val="21"/>
        </w:rPr>
      </w:pPr>
      <w:r>
        <w:rPr>
          <w:rFonts w:hint="eastAsia" w:ascii="宋体" w:hAnsi="宋体" w:cs="宋体"/>
          <w:spacing w:val="-4"/>
          <w:sz w:val="21"/>
          <w:szCs w:val="21"/>
        </w:rPr>
        <w:t>被授权人无转委托权，特此委托。</w:t>
      </w:r>
    </w:p>
    <w:p w14:paraId="1D03ACE6">
      <w:pPr>
        <w:spacing w:line="360" w:lineRule="auto"/>
        <w:ind w:right="-89" w:firstLine="404" w:firstLineChars="200"/>
        <w:jc w:val="left"/>
        <w:rPr>
          <w:rFonts w:hint="eastAsia" w:ascii="宋体" w:hAnsi="宋体" w:cs="宋体"/>
          <w:spacing w:val="-4"/>
          <w:sz w:val="21"/>
          <w:szCs w:val="21"/>
        </w:rPr>
      </w:pPr>
      <w:r>
        <w:rPr>
          <w:rFonts w:hint="eastAsia" w:ascii="宋体" w:hAnsi="宋体" w:cs="宋体"/>
          <w:spacing w:val="-4"/>
          <w:sz w:val="21"/>
          <w:szCs w:val="21"/>
        </w:rPr>
        <w:t xml:space="preserve">被授权人（签字）：                           法定代表人（签字或盖章）：          </w:t>
      </w:r>
    </w:p>
    <w:p w14:paraId="6DDD3C8B">
      <w:pPr>
        <w:spacing w:line="360" w:lineRule="auto"/>
        <w:ind w:right="-89" w:firstLine="404" w:firstLineChars="200"/>
        <w:jc w:val="left"/>
        <w:rPr>
          <w:rFonts w:hint="eastAsia" w:ascii="宋体" w:hAnsi="宋体" w:cs="宋体"/>
          <w:spacing w:val="-4"/>
          <w:sz w:val="21"/>
          <w:szCs w:val="21"/>
        </w:rPr>
      </w:pPr>
      <w:r>
        <w:rPr>
          <w:rFonts w:hint="eastAsia" w:ascii="宋体" w:hAnsi="宋体" w:cs="宋体"/>
          <w:spacing w:val="-4"/>
          <w:sz w:val="21"/>
          <w:szCs w:val="21"/>
        </w:rPr>
        <w:t xml:space="preserve">被授权人联系电话：                          </w:t>
      </w:r>
      <w:r>
        <w:rPr>
          <w:rFonts w:ascii="宋体" w:hAnsi="宋体" w:cs="宋体"/>
          <w:spacing w:val="-4"/>
          <w:sz w:val="21"/>
          <w:szCs w:val="21"/>
        </w:rPr>
        <w:t xml:space="preserve"> </w:t>
      </w:r>
      <w:r>
        <w:rPr>
          <w:rFonts w:hint="eastAsia" w:ascii="宋体" w:hAnsi="宋体" w:cs="宋体"/>
          <w:spacing w:val="-4"/>
          <w:sz w:val="21"/>
          <w:szCs w:val="21"/>
        </w:rPr>
        <w:t>法定代表人联系电话：</w:t>
      </w:r>
    </w:p>
    <w:p w14:paraId="4E4F067D">
      <w:pPr>
        <w:spacing w:line="360" w:lineRule="auto"/>
        <w:ind w:right="-89" w:firstLine="4444" w:firstLineChars="2200"/>
        <w:jc w:val="left"/>
        <w:rPr>
          <w:rFonts w:ascii="宋体" w:hAnsi="宋体" w:cs="宋体"/>
          <w:spacing w:val="-4"/>
          <w:szCs w:val="21"/>
        </w:rPr>
      </w:pPr>
    </w:p>
    <w:p w14:paraId="2645A018">
      <w:pPr>
        <w:spacing w:line="360" w:lineRule="auto"/>
        <w:ind w:right="-89" w:firstLine="4444" w:firstLineChars="2200"/>
        <w:jc w:val="left"/>
        <w:rPr>
          <w:rFonts w:ascii="宋体" w:hAnsi="宋体" w:cs="宋体"/>
          <w:spacing w:val="-4"/>
          <w:szCs w:val="21"/>
        </w:rPr>
      </w:pPr>
    </w:p>
    <w:p w14:paraId="1AA61E96">
      <w:pPr>
        <w:spacing w:line="360" w:lineRule="auto"/>
        <w:ind w:right="-89" w:firstLine="4444" w:firstLineChars="2200"/>
        <w:jc w:val="center"/>
        <w:rPr>
          <w:rFonts w:ascii="宋体" w:hAnsi="宋体" w:cs="宋体"/>
          <w:spacing w:val="-4"/>
          <w:szCs w:val="21"/>
        </w:rPr>
      </w:pPr>
      <w:r>
        <w:rPr>
          <w:rFonts w:hint="eastAsia" w:ascii="宋体" w:hAnsi="宋体" w:cs="宋体"/>
          <w:spacing w:val="-4"/>
          <w:szCs w:val="21"/>
        </w:rPr>
        <w:t>投标人公章：</w:t>
      </w:r>
    </w:p>
    <w:p w14:paraId="0BF61DB0">
      <w:pPr>
        <w:spacing w:line="360" w:lineRule="auto"/>
        <w:jc w:val="center"/>
        <w:rPr>
          <w:rFonts w:ascii="宋体" w:hAnsi="宋体" w:cs="宋体"/>
          <w:spacing w:val="-4"/>
          <w:szCs w:val="21"/>
        </w:rPr>
      </w:pPr>
      <w:r>
        <w:rPr>
          <w:rFonts w:hint="eastAsia" w:ascii="宋体" w:hAnsi="宋体" w:cs="宋体"/>
          <w:spacing w:val="-4"/>
          <w:szCs w:val="21"/>
          <w:lang w:val="en-US" w:eastAsia="zh-CN"/>
        </w:rPr>
        <w:t xml:space="preserve">                                               </w:t>
      </w:r>
      <w:r>
        <w:rPr>
          <w:rFonts w:hint="eastAsia" w:ascii="宋体" w:hAnsi="宋体" w:cs="宋体"/>
          <w:spacing w:val="-4"/>
          <w:szCs w:val="21"/>
        </w:rPr>
        <w:t>年</w:t>
      </w:r>
      <w:r>
        <w:rPr>
          <w:rFonts w:hint="eastAsia" w:ascii="宋体" w:hAnsi="宋体" w:cs="宋体"/>
          <w:spacing w:val="-4"/>
          <w:szCs w:val="21"/>
          <w:lang w:val="en-US" w:eastAsia="zh-CN"/>
        </w:rPr>
        <w:t xml:space="preserve">   </w:t>
      </w:r>
      <w:r>
        <w:rPr>
          <w:rFonts w:hint="eastAsia" w:ascii="宋体" w:hAnsi="宋体" w:cs="宋体"/>
          <w:spacing w:val="-4"/>
          <w:szCs w:val="21"/>
        </w:rPr>
        <w:t>月</w:t>
      </w:r>
      <w:r>
        <w:rPr>
          <w:rFonts w:hint="eastAsia" w:ascii="宋体" w:hAnsi="宋体" w:cs="宋体"/>
          <w:spacing w:val="-4"/>
          <w:szCs w:val="21"/>
          <w:lang w:val="en-US" w:eastAsia="zh-CN"/>
        </w:rPr>
        <w:t xml:space="preserve">    </w:t>
      </w:r>
      <w:r>
        <w:rPr>
          <w:rFonts w:hint="eastAsia" w:ascii="宋体" w:hAnsi="宋体" w:cs="宋体"/>
          <w:spacing w:val="-4"/>
          <w:szCs w:val="21"/>
        </w:rPr>
        <w:t>日</w:t>
      </w:r>
    </w:p>
    <w:p w14:paraId="32CE2EBB">
      <w:pPr>
        <w:spacing w:line="360" w:lineRule="auto"/>
        <w:rPr>
          <w:rFonts w:ascii="宋体" w:hAnsi="宋体" w:cs="宋体"/>
          <w:spacing w:val="20"/>
          <w:szCs w:val="21"/>
        </w:rPr>
      </w:pPr>
    </w:p>
    <w:p w14:paraId="4EE6D5C0">
      <w:pPr>
        <w:snapToGrid w:val="0"/>
        <w:jc w:val="left"/>
        <w:outlineLvl w:val="2"/>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格式</w:t>
      </w:r>
      <w:r>
        <w:rPr>
          <w:rFonts w:hint="eastAsia" w:ascii="宋体" w:hAnsi="宋体" w:cs="宋体"/>
          <w:b/>
          <w:szCs w:val="21"/>
          <w:lang w:val="en-US" w:eastAsia="zh-CN"/>
        </w:rPr>
        <w:t>七</w:t>
      </w:r>
      <w:r>
        <w:rPr>
          <w:rFonts w:hint="eastAsia" w:ascii="宋体" w:hAnsi="宋体" w:cs="宋体"/>
          <w:b/>
          <w:szCs w:val="21"/>
        </w:rPr>
        <w:t>、相关业绩</w:t>
      </w:r>
    </w:p>
    <w:p w14:paraId="64BE7E87">
      <w:pPr>
        <w:bidi w:val="0"/>
        <w:rPr>
          <w:rFonts w:hint="eastAsia"/>
        </w:rPr>
      </w:pPr>
    </w:p>
    <w:tbl>
      <w:tblPr>
        <w:tblStyle w:val="3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581"/>
        <w:gridCol w:w="3282"/>
        <w:gridCol w:w="1222"/>
        <w:gridCol w:w="1581"/>
        <w:gridCol w:w="1091"/>
      </w:tblGrid>
      <w:tr w14:paraId="7820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vAlign w:val="center"/>
          </w:tcPr>
          <w:p w14:paraId="1D21E381">
            <w:pPr>
              <w:keepNext w:val="0"/>
              <w:keepLines w:val="0"/>
              <w:suppressLineNumbers w:val="0"/>
              <w:spacing w:before="0" w:beforeAutospacing="0" w:after="0" w:afterAutospacing="0" w:line="480" w:lineRule="auto"/>
              <w:ind w:left="0" w:right="0"/>
              <w:jc w:val="center"/>
              <w:rPr>
                <w:rFonts w:hint="eastAsia" w:ascii="宋体" w:hAnsi="宋体" w:eastAsia="宋体" w:cs="宋体"/>
                <w:b/>
                <w:szCs w:val="21"/>
              </w:rPr>
            </w:pPr>
            <w:r>
              <w:rPr>
                <w:rFonts w:hint="eastAsia" w:ascii="宋体" w:hAnsi="宋体" w:eastAsia="宋体" w:cs="宋体"/>
                <w:b/>
                <w:szCs w:val="21"/>
              </w:rPr>
              <w:t>序号</w:t>
            </w:r>
          </w:p>
        </w:tc>
        <w:tc>
          <w:tcPr>
            <w:tcW w:w="1581" w:type="dxa"/>
            <w:vAlign w:val="center"/>
          </w:tcPr>
          <w:p w14:paraId="1D2864E0">
            <w:pPr>
              <w:keepNext w:val="0"/>
              <w:keepLines w:val="0"/>
              <w:suppressLineNumbers w:val="0"/>
              <w:spacing w:before="0" w:beforeAutospacing="0" w:after="0" w:afterAutospacing="0" w:line="480" w:lineRule="auto"/>
              <w:ind w:left="0" w:right="0"/>
              <w:jc w:val="center"/>
              <w:rPr>
                <w:rFonts w:hint="eastAsia" w:ascii="宋体" w:hAnsi="宋体" w:eastAsia="宋体" w:cs="宋体"/>
                <w:b/>
                <w:szCs w:val="21"/>
              </w:rPr>
            </w:pPr>
            <w:r>
              <w:rPr>
                <w:rFonts w:hint="eastAsia" w:ascii="宋体" w:hAnsi="宋体" w:eastAsia="宋体" w:cs="宋体"/>
                <w:b/>
                <w:szCs w:val="21"/>
              </w:rPr>
              <w:t>业主名称</w:t>
            </w:r>
          </w:p>
        </w:tc>
        <w:tc>
          <w:tcPr>
            <w:tcW w:w="3282" w:type="dxa"/>
            <w:vAlign w:val="center"/>
          </w:tcPr>
          <w:p w14:paraId="221A460B">
            <w:pPr>
              <w:keepNext w:val="0"/>
              <w:keepLines w:val="0"/>
              <w:suppressLineNumbers w:val="0"/>
              <w:spacing w:before="0" w:beforeAutospacing="0" w:after="0" w:afterAutospacing="0" w:line="480" w:lineRule="auto"/>
              <w:ind w:left="0" w:right="0"/>
              <w:jc w:val="center"/>
              <w:rPr>
                <w:rFonts w:hint="eastAsia" w:ascii="宋体" w:hAnsi="宋体" w:eastAsia="宋体" w:cs="宋体"/>
                <w:b/>
                <w:szCs w:val="21"/>
              </w:rPr>
            </w:pPr>
            <w:r>
              <w:rPr>
                <w:rFonts w:hint="eastAsia" w:ascii="宋体" w:hAnsi="宋体" w:eastAsia="宋体" w:cs="宋体"/>
                <w:b/>
                <w:szCs w:val="21"/>
              </w:rPr>
              <w:t>项目名称</w:t>
            </w:r>
          </w:p>
        </w:tc>
        <w:tc>
          <w:tcPr>
            <w:tcW w:w="1222" w:type="dxa"/>
            <w:vAlign w:val="center"/>
          </w:tcPr>
          <w:p w14:paraId="06EFA7C4">
            <w:pPr>
              <w:keepNext w:val="0"/>
              <w:keepLines w:val="0"/>
              <w:suppressLineNumbers w:val="0"/>
              <w:spacing w:before="0" w:beforeAutospacing="0" w:after="0" w:afterAutospacing="0" w:line="480" w:lineRule="auto"/>
              <w:ind w:left="0" w:right="0"/>
              <w:jc w:val="center"/>
              <w:rPr>
                <w:rFonts w:hint="eastAsia" w:ascii="宋体" w:hAnsi="宋体" w:eastAsia="宋体" w:cs="宋体"/>
                <w:b/>
                <w:szCs w:val="21"/>
              </w:rPr>
            </w:pPr>
            <w:r>
              <w:rPr>
                <w:rFonts w:hint="eastAsia" w:ascii="宋体" w:hAnsi="宋体" w:eastAsia="宋体" w:cs="宋体"/>
                <w:b/>
                <w:szCs w:val="21"/>
              </w:rPr>
              <w:t>签订日期</w:t>
            </w:r>
          </w:p>
        </w:tc>
        <w:tc>
          <w:tcPr>
            <w:tcW w:w="1581" w:type="dxa"/>
            <w:vAlign w:val="center"/>
          </w:tcPr>
          <w:p w14:paraId="3C443088">
            <w:pPr>
              <w:keepNext w:val="0"/>
              <w:keepLines w:val="0"/>
              <w:suppressLineNumbers w:val="0"/>
              <w:spacing w:before="0" w:beforeAutospacing="0" w:after="0" w:afterAutospacing="0" w:line="480" w:lineRule="auto"/>
              <w:ind w:left="0" w:right="0"/>
              <w:jc w:val="center"/>
              <w:rPr>
                <w:rFonts w:hint="eastAsia" w:ascii="宋体" w:hAnsi="宋体" w:eastAsia="宋体" w:cs="宋体"/>
                <w:b/>
                <w:szCs w:val="21"/>
              </w:rPr>
            </w:pPr>
            <w:r>
              <w:rPr>
                <w:rFonts w:hint="eastAsia" w:ascii="宋体" w:hAnsi="宋体" w:eastAsia="宋体" w:cs="宋体"/>
                <w:b/>
                <w:szCs w:val="21"/>
              </w:rPr>
              <w:t>业主联系人及联系方式</w:t>
            </w:r>
          </w:p>
        </w:tc>
        <w:tc>
          <w:tcPr>
            <w:tcW w:w="1091" w:type="dxa"/>
            <w:vAlign w:val="center"/>
          </w:tcPr>
          <w:p w14:paraId="4646FB71">
            <w:pPr>
              <w:keepNext w:val="0"/>
              <w:keepLines w:val="0"/>
              <w:suppressLineNumbers w:val="0"/>
              <w:snapToGrid w:val="0"/>
              <w:spacing w:before="0" w:beforeAutospacing="0" w:after="0" w:afterAutospacing="0" w:line="480" w:lineRule="auto"/>
              <w:ind w:left="0" w:right="0"/>
              <w:jc w:val="center"/>
              <w:rPr>
                <w:rFonts w:hint="eastAsia" w:ascii="宋体" w:hAnsi="宋体" w:eastAsia="宋体" w:cs="宋体"/>
                <w:b/>
                <w:szCs w:val="21"/>
              </w:rPr>
            </w:pPr>
            <w:r>
              <w:rPr>
                <w:rFonts w:hint="eastAsia" w:ascii="宋体" w:hAnsi="宋体" w:eastAsia="宋体" w:cs="宋体"/>
                <w:b/>
                <w:szCs w:val="21"/>
              </w:rPr>
              <w:t>附件</w:t>
            </w:r>
          </w:p>
          <w:p w14:paraId="58AB3758">
            <w:pPr>
              <w:keepNext w:val="0"/>
              <w:keepLines w:val="0"/>
              <w:suppressLineNumbers w:val="0"/>
              <w:snapToGrid w:val="0"/>
              <w:spacing w:before="0" w:beforeAutospacing="0" w:after="0" w:afterAutospacing="0" w:line="480" w:lineRule="auto"/>
              <w:ind w:left="0" w:right="0"/>
              <w:jc w:val="center"/>
              <w:rPr>
                <w:rFonts w:hint="eastAsia" w:ascii="宋体" w:hAnsi="宋体" w:eastAsia="宋体" w:cs="宋体"/>
                <w:b/>
                <w:szCs w:val="21"/>
              </w:rPr>
            </w:pPr>
            <w:r>
              <w:rPr>
                <w:rFonts w:hint="eastAsia" w:ascii="宋体" w:hAnsi="宋体" w:eastAsia="宋体" w:cs="宋体"/>
                <w:b/>
                <w:szCs w:val="21"/>
              </w:rPr>
              <w:t>页码</w:t>
            </w:r>
          </w:p>
        </w:tc>
      </w:tr>
      <w:tr w14:paraId="0D64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5261DD8B">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581" w:type="dxa"/>
          </w:tcPr>
          <w:p w14:paraId="18A5F55B">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3282" w:type="dxa"/>
          </w:tcPr>
          <w:p w14:paraId="205D8401">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222" w:type="dxa"/>
          </w:tcPr>
          <w:p w14:paraId="2904C4EE">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581" w:type="dxa"/>
          </w:tcPr>
          <w:p w14:paraId="3B8B8AE3">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091" w:type="dxa"/>
          </w:tcPr>
          <w:p w14:paraId="730221F7">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r>
      <w:tr w14:paraId="2B93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7C06AC7B">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581" w:type="dxa"/>
          </w:tcPr>
          <w:p w14:paraId="5DB4576A">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3282" w:type="dxa"/>
          </w:tcPr>
          <w:p w14:paraId="438D2DC4">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222" w:type="dxa"/>
          </w:tcPr>
          <w:p w14:paraId="2708272D">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581" w:type="dxa"/>
          </w:tcPr>
          <w:p w14:paraId="3B80B62A">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091" w:type="dxa"/>
          </w:tcPr>
          <w:p w14:paraId="6CDE0F13">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r>
      <w:tr w14:paraId="0249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2FEC74EE">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581" w:type="dxa"/>
          </w:tcPr>
          <w:p w14:paraId="21556BD1">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3282" w:type="dxa"/>
          </w:tcPr>
          <w:p w14:paraId="09A6BE3E">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222" w:type="dxa"/>
          </w:tcPr>
          <w:p w14:paraId="16ADF1DA">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581" w:type="dxa"/>
          </w:tcPr>
          <w:p w14:paraId="6C98FDB8">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091" w:type="dxa"/>
          </w:tcPr>
          <w:p w14:paraId="16B017E2">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r>
      <w:tr w14:paraId="4E0E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6685EB99">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581" w:type="dxa"/>
          </w:tcPr>
          <w:p w14:paraId="6729464E">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3282" w:type="dxa"/>
          </w:tcPr>
          <w:p w14:paraId="776D5AB2">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222" w:type="dxa"/>
          </w:tcPr>
          <w:p w14:paraId="2FA94FFA">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581" w:type="dxa"/>
          </w:tcPr>
          <w:p w14:paraId="188A04EB">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091" w:type="dxa"/>
          </w:tcPr>
          <w:p w14:paraId="0E138EC4">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r>
    </w:tbl>
    <w:p w14:paraId="434C7767">
      <w:pPr>
        <w:snapToGrid w:val="0"/>
        <w:jc w:val="left"/>
        <w:rPr>
          <w:rFonts w:hint="eastAsia" w:ascii="宋体" w:hAnsi="宋体" w:cs="宋体"/>
          <w:b/>
          <w:szCs w:val="21"/>
        </w:rPr>
      </w:pPr>
    </w:p>
    <w:p w14:paraId="395E6F1B">
      <w:pPr>
        <w:spacing w:line="360" w:lineRule="auto"/>
        <w:ind w:left="424" w:leftChars="202"/>
        <w:rPr>
          <w:rFonts w:ascii="宋体" w:hAnsi="宋体" w:cs="宋体"/>
          <w:szCs w:val="21"/>
        </w:rPr>
      </w:pPr>
    </w:p>
    <w:p w14:paraId="08E933CB">
      <w:pPr>
        <w:spacing w:line="360" w:lineRule="auto"/>
        <w:ind w:left="424" w:leftChars="202"/>
        <w:rPr>
          <w:rFonts w:ascii="宋体" w:hAnsi="宋体" w:cs="宋体"/>
          <w:szCs w:val="21"/>
        </w:rPr>
      </w:pPr>
    </w:p>
    <w:p w14:paraId="6CB53491">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22A4E5C1">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176CB155">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6A759B2">
      <w:pPr>
        <w:snapToGrid w:val="0"/>
        <w:spacing w:before="50" w:after="156" w:afterLines="50"/>
        <w:jc w:val="left"/>
        <w:outlineLvl w:val="2"/>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格式</w:t>
      </w:r>
      <w:r>
        <w:rPr>
          <w:rFonts w:hint="eastAsia" w:ascii="宋体" w:hAnsi="宋体" w:cs="宋体"/>
          <w:b/>
          <w:szCs w:val="21"/>
          <w:lang w:val="en-US" w:eastAsia="zh-CN"/>
        </w:rPr>
        <w:t>八</w:t>
      </w:r>
      <w:r>
        <w:rPr>
          <w:rFonts w:hint="eastAsia" w:ascii="宋体" w:hAnsi="宋体" w:cs="宋体"/>
          <w:b/>
          <w:szCs w:val="21"/>
        </w:rPr>
        <w:t>、拟派项目团队（格式仅供参考）</w:t>
      </w:r>
    </w:p>
    <w:tbl>
      <w:tblPr>
        <w:tblStyle w:val="33"/>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13"/>
        <w:gridCol w:w="1114"/>
        <w:gridCol w:w="684"/>
        <w:gridCol w:w="821"/>
        <w:gridCol w:w="821"/>
        <w:gridCol w:w="958"/>
        <w:gridCol w:w="1095"/>
        <w:gridCol w:w="821"/>
        <w:gridCol w:w="1233"/>
        <w:gridCol w:w="1374"/>
      </w:tblGrid>
      <w:tr w14:paraId="0942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29" w:hRule="atLeast"/>
          <w:jc w:val="center"/>
        </w:trPr>
        <w:tc>
          <w:tcPr>
            <w:tcW w:w="713" w:type="dxa"/>
            <w:vAlign w:val="center"/>
          </w:tcPr>
          <w:p w14:paraId="5A44CCE0">
            <w:pPr>
              <w:keepNext w:val="0"/>
              <w:keepLines w:val="0"/>
              <w:suppressLineNumbers w:val="0"/>
              <w:spacing w:before="0" w:beforeAutospacing="0" w:after="0" w:afterAutospacing="0" w:line="360" w:lineRule="auto"/>
              <w:ind w:left="0" w:right="0"/>
              <w:jc w:val="center"/>
              <w:rPr>
                <w:rFonts w:hint="eastAsia" w:ascii="宋体" w:hAnsi="宋体" w:eastAsia="宋体" w:cs="宋体"/>
                <w:b/>
                <w:bCs/>
                <w:szCs w:val="21"/>
              </w:rPr>
            </w:pPr>
            <w:r>
              <w:rPr>
                <w:rFonts w:hint="eastAsia" w:ascii="宋体" w:hAnsi="宋体" w:eastAsia="宋体" w:cs="宋体"/>
                <w:b/>
                <w:bCs/>
                <w:szCs w:val="21"/>
              </w:rPr>
              <w:t>序号</w:t>
            </w:r>
          </w:p>
        </w:tc>
        <w:tc>
          <w:tcPr>
            <w:tcW w:w="1114" w:type="dxa"/>
            <w:vAlign w:val="center"/>
          </w:tcPr>
          <w:p w14:paraId="59B68047">
            <w:pPr>
              <w:keepNext w:val="0"/>
              <w:keepLines w:val="0"/>
              <w:suppressLineNumbers w:val="0"/>
              <w:spacing w:before="0" w:beforeAutospacing="0" w:after="0" w:afterAutospacing="0" w:line="360" w:lineRule="auto"/>
              <w:ind w:left="0" w:right="0"/>
              <w:jc w:val="center"/>
              <w:rPr>
                <w:rFonts w:hint="eastAsia" w:ascii="宋体" w:hAnsi="宋体" w:eastAsia="宋体" w:cs="宋体"/>
                <w:b/>
                <w:bCs/>
                <w:szCs w:val="21"/>
              </w:rPr>
            </w:pPr>
            <w:r>
              <w:rPr>
                <w:rFonts w:hint="eastAsia" w:ascii="宋体" w:hAnsi="宋体" w:eastAsia="宋体" w:cs="宋体"/>
                <w:b/>
                <w:bCs/>
                <w:szCs w:val="21"/>
              </w:rPr>
              <w:t>姓 名</w:t>
            </w:r>
          </w:p>
        </w:tc>
        <w:tc>
          <w:tcPr>
            <w:tcW w:w="684" w:type="dxa"/>
            <w:vAlign w:val="center"/>
          </w:tcPr>
          <w:p w14:paraId="00D61C58">
            <w:pPr>
              <w:keepNext w:val="0"/>
              <w:keepLines w:val="0"/>
              <w:suppressLineNumbers w:val="0"/>
              <w:spacing w:before="0" w:beforeAutospacing="0" w:after="0" w:afterAutospacing="0" w:line="360" w:lineRule="auto"/>
              <w:ind w:left="0" w:right="0"/>
              <w:jc w:val="center"/>
              <w:rPr>
                <w:rFonts w:hint="eastAsia" w:ascii="宋体" w:hAnsi="宋体" w:eastAsia="宋体" w:cs="宋体"/>
                <w:b/>
                <w:bCs/>
                <w:szCs w:val="21"/>
              </w:rPr>
            </w:pPr>
            <w:r>
              <w:rPr>
                <w:rFonts w:hint="eastAsia" w:ascii="宋体" w:hAnsi="宋体" w:eastAsia="宋体" w:cs="宋体"/>
                <w:b/>
                <w:bCs/>
                <w:szCs w:val="21"/>
              </w:rPr>
              <w:t>性别</w:t>
            </w:r>
          </w:p>
        </w:tc>
        <w:tc>
          <w:tcPr>
            <w:tcW w:w="821" w:type="dxa"/>
            <w:vAlign w:val="center"/>
          </w:tcPr>
          <w:p w14:paraId="713DA205">
            <w:pPr>
              <w:keepNext w:val="0"/>
              <w:keepLines w:val="0"/>
              <w:suppressLineNumbers w:val="0"/>
              <w:spacing w:before="0" w:beforeAutospacing="0" w:after="0" w:afterAutospacing="0" w:line="360" w:lineRule="auto"/>
              <w:ind w:left="0" w:right="0"/>
              <w:jc w:val="center"/>
              <w:rPr>
                <w:rFonts w:hint="eastAsia" w:ascii="宋体" w:hAnsi="宋体" w:eastAsia="宋体" w:cs="宋体"/>
                <w:b/>
                <w:bCs/>
                <w:szCs w:val="21"/>
              </w:rPr>
            </w:pPr>
            <w:r>
              <w:rPr>
                <w:rFonts w:hint="eastAsia" w:ascii="宋体" w:hAnsi="宋体" w:eastAsia="宋体" w:cs="宋体"/>
                <w:b/>
                <w:bCs/>
                <w:szCs w:val="21"/>
              </w:rPr>
              <w:t>年龄</w:t>
            </w:r>
          </w:p>
        </w:tc>
        <w:tc>
          <w:tcPr>
            <w:tcW w:w="821" w:type="dxa"/>
            <w:vAlign w:val="center"/>
          </w:tcPr>
          <w:p w14:paraId="4B05536A">
            <w:pPr>
              <w:keepNext w:val="0"/>
              <w:keepLines w:val="0"/>
              <w:suppressLineNumbers w:val="0"/>
              <w:spacing w:before="0" w:beforeAutospacing="0" w:after="0" w:afterAutospacing="0" w:line="360" w:lineRule="auto"/>
              <w:ind w:left="0" w:right="0"/>
              <w:jc w:val="center"/>
              <w:rPr>
                <w:rFonts w:hint="eastAsia" w:ascii="宋体" w:hAnsi="宋体" w:eastAsia="宋体" w:cs="宋体"/>
                <w:b/>
                <w:bCs/>
                <w:szCs w:val="21"/>
              </w:rPr>
            </w:pPr>
            <w:r>
              <w:rPr>
                <w:rFonts w:hint="eastAsia" w:ascii="宋体" w:hAnsi="宋体" w:eastAsia="宋体" w:cs="宋体"/>
                <w:b/>
                <w:bCs/>
                <w:szCs w:val="21"/>
              </w:rPr>
              <w:t>学 历</w:t>
            </w:r>
          </w:p>
        </w:tc>
        <w:tc>
          <w:tcPr>
            <w:tcW w:w="958" w:type="dxa"/>
            <w:vAlign w:val="center"/>
          </w:tcPr>
          <w:p w14:paraId="6E028BF5">
            <w:pPr>
              <w:keepNext w:val="0"/>
              <w:keepLines w:val="0"/>
              <w:suppressLineNumbers w:val="0"/>
              <w:spacing w:before="0" w:beforeAutospacing="0" w:after="0" w:afterAutospacing="0" w:line="360" w:lineRule="auto"/>
              <w:ind w:left="0" w:right="0"/>
              <w:jc w:val="center"/>
              <w:rPr>
                <w:rFonts w:hint="eastAsia" w:ascii="宋体" w:hAnsi="宋体" w:eastAsia="宋体" w:cs="宋体"/>
                <w:b/>
                <w:bCs/>
                <w:szCs w:val="21"/>
              </w:rPr>
            </w:pPr>
            <w:r>
              <w:rPr>
                <w:rFonts w:hint="eastAsia" w:ascii="宋体" w:hAnsi="宋体" w:eastAsia="宋体" w:cs="宋体"/>
                <w:b/>
                <w:bCs/>
                <w:szCs w:val="21"/>
              </w:rPr>
              <w:t>证书</w:t>
            </w:r>
          </w:p>
          <w:p w14:paraId="150C6CB8">
            <w:pPr>
              <w:keepNext w:val="0"/>
              <w:keepLines w:val="0"/>
              <w:suppressLineNumbers w:val="0"/>
              <w:spacing w:before="0" w:beforeAutospacing="0" w:after="0" w:afterAutospacing="0" w:line="360" w:lineRule="auto"/>
              <w:ind w:left="0" w:right="0"/>
              <w:jc w:val="center"/>
              <w:rPr>
                <w:rFonts w:hint="eastAsia" w:ascii="宋体" w:hAnsi="宋体" w:eastAsia="宋体" w:cs="宋体"/>
                <w:b/>
                <w:bCs/>
                <w:szCs w:val="21"/>
              </w:rPr>
            </w:pPr>
            <w:r>
              <w:rPr>
                <w:rFonts w:hint="eastAsia" w:ascii="宋体" w:hAnsi="宋体" w:eastAsia="宋体" w:cs="宋体"/>
                <w:b/>
                <w:bCs/>
                <w:szCs w:val="21"/>
              </w:rPr>
              <w:t>名称</w:t>
            </w:r>
          </w:p>
        </w:tc>
        <w:tc>
          <w:tcPr>
            <w:tcW w:w="1095" w:type="dxa"/>
            <w:vAlign w:val="center"/>
          </w:tcPr>
          <w:p w14:paraId="55E4FF01">
            <w:pPr>
              <w:keepNext w:val="0"/>
              <w:keepLines w:val="0"/>
              <w:suppressLineNumbers w:val="0"/>
              <w:spacing w:before="0" w:beforeAutospacing="0" w:after="0" w:afterAutospacing="0" w:line="360" w:lineRule="auto"/>
              <w:ind w:left="0" w:right="0"/>
              <w:jc w:val="center"/>
              <w:rPr>
                <w:rFonts w:hint="eastAsia" w:ascii="宋体" w:hAnsi="宋体" w:eastAsia="宋体" w:cs="宋体"/>
                <w:b/>
                <w:bCs/>
                <w:szCs w:val="21"/>
              </w:rPr>
            </w:pPr>
            <w:r>
              <w:rPr>
                <w:rFonts w:hint="eastAsia" w:ascii="宋体" w:hAnsi="宋体" w:eastAsia="宋体" w:cs="宋体"/>
                <w:b/>
                <w:bCs/>
                <w:szCs w:val="21"/>
              </w:rPr>
              <w:t>证书编号</w:t>
            </w:r>
          </w:p>
        </w:tc>
        <w:tc>
          <w:tcPr>
            <w:tcW w:w="821" w:type="dxa"/>
            <w:vAlign w:val="center"/>
          </w:tcPr>
          <w:p w14:paraId="31EBD950">
            <w:pPr>
              <w:keepNext w:val="0"/>
              <w:keepLines w:val="0"/>
              <w:suppressLineNumbers w:val="0"/>
              <w:spacing w:before="0" w:beforeAutospacing="0" w:after="0" w:afterAutospacing="0" w:line="360" w:lineRule="auto"/>
              <w:ind w:left="0" w:right="0"/>
              <w:jc w:val="center"/>
              <w:rPr>
                <w:rFonts w:hint="eastAsia" w:ascii="宋体" w:hAnsi="宋体" w:eastAsia="宋体" w:cs="宋体"/>
                <w:b/>
                <w:bCs/>
                <w:szCs w:val="21"/>
              </w:rPr>
            </w:pPr>
            <w:r>
              <w:rPr>
                <w:rFonts w:hint="eastAsia" w:ascii="宋体" w:hAnsi="宋体" w:eastAsia="宋体" w:cs="宋体"/>
                <w:b/>
                <w:bCs/>
                <w:szCs w:val="21"/>
              </w:rPr>
              <w:t>职称</w:t>
            </w:r>
          </w:p>
        </w:tc>
        <w:tc>
          <w:tcPr>
            <w:tcW w:w="1233" w:type="dxa"/>
            <w:vAlign w:val="center"/>
          </w:tcPr>
          <w:p w14:paraId="7EE8097F">
            <w:pPr>
              <w:keepNext w:val="0"/>
              <w:keepLines w:val="0"/>
              <w:suppressLineNumbers w:val="0"/>
              <w:spacing w:before="0" w:beforeAutospacing="0" w:after="0" w:afterAutospacing="0" w:line="360" w:lineRule="auto"/>
              <w:ind w:left="0" w:right="0"/>
              <w:jc w:val="center"/>
              <w:rPr>
                <w:rFonts w:hint="eastAsia" w:ascii="宋体" w:hAnsi="宋体" w:eastAsia="宋体" w:cs="宋体"/>
                <w:b/>
                <w:bCs/>
                <w:szCs w:val="21"/>
              </w:rPr>
            </w:pPr>
            <w:r>
              <w:rPr>
                <w:rFonts w:hint="eastAsia" w:ascii="宋体" w:hAnsi="宋体" w:eastAsia="宋体" w:cs="宋体"/>
                <w:b/>
                <w:bCs/>
                <w:szCs w:val="21"/>
              </w:rPr>
              <w:t>拟任本项目职务</w:t>
            </w:r>
          </w:p>
        </w:tc>
        <w:tc>
          <w:tcPr>
            <w:tcW w:w="1374" w:type="dxa"/>
            <w:vAlign w:val="center"/>
          </w:tcPr>
          <w:p w14:paraId="0BCC77C4">
            <w:pPr>
              <w:keepNext w:val="0"/>
              <w:keepLines w:val="0"/>
              <w:suppressLineNumbers w:val="0"/>
              <w:spacing w:before="0" w:beforeAutospacing="0" w:after="0" w:afterAutospacing="0" w:line="360" w:lineRule="auto"/>
              <w:ind w:left="0" w:right="0"/>
              <w:jc w:val="center"/>
              <w:rPr>
                <w:rFonts w:hint="eastAsia" w:ascii="宋体" w:hAnsi="宋体" w:eastAsia="宋体" w:cs="宋体"/>
                <w:b/>
                <w:bCs/>
                <w:szCs w:val="21"/>
              </w:rPr>
            </w:pPr>
            <w:r>
              <w:rPr>
                <w:rFonts w:hint="eastAsia" w:ascii="宋体" w:hAnsi="宋体" w:eastAsia="宋体" w:cs="宋体"/>
                <w:b/>
                <w:bCs/>
                <w:szCs w:val="21"/>
              </w:rPr>
              <w:t>备注</w:t>
            </w:r>
          </w:p>
        </w:tc>
      </w:tr>
      <w:tr w14:paraId="4693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022" w:hRule="atLeast"/>
          <w:jc w:val="center"/>
        </w:trPr>
        <w:tc>
          <w:tcPr>
            <w:tcW w:w="713" w:type="dxa"/>
            <w:vAlign w:val="center"/>
          </w:tcPr>
          <w:p w14:paraId="0A0C8F15">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w:t>
            </w:r>
          </w:p>
        </w:tc>
        <w:tc>
          <w:tcPr>
            <w:tcW w:w="1114" w:type="dxa"/>
            <w:vAlign w:val="center"/>
          </w:tcPr>
          <w:p w14:paraId="405161D4">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684" w:type="dxa"/>
            <w:vAlign w:val="center"/>
          </w:tcPr>
          <w:p w14:paraId="02553ECD">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821" w:type="dxa"/>
            <w:vAlign w:val="center"/>
          </w:tcPr>
          <w:p w14:paraId="157618E4">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821" w:type="dxa"/>
            <w:vAlign w:val="center"/>
          </w:tcPr>
          <w:p w14:paraId="2AEFB698">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958" w:type="dxa"/>
            <w:vAlign w:val="center"/>
          </w:tcPr>
          <w:p w14:paraId="53A4F339">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95" w:type="dxa"/>
            <w:vAlign w:val="center"/>
          </w:tcPr>
          <w:p w14:paraId="483110C5">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821" w:type="dxa"/>
            <w:vAlign w:val="center"/>
          </w:tcPr>
          <w:p w14:paraId="47D40869">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233" w:type="dxa"/>
            <w:vAlign w:val="center"/>
          </w:tcPr>
          <w:p w14:paraId="3D9E0B5B">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374" w:type="dxa"/>
            <w:vAlign w:val="center"/>
          </w:tcPr>
          <w:p w14:paraId="25C87658">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14:paraId="166A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55" w:hRule="atLeast"/>
          <w:jc w:val="center"/>
        </w:trPr>
        <w:tc>
          <w:tcPr>
            <w:tcW w:w="713" w:type="dxa"/>
            <w:vAlign w:val="center"/>
          </w:tcPr>
          <w:p w14:paraId="6CED8FE9">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2</w:t>
            </w:r>
          </w:p>
        </w:tc>
        <w:tc>
          <w:tcPr>
            <w:tcW w:w="1114" w:type="dxa"/>
            <w:vAlign w:val="center"/>
          </w:tcPr>
          <w:p w14:paraId="081E1068">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684" w:type="dxa"/>
            <w:vAlign w:val="center"/>
          </w:tcPr>
          <w:p w14:paraId="643F4F1A">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821" w:type="dxa"/>
            <w:vAlign w:val="center"/>
          </w:tcPr>
          <w:p w14:paraId="08A57E75">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821" w:type="dxa"/>
            <w:vAlign w:val="center"/>
          </w:tcPr>
          <w:p w14:paraId="46266350">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958" w:type="dxa"/>
            <w:vAlign w:val="center"/>
          </w:tcPr>
          <w:p w14:paraId="6EAD978E">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95" w:type="dxa"/>
            <w:vAlign w:val="center"/>
          </w:tcPr>
          <w:p w14:paraId="5571E9AA">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821" w:type="dxa"/>
            <w:vAlign w:val="center"/>
          </w:tcPr>
          <w:p w14:paraId="05666176">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233" w:type="dxa"/>
            <w:vAlign w:val="center"/>
          </w:tcPr>
          <w:p w14:paraId="29942568">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374" w:type="dxa"/>
            <w:vAlign w:val="center"/>
          </w:tcPr>
          <w:p w14:paraId="3EFB06C3">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14:paraId="6D05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066" w:hRule="atLeast"/>
          <w:jc w:val="center"/>
        </w:trPr>
        <w:tc>
          <w:tcPr>
            <w:tcW w:w="713" w:type="dxa"/>
            <w:vAlign w:val="center"/>
          </w:tcPr>
          <w:p w14:paraId="0345437E">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3</w:t>
            </w:r>
          </w:p>
        </w:tc>
        <w:tc>
          <w:tcPr>
            <w:tcW w:w="1114" w:type="dxa"/>
            <w:vAlign w:val="center"/>
          </w:tcPr>
          <w:p w14:paraId="72EB0A3D">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w:t>
            </w:r>
          </w:p>
        </w:tc>
        <w:tc>
          <w:tcPr>
            <w:tcW w:w="684" w:type="dxa"/>
            <w:vAlign w:val="center"/>
          </w:tcPr>
          <w:p w14:paraId="12DE8FFC">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821" w:type="dxa"/>
            <w:vAlign w:val="center"/>
          </w:tcPr>
          <w:p w14:paraId="2E1EBF3D">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821" w:type="dxa"/>
            <w:vAlign w:val="center"/>
          </w:tcPr>
          <w:p w14:paraId="6DCFEB0E">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958" w:type="dxa"/>
            <w:vAlign w:val="center"/>
          </w:tcPr>
          <w:p w14:paraId="78384143">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95" w:type="dxa"/>
            <w:vAlign w:val="center"/>
          </w:tcPr>
          <w:p w14:paraId="723ECCEB">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821" w:type="dxa"/>
            <w:vAlign w:val="center"/>
          </w:tcPr>
          <w:p w14:paraId="5DC82034">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233" w:type="dxa"/>
            <w:vAlign w:val="center"/>
          </w:tcPr>
          <w:p w14:paraId="6E6E11F4">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374" w:type="dxa"/>
            <w:vAlign w:val="center"/>
          </w:tcPr>
          <w:p w14:paraId="5ED00020">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bl>
    <w:p w14:paraId="617E0657">
      <w:pPr>
        <w:snapToGrid w:val="0"/>
        <w:spacing w:line="480" w:lineRule="auto"/>
        <w:rPr>
          <w:rFonts w:hint="eastAsia" w:ascii="宋体" w:hAnsi="宋体" w:eastAsia="宋体" w:cs="宋体"/>
          <w:b/>
          <w:bCs/>
          <w:szCs w:val="21"/>
        </w:rPr>
      </w:pPr>
      <w:r>
        <w:rPr>
          <w:rFonts w:hint="eastAsia" w:ascii="宋体" w:hAnsi="宋体" w:eastAsia="宋体" w:cs="宋体"/>
          <w:b/>
          <w:bCs/>
          <w:szCs w:val="21"/>
        </w:rPr>
        <w:t>注：1、在填写时，如本表格不适合投标单位的实际情况，可根据本表格式自行划表填写。</w:t>
      </w:r>
    </w:p>
    <w:p w14:paraId="1CC684AB">
      <w:pPr>
        <w:snapToGrid w:val="0"/>
        <w:spacing w:line="480" w:lineRule="auto"/>
        <w:ind w:firstLine="422" w:firstLineChars="200"/>
        <w:rPr>
          <w:rFonts w:hint="eastAsia" w:ascii="宋体" w:hAnsi="宋体" w:eastAsia="宋体" w:cs="宋体"/>
          <w:b/>
          <w:bCs/>
          <w:szCs w:val="21"/>
        </w:rPr>
      </w:pPr>
      <w:r>
        <w:rPr>
          <w:rFonts w:hint="eastAsia" w:ascii="宋体" w:hAnsi="宋体" w:eastAsia="宋体" w:cs="宋体"/>
          <w:b/>
          <w:bCs/>
          <w:szCs w:val="21"/>
        </w:rPr>
        <w:t>2、需附人员学历证书、专业证书、职称证书、</w:t>
      </w:r>
      <w:r>
        <w:rPr>
          <w:rFonts w:hint="eastAsia" w:ascii="宋体" w:hAnsi="宋体" w:eastAsia="宋体" w:cs="宋体"/>
          <w:b/>
          <w:bCs/>
          <w:szCs w:val="21"/>
          <w:lang w:eastAsia="zh-CN"/>
        </w:rPr>
        <w:t>投标人</w:t>
      </w:r>
      <w:r>
        <w:rPr>
          <w:rFonts w:hint="eastAsia" w:ascii="宋体" w:hAnsi="宋体" w:eastAsia="宋体" w:cs="宋体"/>
          <w:b/>
          <w:bCs/>
          <w:szCs w:val="21"/>
        </w:rPr>
        <w:t>为其</w:t>
      </w:r>
      <w:r>
        <w:rPr>
          <w:rFonts w:hint="eastAsia" w:ascii="宋体" w:hAnsi="宋体" w:eastAsia="宋体" w:cs="宋体"/>
          <w:b/>
          <w:bCs/>
          <w:szCs w:val="21"/>
          <w:lang w:val="en-US" w:eastAsia="zh-CN"/>
        </w:rPr>
        <w:t>缴纳的</w:t>
      </w:r>
      <w:r>
        <w:rPr>
          <w:rFonts w:hint="eastAsia" w:ascii="宋体" w:hAnsi="宋体" w:eastAsia="宋体" w:cs="宋体"/>
          <w:b/>
          <w:bCs/>
          <w:szCs w:val="21"/>
        </w:rPr>
        <w:t>近三个月</w:t>
      </w:r>
      <w:r>
        <w:rPr>
          <w:rFonts w:hint="eastAsia" w:ascii="宋体" w:hAnsi="宋体" w:eastAsia="宋体" w:cs="宋体"/>
          <w:b/>
          <w:bCs/>
          <w:szCs w:val="21"/>
          <w:lang w:val="en-US" w:eastAsia="zh-CN"/>
        </w:rPr>
        <w:t>内</w:t>
      </w:r>
      <w:r>
        <w:rPr>
          <w:rFonts w:hint="eastAsia" w:ascii="宋体" w:hAnsi="宋体" w:eastAsia="宋体" w:cs="宋体"/>
          <w:b/>
          <w:bCs/>
          <w:szCs w:val="21"/>
        </w:rPr>
        <w:t>任意一个月社保证明</w:t>
      </w:r>
      <w:r>
        <w:rPr>
          <w:rFonts w:hint="eastAsia" w:ascii="宋体" w:hAnsi="宋体" w:eastAsia="宋体" w:cs="宋体"/>
          <w:b/>
          <w:bCs/>
          <w:szCs w:val="21"/>
          <w:lang w:val="en-US" w:eastAsia="zh-CN"/>
        </w:rPr>
        <w:t>材料</w:t>
      </w:r>
      <w:r>
        <w:rPr>
          <w:rFonts w:hint="eastAsia" w:ascii="宋体" w:hAnsi="宋体" w:eastAsia="宋体" w:cs="宋体"/>
          <w:b/>
          <w:bCs/>
          <w:szCs w:val="21"/>
        </w:rPr>
        <w:t>并加盖响应人公章</w:t>
      </w:r>
      <w:r>
        <w:rPr>
          <w:rFonts w:hint="eastAsia" w:ascii="宋体" w:hAnsi="宋体" w:eastAsia="宋体" w:cs="宋体"/>
          <w:b/>
          <w:bCs/>
          <w:szCs w:val="21"/>
          <w:lang w:eastAsia="zh-CN"/>
        </w:rPr>
        <w:t>。</w:t>
      </w:r>
    </w:p>
    <w:p w14:paraId="130D4996">
      <w:pPr>
        <w:spacing w:line="360" w:lineRule="auto"/>
        <w:ind w:left="424" w:leftChars="202"/>
        <w:rPr>
          <w:rFonts w:ascii="宋体" w:hAnsi="宋体" w:cs="宋体"/>
          <w:b/>
          <w:szCs w:val="21"/>
        </w:rPr>
      </w:pPr>
    </w:p>
    <w:p w14:paraId="3F5355BC">
      <w:pPr>
        <w:spacing w:line="360" w:lineRule="auto"/>
        <w:ind w:left="424" w:leftChars="202"/>
        <w:rPr>
          <w:rFonts w:ascii="宋体" w:hAnsi="宋体" w:cs="宋体"/>
          <w:b/>
          <w:szCs w:val="21"/>
        </w:rPr>
      </w:pPr>
    </w:p>
    <w:p w14:paraId="7C2CB966">
      <w:pPr>
        <w:spacing w:line="360" w:lineRule="auto"/>
        <w:ind w:left="424" w:leftChars="202"/>
        <w:rPr>
          <w:rFonts w:ascii="宋体" w:hAnsi="宋体" w:cs="宋体"/>
          <w:b/>
          <w:szCs w:val="21"/>
        </w:rPr>
      </w:pPr>
    </w:p>
    <w:p w14:paraId="695FCD51">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399D0104">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0506CBBA">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8145AA9">
      <w:pPr>
        <w:spacing w:line="360" w:lineRule="auto"/>
        <w:ind w:left="424" w:leftChars="202"/>
        <w:rPr>
          <w:rFonts w:ascii="宋体" w:hAnsi="宋体" w:cs="宋体"/>
          <w:b/>
          <w:szCs w:val="21"/>
        </w:rPr>
      </w:pPr>
    </w:p>
    <w:p w14:paraId="4130A5BF">
      <w:pPr>
        <w:spacing w:line="360" w:lineRule="auto"/>
        <w:ind w:left="424" w:leftChars="202"/>
        <w:rPr>
          <w:rFonts w:ascii="宋体" w:hAnsi="宋体" w:cs="宋体"/>
          <w:b/>
          <w:szCs w:val="21"/>
        </w:rPr>
      </w:pPr>
    </w:p>
    <w:p w14:paraId="1826A9F4">
      <w:pPr>
        <w:snapToGrid w:val="0"/>
        <w:spacing w:before="50" w:after="156" w:afterLines="50"/>
        <w:outlineLvl w:val="9"/>
        <w:rPr>
          <w:rFonts w:hint="eastAsia" w:ascii="宋体" w:hAnsi="宋体" w:cs="宋体"/>
          <w:b/>
          <w:szCs w:val="21"/>
        </w:rPr>
      </w:pPr>
      <w:r>
        <w:rPr>
          <w:rFonts w:hint="eastAsia" w:ascii="宋体" w:hAnsi="宋体" w:cs="宋体"/>
          <w:b/>
          <w:szCs w:val="21"/>
        </w:rPr>
        <w:br w:type="page"/>
      </w:r>
    </w:p>
    <w:p w14:paraId="50B4D4F2">
      <w:pPr>
        <w:snapToGrid w:val="0"/>
        <w:spacing w:before="50" w:after="156" w:afterLines="50"/>
        <w:outlineLvl w:val="2"/>
        <w:rPr>
          <w:rFonts w:hint="eastAsia" w:ascii="宋体" w:hAnsi="宋体" w:cs="宋体"/>
          <w:b/>
          <w:szCs w:val="21"/>
          <w:lang w:val="en-US" w:eastAsia="zh-CN"/>
        </w:rPr>
      </w:pPr>
      <w:r>
        <w:rPr>
          <w:rFonts w:hint="eastAsia" w:ascii="宋体" w:hAnsi="宋体" w:cs="宋体"/>
          <w:b/>
          <w:szCs w:val="21"/>
        </w:rPr>
        <w:t>格式</w:t>
      </w:r>
      <w:r>
        <w:rPr>
          <w:rFonts w:hint="eastAsia" w:ascii="宋体" w:hAnsi="宋体" w:cs="宋体"/>
          <w:b/>
          <w:szCs w:val="21"/>
          <w:lang w:val="en-US" w:eastAsia="zh-CN"/>
        </w:rPr>
        <w:t>九</w:t>
      </w:r>
      <w:r>
        <w:rPr>
          <w:rFonts w:hint="eastAsia" w:ascii="宋体" w:hAnsi="宋体" w:cs="宋体"/>
          <w:b/>
          <w:szCs w:val="21"/>
        </w:rPr>
        <w:t>、</w:t>
      </w:r>
      <w:r>
        <w:rPr>
          <w:rFonts w:hint="eastAsia" w:ascii="宋体" w:hAnsi="宋体" w:cs="宋体"/>
          <w:b/>
          <w:szCs w:val="21"/>
          <w:lang w:val="en-US" w:eastAsia="zh-CN"/>
        </w:rPr>
        <w:t>投标清单表</w:t>
      </w:r>
    </w:p>
    <w:p w14:paraId="0D17DE0F">
      <w:pPr>
        <w:pStyle w:val="2"/>
      </w:pP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722"/>
        <w:gridCol w:w="1231"/>
        <w:gridCol w:w="1455"/>
        <w:gridCol w:w="1302"/>
        <w:gridCol w:w="1302"/>
        <w:gridCol w:w="2165"/>
      </w:tblGrid>
      <w:tr w14:paraId="2559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7" w:type="pct"/>
            <w:vAlign w:val="center"/>
          </w:tcPr>
          <w:p w14:paraId="3B7189DB">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Style w:val="69"/>
                <w:rFonts w:hint="eastAsia" w:ascii="宋体" w:hAnsi="宋体" w:eastAsia="宋体" w:cs="宋体"/>
                <w:b/>
                <w:bCs/>
                <w:sz w:val="21"/>
                <w:szCs w:val="21"/>
              </w:rPr>
              <w:t>序号</w:t>
            </w:r>
          </w:p>
        </w:tc>
        <w:tc>
          <w:tcPr>
            <w:tcW w:w="884" w:type="pct"/>
            <w:vAlign w:val="center"/>
          </w:tcPr>
          <w:p w14:paraId="487790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Style w:val="69"/>
                <w:rFonts w:hint="eastAsia" w:ascii="宋体" w:hAnsi="宋体" w:eastAsia="宋体" w:cs="宋体"/>
                <w:b/>
                <w:bCs/>
                <w:sz w:val="21"/>
                <w:szCs w:val="21"/>
              </w:rPr>
            </w:pPr>
            <w:r>
              <w:rPr>
                <w:rFonts w:hint="eastAsia" w:ascii="宋体" w:hAnsi="宋体" w:eastAsia="宋体" w:cs="宋体"/>
                <w:b/>
                <w:bCs/>
                <w:sz w:val="21"/>
                <w:szCs w:val="21"/>
                <w:lang w:val="en-US" w:eastAsia="zh-CN"/>
              </w:rPr>
              <w:t>小类</w:t>
            </w:r>
          </w:p>
        </w:tc>
        <w:tc>
          <w:tcPr>
            <w:tcW w:w="632" w:type="pct"/>
            <w:vAlign w:val="center"/>
          </w:tcPr>
          <w:p w14:paraId="17748E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Style w:val="69"/>
                <w:rFonts w:hint="eastAsia" w:ascii="宋体" w:hAnsi="宋体" w:eastAsia="宋体" w:cs="宋体"/>
                <w:b/>
                <w:bCs/>
                <w:sz w:val="21"/>
                <w:szCs w:val="21"/>
              </w:rPr>
            </w:pPr>
            <w:r>
              <w:rPr>
                <w:rFonts w:hint="eastAsia" w:ascii="宋体" w:hAnsi="宋体" w:eastAsia="宋体" w:cs="宋体"/>
                <w:b/>
                <w:bCs/>
                <w:sz w:val="21"/>
                <w:szCs w:val="21"/>
                <w:lang w:val="en-US" w:eastAsia="zh-CN"/>
              </w:rPr>
              <w:t>改造模块</w:t>
            </w:r>
          </w:p>
        </w:tc>
        <w:tc>
          <w:tcPr>
            <w:tcW w:w="747" w:type="pct"/>
            <w:vAlign w:val="center"/>
          </w:tcPr>
          <w:p w14:paraId="4563E4DF">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Style w:val="69"/>
                <w:rFonts w:hint="eastAsia" w:ascii="宋体" w:hAnsi="宋体" w:eastAsia="宋体" w:cs="宋体"/>
                <w:b/>
                <w:bCs/>
                <w:sz w:val="21"/>
                <w:szCs w:val="21"/>
              </w:rPr>
              <w:t>开发者/品牌型号</w:t>
            </w:r>
          </w:p>
        </w:tc>
        <w:tc>
          <w:tcPr>
            <w:tcW w:w="668" w:type="pct"/>
            <w:vAlign w:val="center"/>
          </w:tcPr>
          <w:p w14:paraId="296B6D9B">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Style w:val="69"/>
                <w:rFonts w:hint="eastAsia" w:ascii="宋体" w:hAnsi="宋体" w:eastAsia="宋体" w:cs="宋体"/>
                <w:b/>
                <w:bCs/>
                <w:sz w:val="21"/>
                <w:szCs w:val="21"/>
              </w:rPr>
              <w:t>生产厂家及其他</w:t>
            </w:r>
          </w:p>
        </w:tc>
        <w:tc>
          <w:tcPr>
            <w:tcW w:w="668" w:type="pct"/>
            <w:vAlign w:val="center"/>
          </w:tcPr>
          <w:p w14:paraId="3D0EFCFF">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Style w:val="69"/>
                <w:rFonts w:hint="eastAsia" w:ascii="宋体" w:hAnsi="宋体" w:eastAsia="宋体" w:cs="宋体"/>
                <w:b/>
                <w:bCs/>
                <w:sz w:val="21"/>
                <w:szCs w:val="21"/>
              </w:rPr>
              <w:t>数量/单位</w:t>
            </w:r>
          </w:p>
        </w:tc>
        <w:tc>
          <w:tcPr>
            <w:tcW w:w="1111" w:type="pct"/>
            <w:vAlign w:val="center"/>
          </w:tcPr>
          <w:p w14:paraId="7F4AB818">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备注</w:t>
            </w:r>
          </w:p>
        </w:tc>
      </w:tr>
      <w:tr w14:paraId="2893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7" w:type="pct"/>
            <w:vAlign w:val="center"/>
          </w:tcPr>
          <w:p w14:paraId="538957FF">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884" w:type="pct"/>
            <w:vAlign w:val="center"/>
          </w:tcPr>
          <w:p w14:paraId="7089AFE3">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32" w:type="pct"/>
            <w:vAlign w:val="center"/>
          </w:tcPr>
          <w:p w14:paraId="6A0D0073">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47" w:type="pct"/>
            <w:vAlign w:val="center"/>
          </w:tcPr>
          <w:p w14:paraId="304BAF47">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68" w:type="pct"/>
            <w:vAlign w:val="center"/>
          </w:tcPr>
          <w:p w14:paraId="6EA82883">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68" w:type="pct"/>
            <w:vAlign w:val="center"/>
          </w:tcPr>
          <w:p w14:paraId="5AC6754C">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1111" w:type="pct"/>
            <w:vAlign w:val="center"/>
          </w:tcPr>
          <w:p w14:paraId="5C5C54CB">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r>
      <w:tr w14:paraId="1A3D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7" w:type="pct"/>
            <w:vAlign w:val="center"/>
          </w:tcPr>
          <w:p w14:paraId="3CD751C9">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884" w:type="pct"/>
            <w:vAlign w:val="center"/>
          </w:tcPr>
          <w:p w14:paraId="1B9BD452">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32" w:type="pct"/>
            <w:vAlign w:val="center"/>
          </w:tcPr>
          <w:p w14:paraId="76C2CFAF">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47" w:type="pct"/>
            <w:vAlign w:val="center"/>
          </w:tcPr>
          <w:p w14:paraId="6B3DE69B">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68" w:type="pct"/>
            <w:vAlign w:val="center"/>
          </w:tcPr>
          <w:p w14:paraId="582E6C5C">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68" w:type="pct"/>
            <w:vAlign w:val="center"/>
          </w:tcPr>
          <w:p w14:paraId="63936A31">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1111" w:type="pct"/>
            <w:vAlign w:val="center"/>
          </w:tcPr>
          <w:p w14:paraId="4C7D3B2A">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r>
      <w:tr w14:paraId="6F71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7" w:type="pct"/>
            <w:vAlign w:val="center"/>
          </w:tcPr>
          <w:p w14:paraId="7CE992C9">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884" w:type="pct"/>
            <w:vAlign w:val="center"/>
          </w:tcPr>
          <w:p w14:paraId="36EDAD0D">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32" w:type="pct"/>
            <w:vAlign w:val="center"/>
          </w:tcPr>
          <w:p w14:paraId="7A4A9CA1">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47" w:type="pct"/>
            <w:vAlign w:val="center"/>
          </w:tcPr>
          <w:p w14:paraId="0BBE2063">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68" w:type="pct"/>
            <w:vAlign w:val="center"/>
          </w:tcPr>
          <w:p w14:paraId="7652E306">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68" w:type="pct"/>
            <w:vAlign w:val="center"/>
          </w:tcPr>
          <w:p w14:paraId="0EA1E6CA">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1111" w:type="pct"/>
            <w:vAlign w:val="center"/>
          </w:tcPr>
          <w:p w14:paraId="633911CE">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r>
    </w:tbl>
    <w:p w14:paraId="6E5F9DF8">
      <w:pPr>
        <w:spacing w:line="360" w:lineRule="auto"/>
        <w:ind w:left="424" w:leftChars="202"/>
        <w:rPr>
          <w:rFonts w:hint="eastAsia" w:ascii="宋体" w:hAnsi="宋体" w:cs="宋体"/>
          <w:szCs w:val="21"/>
        </w:rPr>
      </w:pPr>
    </w:p>
    <w:p w14:paraId="03D65D1E">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44A9A2C1">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2B066BE6">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65E4B806">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zCs w:val="21"/>
          <w:u w:val="single"/>
        </w:rPr>
        <w:t xml:space="preserve">                </w:t>
      </w:r>
      <w:r>
        <w:rPr>
          <w:rFonts w:hint="eastAsia" w:ascii="宋体" w:hAnsi="宋体" w:cs="宋体"/>
          <w:szCs w:val="21"/>
        </w:rPr>
        <w:t xml:space="preserve">（加盖公章）  </w:t>
      </w:r>
    </w:p>
    <w:p w14:paraId="25940E3C">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b/>
          <w:szCs w:val="21"/>
          <w:u w:val="single"/>
        </w:rPr>
        <w:t xml:space="preserve">           </w:t>
      </w:r>
      <w:r>
        <w:rPr>
          <w:rFonts w:hint="eastAsia" w:ascii="宋体" w:hAnsi="宋体" w:cs="宋体"/>
          <w:szCs w:val="21"/>
        </w:rPr>
        <w:t>（签字）</w:t>
      </w:r>
    </w:p>
    <w:p w14:paraId="06777743">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68371B5">
      <w:pPr>
        <w:snapToGrid w:val="0"/>
        <w:spacing w:before="50" w:afterLines="50"/>
        <w:jc w:val="left"/>
        <w:outlineLvl w:val="9"/>
        <w:rPr>
          <w:rFonts w:hint="eastAsia" w:ascii="宋体" w:hAnsi="宋体" w:cs="宋体"/>
          <w:b/>
          <w:szCs w:val="21"/>
        </w:rPr>
      </w:pPr>
    </w:p>
    <w:p w14:paraId="49D3D04B">
      <w:pPr>
        <w:snapToGrid w:val="0"/>
        <w:spacing w:before="50" w:afterLines="50"/>
        <w:jc w:val="left"/>
        <w:outlineLvl w:val="9"/>
        <w:rPr>
          <w:rFonts w:hint="eastAsia" w:ascii="宋体" w:hAnsi="宋体" w:cs="宋体"/>
          <w:b/>
          <w:szCs w:val="21"/>
        </w:rPr>
      </w:pPr>
    </w:p>
    <w:p w14:paraId="38FFEDA1">
      <w:pPr>
        <w:snapToGrid w:val="0"/>
        <w:spacing w:before="50" w:afterLines="50"/>
        <w:jc w:val="left"/>
        <w:outlineLvl w:val="9"/>
        <w:rPr>
          <w:rFonts w:hint="eastAsia" w:ascii="宋体" w:hAnsi="宋体" w:cs="宋体"/>
          <w:b/>
          <w:szCs w:val="21"/>
        </w:rPr>
      </w:pPr>
    </w:p>
    <w:p w14:paraId="1A8A00F7">
      <w:pPr>
        <w:rPr>
          <w:rFonts w:hint="eastAsia" w:ascii="宋体" w:hAnsi="宋体" w:cs="宋体"/>
          <w:b/>
          <w:szCs w:val="21"/>
        </w:rPr>
      </w:pPr>
      <w:r>
        <w:rPr>
          <w:rFonts w:hint="eastAsia" w:ascii="宋体" w:hAnsi="宋体" w:cs="宋体"/>
          <w:b/>
          <w:szCs w:val="21"/>
        </w:rPr>
        <w:br w:type="page"/>
      </w:r>
    </w:p>
    <w:p w14:paraId="601B3642">
      <w:pPr>
        <w:snapToGrid w:val="0"/>
        <w:spacing w:before="50" w:after="156" w:afterLines="50"/>
        <w:outlineLvl w:val="2"/>
        <w:rPr>
          <w:rFonts w:ascii="宋体" w:hAnsi="宋体" w:cs="宋体"/>
          <w:b/>
          <w:szCs w:val="21"/>
        </w:rPr>
      </w:pPr>
      <w:r>
        <w:rPr>
          <w:rFonts w:hint="eastAsia" w:ascii="宋体" w:hAnsi="宋体" w:cs="宋体"/>
          <w:b/>
          <w:szCs w:val="21"/>
        </w:rPr>
        <w:t>格式</w:t>
      </w:r>
      <w:r>
        <w:rPr>
          <w:rFonts w:hint="eastAsia" w:ascii="宋体" w:hAnsi="宋体" w:cs="宋体"/>
          <w:b/>
          <w:szCs w:val="21"/>
          <w:lang w:val="en-US" w:eastAsia="zh-CN"/>
        </w:rPr>
        <w:t>十</w:t>
      </w:r>
      <w:r>
        <w:rPr>
          <w:rFonts w:hint="eastAsia" w:ascii="宋体" w:hAnsi="宋体" w:cs="宋体"/>
          <w:b/>
          <w:szCs w:val="21"/>
        </w:rPr>
        <w:t>、</w:t>
      </w:r>
      <w:r>
        <w:rPr>
          <w:rFonts w:hint="eastAsia" w:ascii="宋体" w:hAnsi="宋体" w:cs="宋体"/>
          <w:b/>
          <w:szCs w:val="21"/>
          <w:lang w:val="en-US" w:eastAsia="zh-CN"/>
        </w:rPr>
        <w:t>投标技术参数偏离表</w:t>
      </w: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833"/>
        <w:gridCol w:w="1309"/>
        <w:gridCol w:w="1385"/>
        <w:gridCol w:w="2307"/>
        <w:gridCol w:w="2310"/>
      </w:tblGrid>
      <w:tr w14:paraId="6DA5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4" w:type="pct"/>
            <w:vAlign w:val="center"/>
          </w:tcPr>
          <w:p w14:paraId="7CAC1CED">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Style w:val="69"/>
                <w:rFonts w:hint="eastAsia" w:ascii="宋体" w:hAnsi="宋体" w:eastAsia="宋体" w:cs="宋体"/>
                <w:b/>
                <w:bCs/>
                <w:sz w:val="21"/>
                <w:szCs w:val="21"/>
              </w:rPr>
              <w:t>序号</w:t>
            </w:r>
          </w:p>
        </w:tc>
        <w:tc>
          <w:tcPr>
            <w:tcW w:w="941" w:type="pct"/>
            <w:vAlign w:val="center"/>
          </w:tcPr>
          <w:p w14:paraId="0E71CD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Style w:val="69"/>
                <w:rFonts w:hint="eastAsia" w:ascii="宋体" w:hAnsi="宋体" w:eastAsia="宋体" w:cs="宋体"/>
                <w:b/>
                <w:bCs/>
                <w:sz w:val="21"/>
                <w:szCs w:val="21"/>
              </w:rPr>
            </w:pPr>
            <w:r>
              <w:rPr>
                <w:rFonts w:hint="eastAsia" w:ascii="宋体" w:hAnsi="宋体" w:eastAsia="宋体" w:cs="宋体"/>
                <w:b/>
                <w:bCs/>
                <w:sz w:val="21"/>
                <w:szCs w:val="21"/>
                <w:lang w:val="en-US" w:eastAsia="zh-CN"/>
              </w:rPr>
              <w:t>小类</w:t>
            </w:r>
          </w:p>
        </w:tc>
        <w:tc>
          <w:tcPr>
            <w:tcW w:w="672" w:type="pct"/>
            <w:vAlign w:val="center"/>
          </w:tcPr>
          <w:p w14:paraId="21FEFF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Style w:val="69"/>
                <w:rFonts w:hint="eastAsia" w:ascii="宋体" w:hAnsi="宋体" w:eastAsia="宋体" w:cs="宋体"/>
                <w:b/>
                <w:bCs/>
                <w:sz w:val="21"/>
                <w:szCs w:val="21"/>
              </w:rPr>
            </w:pPr>
            <w:r>
              <w:rPr>
                <w:rFonts w:hint="eastAsia" w:ascii="宋体" w:hAnsi="宋体" w:eastAsia="宋体" w:cs="宋体"/>
                <w:b/>
                <w:bCs/>
                <w:sz w:val="21"/>
                <w:szCs w:val="21"/>
                <w:lang w:val="en-US" w:eastAsia="zh-CN"/>
              </w:rPr>
              <w:t>改造模块</w:t>
            </w:r>
          </w:p>
        </w:tc>
        <w:tc>
          <w:tcPr>
            <w:tcW w:w="711" w:type="pct"/>
            <w:vAlign w:val="center"/>
          </w:tcPr>
          <w:p w14:paraId="49FACF78">
            <w:pPr>
              <w:keepNext w:val="0"/>
              <w:keepLines w:val="0"/>
              <w:widowControl/>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Fonts w:hint="eastAsia" w:ascii="宋体" w:hAnsi="宋体" w:cs="宋体"/>
                <w:b/>
                <w:bCs/>
                <w:szCs w:val="21"/>
              </w:rPr>
              <w:t>招标文件所需技术参数</w:t>
            </w:r>
          </w:p>
        </w:tc>
        <w:tc>
          <w:tcPr>
            <w:tcW w:w="1184" w:type="pct"/>
            <w:vAlign w:val="center"/>
          </w:tcPr>
          <w:p w14:paraId="56C8A576">
            <w:pPr>
              <w:keepNext w:val="0"/>
              <w:keepLines w:val="0"/>
              <w:widowControl/>
              <w:suppressLineNumbers w:val="0"/>
              <w:spacing w:before="0" w:beforeAutospacing="0" w:after="0" w:afterAutospacing="0" w:line="360" w:lineRule="auto"/>
              <w:ind w:left="0" w:right="0"/>
              <w:jc w:val="center"/>
              <w:rPr>
                <w:rFonts w:hint="default"/>
                <w:b/>
                <w:bCs/>
                <w:szCs w:val="20"/>
              </w:rPr>
            </w:pPr>
            <w:r>
              <w:rPr>
                <w:rFonts w:hint="eastAsia" w:ascii="宋体" w:hAnsi="宋体" w:cs="宋体"/>
                <w:b/>
                <w:bCs/>
                <w:szCs w:val="21"/>
              </w:rPr>
              <w:t>所投技术参数</w:t>
            </w:r>
          </w:p>
          <w:p w14:paraId="359FD15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szCs w:val="21"/>
                <w:lang w:eastAsia="zh-CN"/>
              </w:rPr>
            </w:pPr>
            <w:r>
              <w:rPr>
                <w:rFonts w:hint="eastAsia" w:ascii="宋体" w:hAnsi="宋体" w:cs="宋体"/>
                <w:b/>
                <w:bCs/>
                <w:szCs w:val="21"/>
              </w:rPr>
              <w:t>及性能说明</w:t>
            </w:r>
          </w:p>
        </w:tc>
        <w:tc>
          <w:tcPr>
            <w:tcW w:w="1185" w:type="pct"/>
            <w:vAlign w:val="center"/>
          </w:tcPr>
          <w:p w14:paraId="448A849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szCs w:val="21"/>
                <w:lang w:val="en-US" w:eastAsia="zh-CN"/>
              </w:rPr>
            </w:pPr>
            <w:r>
              <w:rPr>
                <w:rFonts w:hint="eastAsia" w:ascii="宋体" w:hAnsi="宋体" w:cs="宋体"/>
                <w:b/>
                <w:bCs/>
                <w:szCs w:val="21"/>
              </w:rPr>
              <w:t>偏离情况及说明</w:t>
            </w:r>
          </w:p>
        </w:tc>
      </w:tr>
      <w:tr w14:paraId="6351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4" w:type="pct"/>
            <w:vAlign w:val="center"/>
          </w:tcPr>
          <w:p w14:paraId="6F3A1B7F">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941" w:type="pct"/>
            <w:vAlign w:val="center"/>
          </w:tcPr>
          <w:p w14:paraId="1A0E4918">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72" w:type="pct"/>
            <w:vAlign w:val="center"/>
          </w:tcPr>
          <w:p w14:paraId="54FB99C1">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11" w:type="pct"/>
            <w:vAlign w:val="center"/>
          </w:tcPr>
          <w:p w14:paraId="0FF4506C">
            <w:pPr>
              <w:keepNext w:val="0"/>
              <w:keepLines w:val="0"/>
              <w:widowControl/>
              <w:suppressLineNumbers w:val="0"/>
              <w:spacing w:before="0" w:beforeAutospacing="0" w:after="0" w:afterAutospacing="0"/>
              <w:ind w:left="0" w:right="0"/>
              <w:jc w:val="center"/>
              <w:textAlignment w:val="center"/>
              <w:rPr>
                <w:rStyle w:val="69"/>
                <w:rFonts w:hint="eastAsia" w:ascii="宋体" w:hAnsi="宋体" w:eastAsia="宋体" w:cs="宋体"/>
                <w:sz w:val="21"/>
                <w:szCs w:val="21"/>
              </w:rPr>
            </w:pPr>
          </w:p>
        </w:tc>
        <w:tc>
          <w:tcPr>
            <w:tcW w:w="1184" w:type="pct"/>
            <w:vAlign w:val="center"/>
          </w:tcPr>
          <w:p w14:paraId="048E0418">
            <w:pPr>
              <w:keepNext w:val="0"/>
              <w:keepLines w:val="0"/>
              <w:widowControl/>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1185" w:type="pct"/>
            <w:vAlign w:val="center"/>
          </w:tcPr>
          <w:p w14:paraId="70BE2116">
            <w:pPr>
              <w:keepNext w:val="0"/>
              <w:keepLines w:val="0"/>
              <w:widowControl/>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r>
              <w:rPr>
                <w:rFonts w:hint="eastAsia" w:ascii="宋体" w:hAnsi="宋体" w:cs="宋体"/>
                <w:b/>
                <w:bCs/>
                <w:szCs w:val="21"/>
              </w:rPr>
              <w:t>正偏离/符合/负偏离</w:t>
            </w:r>
          </w:p>
        </w:tc>
      </w:tr>
      <w:tr w14:paraId="2DB4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4" w:type="pct"/>
            <w:vAlign w:val="center"/>
          </w:tcPr>
          <w:p w14:paraId="65E9C326">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941" w:type="pct"/>
            <w:vAlign w:val="center"/>
          </w:tcPr>
          <w:p w14:paraId="4988A885">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72" w:type="pct"/>
            <w:vAlign w:val="center"/>
          </w:tcPr>
          <w:p w14:paraId="0C1AF02E">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11" w:type="pct"/>
            <w:vAlign w:val="center"/>
          </w:tcPr>
          <w:p w14:paraId="5B1AC02E">
            <w:pPr>
              <w:keepNext w:val="0"/>
              <w:keepLines w:val="0"/>
              <w:widowControl/>
              <w:suppressLineNumbers w:val="0"/>
              <w:spacing w:before="0" w:beforeAutospacing="0" w:after="0" w:afterAutospacing="0"/>
              <w:ind w:left="0" w:right="0"/>
              <w:jc w:val="center"/>
              <w:textAlignment w:val="center"/>
              <w:rPr>
                <w:rStyle w:val="69"/>
                <w:rFonts w:hint="eastAsia" w:ascii="宋体" w:hAnsi="宋体" w:eastAsia="宋体" w:cs="宋体"/>
                <w:sz w:val="21"/>
                <w:szCs w:val="21"/>
              </w:rPr>
            </w:pPr>
          </w:p>
        </w:tc>
        <w:tc>
          <w:tcPr>
            <w:tcW w:w="1184" w:type="pct"/>
            <w:vAlign w:val="center"/>
          </w:tcPr>
          <w:p w14:paraId="148E047E">
            <w:pPr>
              <w:keepNext w:val="0"/>
              <w:keepLines w:val="0"/>
              <w:widowControl/>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1185" w:type="pct"/>
            <w:vAlign w:val="center"/>
          </w:tcPr>
          <w:p w14:paraId="763A8713">
            <w:pPr>
              <w:keepNext w:val="0"/>
              <w:keepLines w:val="0"/>
              <w:widowControl/>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r>
      <w:tr w14:paraId="480A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4" w:type="pct"/>
            <w:vAlign w:val="center"/>
          </w:tcPr>
          <w:p w14:paraId="687C84BC">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941" w:type="pct"/>
            <w:vAlign w:val="center"/>
          </w:tcPr>
          <w:p w14:paraId="2A9D5723">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72" w:type="pct"/>
            <w:vAlign w:val="center"/>
          </w:tcPr>
          <w:p w14:paraId="30133533">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11" w:type="pct"/>
            <w:vAlign w:val="center"/>
          </w:tcPr>
          <w:p w14:paraId="4FF8C6C4">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1184" w:type="pct"/>
            <w:vAlign w:val="center"/>
          </w:tcPr>
          <w:p w14:paraId="3FFA599A">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1185" w:type="pct"/>
            <w:vAlign w:val="center"/>
          </w:tcPr>
          <w:p w14:paraId="2D732264">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r>
    </w:tbl>
    <w:p w14:paraId="01CA63A2">
      <w:pPr>
        <w:spacing w:line="480" w:lineRule="auto"/>
        <w:rPr>
          <w:rFonts w:ascii="宋体" w:hAnsi="宋体" w:cs="宋体"/>
          <w:b/>
          <w:bCs/>
          <w:szCs w:val="21"/>
        </w:rPr>
      </w:pPr>
      <w:r>
        <w:rPr>
          <w:rFonts w:hint="eastAsia" w:ascii="宋体" w:hAnsi="宋体" w:cs="宋体"/>
          <w:b/>
          <w:bCs/>
          <w:szCs w:val="21"/>
        </w:rPr>
        <w:t>注：根据第二章采购需求中</w:t>
      </w:r>
      <w:r>
        <w:rPr>
          <w:rFonts w:hint="eastAsia" w:ascii="宋体" w:hAnsi="宋体" w:cs="宋体"/>
          <w:b/>
          <w:bCs/>
          <w:szCs w:val="21"/>
          <w:lang w:val="en-US" w:eastAsia="zh-CN"/>
        </w:rPr>
        <w:t>四</w:t>
      </w:r>
      <w:r>
        <w:rPr>
          <w:rFonts w:hint="eastAsia" w:ascii="宋体" w:hAnsi="宋体" w:cs="宋体"/>
          <w:b/>
          <w:bCs/>
          <w:szCs w:val="21"/>
        </w:rPr>
        <w:t>、</w:t>
      </w:r>
      <w:r>
        <w:rPr>
          <w:rFonts w:hint="eastAsia" w:ascii="宋体" w:hAnsi="宋体" w:cs="宋体"/>
          <w:b/>
          <w:bCs/>
          <w:szCs w:val="21"/>
          <w:lang w:val="en-US" w:eastAsia="zh-CN"/>
        </w:rPr>
        <w:t>详细改造内容清单</w:t>
      </w:r>
      <w:r>
        <w:rPr>
          <w:rFonts w:hint="eastAsia" w:ascii="宋体" w:hAnsi="宋体" w:cs="宋体"/>
          <w:b/>
          <w:bCs/>
          <w:szCs w:val="21"/>
        </w:rPr>
        <w:t>的内容进行填写。</w:t>
      </w:r>
    </w:p>
    <w:p w14:paraId="123CBA31">
      <w:pPr>
        <w:spacing w:line="360" w:lineRule="auto"/>
        <w:ind w:left="424" w:leftChars="202"/>
        <w:rPr>
          <w:rFonts w:hint="eastAsia" w:ascii="宋体" w:hAnsi="宋体" w:cs="宋体"/>
          <w:szCs w:val="21"/>
        </w:rPr>
      </w:pPr>
    </w:p>
    <w:p w14:paraId="7B9DCD04">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2300494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12AB768F">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zCs w:val="21"/>
          <w:u w:val="single"/>
        </w:rPr>
        <w:t xml:space="preserve">                </w:t>
      </w:r>
      <w:r>
        <w:rPr>
          <w:rFonts w:hint="eastAsia" w:ascii="宋体" w:hAnsi="宋体" w:cs="宋体"/>
          <w:szCs w:val="21"/>
        </w:rPr>
        <w:t xml:space="preserve">（加盖公章）  </w:t>
      </w:r>
    </w:p>
    <w:p w14:paraId="2414C1F6">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b/>
          <w:szCs w:val="21"/>
          <w:u w:val="single"/>
        </w:rPr>
        <w:t xml:space="preserve">           </w:t>
      </w:r>
      <w:r>
        <w:rPr>
          <w:rFonts w:hint="eastAsia" w:ascii="宋体" w:hAnsi="宋体" w:cs="宋体"/>
          <w:szCs w:val="21"/>
        </w:rPr>
        <w:t>（签字）</w:t>
      </w:r>
    </w:p>
    <w:p w14:paraId="29CCA42F">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84EDE7B">
      <w:pPr>
        <w:snapToGrid w:val="0"/>
        <w:spacing w:before="50" w:after="156" w:afterLines="50"/>
        <w:outlineLvl w:val="2"/>
        <w:rPr>
          <w:rFonts w:hint="eastAsia" w:ascii="宋体" w:hAnsi="宋体" w:cs="宋体"/>
          <w:szCs w:val="21"/>
        </w:rPr>
      </w:pPr>
      <w:r>
        <w:rPr>
          <w:rFonts w:hint="eastAsia" w:ascii="宋体" w:hAnsi="宋体" w:cs="宋体"/>
          <w:b/>
          <w:szCs w:val="21"/>
        </w:rPr>
        <w:br w:type="page"/>
      </w:r>
      <w:r>
        <w:rPr>
          <w:rFonts w:hint="eastAsia" w:ascii="宋体" w:hAnsi="宋体" w:cs="宋体"/>
          <w:b/>
          <w:szCs w:val="21"/>
        </w:rPr>
        <w:t>格式十</w:t>
      </w:r>
      <w:r>
        <w:rPr>
          <w:rFonts w:hint="eastAsia" w:ascii="宋体" w:hAnsi="宋体" w:cs="宋体"/>
          <w:b/>
          <w:szCs w:val="21"/>
          <w:lang w:val="en-US" w:eastAsia="zh-CN"/>
        </w:rPr>
        <w:t>一</w:t>
      </w:r>
      <w:r>
        <w:rPr>
          <w:rFonts w:hint="eastAsia" w:ascii="宋体" w:hAnsi="宋体" w:cs="宋体"/>
          <w:b/>
          <w:szCs w:val="21"/>
        </w:rPr>
        <w:t>、</w:t>
      </w:r>
      <w:r>
        <w:rPr>
          <w:rFonts w:hint="eastAsia" w:ascii="宋体" w:hAnsi="宋体" w:cs="宋体"/>
          <w:b/>
          <w:szCs w:val="21"/>
          <w:lang w:val="en-US" w:eastAsia="zh-CN"/>
        </w:rPr>
        <w:t>无推诿承诺书</w:t>
      </w:r>
    </w:p>
    <w:p w14:paraId="56802CD6">
      <w:pPr>
        <w:spacing w:line="360" w:lineRule="auto"/>
        <w:jc w:val="left"/>
        <w:rPr>
          <w:rFonts w:hint="eastAsia" w:ascii="宋体" w:hAnsi="宋体" w:eastAsia="宋体" w:cs="宋体"/>
          <w:szCs w:val="21"/>
          <w:lang w:eastAsia="zh-CN"/>
        </w:rPr>
      </w:pPr>
      <w:r>
        <w:rPr>
          <w:rFonts w:hint="eastAsia" w:ascii="宋体" w:hAnsi="宋体" w:eastAsia="宋体" w:cs="宋体"/>
          <w:spacing w:val="-4"/>
          <w:szCs w:val="21"/>
        </w:rPr>
        <w:t>致：</w:t>
      </w:r>
      <w:r>
        <w:rPr>
          <w:rFonts w:hint="eastAsia" w:ascii="宋体" w:hAnsi="宋体" w:cs="宋体"/>
          <w:szCs w:val="21"/>
          <w:lang w:eastAsia="zh-CN"/>
        </w:rPr>
        <w:t xml:space="preserve">岱山县数据服务中心 </w:t>
      </w:r>
    </w:p>
    <w:p w14:paraId="20AA5B93">
      <w:pPr>
        <w:spacing w:line="360" w:lineRule="auto"/>
        <w:ind w:firstLine="420" w:firstLineChars="200"/>
        <w:jc w:val="left"/>
        <w:rPr>
          <w:rFonts w:hint="eastAsia" w:ascii="宋体" w:hAnsi="宋体" w:eastAsia="宋体" w:cs="宋体"/>
          <w:spacing w:val="-4"/>
          <w:szCs w:val="21"/>
        </w:rPr>
      </w:pPr>
      <w:r>
        <w:rPr>
          <w:rFonts w:hint="eastAsia" w:ascii="宋体" w:hAnsi="宋体" w:eastAsia="宋体" w:cs="宋体"/>
          <w:szCs w:val="21"/>
        </w:rPr>
        <w:t>中金招标有限责任公司</w:t>
      </w:r>
    </w:p>
    <w:tbl>
      <w:tblPr>
        <w:tblStyle w:val="34"/>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3329"/>
        <w:gridCol w:w="3718"/>
        <w:gridCol w:w="2053"/>
      </w:tblGrid>
      <w:tr w14:paraId="53FD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Align w:val="center"/>
          </w:tcPr>
          <w:p w14:paraId="41238059">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711" w:type="pct"/>
            <w:vAlign w:val="center"/>
          </w:tcPr>
          <w:p w14:paraId="4E933BE8">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招标文件描述</w:t>
            </w:r>
          </w:p>
        </w:tc>
        <w:tc>
          <w:tcPr>
            <w:tcW w:w="1911" w:type="pct"/>
            <w:vAlign w:val="center"/>
          </w:tcPr>
          <w:p w14:paraId="219C734B">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响应描述</w:t>
            </w:r>
          </w:p>
        </w:tc>
        <w:tc>
          <w:tcPr>
            <w:tcW w:w="1055" w:type="pct"/>
            <w:shd w:val="clear" w:color="auto" w:fill="auto"/>
            <w:vAlign w:val="center"/>
          </w:tcPr>
          <w:p w14:paraId="4B3753E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偏离情况及说明（正偏离/符合/负偏离）</w:t>
            </w:r>
          </w:p>
        </w:tc>
      </w:tr>
      <w:tr w14:paraId="5AA2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Align w:val="center"/>
          </w:tcPr>
          <w:p w14:paraId="3FDC0AE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11" w:type="pct"/>
            <w:vAlign w:val="center"/>
          </w:tcPr>
          <w:p w14:paraId="74C3D4B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highlight w:val="none"/>
              </w:rPr>
              <w:t>运维期要求：本项目要求中标人提供不少于</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年的</w:t>
            </w:r>
            <w:r>
              <w:rPr>
                <w:rFonts w:hint="eastAsia" w:ascii="宋体" w:hAnsi="宋体" w:eastAsia="宋体" w:cs="宋体"/>
                <w:sz w:val="21"/>
                <w:szCs w:val="21"/>
              </w:rPr>
              <w:t>软件免费运维期。（项目终验通过之日起计算）</w:t>
            </w:r>
          </w:p>
        </w:tc>
        <w:tc>
          <w:tcPr>
            <w:tcW w:w="1911" w:type="pct"/>
            <w:vAlign w:val="center"/>
          </w:tcPr>
          <w:p w14:paraId="01817040">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c>
          <w:tcPr>
            <w:tcW w:w="1055" w:type="pct"/>
            <w:vAlign w:val="center"/>
          </w:tcPr>
          <w:p w14:paraId="317E6AA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r w14:paraId="01DF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Align w:val="center"/>
          </w:tcPr>
          <w:p w14:paraId="7FE6EB1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11" w:type="pct"/>
            <w:vAlign w:val="center"/>
          </w:tcPr>
          <w:p w14:paraId="1C1143DF">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中标</w:t>
            </w:r>
            <w:r>
              <w:rPr>
                <w:rFonts w:hint="eastAsia" w:ascii="宋体" w:hAnsi="宋体" w:eastAsia="宋体" w:cs="宋体"/>
                <w:color w:val="000000"/>
                <w:sz w:val="21"/>
                <w:szCs w:val="21"/>
              </w:rPr>
              <w:t>人</w:t>
            </w:r>
            <w:r>
              <w:rPr>
                <w:rFonts w:hint="eastAsia" w:ascii="宋体" w:hAnsi="宋体" w:eastAsia="宋体" w:cs="宋体"/>
                <w:sz w:val="21"/>
                <w:szCs w:val="21"/>
              </w:rPr>
              <w:t>须做出无推诿承诺。即中标</w:t>
            </w:r>
            <w:r>
              <w:rPr>
                <w:rFonts w:hint="eastAsia" w:ascii="宋体" w:hAnsi="宋体" w:eastAsia="宋体" w:cs="宋体"/>
                <w:color w:val="000000"/>
                <w:sz w:val="21"/>
                <w:szCs w:val="21"/>
              </w:rPr>
              <w:t>人</w:t>
            </w:r>
            <w:r>
              <w:rPr>
                <w:rFonts w:hint="eastAsia" w:ascii="宋体" w:hAnsi="宋体" w:eastAsia="宋体" w:cs="宋体"/>
                <w:sz w:val="21"/>
                <w:szCs w:val="21"/>
              </w:rPr>
              <w:t>应提供特殊措施，无论由于哪一方产生的问题而使</w:t>
            </w:r>
            <w:r>
              <w:rPr>
                <w:rFonts w:hint="eastAsia" w:ascii="宋体" w:hAnsi="宋体" w:eastAsia="宋体" w:cs="宋体"/>
                <w:sz w:val="21"/>
                <w:szCs w:val="21"/>
                <w:lang w:val="en-US" w:eastAsia="zh-CN"/>
              </w:rPr>
              <w:t>系统</w:t>
            </w:r>
            <w:r>
              <w:rPr>
                <w:rFonts w:hint="eastAsia" w:ascii="宋体" w:hAnsi="宋体" w:eastAsia="宋体" w:cs="宋体"/>
                <w:sz w:val="21"/>
                <w:szCs w:val="21"/>
              </w:rPr>
              <w:t>发生不正常情况时，并在得到采购人通知后，</w:t>
            </w:r>
            <w:r>
              <w:rPr>
                <w:rFonts w:hint="eastAsia" w:ascii="宋体" w:hAnsi="宋体" w:eastAsia="宋体" w:cs="宋体"/>
                <w:sz w:val="21"/>
                <w:szCs w:val="21"/>
                <w:lang w:val="en-US" w:eastAsia="zh-CN"/>
              </w:rPr>
              <w:t>节假日内3个小时内，工作日1个小时内</w:t>
            </w:r>
            <w:r>
              <w:rPr>
                <w:rFonts w:hint="eastAsia" w:ascii="宋体" w:hAnsi="宋体" w:eastAsia="宋体" w:cs="宋体"/>
                <w:sz w:val="21"/>
                <w:szCs w:val="21"/>
              </w:rPr>
              <w:t>派工程师到场，全力协助系统集成商，使系统尽快恢复正常。</w:t>
            </w:r>
          </w:p>
        </w:tc>
        <w:tc>
          <w:tcPr>
            <w:tcW w:w="1911" w:type="pct"/>
            <w:vAlign w:val="center"/>
          </w:tcPr>
          <w:p w14:paraId="1AB35F24">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c>
          <w:tcPr>
            <w:tcW w:w="1055" w:type="pct"/>
            <w:vAlign w:val="center"/>
          </w:tcPr>
          <w:p w14:paraId="431FED8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bl>
    <w:p w14:paraId="19D121E5">
      <w:pPr>
        <w:snapToGrid w:val="0"/>
        <w:spacing w:before="50" w:after="156" w:afterLines="50"/>
        <w:jc w:val="left"/>
        <w:rPr>
          <w:rFonts w:hint="eastAsia" w:ascii="宋体" w:hAnsi="宋体" w:cs="宋体"/>
          <w:szCs w:val="21"/>
        </w:rPr>
      </w:pPr>
    </w:p>
    <w:p w14:paraId="447403DC">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3CD3C90C">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73ABE853">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zCs w:val="21"/>
          <w:u w:val="single"/>
        </w:rPr>
        <w:t xml:space="preserve">                </w:t>
      </w:r>
      <w:r>
        <w:rPr>
          <w:rFonts w:hint="eastAsia" w:ascii="宋体" w:hAnsi="宋体" w:cs="宋体"/>
          <w:szCs w:val="21"/>
        </w:rPr>
        <w:t xml:space="preserve">（加盖公章）  </w:t>
      </w:r>
    </w:p>
    <w:p w14:paraId="2145664E">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b/>
          <w:szCs w:val="21"/>
          <w:u w:val="single"/>
        </w:rPr>
        <w:t xml:space="preserve">           </w:t>
      </w:r>
      <w:r>
        <w:rPr>
          <w:rFonts w:hint="eastAsia" w:ascii="宋体" w:hAnsi="宋体" w:cs="宋体"/>
          <w:szCs w:val="21"/>
        </w:rPr>
        <w:t>（签字）</w:t>
      </w:r>
    </w:p>
    <w:p w14:paraId="06C3BFDF">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1467A0B">
      <w:pPr>
        <w:snapToGrid w:val="0"/>
        <w:spacing w:before="50" w:afterLines="50"/>
        <w:jc w:val="left"/>
        <w:outlineLvl w:val="2"/>
        <w:rPr>
          <w:rFonts w:ascii="宋体" w:cs="宋体"/>
          <w:b/>
          <w:bCs/>
          <w:szCs w:val="21"/>
        </w:rPr>
      </w:pPr>
      <w:r>
        <w:rPr>
          <w:rFonts w:ascii="宋体" w:cs="宋体"/>
          <w:b/>
          <w:bCs/>
          <w:szCs w:val="21"/>
        </w:rPr>
        <w:br w:type="page"/>
      </w:r>
      <w:r>
        <w:rPr>
          <w:rFonts w:hint="eastAsia" w:ascii="宋体" w:cs="宋体"/>
          <w:b/>
          <w:bCs/>
          <w:szCs w:val="21"/>
        </w:rPr>
        <w:t>格式</w:t>
      </w:r>
      <w:r>
        <w:rPr>
          <w:rFonts w:hint="eastAsia" w:ascii="宋体" w:cs="宋体"/>
          <w:b/>
          <w:bCs/>
          <w:szCs w:val="21"/>
          <w:lang w:val="en-US" w:eastAsia="zh-CN"/>
        </w:rPr>
        <w:t>十二</w:t>
      </w:r>
      <w:r>
        <w:rPr>
          <w:rFonts w:hint="eastAsia" w:ascii="宋体" w:cs="宋体"/>
          <w:b/>
          <w:bCs/>
          <w:szCs w:val="21"/>
        </w:rPr>
        <w:t>、质疑函（范本）</w:t>
      </w:r>
    </w:p>
    <w:p w14:paraId="0FE7DD83">
      <w:pPr>
        <w:spacing w:line="360" w:lineRule="auto"/>
        <w:jc w:val="center"/>
        <w:rPr>
          <w:rFonts w:ascii="宋体" w:hAnsi="宋体"/>
          <w:b/>
          <w:bCs/>
          <w:sz w:val="22"/>
          <w:szCs w:val="22"/>
        </w:rPr>
      </w:pPr>
      <w:r>
        <w:rPr>
          <w:rFonts w:hint="eastAsia" w:ascii="宋体" w:hAnsi="宋体"/>
          <w:b/>
          <w:bCs/>
          <w:sz w:val="22"/>
          <w:szCs w:val="22"/>
        </w:rPr>
        <w:t>质疑函（范本）</w:t>
      </w:r>
    </w:p>
    <w:p w14:paraId="3E72D2F1">
      <w:pPr>
        <w:widowControl/>
        <w:spacing w:before="100" w:beforeAutospacing="1" w:after="100" w:afterAutospacing="1" w:line="276"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质疑供应商：</w:t>
      </w:r>
      <w:r>
        <w:rPr>
          <w:rFonts w:hint="eastAsia" w:ascii="宋体" w:hAnsi="宋体" w:cs="Calibri"/>
          <w:kern w:val="0"/>
          <w:sz w:val="21"/>
          <w:szCs w:val="21"/>
          <w:u w:val="single"/>
          <w:shd w:val="clear" w:color="auto" w:fill="FFFFFF"/>
          <w:lang w:bidi="ar"/>
        </w:rPr>
        <w:t xml:space="preserve">                                                                           </w:t>
      </w:r>
    </w:p>
    <w:p w14:paraId="4F1FF1DF">
      <w:pPr>
        <w:widowControl/>
        <w:spacing w:before="100" w:beforeAutospacing="1" w:after="100" w:afterAutospacing="1" w:line="276"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地址：</w:t>
      </w:r>
      <w:r>
        <w:rPr>
          <w:rFonts w:hint="eastAsia" w:ascii="宋体" w:hAnsi="宋体" w:cs="Calibri"/>
          <w:kern w:val="0"/>
          <w:sz w:val="21"/>
          <w:szCs w:val="21"/>
          <w:u w:val="single"/>
          <w:shd w:val="clear" w:color="auto" w:fill="FFFFFF"/>
          <w:lang w:bidi="ar"/>
        </w:rPr>
        <w:t xml:space="preserve">                                                             </w:t>
      </w:r>
      <w:r>
        <w:rPr>
          <w:rFonts w:hint="eastAsia" w:ascii="宋体" w:hAnsi="宋体" w:cs="仿宋"/>
          <w:kern w:val="0"/>
          <w:sz w:val="21"/>
          <w:szCs w:val="21"/>
          <w:shd w:val="clear" w:color="auto" w:fill="FFFFFF"/>
          <w:lang w:bidi="ar"/>
        </w:rPr>
        <w:t>邮编：</w:t>
      </w:r>
      <w:r>
        <w:rPr>
          <w:rFonts w:hint="eastAsia" w:ascii="宋体" w:hAnsi="宋体" w:cs="Calibri"/>
          <w:kern w:val="0"/>
          <w:sz w:val="21"/>
          <w:szCs w:val="21"/>
          <w:u w:val="single"/>
          <w:shd w:val="clear" w:color="auto" w:fill="FFFFFF"/>
          <w:lang w:bidi="ar"/>
        </w:rPr>
        <w:t xml:space="preserve">             </w:t>
      </w:r>
    </w:p>
    <w:p w14:paraId="74CC90B3">
      <w:pPr>
        <w:widowControl/>
        <w:spacing w:before="100" w:beforeAutospacing="1" w:after="100" w:afterAutospacing="1" w:line="276" w:lineRule="auto"/>
        <w:jc w:val="left"/>
        <w:rPr>
          <w:rFonts w:hint="eastAsia" w:ascii="宋体" w:hAnsi="宋体" w:cs="Calibri"/>
          <w:kern w:val="0"/>
          <w:sz w:val="21"/>
          <w:szCs w:val="21"/>
          <w:u w:val="single"/>
          <w:shd w:val="clear" w:color="auto" w:fill="FFFFFF"/>
          <w:lang w:bidi="ar"/>
        </w:rPr>
      </w:pPr>
      <w:r>
        <w:rPr>
          <w:rFonts w:hint="eastAsia" w:ascii="宋体" w:hAnsi="宋体" w:cs="仿宋"/>
          <w:kern w:val="0"/>
          <w:sz w:val="21"/>
          <w:szCs w:val="21"/>
          <w:shd w:val="clear" w:color="auto" w:fill="FFFFFF"/>
          <w:lang w:bidi="ar"/>
        </w:rPr>
        <w:t>联系人：</w:t>
      </w:r>
      <w:r>
        <w:rPr>
          <w:rFonts w:hint="eastAsia" w:ascii="宋体" w:hAnsi="宋体" w:cs="Calibri"/>
          <w:kern w:val="0"/>
          <w:sz w:val="21"/>
          <w:szCs w:val="21"/>
          <w:u w:val="single"/>
          <w:shd w:val="clear" w:color="auto" w:fill="FFFFFF"/>
          <w:lang w:bidi="ar"/>
        </w:rPr>
        <w:t xml:space="preserve">                                                                              </w:t>
      </w:r>
    </w:p>
    <w:p w14:paraId="67AA8AF1">
      <w:pPr>
        <w:widowControl/>
        <w:spacing w:before="100" w:beforeAutospacing="1" w:after="100" w:afterAutospacing="1" w:line="276"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联系电话：</w:t>
      </w:r>
      <w:r>
        <w:rPr>
          <w:rFonts w:hint="eastAsia" w:ascii="宋体" w:hAnsi="宋体" w:cs="Calibri"/>
          <w:kern w:val="0"/>
          <w:sz w:val="21"/>
          <w:szCs w:val="21"/>
          <w:u w:val="single"/>
          <w:shd w:val="clear" w:color="auto" w:fill="FFFFFF"/>
          <w:lang w:bidi="ar"/>
        </w:rPr>
        <w:t xml:space="preserve">                                                                            </w:t>
      </w:r>
    </w:p>
    <w:p w14:paraId="3BA06853">
      <w:pPr>
        <w:widowControl/>
        <w:spacing w:before="100" w:beforeAutospacing="1" w:after="100" w:afterAutospacing="1" w:line="276" w:lineRule="auto"/>
        <w:jc w:val="left"/>
        <w:rPr>
          <w:rFonts w:hint="eastAsia" w:ascii="宋体" w:hAnsi="宋体" w:cs="Calibri"/>
          <w:kern w:val="0"/>
          <w:sz w:val="21"/>
          <w:szCs w:val="21"/>
          <w:u w:val="single"/>
          <w:shd w:val="clear" w:color="auto" w:fill="FFFFFF"/>
          <w:lang w:bidi="ar"/>
        </w:rPr>
      </w:pPr>
      <w:r>
        <w:rPr>
          <w:rFonts w:hint="eastAsia" w:ascii="宋体" w:hAnsi="宋体" w:cs="仿宋"/>
          <w:kern w:val="0"/>
          <w:sz w:val="21"/>
          <w:szCs w:val="21"/>
          <w:shd w:val="clear" w:color="auto" w:fill="FFFFFF"/>
          <w:lang w:bidi="ar"/>
        </w:rPr>
        <w:t>授权代表：</w:t>
      </w:r>
      <w:r>
        <w:rPr>
          <w:rFonts w:hint="eastAsia" w:ascii="宋体" w:hAnsi="宋体" w:cs="Calibri"/>
          <w:kern w:val="0"/>
          <w:sz w:val="21"/>
          <w:szCs w:val="21"/>
          <w:u w:val="single"/>
          <w:shd w:val="clear" w:color="auto" w:fill="FFFFFF"/>
          <w:lang w:bidi="ar"/>
        </w:rPr>
        <w:t xml:space="preserve">                                                                            </w:t>
      </w:r>
    </w:p>
    <w:p w14:paraId="3FA195B8">
      <w:pPr>
        <w:widowControl/>
        <w:spacing w:before="100" w:beforeAutospacing="1" w:after="100" w:afterAutospacing="1" w:line="276"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联系电话：</w:t>
      </w:r>
      <w:r>
        <w:rPr>
          <w:rFonts w:hint="eastAsia" w:ascii="宋体" w:hAnsi="宋体" w:cs="Calibri"/>
          <w:kern w:val="0"/>
          <w:sz w:val="21"/>
          <w:szCs w:val="21"/>
          <w:u w:val="single"/>
          <w:shd w:val="clear" w:color="auto" w:fill="FFFFFF"/>
          <w:lang w:bidi="ar"/>
        </w:rPr>
        <w:t xml:space="preserve">                                                                            </w:t>
      </w:r>
    </w:p>
    <w:p w14:paraId="4771D1FC">
      <w:pPr>
        <w:widowControl/>
        <w:spacing w:before="100" w:beforeAutospacing="1" w:after="100" w:afterAutospacing="1" w:line="276"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地址：</w:t>
      </w:r>
      <w:r>
        <w:rPr>
          <w:rFonts w:hint="eastAsia" w:ascii="宋体" w:hAnsi="宋体" w:cs="Calibri"/>
          <w:kern w:val="0"/>
          <w:sz w:val="21"/>
          <w:szCs w:val="21"/>
          <w:u w:val="single"/>
          <w:shd w:val="clear" w:color="auto" w:fill="FFFFFF"/>
          <w:lang w:bidi="ar"/>
        </w:rPr>
        <w:t xml:space="preserve">                                                             </w:t>
      </w:r>
      <w:r>
        <w:rPr>
          <w:rFonts w:hint="eastAsia" w:ascii="宋体" w:hAnsi="宋体" w:cs="仿宋"/>
          <w:kern w:val="0"/>
          <w:sz w:val="21"/>
          <w:szCs w:val="21"/>
          <w:shd w:val="clear" w:color="auto" w:fill="FFFFFF"/>
          <w:lang w:bidi="ar"/>
        </w:rPr>
        <w:t>邮编：</w:t>
      </w:r>
      <w:r>
        <w:rPr>
          <w:rFonts w:hint="eastAsia" w:ascii="宋体" w:hAnsi="宋体" w:cs="Calibri"/>
          <w:kern w:val="0"/>
          <w:sz w:val="21"/>
          <w:szCs w:val="21"/>
          <w:u w:val="single"/>
          <w:shd w:val="clear" w:color="auto" w:fill="FFFFFF"/>
          <w:lang w:bidi="ar"/>
        </w:rPr>
        <w:t xml:space="preserve">             </w:t>
      </w:r>
    </w:p>
    <w:p w14:paraId="722C3532">
      <w:pPr>
        <w:widowControl/>
        <w:spacing w:before="100" w:beforeAutospacing="1" w:after="100" w:afterAutospacing="1" w:line="360" w:lineRule="auto"/>
        <w:jc w:val="left"/>
        <w:rPr>
          <w:rFonts w:hint="eastAsia" w:ascii="宋体" w:hAnsi="宋体" w:cs="黑体"/>
          <w:kern w:val="0"/>
          <w:sz w:val="21"/>
          <w:szCs w:val="21"/>
          <w:shd w:val="clear" w:color="auto" w:fill="FFFFFF"/>
          <w:lang w:bidi="ar"/>
        </w:rPr>
      </w:pPr>
    </w:p>
    <w:p w14:paraId="6842E35D">
      <w:pPr>
        <w:widowControl/>
        <w:spacing w:before="100" w:beforeAutospacing="1" w:after="100" w:afterAutospacing="1" w:line="360" w:lineRule="auto"/>
        <w:jc w:val="left"/>
        <w:rPr>
          <w:rFonts w:hint="eastAsia" w:ascii="宋体" w:hAnsi="宋体" w:cs="宋体"/>
          <w:sz w:val="21"/>
          <w:szCs w:val="21"/>
        </w:rPr>
      </w:pPr>
      <w:r>
        <w:rPr>
          <w:rFonts w:ascii="宋体" w:hAnsi="宋体" w:cs="黑体"/>
          <w:kern w:val="0"/>
          <w:sz w:val="21"/>
          <w:szCs w:val="21"/>
          <w:shd w:val="clear" w:color="auto" w:fill="FFFFFF"/>
          <w:lang w:bidi="ar"/>
        </w:rPr>
        <w:t>二、质疑项目基本情况</w:t>
      </w:r>
    </w:p>
    <w:p w14:paraId="7EE3366A">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质疑项目的名称：</w:t>
      </w:r>
      <w:r>
        <w:rPr>
          <w:rFonts w:hint="eastAsia" w:ascii="宋体" w:hAnsi="宋体" w:cs="Calibri"/>
          <w:kern w:val="0"/>
          <w:sz w:val="21"/>
          <w:szCs w:val="21"/>
          <w:u w:val="single"/>
          <w:shd w:val="clear" w:color="auto" w:fill="FFFFFF"/>
          <w:lang w:bidi="ar"/>
        </w:rPr>
        <w:t xml:space="preserve">                                                                            </w:t>
      </w:r>
    </w:p>
    <w:p w14:paraId="19F38520">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质疑项目的编号：</w:t>
      </w:r>
      <w:r>
        <w:rPr>
          <w:rFonts w:hint="eastAsia" w:ascii="宋体" w:hAnsi="宋体" w:cs="Calibri"/>
          <w:kern w:val="0"/>
          <w:sz w:val="21"/>
          <w:szCs w:val="21"/>
          <w:u w:val="single"/>
          <w:shd w:val="clear" w:color="auto" w:fill="FFFFFF"/>
          <w:lang w:bidi="ar"/>
        </w:rPr>
        <w:t xml:space="preserve">                                                                            </w:t>
      </w:r>
    </w:p>
    <w:p w14:paraId="5282A8A0">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采购人名称：</w:t>
      </w:r>
      <w:r>
        <w:rPr>
          <w:rFonts w:hint="eastAsia" w:ascii="宋体" w:hAnsi="宋体" w:cs="Calibri"/>
          <w:kern w:val="0"/>
          <w:sz w:val="21"/>
          <w:szCs w:val="21"/>
          <w:u w:val="single"/>
          <w:shd w:val="clear" w:color="auto" w:fill="FFFFFF"/>
          <w:lang w:bidi="ar"/>
        </w:rPr>
        <w:t xml:space="preserve">                                                                                </w:t>
      </w:r>
    </w:p>
    <w:p w14:paraId="6A3DB965">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采购文件获取日期：</w:t>
      </w:r>
      <w:r>
        <w:rPr>
          <w:rFonts w:hint="eastAsia" w:ascii="宋体" w:hAnsi="宋体" w:cs="Calibri"/>
          <w:kern w:val="0"/>
          <w:sz w:val="21"/>
          <w:szCs w:val="21"/>
          <w:u w:val="single"/>
          <w:shd w:val="clear" w:color="auto" w:fill="FFFFFF"/>
          <w:lang w:bidi="ar"/>
        </w:rPr>
        <w:t xml:space="preserve">                                                                          </w:t>
      </w:r>
    </w:p>
    <w:p w14:paraId="08A17261">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黑体"/>
          <w:kern w:val="0"/>
          <w:sz w:val="21"/>
          <w:szCs w:val="21"/>
          <w:shd w:val="clear" w:color="auto" w:fill="FFFFFF"/>
          <w:lang w:bidi="ar"/>
        </w:rPr>
        <w:t>三、质疑事项具体内容</w:t>
      </w:r>
    </w:p>
    <w:p w14:paraId="61F5AA20">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质疑事项1：</w:t>
      </w:r>
      <w:r>
        <w:rPr>
          <w:rFonts w:hint="eastAsia" w:ascii="宋体" w:hAnsi="宋体" w:cs="Calibri"/>
          <w:kern w:val="0"/>
          <w:sz w:val="21"/>
          <w:szCs w:val="21"/>
          <w:u w:val="single"/>
          <w:shd w:val="clear" w:color="auto" w:fill="FFFFFF"/>
          <w:lang w:bidi="ar"/>
        </w:rPr>
        <w:t xml:space="preserve">                                                                            </w:t>
      </w:r>
    </w:p>
    <w:p w14:paraId="538A4BE4">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事实依据：</w:t>
      </w:r>
      <w:r>
        <w:rPr>
          <w:rFonts w:hint="eastAsia" w:ascii="宋体" w:hAnsi="宋体" w:cs="Calibri"/>
          <w:kern w:val="0"/>
          <w:sz w:val="21"/>
          <w:szCs w:val="21"/>
          <w:u w:val="single"/>
          <w:shd w:val="clear" w:color="auto" w:fill="FFFFFF"/>
          <w:lang w:bidi="ar"/>
        </w:rPr>
        <w:t xml:space="preserve">                                                                            </w:t>
      </w:r>
    </w:p>
    <w:p w14:paraId="421D98D4">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法律依据：</w:t>
      </w:r>
      <w:r>
        <w:rPr>
          <w:rFonts w:hint="eastAsia" w:ascii="宋体" w:hAnsi="宋体" w:cs="Calibri"/>
          <w:kern w:val="0"/>
          <w:sz w:val="21"/>
          <w:szCs w:val="21"/>
          <w:u w:val="single"/>
          <w:shd w:val="clear" w:color="auto" w:fill="FFFFFF"/>
          <w:lang w:bidi="ar"/>
        </w:rPr>
        <w:t xml:space="preserve">                                                                            </w:t>
      </w:r>
    </w:p>
    <w:p w14:paraId="7375DB8A">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质疑事项2</w:t>
      </w:r>
    </w:p>
    <w:p w14:paraId="17300145">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w:t>
      </w:r>
    </w:p>
    <w:p w14:paraId="0803BE18">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黑体"/>
          <w:kern w:val="0"/>
          <w:sz w:val="21"/>
          <w:szCs w:val="21"/>
          <w:shd w:val="clear" w:color="auto" w:fill="FFFFFF"/>
          <w:lang w:bidi="ar"/>
        </w:rPr>
        <w:t>四、与质疑事项相关的质疑请求</w:t>
      </w:r>
    </w:p>
    <w:p w14:paraId="131EC510">
      <w:pPr>
        <w:widowControl/>
        <w:spacing w:before="100" w:beforeAutospacing="1" w:after="100" w:afterAutospacing="1" w:line="360" w:lineRule="auto"/>
        <w:jc w:val="left"/>
        <w:rPr>
          <w:rFonts w:hint="eastAsia" w:ascii="宋体" w:hAnsi="宋体" w:cs="Calibri"/>
          <w:kern w:val="0"/>
          <w:sz w:val="21"/>
          <w:szCs w:val="21"/>
          <w:u w:val="single"/>
          <w:shd w:val="clear" w:color="auto" w:fill="FFFFFF"/>
          <w:lang w:bidi="ar"/>
        </w:rPr>
      </w:pPr>
      <w:r>
        <w:rPr>
          <w:rFonts w:hint="eastAsia" w:ascii="宋体" w:hAnsi="宋体" w:cs="仿宋"/>
          <w:kern w:val="0"/>
          <w:sz w:val="21"/>
          <w:szCs w:val="21"/>
          <w:shd w:val="clear" w:color="auto" w:fill="FFFFFF"/>
          <w:lang w:bidi="ar"/>
        </w:rPr>
        <w:t>请求：</w:t>
      </w:r>
      <w:r>
        <w:rPr>
          <w:rFonts w:hint="eastAsia" w:ascii="宋体" w:hAnsi="宋体" w:cs="Calibri"/>
          <w:kern w:val="0"/>
          <w:sz w:val="21"/>
          <w:szCs w:val="21"/>
          <w:u w:val="single"/>
          <w:shd w:val="clear" w:color="auto" w:fill="FFFFFF"/>
          <w:lang w:bidi="ar"/>
        </w:rPr>
        <w:t xml:space="preserve">                                                                            </w:t>
      </w:r>
    </w:p>
    <w:p w14:paraId="71934749">
      <w:pPr>
        <w:widowControl/>
        <w:spacing w:before="100" w:beforeAutospacing="1" w:after="100" w:afterAutospacing="1" w:line="360" w:lineRule="auto"/>
        <w:jc w:val="left"/>
        <w:rPr>
          <w:rFonts w:hint="eastAsia" w:ascii="宋体" w:hAnsi="宋体" w:cs="宋体"/>
          <w:sz w:val="21"/>
          <w:szCs w:val="21"/>
        </w:rPr>
      </w:pPr>
    </w:p>
    <w:p w14:paraId="4D8A8443">
      <w:pPr>
        <w:widowControl/>
        <w:spacing w:before="100" w:beforeAutospacing="1" w:after="100" w:afterAutospacing="1" w:line="360" w:lineRule="auto"/>
        <w:jc w:val="left"/>
        <w:rPr>
          <w:rFonts w:ascii="宋体" w:hAnsi="宋体" w:cs="仿宋_GB2312"/>
          <w:kern w:val="0"/>
          <w:sz w:val="21"/>
          <w:szCs w:val="21"/>
          <w:shd w:val="clear" w:color="auto" w:fill="FFFFFF"/>
          <w:lang w:bidi="ar"/>
        </w:rPr>
      </w:pPr>
      <w:r>
        <w:rPr>
          <w:rFonts w:ascii="宋体" w:hAnsi="宋体" w:cs="仿宋_GB2312"/>
          <w:kern w:val="0"/>
          <w:sz w:val="21"/>
          <w:szCs w:val="21"/>
          <w:shd w:val="clear" w:color="auto" w:fill="FFFFFF"/>
          <w:lang w:bidi="ar"/>
        </w:rPr>
        <w:t>签字(签章)：</w:t>
      </w:r>
    </w:p>
    <w:p w14:paraId="137943EA">
      <w:pPr>
        <w:widowControl/>
        <w:spacing w:before="100" w:beforeAutospacing="1" w:after="100" w:afterAutospacing="1" w:line="360" w:lineRule="auto"/>
        <w:jc w:val="left"/>
        <w:rPr>
          <w:rFonts w:hint="eastAsia" w:ascii="宋体" w:hAnsi="宋体" w:cs="宋体"/>
          <w:sz w:val="21"/>
          <w:szCs w:val="21"/>
        </w:rPr>
      </w:pPr>
      <w:r>
        <w:rPr>
          <w:rFonts w:ascii="宋体" w:hAnsi="宋体" w:cs="仿宋_GB2312"/>
          <w:kern w:val="0"/>
          <w:sz w:val="21"/>
          <w:szCs w:val="21"/>
          <w:shd w:val="clear" w:color="auto" w:fill="FFFFFF"/>
          <w:lang w:bidi="ar"/>
        </w:rPr>
        <w:t>公章：</w:t>
      </w:r>
    </w:p>
    <w:p w14:paraId="6FE0764B">
      <w:pPr>
        <w:widowControl/>
        <w:spacing w:before="100" w:beforeAutospacing="1" w:after="100" w:afterAutospacing="1" w:line="360" w:lineRule="auto"/>
        <w:jc w:val="left"/>
        <w:rPr>
          <w:rFonts w:hint="eastAsia" w:ascii="宋体" w:hAnsi="宋体" w:cs="Calibri"/>
          <w:kern w:val="0"/>
          <w:sz w:val="21"/>
          <w:szCs w:val="21"/>
          <w:shd w:val="clear" w:color="auto" w:fill="FFFFFF"/>
          <w:lang w:bidi="ar"/>
        </w:rPr>
      </w:pPr>
      <w:r>
        <w:rPr>
          <w:rFonts w:ascii="宋体" w:hAnsi="宋体" w:cs="仿宋_GB2312"/>
          <w:kern w:val="0"/>
          <w:sz w:val="21"/>
          <w:szCs w:val="21"/>
          <w:shd w:val="clear" w:color="auto" w:fill="FFFFFF"/>
          <w:lang w:bidi="ar"/>
        </w:rPr>
        <w:t>日期：</w:t>
      </w:r>
    </w:p>
    <w:p w14:paraId="64C0A42F">
      <w:pPr>
        <w:widowControl/>
        <w:spacing w:before="100" w:beforeAutospacing="1" w:after="100" w:afterAutospacing="1" w:line="360" w:lineRule="auto"/>
        <w:jc w:val="left"/>
        <w:rPr>
          <w:rFonts w:hint="eastAsia" w:ascii="宋体" w:hAnsi="宋体" w:cs="宋体"/>
          <w:sz w:val="21"/>
          <w:szCs w:val="21"/>
        </w:rPr>
      </w:pPr>
    </w:p>
    <w:p w14:paraId="61D7D962">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黑体"/>
          <w:b/>
          <w:kern w:val="0"/>
          <w:sz w:val="21"/>
          <w:szCs w:val="21"/>
          <w:shd w:val="clear" w:color="auto" w:fill="FFFFFF"/>
          <w:lang w:bidi="ar"/>
        </w:rPr>
        <w:t>质疑函制作说明：</w:t>
      </w:r>
    </w:p>
    <w:p w14:paraId="44DD2D2A">
      <w:pPr>
        <w:widowControl/>
        <w:spacing w:before="100" w:beforeAutospacing="1" w:after="100" w:afterAutospacing="1" w:line="360" w:lineRule="auto"/>
        <w:ind w:firstLine="640"/>
        <w:jc w:val="left"/>
        <w:outlineLvl w:val="9"/>
        <w:rPr>
          <w:rFonts w:hint="eastAsia" w:ascii="宋体" w:hAnsi="宋体" w:cs="宋体"/>
          <w:sz w:val="21"/>
          <w:szCs w:val="21"/>
        </w:rPr>
      </w:pPr>
      <w:bookmarkStart w:id="54" w:name="_Toc3670"/>
      <w:r>
        <w:rPr>
          <w:rFonts w:ascii="宋体" w:hAnsi="宋体" w:cs="仿宋_GB2312"/>
          <w:kern w:val="0"/>
          <w:sz w:val="21"/>
          <w:szCs w:val="21"/>
          <w:shd w:val="clear" w:color="auto" w:fill="FFFFFF"/>
          <w:lang w:bidi="ar"/>
        </w:rPr>
        <w:t>1.供应商提出质疑时，应提交质疑函和必要的证明材料。</w:t>
      </w:r>
      <w:bookmarkEnd w:id="54"/>
    </w:p>
    <w:p w14:paraId="31B10AA5">
      <w:pPr>
        <w:widowControl/>
        <w:spacing w:before="100" w:beforeAutospacing="1" w:after="100" w:afterAutospacing="1" w:line="360" w:lineRule="auto"/>
        <w:ind w:firstLine="640"/>
        <w:jc w:val="left"/>
        <w:rPr>
          <w:rFonts w:hint="eastAsia" w:ascii="宋体" w:hAnsi="宋体" w:cs="宋体"/>
          <w:sz w:val="21"/>
          <w:szCs w:val="21"/>
        </w:rPr>
      </w:pPr>
      <w:r>
        <w:rPr>
          <w:rFonts w:ascii="宋体" w:hAnsi="宋体" w:cs="仿宋_GB2312"/>
          <w:kern w:val="0"/>
          <w:sz w:val="21"/>
          <w:szCs w:val="21"/>
          <w:shd w:val="clear" w:color="auto" w:fill="FFFFFF"/>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72EC7F">
      <w:pPr>
        <w:widowControl/>
        <w:spacing w:before="100" w:beforeAutospacing="1" w:after="100" w:afterAutospacing="1" w:line="360" w:lineRule="auto"/>
        <w:ind w:firstLine="640"/>
        <w:jc w:val="left"/>
        <w:rPr>
          <w:rFonts w:hint="eastAsia" w:ascii="宋体" w:hAnsi="宋体" w:cs="宋体"/>
          <w:sz w:val="21"/>
          <w:szCs w:val="21"/>
        </w:rPr>
      </w:pPr>
      <w:r>
        <w:rPr>
          <w:rFonts w:ascii="宋体" w:hAnsi="宋体" w:cs="仿宋_GB2312"/>
          <w:kern w:val="0"/>
          <w:sz w:val="21"/>
          <w:szCs w:val="21"/>
          <w:shd w:val="clear" w:color="auto" w:fill="FFFFFF"/>
          <w:lang w:bidi="ar"/>
        </w:rPr>
        <w:t>3.质疑供应商若对项目的某一</w:t>
      </w:r>
      <w:r>
        <w:rPr>
          <w:rFonts w:hint="eastAsia" w:ascii="宋体" w:hAnsi="宋体" w:cs="仿宋_GB2312"/>
          <w:kern w:val="0"/>
          <w:sz w:val="21"/>
          <w:szCs w:val="21"/>
          <w:shd w:val="clear" w:color="auto" w:fill="FFFFFF"/>
          <w:lang w:bidi="ar"/>
        </w:rPr>
        <w:t>标项</w:t>
      </w:r>
      <w:r>
        <w:rPr>
          <w:rFonts w:ascii="宋体" w:hAnsi="宋体" w:cs="仿宋_GB2312"/>
          <w:kern w:val="0"/>
          <w:sz w:val="21"/>
          <w:szCs w:val="21"/>
          <w:shd w:val="clear" w:color="auto" w:fill="FFFFFF"/>
          <w:lang w:bidi="ar"/>
        </w:rPr>
        <w:t>进行质疑，质疑函中应列明具体</w:t>
      </w:r>
      <w:r>
        <w:rPr>
          <w:rFonts w:hint="eastAsia" w:ascii="宋体" w:hAnsi="宋体" w:cs="仿宋_GB2312"/>
          <w:kern w:val="0"/>
          <w:sz w:val="21"/>
          <w:szCs w:val="21"/>
          <w:shd w:val="clear" w:color="auto" w:fill="FFFFFF"/>
          <w:lang w:bidi="ar"/>
        </w:rPr>
        <w:t>标项</w:t>
      </w:r>
      <w:r>
        <w:rPr>
          <w:rFonts w:ascii="宋体" w:hAnsi="宋体" w:cs="仿宋_GB2312"/>
          <w:kern w:val="0"/>
          <w:sz w:val="21"/>
          <w:szCs w:val="21"/>
          <w:shd w:val="clear" w:color="auto" w:fill="FFFFFF"/>
          <w:lang w:bidi="ar"/>
        </w:rPr>
        <w:t>。</w:t>
      </w:r>
    </w:p>
    <w:p w14:paraId="30A7C10A">
      <w:pPr>
        <w:widowControl/>
        <w:spacing w:before="100" w:beforeAutospacing="1" w:after="100" w:afterAutospacing="1" w:line="360" w:lineRule="auto"/>
        <w:ind w:firstLine="640"/>
        <w:jc w:val="left"/>
        <w:rPr>
          <w:rFonts w:hint="eastAsia" w:ascii="宋体" w:hAnsi="宋体" w:cs="宋体"/>
          <w:sz w:val="21"/>
          <w:szCs w:val="21"/>
        </w:rPr>
      </w:pPr>
      <w:r>
        <w:rPr>
          <w:rFonts w:ascii="宋体" w:hAnsi="宋体" w:cs="仿宋_GB2312"/>
          <w:kern w:val="0"/>
          <w:sz w:val="21"/>
          <w:szCs w:val="21"/>
          <w:shd w:val="clear" w:color="auto" w:fill="FFFFFF"/>
          <w:lang w:bidi="ar"/>
        </w:rPr>
        <w:t>4.质疑函的质疑事项应具体、明确，并有必要的事实依据和法律依据。</w:t>
      </w:r>
    </w:p>
    <w:p w14:paraId="08F6C8EE">
      <w:pPr>
        <w:widowControl/>
        <w:spacing w:before="100" w:beforeAutospacing="1" w:after="100" w:afterAutospacing="1" w:line="360" w:lineRule="auto"/>
        <w:ind w:firstLine="640"/>
        <w:jc w:val="left"/>
        <w:outlineLvl w:val="9"/>
        <w:rPr>
          <w:rFonts w:hint="eastAsia" w:ascii="宋体" w:hAnsi="宋体" w:cs="宋体"/>
          <w:sz w:val="21"/>
          <w:szCs w:val="21"/>
        </w:rPr>
      </w:pPr>
      <w:bookmarkStart w:id="55" w:name="_Toc22477"/>
      <w:r>
        <w:rPr>
          <w:rFonts w:ascii="宋体" w:hAnsi="宋体" w:cs="仿宋_GB2312"/>
          <w:kern w:val="0"/>
          <w:sz w:val="21"/>
          <w:szCs w:val="21"/>
          <w:shd w:val="clear" w:color="auto" w:fill="FFFFFF"/>
          <w:lang w:bidi="ar"/>
        </w:rPr>
        <w:t>5.质疑函的质疑请求应与质疑事项相关。</w:t>
      </w:r>
      <w:bookmarkEnd w:id="55"/>
    </w:p>
    <w:p w14:paraId="26A6FF24">
      <w:pPr>
        <w:widowControl/>
        <w:spacing w:before="100" w:beforeAutospacing="1" w:after="100" w:afterAutospacing="1" w:line="360" w:lineRule="auto"/>
        <w:ind w:firstLine="640"/>
        <w:jc w:val="left"/>
        <w:rPr>
          <w:rFonts w:hint="eastAsia" w:ascii="宋体" w:hAnsi="宋体" w:cs="宋体"/>
          <w:sz w:val="21"/>
          <w:szCs w:val="21"/>
        </w:rPr>
      </w:pPr>
      <w:r>
        <w:rPr>
          <w:rFonts w:ascii="宋体" w:hAnsi="宋体" w:cs="仿宋_GB2312"/>
          <w:kern w:val="0"/>
          <w:sz w:val="21"/>
          <w:szCs w:val="21"/>
          <w:shd w:val="clear" w:color="auto" w:fill="FFFFFF"/>
          <w:lang w:bidi="ar"/>
        </w:rPr>
        <w:t>6.质疑供应商为自然人的，质疑函应由本人签字；质疑供应商为法人或者其他组织的，质疑函应由法定代表人、主要负责人，或者其授权代表签字或者盖章，并加盖公章。</w:t>
      </w:r>
    </w:p>
    <w:p w14:paraId="0480717D">
      <w:pPr>
        <w:widowControl/>
        <w:spacing w:before="100" w:beforeAutospacing="1" w:after="100" w:afterAutospacing="1" w:line="360" w:lineRule="auto"/>
        <w:ind w:firstLine="640"/>
        <w:jc w:val="left"/>
        <w:rPr>
          <w:rFonts w:hAnsi="宋体" w:cs="宋体"/>
          <w:szCs w:val="21"/>
        </w:rPr>
      </w:pPr>
    </w:p>
    <w:sectPr>
      <w:headerReference r:id="rId9" w:type="default"/>
      <w:footerReference r:id="rId10" w:type="default"/>
      <w:pgSz w:w="11906" w:h="16838"/>
      <w:pgMar w:top="992" w:right="1191" w:bottom="992" w:left="1191" w:header="992"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DDDEF">
    <w:pPr>
      <w:widowControl w:val="0"/>
      <w:snapToGrid w:val="0"/>
      <w:rPr>
        <w:rFonts w:ascii="Times New Roman" w:hAnsi="Times New Roman" w:eastAsia="宋体" w:cs="Times New Roman"/>
        <w:kern w:val="0"/>
        <w:sz w:val="18"/>
        <w:szCs w:val="21"/>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31502">
    <w:pPr>
      <w:pStyle w:val="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DEF19">
    <w:pPr>
      <w:widowControl w:val="0"/>
      <w:snapToGrid w:val="0"/>
      <w:rPr>
        <w:rFonts w:ascii="Times New Roman" w:hAnsi="Times New Roman" w:eastAsia="宋体" w:cs="Times New Roman"/>
        <w:kern w:val="0"/>
        <w:sz w:val="18"/>
        <w:szCs w:val="21"/>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E5804">
                          <w:pPr>
                            <w:pStyle w:val="2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5EE5804">
                    <w:pPr>
                      <w:pStyle w:val="2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58</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4E48C">
    <w:pPr>
      <w:pStyle w:val="20"/>
      <w:jc w:val="both"/>
      <w:rPr>
        <w:kern w:val="0"/>
        <w:szCs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5CDF6">
                          <w:pPr>
                            <w:pStyle w:val="20"/>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05CDF6">
                    <w:pPr>
                      <w:pStyle w:val="20"/>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58</w:t>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F250B8">
                          <w:pPr>
                            <w:pStyle w:val="20"/>
                            <w:rPr>
                              <w:rFonts w:ascii="宋体" w:hAnsi="宋体" w:cs="宋体"/>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8k+05AgAAcA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X8k+05AgAAcAQAAA4AAAAAAAAAAQAgAAAAHwEAAGRycy9lMm9Eb2Mu&#10;eG1sUEsFBgAAAAAGAAYAWQEAAMoFAAAAAA==&#10;">
              <v:fill on="f" focussize="0,0"/>
              <v:stroke on="f" weight="0.5pt"/>
              <v:imagedata o:title=""/>
              <o:lock v:ext="edit" aspectratio="f"/>
              <v:textbox inset="0mm,0mm,0mm,0mm" style="mso-fit-shape-to-text:t;">
                <w:txbxContent>
                  <w:p w14:paraId="1DF250B8">
                    <w:pPr>
                      <w:pStyle w:val="20"/>
                      <w:rPr>
                        <w:rFonts w:ascii="宋体" w:hAnsi="宋体" w:cs="宋体"/>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7416A">
    <w:pPr>
      <w:widowControl w:val="0"/>
      <w:pBdr>
        <w:bottom w:val="none" w:color="auto" w:sz="0" w:space="1"/>
      </w:pBdr>
      <w:snapToGrid w:val="0"/>
      <w:jc w:val="both"/>
      <w:rPr>
        <w:rFonts w:hint="eastAsia" w:ascii="宋体" w:hAnsi="宋体" w:eastAsia="宋体" w:cs="宋体"/>
        <w:kern w:val="0"/>
        <w:sz w:val="18"/>
        <w:szCs w:val="18"/>
        <w:u w:val="single"/>
        <w:lang w:val="en-US" w:eastAsia="zh-CN" w:bidi="ar-SA"/>
      </w:rPr>
    </w:pPr>
    <w:r>
      <w:rPr>
        <w:rFonts w:hint="eastAsia" w:ascii="宋体"/>
        <w:u w:val="single"/>
      </w:rPr>
      <w:drawing>
        <wp:inline distT="0" distB="0" distL="114300" distR="114300">
          <wp:extent cx="1602105" cy="293370"/>
          <wp:effectExtent l="0" t="0" r="13335" b="11430"/>
          <wp:docPr id="50"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 descr="图片1"/>
                  <pic:cNvPicPr>
                    <a:picLocks noChangeAspect="1"/>
                  </pic:cNvPicPr>
                </pic:nvPicPr>
                <pic:blipFill>
                  <a:blip r:embed="rId1"/>
                  <a:stretch>
                    <a:fillRect/>
                  </a:stretch>
                </pic:blipFill>
                <pic:spPr>
                  <a:xfrm>
                    <a:off x="0" y="0"/>
                    <a:ext cx="1602105" cy="293370"/>
                  </a:xfrm>
                  <a:prstGeom prst="rect">
                    <a:avLst/>
                  </a:prstGeom>
                  <a:noFill/>
                  <a:ln>
                    <a:noFill/>
                  </a:ln>
                </pic:spPr>
              </pic:pic>
            </a:graphicData>
          </a:graphic>
        </wp:inline>
      </w:drawing>
    </w:r>
    <w:r>
      <w:rPr>
        <w:rFonts w:hint="eastAsia" w:ascii="宋体"/>
        <w:u w:val="single"/>
      </w:rPr>
      <w:t xml:space="preserve"> </w:t>
    </w:r>
    <w:r>
      <w:rPr>
        <w:rFonts w:hint="eastAsia" w:ascii="宋体"/>
        <w:u w:val="single"/>
        <w:lang w:val="en-US" w:eastAsia="zh-CN"/>
      </w:rPr>
      <w:t xml:space="preserve">                 </w:t>
    </w:r>
    <w:r>
      <w:rPr>
        <w:rFonts w:hint="eastAsia" w:ascii="宋体"/>
        <w:sz w:val="18"/>
        <w:szCs w:val="18"/>
        <w:u w:val="single"/>
        <w:lang w:val="en-US" w:eastAsia="zh-CN"/>
      </w:rPr>
      <w:t xml:space="preserve">  岱山县数据服务中心应用系统国产化适配改造项目（标段一）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6C9E6">
    <w:pPr>
      <w:widowControl w:val="0"/>
      <w:pBdr>
        <w:bottom w:val="none" w:color="auto" w:sz="0" w:space="1"/>
      </w:pBdr>
      <w:snapToGrid w:val="0"/>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F89C0">
    <w:pPr>
      <w:widowControl w:val="0"/>
      <w:pBdr>
        <w:bottom w:val="none" w:color="auto" w:sz="0" w:space="1"/>
      </w:pBdr>
      <w:snapToGrid w:val="0"/>
      <w:jc w:val="both"/>
      <w:rPr>
        <w:rFonts w:hint="eastAsia" w:eastAsia="宋体"/>
        <w:u w:val="single"/>
        <w:lang w:eastAsia="zh-CN"/>
      </w:rPr>
    </w:pPr>
    <w:r>
      <w:rPr>
        <w:rFonts w:hint="eastAsia" w:ascii="宋体"/>
        <w:u w:val="single"/>
      </w:rPr>
      <w:drawing>
        <wp:inline distT="0" distB="0" distL="114300" distR="114300">
          <wp:extent cx="1602105" cy="293370"/>
          <wp:effectExtent l="0" t="0" r="13335" b="11430"/>
          <wp:docPr id="48" name="图片 1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2" descr="图片1"/>
                  <pic:cNvPicPr>
                    <a:picLocks noChangeAspect="1"/>
                  </pic:cNvPicPr>
                </pic:nvPicPr>
                <pic:blipFill>
                  <a:blip r:embed="rId1"/>
                  <a:stretch>
                    <a:fillRect/>
                  </a:stretch>
                </pic:blipFill>
                <pic:spPr>
                  <a:xfrm>
                    <a:off x="0" y="0"/>
                    <a:ext cx="1602105" cy="293370"/>
                  </a:xfrm>
                  <a:prstGeom prst="rect">
                    <a:avLst/>
                  </a:prstGeom>
                  <a:noFill/>
                  <a:ln>
                    <a:noFill/>
                  </a:ln>
                </pic:spPr>
              </pic:pic>
            </a:graphicData>
          </a:graphic>
        </wp:inline>
      </w:drawing>
    </w:r>
    <w:r>
      <w:rPr>
        <w:rFonts w:hint="eastAsia" w:ascii="宋体"/>
        <w:u w:val="single"/>
        <w:lang w:val="en-US" w:eastAsia="zh-CN"/>
      </w:rPr>
      <w:t xml:space="preserve">  </w:t>
    </w:r>
    <w:r>
      <w:rPr>
        <w:rFonts w:hint="eastAsia" w:ascii="宋体"/>
        <w:u w:val="single"/>
        <w:lang w:eastAsia="zh-CN"/>
      </w:rPr>
      <w:t>岱山县数据服务中心应用系统国产化适配改造项目标段一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99D5">
    <w:pPr>
      <w:pStyle w:val="22"/>
      <w:jc w:val="both"/>
      <w:rPr>
        <w:rFonts w:ascii="宋体"/>
      </w:rPr>
    </w:pPr>
    <w:r>
      <w:rPr>
        <w:rFonts w:ascii="宋体"/>
      </w:rPr>
      <w:drawing>
        <wp:inline distT="0" distB="0" distL="114300" distR="114300">
          <wp:extent cx="1609725" cy="295275"/>
          <wp:effectExtent l="0" t="0" r="5715" b="9525"/>
          <wp:docPr id="4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8"/>
                  <pic:cNvPicPr>
                    <a:picLocks noChangeAspect="1"/>
                  </pic:cNvPicPr>
                </pic:nvPicPr>
                <pic:blipFill>
                  <a:blip r:embed="rId1"/>
                  <a:stretch>
                    <a:fillRect/>
                  </a:stretch>
                </pic:blipFill>
                <pic:spPr>
                  <a:xfrm>
                    <a:off x="0" y="0"/>
                    <a:ext cx="1609725" cy="295275"/>
                  </a:xfrm>
                  <a:prstGeom prst="rect">
                    <a:avLst/>
                  </a:prstGeom>
                  <a:noFill/>
                  <a:ln>
                    <a:noFill/>
                  </a:ln>
                </pic:spPr>
              </pic:pic>
            </a:graphicData>
          </a:graphic>
        </wp:inline>
      </w:drawing>
    </w:r>
    <w:r>
      <w:rPr>
        <w:rFonts w:hint="eastAsia" w:ascii="宋体"/>
      </w:rPr>
      <w:t xml:space="preserve">  </w:t>
    </w:r>
    <w:r>
      <w:rPr>
        <w:rFonts w:hint="eastAsia" w:ascii="宋体"/>
        <w:lang w:val="en-US" w:eastAsia="zh-CN"/>
      </w:rPr>
      <w:t xml:space="preserve">  </w:t>
    </w:r>
    <w:r>
      <w:rPr>
        <w:rFonts w:hint="eastAsia" w:ascii="宋体"/>
      </w:rPr>
      <w:t xml:space="preserve"> </w:t>
    </w:r>
    <w:r>
      <w:rPr>
        <w:rFonts w:hint="eastAsia" w:ascii="宋体"/>
        <w:lang w:val="en-US" w:eastAsia="zh-CN"/>
      </w:rPr>
      <w:t xml:space="preserve">                   岱山县数据服务中心应用系统国产化适配改造项目（标段一）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4DE15"/>
    <w:multiLevelType w:val="singleLevel"/>
    <w:tmpl w:val="0C34DE15"/>
    <w:lvl w:ilvl="0" w:tentative="0">
      <w:start w:val="1"/>
      <w:numFmt w:val="decimal"/>
      <w:lvlText w:val="%1."/>
      <w:lvlJc w:val="left"/>
      <w:pPr>
        <w:tabs>
          <w:tab w:val="left" w:pos="312"/>
        </w:tabs>
      </w:pPr>
    </w:lvl>
  </w:abstractNum>
  <w:abstractNum w:abstractNumId="1">
    <w:nsid w:val="225A8346"/>
    <w:multiLevelType w:val="singleLevel"/>
    <w:tmpl w:val="225A8346"/>
    <w:lvl w:ilvl="0" w:tentative="0">
      <w:start w:val="1"/>
      <w:numFmt w:val="decimal"/>
      <w:lvlText w:val="%1."/>
      <w:lvlJc w:val="left"/>
      <w:pPr>
        <w:tabs>
          <w:tab w:val="left" w:pos="312"/>
        </w:tabs>
      </w:pPr>
    </w:lvl>
  </w:abstractNum>
  <w:abstractNum w:abstractNumId="2">
    <w:nsid w:val="4DD4552D"/>
    <w:multiLevelType w:val="singleLevel"/>
    <w:tmpl w:val="4DD4552D"/>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YjViNWZkMmJiZTk3YWExNjhhNDAwMDYxODE3YjMifQ=="/>
  </w:docVars>
  <w:rsids>
    <w:rsidRoot w:val="00172A27"/>
    <w:rsid w:val="000005EE"/>
    <w:rsid w:val="000008AE"/>
    <w:rsid w:val="00000DA0"/>
    <w:rsid w:val="0000107B"/>
    <w:rsid w:val="00001255"/>
    <w:rsid w:val="00001351"/>
    <w:rsid w:val="00001616"/>
    <w:rsid w:val="00002240"/>
    <w:rsid w:val="0000249F"/>
    <w:rsid w:val="000036AE"/>
    <w:rsid w:val="000053DD"/>
    <w:rsid w:val="000067D2"/>
    <w:rsid w:val="00006CD5"/>
    <w:rsid w:val="00010275"/>
    <w:rsid w:val="00011F5B"/>
    <w:rsid w:val="0001227F"/>
    <w:rsid w:val="00012FC0"/>
    <w:rsid w:val="000131FB"/>
    <w:rsid w:val="00013905"/>
    <w:rsid w:val="00013F7B"/>
    <w:rsid w:val="000148CF"/>
    <w:rsid w:val="000150F2"/>
    <w:rsid w:val="00015267"/>
    <w:rsid w:val="00015B00"/>
    <w:rsid w:val="000161B6"/>
    <w:rsid w:val="00017CCA"/>
    <w:rsid w:val="00020487"/>
    <w:rsid w:val="00021229"/>
    <w:rsid w:val="00021CDE"/>
    <w:rsid w:val="00021CF2"/>
    <w:rsid w:val="000225BC"/>
    <w:rsid w:val="00022EFA"/>
    <w:rsid w:val="00023C49"/>
    <w:rsid w:val="00023E4C"/>
    <w:rsid w:val="0002452C"/>
    <w:rsid w:val="000260AD"/>
    <w:rsid w:val="00026224"/>
    <w:rsid w:val="000265C2"/>
    <w:rsid w:val="00026CC2"/>
    <w:rsid w:val="000273C7"/>
    <w:rsid w:val="00027CC8"/>
    <w:rsid w:val="00027CEC"/>
    <w:rsid w:val="00027D38"/>
    <w:rsid w:val="000303E1"/>
    <w:rsid w:val="00030AD8"/>
    <w:rsid w:val="000317CA"/>
    <w:rsid w:val="0003181C"/>
    <w:rsid w:val="00032134"/>
    <w:rsid w:val="000325CE"/>
    <w:rsid w:val="0003329B"/>
    <w:rsid w:val="00033641"/>
    <w:rsid w:val="00034D19"/>
    <w:rsid w:val="0003660B"/>
    <w:rsid w:val="000369D2"/>
    <w:rsid w:val="00037EE2"/>
    <w:rsid w:val="000407B3"/>
    <w:rsid w:val="0004111B"/>
    <w:rsid w:val="000415B1"/>
    <w:rsid w:val="00041BE4"/>
    <w:rsid w:val="0004279E"/>
    <w:rsid w:val="0004335D"/>
    <w:rsid w:val="00043AC8"/>
    <w:rsid w:val="00044AE2"/>
    <w:rsid w:val="00044B3F"/>
    <w:rsid w:val="00045883"/>
    <w:rsid w:val="00046374"/>
    <w:rsid w:val="00047114"/>
    <w:rsid w:val="0005095B"/>
    <w:rsid w:val="00050DEE"/>
    <w:rsid w:val="000516E3"/>
    <w:rsid w:val="00051B80"/>
    <w:rsid w:val="00052F70"/>
    <w:rsid w:val="00053F58"/>
    <w:rsid w:val="0005415C"/>
    <w:rsid w:val="00055835"/>
    <w:rsid w:val="000559BB"/>
    <w:rsid w:val="00055B9A"/>
    <w:rsid w:val="00055C01"/>
    <w:rsid w:val="00055DD9"/>
    <w:rsid w:val="000566FC"/>
    <w:rsid w:val="00056C53"/>
    <w:rsid w:val="00057A16"/>
    <w:rsid w:val="000601BC"/>
    <w:rsid w:val="0006107F"/>
    <w:rsid w:val="000616FF"/>
    <w:rsid w:val="00061AE1"/>
    <w:rsid w:val="00061B2C"/>
    <w:rsid w:val="00063583"/>
    <w:rsid w:val="00064447"/>
    <w:rsid w:val="00064E63"/>
    <w:rsid w:val="00065112"/>
    <w:rsid w:val="00065300"/>
    <w:rsid w:val="0006586E"/>
    <w:rsid w:val="00065C18"/>
    <w:rsid w:val="00066224"/>
    <w:rsid w:val="000668F7"/>
    <w:rsid w:val="00067BAD"/>
    <w:rsid w:val="00070E4F"/>
    <w:rsid w:val="00070F6C"/>
    <w:rsid w:val="0007335F"/>
    <w:rsid w:val="0007342A"/>
    <w:rsid w:val="000735C6"/>
    <w:rsid w:val="00074E0B"/>
    <w:rsid w:val="00074E62"/>
    <w:rsid w:val="00074FAC"/>
    <w:rsid w:val="00075588"/>
    <w:rsid w:val="0007669B"/>
    <w:rsid w:val="00076754"/>
    <w:rsid w:val="00077129"/>
    <w:rsid w:val="00077441"/>
    <w:rsid w:val="000779FD"/>
    <w:rsid w:val="0008040C"/>
    <w:rsid w:val="00080D08"/>
    <w:rsid w:val="00081A6F"/>
    <w:rsid w:val="00081C6F"/>
    <w:rsid w:val="00083162"/>
    <w:rsid w:val="000839AD"/>
    <w:rsid w:val="00083C5C"/>
    <w:rsid w:val="00085105"/>
    <w:rsid w:val="00086507"/>
    <w:rsid w:val="00086933"/>
    <w:rsid w:val="00086EEC"/>
    <w:rsid w:val="00087E11"/>
    <w:rsid w:val="00090784"/>
    <w:rsid w:val="00090FBB"/>
    <w:rsid w:val="000911CB"/>
    <w:rsid w:val="00091498"/>
    <w:rsid w:val="00091A59"/>
    <w:rsid w:val="00091E8E"/>
    <w:rsid w:val="0009261A"/>
    <w:rsid w:val="0009323A"/>
    <w:rsid w:val="00094603"/>
    <w:rsid w:val="00094871"/>
    <w:rsid w:val="0009595D"/>
    <w:rsid w:val="00096762"/>
    <w:rsid w:val="00096E45"/>
    <w:rsid w:val="00096F0A"/>
    <w:rsid w:val="00097D22"/>
    <w:rsid w:val="00097F86"/>
    <w:rsid w:val="000A0344"/>
    <w:rsid w:val="000A0956"/>
    <w:rsid w:val="000A0D2D"/>
    <w:rsid w:val="000A147D"/>
    <w:rsid w:val="000A258D"/>
    <w:rsid w:val="000A2631"/>
    <w:rsid w:val="000A4033"/>
    <w:rsid w:val="000A40BB"/>
    <w:rsid w:val="000A4221"/>
    <w:rsid w:val="000A4912"/>
    <w:rsid w:val="000A4A6F"/>
    <w:rsid w:val="000A4C96"/>
    <w:rsid w:val="000A566A"/>
    <w:rsid w:val="000A59AD"/>
    <w:rsid w:val="000A693E"/>
    <w:rsid w:val="000A7611"/>
    <w:rsid w:val="000B063F"/>
    <w:rsid w:val="000B1196"/>
    <w:rsid w:val="000B123C"/>
    <w:rsid w:val="000B1E98"/>
    <w:rsid w:val="000B28DB"/>
    <w:rsid w:val="000B2A5F"/>
    <w:rsid w:val="000B2EA7"/>
    <w:rsid w:val="000B4009"/>
    <w:rsid w:val="000B46A2"/>
    <w:rsid w:val="000B4C39"/>
    <w:rsid w:val="000B4DD5"/>
    <w:rsid w:val="000B7447"/>
    <w:rsid w:val="000B7738"/>
    <w:rsid w:val="000C021F"/>
    <w:rsid w:val="000C0E70"/>
    <w:rsid w:val="000C16D6"/>
    <w:rsid w:val="000C1DC6"/>
    <w:rsid w:val="000C235C"/>
    <w:rsid w:val="000C4808"/>
    <w:rsid w:val="000C48DE"/>
    <w:rsid w:val="000C4B01"/>
    <w:rsid w:val="000C5A51"/>
    <w:rsid w:val="000C752F"/>
    <w:rsid w:val="000C783F"/>
    <w:rsid w:val="000C7CF8"/>
    <w:rsid w:val="000D130E"/>
    <w:rsid w:val="000D1459"/>
    <w:rsid w:val="000D1936"/>
    <w:rsid w:val="000D1AA4"/>
    <w:rsid w:val="000D1DF0"/>
    <w:rsid w:val="000D291A"/>
    <w:rsid w:val="000D2B33"/>
    <w:rsid w:val="000D32EC"/>
    <w:rsid w:val="000D33F2"/>
    <w:rsid w:val="000D3438"/>
    <w:rsid w:val="000D3A03"/>
    <w:rsid w:val="000D4477"/>
    <w:rsid w:val="000D5E43"/>
    <w:rsid w:val="000D750F"/>
    <w:rsid w:val="000D79EB"/>
    <w:rsid w:val="000D7AF8"/>
    <w:rsid w:val="000D7E24"/>
    <w:rsid w:val="000E028B"/>
    <w:rsid w:val="000E02F2"/>
    <w:rsid w:val="000E1E85"/>
    <w:rsid w:val="000E2837"/>
    <w:rsid w:val="000E2BC0"/>
    <w:rsid w:val="000E3EEF"/>
    <w:rsid w:val="000E416C"/>
    <w:rsid w:val="000E56DE"/>
    <w:rsid w:val="000E5CD2"/>
    <w:rsid w:val="000E706B"/>
    <w:rsid w:val="000F02E6"/>
    <w:rsid w:val="000F0550"/>
    <w:rsid w:val="000F1074"/>
    <w:rsid w:val="000F13AF"/>
    <w:rsid w:val="000F2A94"/>
    <w:rsid w:val="000F2E5E"/>
    <w:rsid w:val="000F421C"/>
    <w:rsid w:val="000F4838"/>
    <w:rsid w:val="000F4C37"/>
    <w:rsid w:val="000F4F94"/>
    <w:rsid w:val="000F55ED"/>
    <w:rsid w:val="000F5680"/>
    <w:rsid w:val="000F5897"/>
    <w:rsid w:val="000F6027"/>
    <w:rsid w:val="000F6E50"/>
    <w:rsid w:val="000F7AF0"/>
    <w:rsid w:val="001007C1"/>
    <w:rsid w:val="00101001"/>
    <w:rsid w:val="00101417"/>
    <w:rsid w:val="001025CC"/>
    <w:rsid w:val="00102CD6"/>
    <w:rsid w:val="00103EDC"/>
    <w:rsid w:val="00103FBC"/>
    <w:rsid w:val="00105C54"/>
    <w:rsid w:val="001062C4"/>
    <w:rsid w:val="0010669E"/>
    <w:rsid w:val="00107048"/>
    <w:rsid w:val="0010765D"/>
    <w:rsid w:val="00107E23"/>
    <w:rsid w:val="00110878"/>
    <w:rsid w:val="00111204"/>
    <w:rsid w:val="001113A5"/>
    <w:rsid w:val="00111D5D"/>
    <w:rsid w:val="00112791"/>
    <w:rsid w:val="0011355D"/>
    <w:rsid w:val="0011384C"/>
    <w:rsid w:val="0011396E"/>
    <w:rsid w:val="00113E4C"/>
    <w:rsid w:val="00113FC6"/>
    <w:rsid w:val="0011495F"/>
    <w:rsid w:val="00115E32"/>
    <w:rsid w:val="0011602B"/>
    <w:rsid w:val="00116541"/>
    <w:rsid w:val="001172A3"/>
    <w:rsid w:val="00120EEE"/>
    <w:rsid w:val="00120F3A"/>
    <w:rsid w:val="00121115"/>
    <w:rsid w:val="001223A0"/>
    <w:rsid w:val="001223F9"/>
    <w:rsid w:val="00122D30"/>
    <w:rsid w:val="00122D3E"/>
    <w:rsid w:val="00123169"/>
    <w:rsid w:val="001232C5"/>
    <w:rsid w:val="00124AFE"/>
    <w:rsid w:val="00124EF7"/>
    <w:rsid w:val="001258CD"/>
    <w:rsid w:val="00125A10"/>
    <w:rsid w:val="00126051"/>
    <w:rsid w:val="0012621D"/>
    <w:rsid w:val="001266A1"/>
    <w:rsid w:val="00126F03"/>
    <w:rsid w:val="0012782B"/>
    <w:rsid w:val="00130A55"/>
    <w:rsid w:val="00131683"/>
    <w:rsid w:val="00131B3F"/>
    <w:rsid w:val="00132E4D"/>
    <w:rsid w:val="00133D3A"/>
    <w:rsid w:val="00133F40"/>
    <w:rsid w:val="00135C96"/>
    <w:rsid w:val="00136020"/>
    <w:rsid w:val="001363C1"/>
    <w:rsid w:val="001375A8"/>
    <w:rsid w:val="00140ECD"/>
    <w:rsid w:val="00141886"/>
    <w:rsid w:val="00143FF7"/>
    <w:rsid w:val="00145C0D"/>
    <w:rsid w:val="001464CC"/>
    <w:rsid w:val="00146B1C"/>
    <w:rsid w:val="00150017"/>
    <w:rsid w:val="001504B3"/>
    <w:rsid w:val="0015086E"/>
    <w:rsid w:val="00150F5B"/>
    <w:rsid w:val="00150FD2"/>
    <w:rsid w:val="001517FA"/>
    <w:rsid w:val="001526CD"/>
    <w:rsid w:val="0015311C"/>
    <w:rsid w:val="001538AB"/>
    <w:rsid w:val="00153ACA"/>
    <w:rsid w:val="001543EB"/>
    <w:rsid w:val="0015506F"/>
    <w:rsid w:val="00155A65"/>
    <w:rsid w:val="00155F0F"/>
    <w:rsid w:val="0015624B"/>
    <w:rsid w:val="00156900"/>
    <w:rsid w:val="00156A4F"/>
    <w:rsid w:val="00156A6A"/>
    <w:rsid w:val="00156AD8"/>
    <w:rsid w:val="00156B04"/>
    <w:rsid w:val="00157751"/>
    <w:rsid w:val="00157978"/>
    <w:rsid w:val="0016017E"/>
    <w:rsid w:val="00160802"/>
    <w:rsid w:val="001621E5"/>
    <w:rsid w:val="00163495"/>
    <w:rsid w:val="00163779"/>
    <w:rsid w:val="0016455C"/>
    <w:rsid w:val="00165846"/>
    <w:rsid w:val="00165BBD"/>
    <w:rsid w:val="00165C2B"/>
    <w:rsid w:val="00166238"/>
    <w:rsid w:val="001670C9"/>
    <w:rsid w:val="00167C19"/>
    <w:rsid w:val="00170FBD"/>
    <w:rsid w:val="00170FE9"/>
    <w:rsid w:val="001716ED"/>
    <w:rsid w:val="0017193F"/>
    <w:rsid w:val="00171CB7"/>
    <w:rsid w:val="00171E07"/>
    <w:rsid w:val="00171E68"/>
    <w:rsid w:val="00172A27"/>
    <w:rsid w:val="00172AB0"/>
    <w:rsid w:val="00172EC3"/>
    <w:rsid w:val="00173114"/>
    <w:rsid w:val="00174BF0"/>
    <w:rsid w:val="00174CD8"/>
    <w:rsid w:val="001756D5"/>
    <w:rsid w:val="00175E3B"/>
    <w:rsid w:val="001766C9"/>
    <w:rsid w:val="001777BF"/>
    <w:rsid w:val="0018014D"/>
    <w:rsid w:val="00180445"/>
    <w:rsid w:val="001811B0"/>
    <w:rsid w:val="00181604"/>
    <w:rsid w:val="0018175C"/>
    <w:rsid w:val="001822EE"/>
    <w:rsid w:val="00182414"/>
    <w:rsid w:val="001839A5"/>
    <w:rsid w:val="00183DFE"/>
    <w:rsid w:val="0018435A"/>
    <w:rsid w:val="00186E86"/>
    <w:rsid w:val="00190338"/>
    <w:rsid w:val="00191A11"/>
    <w:rsid w:val="00191BAF"/>
    <w:rsid w:val="00193AF0"/>
    <w:rsid w:val="00193D77"/>
    <w:rsid w:val="00194057"/>
    <w:rsid w:val="00196D89"/>
    <w:rsid w:val="00196E1C"/>
    <w:rsid w:val="00197723"/>
    <w:rsid w:val="001A06DA"/>
    <w:rsid w:val="001A0C59"/>
    <w:rsid w:val="001A0CC2"/>
    <w:rsid w:val="001A0D8E"/>
    <w:rsid w:val="001A11C6"/>
    <w:rsid w:val="001A12B0"/>
    <w:rsid w:val="001A174D"/>
    <w:rsid w:val="001A1A69"/>
    <w:rsid w:val="001A26B9"/>
    <w:rsid w:val="001A2735"/>
    <w:rsid w:val="001A390E"/>
    <w:rsid w:val="001A475F"/>
    <w:rsid w:val="001A4ED4"/>
    <w:rsid w:val="001A5A17"/>
    <w:rsid w:val="001A6013"/>
    <w:rsid w:val="001A60CD"/>
    <w:rsid w:val="001A6EE2"/>
    <w:rsid w:val="001A7817"/>
    <w:rsid w:val="001B0139"/>
    <w:rsid w:val="001B0528"/>
    <w:rsid w:val="001B1FF0"/>
    <w:rsid w:val="001B3018"/>
    <w:rsid w:val="001B37FC"/>
    <w:rsid w:val="001B3C2A"/>
    <w:rsid w:val="001B3E80"/>
    <w:rsid w:val="001B4C31"/>
    <w:rsid w:val="001B4EE8"/>
    <w:rsid w:val="001B5DD2"/>
    <w:rsid w:val="001B614D"/>
    <w:rsid w:val="001B6AB2"/>
    <w:rsid w:val="001B700B"/>
    <w:rsid w:val="001C0AE0"/>
    <w:rsid w:val="001C10E7"/>
    <w:rsid w:val="001C1A4D"/>
    <w:rsid w:val="001C2753"/>
    <w:rsid w:val="001C2C2A"/>
    <w:rsid w:val="001C2C3B"/>
    <w:rsid w:val="001C3751"/>
    <w:rsid w:val="001C39CD"/>
    <w:rsid w:val="001C4002"/>
    <w:rsid w:val="001C44E0"/>
    <w:rsid w:val="001C45A6"/>
    <w:rsid w:val="001C46EA"/>
    <w:rsid w:val="001C57FE"/>
    <w:rsid w:val="001C62BD"/>
    <w:rsid w:val="001C6CAA"/>
    <w:rsid w:val="001C70C0"/>
    <w:rsid w:val="001C7CDF"/>
    <w:rsid w:val="001D063F"/>
    <w:rsid w:val="001D158D"/>
    <w:rsid w:val="001D1953"/>
    <w:rsid w:val="001D1C72"/>
    <w:rsid w:val="001D308A"/>
    <w:rsid w:val="001D34F9"/>
    <w:rsid w:val="001D35AA"/>
    <w:rsid w:val="001D3792"/>
    <w:rsid w:val="001D39A1"/>
    <w:rsid w:val="001D3E41"/>
    <w:rsid w:val="001D4145"/>
    <w:rsid w:val="001D5538"/>
    <w:rsid w:val="001D6CC5"/>
    <w:rsid w:val="001D75C1"/>
    <w:rsid w:val="001D7B49"/>
    <w:rsid w:val="001D7BAA"/>
    <w:rsid w:val="001D7BB5"/>
    <w:rsid w:val="001E1A83"/>
    <w:rsid w:val="001E1E4B"/>
    <w:rsid w:val="001E27F2"/>
    <w:rsid w:val="001E2A03"/>
    <w:rsid w:val="001E4836"/>
    <w:rsid w:val="001E489E"/>
    <w:rsid w:val="001E4DD3"/>
    <w:rsid w:val="001E6C80"/>
    <w:rsid w:val="001E6F65"/>
    <w:rsid w:val="001E72E4"/>
    <w:rsid w:val="001E77DC"/>
    <w:rsid w:val="001F1468"/>
    <w:rsid w:val="001F2288"/>
    <w:rsid w:val="001F2C36"/>
    <w:rsid w:val="001F2E29"/>
    <w:rsid w:val="001F32E1"/>
    <w:rsid w:val="001F5049"/>
    <w:rsid w:val="001F57E8"/>
    <w:rsid w:val="001F73E3"/>
    <w:rsid w:val="00200B8A"/>
    <w:rsid w:val="00202BAD"/>
    <w:rsid w:val="002033B0"/>
    <w:rsid w:val="00203813"/>
    <w:rsid w:val="00203CBD"/>
    <w:rsid w:val="00204173"/>
    <w:rsid w:val="00204175"/>
    <w:rsid w:val="002041FA"/>
    <w:rsid w:val="00204255"/>
    <w:rsid w:val="00204E0B"/>
    <w:rsid w:val="0020572E"/>
    <w:rsid w:val="002074C7"/>
    <w:rsid w:val="002076B2"/>
    <w:rsid w:val="002077D4"/>
    <w:rsid w:val="00210917"/>
    <w:rsid w:val="002109CC"/>
    <w:rsid w:val="00210A2F"/>
    <w:rsid w:val="00210C93"/>
    <w:rsid w:val="00210FF5"/>
    <w:rsid w:val="00211F2E"/>
    <w:rsid w:val="002121FB"/>
    <w:rsid w:val="002131E2"/>
    <w:rsid w:val="002132F3"/>
    <w:rsid w:val="00213854"/>
    <w:rsid w:val="0021389D"/>
    <w:rsid w:val="00215118"/>
    <w:rsid w:val="00215256"/>
    <w:rsid w:val="002153EE"/>
    <w:rsid w:val="00215753"/>
    <w:rsid w:val="00216140"/>
    <w:rsid w:val="00217077"/>
    <w:rsid w:val="00217D2C"/>
    <w:rsid w:val="00220417"/>
    <w:rsid w:val="002214F8"/>
    <w:rsid w:val="002219DE"/>
    <w:rsid w:val="00221E2B"/>
    <w:rsid w:val="00222143"/>
    <w:rsid w:val="00222549"/>
    <w:rsid w:val="0022331B"/>
    <w:rsid w:val="002234D2"/>
    <w:rsid w:val="00223D20"/>
    <w:rsid w:val="002245E7"/>
    <w:rsid w:val="00225ED0"/>
    <w:rsid w:val="00232FE0"/>
    <w:rsid w:val="0023309C"/>
    <w:rsid w:val="0023434B"/>
    <w:rsid w:val="0023487B"/>
    <w:rsid w:val="00234B90"/>
    <w:rsid w:val="00234DDF"/>
    <w:rsid w:val="00235302"/>
    <w:rsid w:val="0023545C"/>
    <w:rsid w:val="00235928"/>
    <w:rsid w:val="0023667C"/>
    <w:rsid w:val="002367A2"/>
    <w:rsid w:val="00236B19"/>
    <w:rsid w:val="00236D74"/>
    <w:rsid w:val="00237206"/>
    <w:rsid w:val="00237F8B"/>
    <w:rsid w:val="00237FF3"/>
    <w:rsid w:val="0024050C"/>
    <w:rsid w:val="002416B2"/>
    <w:rsid w:val="00242A57"/>
    <w:rsid w:val="002458CA"/>
    <w:rsid w:val="00245F3C"/>
    <w:rsid w:val="0024774E"/>
    <w:rsid w:val="00247806"/>
    <w:rsid w:val="002478C0"/>
    <w:rsid w:val="00247A3F"/>
    <w:rsid w:val="00247CD9"/>
    <w:rsid w:val="00250461"/>
    <w:rsid w:val="002509F6"/>
    <w:rsid w:val="00252F64"/>
    <w:rsid w:val="002549ED"/>
    <w:rsid w:val="00254A27"/>
    <w:rsid w:val="00254C17"/>
    <w:rsid w:val="00255555"/>
    <w:rsid w:val="00255BF9"/>
    <w:rsid w:val="00256489"/>
    <w:rsid w:val="0025677D"/>
    <w:rsid w:val="00256852"/>
    <w:rsid w:val="002570A7"/>
    <w:rsid w:val="00257583"/>
    <w:rsid w:val="00257B9B"/>
    <w:rsid w:val="00257C06"/>
    <w:rsid w:val="002600B8"/>
    <w:rsid w:val="00260567"/>
    <w:rsid w:val="002613F0"/>
    <w:rsid w:val="0026184C"/>
    <w:rsid w:val="00262C3E"/>
    <w:rsid w:val="00263D21"/>
    <w:rsid w:val="00265BF6"/>
    <w:rsid w:val="00266371"/>
    <w:rsid w:val="00267758"/>
    <w:rsid w:val="00267846"/>
    <w:rsid w:val="00267917"/>
    <w:rsid w:val="00270ABA"/>
    <w:rsid w:val="00270AC8"/>
    <w:rsid w:val="00270BEF"/>
    <w:rsid w:val="00270CDA"/>
    <w:rsid w:val="00271361"/>
    <w:rsid w:val="00272DBA"/>
    <w:rsid w:val="00273D91"/>
    <w:rsid w:val="0027448C"/>
    <w:rsid w:val="00275801"/>
    <w:rsid w:val="00276E33"/>
    <w:rsid w:val="00276E78"/>
    <w:rsid w:val="002772A6"/>
    <w:rsid w:val="00277869"/>
    <w:rsid w:val="00277FAD"/>
    <w:rsid w:val="00280E3D"/>
    <w:rsid w:val="00281426"/>
    <w:rsid w:val="00282A91"/>
    <w:rsid w:val="00282EDB"/>
    <w:rsid w:val="0028316F"/>
    <w:rsid w:val="002839B4"/>
    <w:rsid w:val="00284A1F"/>
    <w:rsid w:val="00284B14"/>
    <w:rsid w:val="002855A8"/>
    <w:rsid w:val="002858CB"/>
    <w:rsid w:val="00285AFE"/>
    <w:rsid w:val="00285F68"/>
    <w:rsid w:val="002865E2"/>
    <w:rsid w:val="00287327"/>
    <w:rsid w:val="00287CC0"/>
    <w:rsid w:val="00287D61"/>
    <w:rsid w:val="00287F07"/>
    <w:rsid w:val="0029021B"/>
    <w:rsid w:val="00290724"/>
    <w:rsid w:val="00290767"/>
    <w:rsid w:val="00291273"/>
    <w:rsid w:val="0029289B"/>
    <w:rsid w:val="002935DA"/>
    <w:rsid w:val="00293BB4"/>
    <w:rsid w:val="00294734"/>
    <w:rsid w:val="00294C4F"/>
    <w:rsid w:val="0029596A"/>
    <w:rsid w:val="00297B9B"/>
    <w:rsid w:val="002A0A4D"/>
    <w:rsid w:val="002A143F"/>
    <w:rsid w:val="002A23F6"/>
    <w:rsid w:val="002A33CA"/>
    <w:rsid w:val="002A407B"/>
    <w:rsid w:val="002A40F4"/>
    <w:rsid w:val="002A4F61"/>
    <w:rsid w:val="002A5107"/>
    <w:rsid w:val="002A51D8"/>
    <w:rsid w:val="002A51F8"/>
    <w:rsid w:val="002A5465"/>
    <w:rsid w:val="002A56B4"/>
    <w:rsid w:val="002A6803"/>
    <w:rsid w:val="002A6BF4"/>
    <w:rsid w:val="002A7308"/>
    <w:rsid w:val="002A787A"/>
    <w:rsid w:val="002B0084"/>
    <w:rsid w:val="002B0A91"/>
    <w:rsid w:val="002B0EFE"/>
    <w:rsid w:val="002B1551"/>
    <w:rsid w:val="002B1AA7"/>
    <w:rsid w:val="002B2125"/>
    <w:rsid w:val="002B2987"/>
    <w:rsid w:val="002B44A7"/>
    <w:rsid w:val="002B4F2E"/>
    <w:rsid w:val="002B5515"/>
    <w:rsid w:val="002B6782"/>
    <w:rsid w:val="002B6A7C"/>
    <w:rsid w:val="002B6AA8"/>
    <w:rsid w:val="002C01E9"/>
    <w:rsid w:val="002C02A3"/>
    <w:rsid w:val="002C03F6"/>
    <w:rsid w:val="002C3A51"/>
    <w:rsid w:val="002C49B8"/>
    <w:rsid w:val="002C4CBD"/>
    <w:rsid w:val="002C4F37"/>
    <w:rsid w:val="002C595B"/>
    <w:rsid w:val="002C68F3"/>
    <w:rsid w:val="002D0FFF"/>
    <w:rsid w:val="002D19BE"/>
    <w:rsid w:val="002D1CFB"/>
    <w:rsid w:val="002D255E"/>
    <w:rsid w:val="002D2A23"/>
    <w:rsid w:val="002D2B25"/>
    <w:rsid w:val="002D2E0E"/>
    <w:rsid w:val="002D307A"/>
    <w:rsid w:val="002D363F"/>
    <w:rsid w:val="002D371F"/>
    <w:rsid w:val="002D3AA3"/>
    <w:rsid w:val="002D54A2"/>
    <w:rsid w:val="002D68BE"/>
    <w:rsid w:val="002D759B"/>
    <w:rsid w:val="002D7D28"/>
    <w:rsid w:val="002E00E7"/>
    <w:rsid w:val="002E12A6"/>
    <w:rsid w:val="002E207D"/>
    <w:rsid w:val="002E2385"/>
    <w:rsid w:val="002E3A85"/>
    <w:rsid w:val="002E459C"/>
    <w:rsid w:val="002E4890"/>
    <w:rsid w:val="002E4F10"/>
    <w:rsid w:val="002E5AE6"/>
    <w:rsid w:val="002E5B85"/>
    <w:rsid w:val="002E6A43"/>
    <w:rsid w:val="002E79D4"/>
    <w:rsid w:val="002F0DC9"/>
    <w:rsid w:val="002F142C"/>
    <w:rsid w:val="002F167A"/>
    <w:rsid w:val="002F1C69"/>
    <w:rsid w:val="002F1DA5"/>
    <w:rsid w:val="002F1FD6"/>
    <w:rsid w:val="002F21B8"/>
    <w:rsid w:val="002F2219"/>
    <w:rsid w:val="002F27E5"/>
    <w:rsid w:val="002F2931"/>
    <w:rsid w:val="002F39BA"/>
    <w:rsid w:val="002F425E"/>
    <w:rsid w:val="002F5531"/>
    <w:rsid w:val="002F55C4"/>
    <w:rsid w:val="002F5941"/>
    <w:rsid w:val="002F5DBB"/>
    <w:rsid w:val="002F609A"/>
    <w:rsid w:val="002F6266"/>
    <w:rsid w:val="002F6F34"/>
    <w:rsid w:val="002F7004"/>
    <w:rsid w:val="002F7C47"/>
    <w:rsid w:val="003004C0"/>
    <w:rsid w:val="003016A8"/>
    <w:rsid w:val="0030369D"/>
    <w:rsid w:val="00303D1E"/>
    <w:rsid w:val="00304E9C"/>
    <w:rsid w:val="003052B5"/>
    <w:rsid w:val="0030654F"/>
    <w:rsid w:val="00307176"/>
    <w:rsid w:val="00307C2B"/>
    <w:rsid w:val="0031128C"/>
    <w:rsid w:val="00311354"/>
    <w:rsid w:val="003118FE"/>
    <w:rsid w:val="0031207F"/>
    <w:rsid w:val="003127A5"/>
    <w:rsid w:val="00312A64"/>
    <w:rsid w:val="00312B07"/>
    <w:rsid w:val="00312C5E"/>
    <w:rsid w:val="00314869"/>
    <w:rsid w:val="003151F1"/>
    <w:rsid w:val="003156AE"/>
    <w:rsid w:val="00315782"/>
    <w:rsid w:val="0031619B"/>
    <w:rsid w:val="00316670"/>
    <w:rsid w:val="00316D79"/>
    <w:rsid w:val="00317701"/>
    <w:rsid w:val="00317DFB"/>
    <w:rsid w:val="0032014A"/>
    <w:rsid w:val="00320BB5"/>
    <w:rsid w:val="00320E91"/>
    <w:rsid w:val="00321187"/>
    <w:rsid w:val="00322AC0"/>
    <w:rsid w:val="00322EB5"/>
    <w:rsid w:val="00323B2F"/>
    <w:rsid w:val="0032419F"/>
    <w:rsid w:val="00324515"/>
    <w:rsid w:val="00325465"/>
    <w:rsid w:val="00325DA0"/>
    <w:rsid w:val="00325F5F"/>
    <w:rsid w:val="00326083"/>
    <w:rsid w:val="0032642C"/>
    <w:rsid w:val="00327877"/>
    <w:rsid w:val="003304FC"/>
    <w:rsid w:val="0033072C"/>
    <w:rsid w:val="003319AE"/>
    <w:rsid w:val="00332221"/>
    <w:rsid w:val="003327BC"/>
    <w:rsid w:val="00332FD6"/>
    <w:rsid w:val="00333CC4"/>
    <w:rsid w:val="00333FCA"/>
    <w:rsid w:val="0033425E"/>
    <w:rsid w:val="00335037"/>
    <w:rsid w:val="003361AE"/>
    <w:rsid w:val="00336C5A"/>
    <w:rsid w:val="00337523"/>
    <w:rsid w:val="00337B9F"/>
    <w:rsid w:val="003401CF"/>
    <w:rsid w:val="003401F3"/>
    <w:rsid w:val="00340FEB"/>
    <w:rsid w:val="0034131D"/>
    <w:rsid w:val="00341441"/>
    <w:rsid w:val="00341A4A"/>
    <w:rsid w:val="00341AF8"/>
    <w:rsid w:val="00342E67"/>
    <w:rsid w:val="003432E0"/>
    <w:rsid w:val="003445A6"/>
    <w:rsid w:val="00345011"/>
    <w:rsid w:val="00345641"/>
    <w:rsid w:val="00345DF5"/>
    <w:rsid w:val="00345FC9"/>
    <w:rsid w:val="003478E0"/>
    <w:rsid w:val="00350C19"/>
    <w:rsid w:val="003516BA"/>
    <w:rsid w:val="00351820"/>
    <w:rsid w:val="00351D4D"/>
    <w:rsid w:val="003529BE"/>
    <w:rsid w:val="00353111"/>
    <w:rsid w:val="00353221"/>
    <w:rsid w:val="003538C4"/>
    <w:rsid w:val="003538CF"/>
    <w:rsid w:val="0035394B"/>
    <w:rsid w:val="00353C85"/>
    <w:rsid w:val="0035411A"/>
    <w:rsid w:val="0035478C"/>
    <w:rsid w:val="00354A83"/>
    <w:rsid w:val="00354C6E"/>
    <w:rsid w:val="003553E5"/>
    <w:rsid w:val="003564AB"/>
    <w:rsid w:val="003565EC"/>
    <w:rsid w:val="00356676"/>
    <w:rsid w:val="00356AD4"/>
    <w:rsid w:val="00357928"/>
    <w:rsid w:val="00357D54"/>
    <w:rsid w:val="00360699"/>
    <w:rsid w:val="00360913"/>
    <w:rsid w:val="00360D67"/>
    <w:rsid w:val="0036126C"/>
    <w:rsid w:val="00361720"/>
    <w:rsid w:val="00361CAE"/>
    <w:rsid w:val="003625EA"/>
    <w:rsid w:val="003638A9"/>
    <w:rsid w:val="003648B6"/>
    <w:rsid w:val="00366A21"/>
    <w:rsid w:val="00366ED4"/>
    <w:rsid w:val="00367079"/>
    <w:rsid w:val="00370695"/>
    <w:rsid w:val="003711A1"/>
    <w:rsid w:val="00371AC2"/>
    <w:rsid w:val="00371E7B"/>
    <w:rsid w:val="00372D2E"/>
    <w:rsid w:val="00373488"/>
    <w:rsid w:val="00373B32"/>
    <w:rsid w:val="00373B73"/>
    <w:rsid w:val="003740C9"/>
    <w:rsid w:val="00375269"/>
    <w:rsid w:val="00375369"/>
    <w:rsid w:val="00375706"/>
    <w:rsid w:val="00375E48"/>
    <w:rsid w:val="00376C94"/>
    <w:rsid w:val="00377A80"/>
    <w:rsid w:val="00377AD2"/>
    <w:rsid w:val="00377AF7"/>
    <w:rsid w:val="00377D7E"/>
    <w:rsid w:val="0038009B"/>
    <w:rsid w:val="00380A86"/>
    <w:rsid w:val="00382058"/>
    <w:rsid w:val="003827E3"/>
    <w:rsid w:val="00382AA2"/>
    <w:rsid w:val="00383172"/>
    <w:rsid w:val="003847DC"/>
    <w:rsid w:val="00384E53"/>
    <w:rsid w:val="003861BD"/>
    <w:rsid w:val="00390A14"/>
    <w:rsid w:val="003916DE"/>
    <w:rsid w:val="00391B33"/>
    <w:rsid w:val="0039215F"/>
    <w:rsid w:val="00392486"/>
    <w:rsid w:val="0039593F"/>
    <w:rsid w:val="003A018D"/>
    <w:rsid w:val="003A060E"/>
    <w:rsid w:val="003A07D1"/>
    <w:rsid w:val="003A15E4"/>
    <w:rsid w:val="003A189C"/>
    <w:rsid w:val="003A19DF"/>
    <w:rsid w:val="003A1A79"/>
    <w:rsid w:val="003A26FB"/>
    <w:rsid w:val="003A2C91"/>
    <w:rsid w:val="003A3B63"/>
    <w:rsid w:val="003A3CDF"/>
    <w:rsid w:val="003A50D4"/>
    <w:rsid w:val="003A5573"/>
    <w:rsid w:val="003A5854"/>
    <w:rsid w:val="003A5A62"/>
    <w:rsid w:val="003A5FCF"/>
    <w:rsid w:val="003B06D3"/>
    <w:rsid w:val="003B19D5"/>
    <w:rsid w:val="003B1E64"/>
    <w:rsid w:val="003B2DD8"/>
    <w:rsid w:val="003B483E"/>
    <w:rsid w:val="003B4C85"/>
    <w:rsid w:val="003B5149"/>
    <w:rsid w:val="003B6698"/>
    <w:rsid w:val="003B736A"/>
    <w:rsid w:val="003C04C3"/>
    <w:rsid w:val="003C16A3"/>
    <w:rsid w:val="003C1722"/>
    <w:rsid w:val="003C31BC"/>
    <w:rsid w:val="003C3482"/>
    <w:rsid w:val="003C50C9"/>
    <w:rsid w:val="003C5324"/>
    <w:rsid w:val="003C5F35"/>
    <w:rsid w:val="003C5FCB"/>
    <w:rsid w:val="003C7370"/>
    <w:rsid w:val="003C7AD3"/>
    <w:rsid w:val="003C7FF6"/>
    <w:rsid w:val="003D0389"/>
    <w:rsid w:val="003D073E"/>
    <w:rsid w:val="003D0B4C"/>
    <w:rsid w:val="003D1763"/>
    <w:rsid w:val="003D1CA3"/>
    <w:rsid w:val="003D2180"/>
    <w:rsid w:val="003D22CB"/>
    <w:rsid w:val="003D236F"/>
    <w:rsid w:val="003D421B"/>
    <w:rsid w:val="003D53D1"/>
    <w:rsid w:val="003D57DB"/>
    <w:rsid w:val="003D5C1F"/>
    <w:rsid w:val="003D61C1"/>
    <w:rsid w:val="003D6974"/>
    <w:rsid w:val="003D6EA3"/>
    <w:rsid w:val="003E00F6"/>
    <w:rsid w:val="003E020A"/>
    <w:rsid w:val="003E09D5"/>
    <w:rsid w:val="003E2D93"/>
    <w:rsid w:val="003E3B68"/>
    <w:rsid w:val="003E461C"/>
    <w:rsid w:val="003E6086"/>
    <w:rsid w:val="003E646C"/>
    <w:rsid w:val="003E78A4"/>
    <w:rsid w:val="003E7D84"/>
    <w:rsid w:val="003E7FAF"/>
    <w:rsid w:val="003F06A1"/>
    <w:rsid w:val="003F0CA2"/>
    <w:rsid w:val="003F0D00"/>
    <w:rsid w:val="003F0D5D"/>
    <w:rsid w:val="003F1001"/>
    <w:rsid w:val="003F1C31"/>
    <w:rsid w:val="003F247F"/>
    <w:rsid w:val="003F287E"/>
    <w:rsid w:val="003F3ACD"/>
    <w:rsid w:val="003F498F"/>
    <w:rsid w:val="003F533D"/>
    <w:rsid w:val="003F54CB"/>
    <w:rsid w:val="003F6578"/>
    <w:rsid w:val="003F65BC"/>
    <w:rsid w:val="003F771B"/>
    <w:rsid w:val="004000E0"/>
    <w:rsid w:val="004006B3"/>
    <w:rsid w:val="00400784"/>
    <w:rsid w:val="00400CA4"/>
    <w:rsid w:val="00400FD2"/>
    <w:rsid w:val="00401676"/>
    <w:rsid w:val="004022E5"/>
    <w:rsid w:val="00402AEA"/>
    <w:rsid w:val="00404FFE"/>
    <w:rsid w:val="00405FF7"/>
    <w:rsid w:val="00406167"/>
    <w:rsid w:val="00406758"/>
    <w:rsid w:val="004074BA"/>
    <w:rsid w:val="00407D4B"/>
    <w:rsid w:val="004107B7"/>
    <w:rsid w:val="004114B0"/>
    <w:rsid w:val="004122A8"/>
    <w:rsid w:val="00413CD3"/>
    <w:rsid w:val="00413DDA"/>
    <w:rsid w:val="00414E41"/>
    <w:rsid w:val="004156DD"/>
    <w:rsid w:val="004156FF"/>
    <w:rsid w:val="00415A34"/>
    <w:rsid w:val="00415B66"/>
    <w:rsid w:val="0041605A"/>
    <w:rsid w:val="004169C1"/>
    <w:rsid w:val="00416DAC"/>
    <w:rsid w:val="00417314"/>
    <w:rsid w:val="00417C69"/>
    <w:rsid w:val="0042011E"/>
    <w:rsid w:val="00420792"/>
    <w:rsid w:val="0042094D"/>
    <w:rsid w:val="00420F49"/>
    <w:rsid w:val="00421108"/>
    <w:rsid w:val="00422212"/>
    <w:rsid w:val="004228CF"/>
    <w:rsid w:val="004233F5"/>
    <w:rsid w:val="0042355C"/>
    <w:rsid w:val="00423638"/>
    <w:rsid w:val="00423920"/>
    <w:rsid w:val="0042395D"/>
    <w:rsid w:val="00423E04"/>
    <w:rsid w:val="00423F6F"/>
    <w:rsid w:val="004244A9"/>
    <w:rsid w:val="0042490A"/>
    <w:rsid w:val="004253BD"/>
    <w:rsid w:val="00425977"/>
    <w:rsid w:val="004260C1"/>
    <w:rsid w:val="004268E4"/>
    <w:rsid w:val="00426DC2"/>
    <w:rsid w:val="0043100F"/>
    <w:rsid w:val="004317E9"/>
    <w:rsid w:val="00431C92"/>
    <w:rsid w:val="00432911"/>
    <w:rsid w:val="00432F83"/>
    <w:rsid w:val="00433C5E"/>
    <w:rsid w:val="00433CC9"/>
    <w:rsid w:val="00433D50"/>
    <w:rsid w:val="00433EAC"/>
    <w:rsid w:val="004345CD"/>
    <w:rsid w:val="00434814"/>
    <w:rsid w:val="00434E86"/>
    <w:rsid w:val="00435A7C"/>
    <w:rsid w:val="00435DFB"/>
    <w:rsid w:val="00435FB9"/>
    <w:rsid w:val="00436B91"/>
    <w:rsid w:val="00441796"/>
    <w:rsid w:val="00443054"/>
    <w:rsid w:val="00443196"/>
    <w:rsid w:val="00444670"/>
    <w:rsid w:val="00444714"/>
    <w:rsid w:val="00444922"/>
    <w:rsid w:val="00444D36"/>
    <w:rsid w:val="00445157"/>
    <w:rsid w:val="004455F2"/>
    <w:rsid w:val="00445942"/>
    <w:rsid w:val="00446AAA"/>
    <w:rsid w:val="0045004E"/>
    <w:rsid w:val="0045089C"/>
    <w:rsid w:val="004513AF"/>
    <w:rsid w:val="0045200D"/>
    <w:rsid w:val="00452A57"/>
    <w:rsid w:val="004537CC"/>
    <w:rsid w:val="00453F8C"/>
    <w:rsid w:val="004542B6"/>
    <w:rsid w:val="00454C68"/>
    <w:rsid w:val="00454D8F"/>
    <w:rsid w:val="0045532A"/>
    <w:rsid w:val="004559F0"/>
    <w:rsid w:val="00457476"/>
    <w:rsid w:val="004576C3"/>
    <w:rsid w:val="00457A68"/>
    <w:rsid w:val="00457DA6"/>
    <w:rsid w:val="00461CF9"/>
    <w:rsid w:val="00462143"/>
    <w:rsid w:val="00463360"/>
    <w:rsid w:val="00463831"/>
    <w:rsid w:val="00463CD7"/>
    <w:rsid w:val="00464A12"/>
    <w:rsid w:val="00465688"/>
    <w:rsid w:val="0046691A"/>
    <w:rsid w:val="00466FA9"/>
    <w:rsid w:val="004678CE"/>
    <w:rsid w:val="00471A96"/>
    <w:rsid w:val="00471B20"/>
    <w:rsid w:val="00472B4F"/>
    <w:rsid w:val="00473D97"/>
    <w:rsid w:val="00473DBD"/>
    <w:rsid w:val="00474317"/>
    <w:rsid w:val="004748C5"/>
    <w:rsid w:val="00474C0A"/>
    <w:rsid w:val="0047541A"/>
    <w:rsid w:val="0047549D"/>
    <w:rsid w:val="004757A0"/>
    <w:rsid w:val="004758DC"/>
    <w:rsid w:val="00475A7E"/>
    <w:rsid w:val="00476392"/>
    <w:rsid w:val="004771A9"/>
    <w:rsid w:val="0047779B"/>
    <w:rsid w:val="00477D77"/>
    <w:rsid w:val="0048017D"/>
    <w:rsid w:val="00480CE0"/>
    <w:rsid w:val="00480F5D"/>
    <w:rsid w:val="00481577"/>
    <w:rsid w:val="0048277C"/>
    <w:rsid w:val="00483E22"/>
    <w:rsid w:val="00484835"/>
    <w:rsid w:val="00484931"/>
    <w:rsid w:val="00484DA3"/>
    <w:rsid w:val="0048502E"/>
    <w:rsid w:val="0048664D"/>
    <w:rsid w:val="00487B00"/>
    <w:rsid w:val="00487EE5"/>
    <w:rsid w:val="004903FD"/>
    <w:rsid w:val="00490645"/>
    <w:rsid w:val="0049084B"/>
    <w:rsid w:val="0049203C"/>
    <w:rsid w:val="0049250A"/>
    <w:rsid w:val="00492C8F"/>
    <w:rsid w:val="00493F47"/>
    <w:rsid w:val="004940F7"/>
    <w:rsid w:val="004951C5"/>
    <w:rsid w:val="004957DD"/>
    <w:rsid w:val="004960D5"/>
    <w:rsid w:val="004963AD"/>
    <w:rsid w:val="00496949"/>
    <w:rsid w:val="0049717B"/>
    <w:rsid w:val="0049728C"/>
    <w:rsid w:val="00497437"/>
    <w:rsid w:val="00497C57"/>
    <w:rsid w:val="004A0CB9"/>
    <w:rsid w:val="004A103B"/>
    <w:rsid w:val="004A1ABD"/>
    <w:rsid w:val="004A334D"/>
    <w:rsid w:val="004A33D3"/>
    <w:rsid w:val="004A3805"/>
    <w:rsid w:val="004A38F6"/>
    <w:rsid w:val="004A46D4"/>
    <w:rsid w:val="004A5077"/>
    <w:rsid w:val="004A5EA1"/>
    <w:rsid w:val="004A5EB2"/>
    <w:rsid w:val="004A6038"/>
    <w:rsid w:val="004A6075"/>
    <w:rsid w:val="004A6150"/>
    <w:rsid w:val="004A6CFB"/>
    <w:rsid w:val="004A74E8"/>
    <w:rsid w:val="004A7B81"/>
    <w:rsid w:val="004B0BEA"/>
    <w:rsid w:val="004B0EAA"/>
    <w:rsid w:val="004B21C0"/>
    <w:rsid w:val="004B2F0E"/>
    <w:rsid w:val="004B3151"/>
    <w:rsid w:val="004B3E6A"/>
    <w:rsid w:val="004B4C30"/>
    <w:rsid w:val="004B5716"/>
    <w:rsid w:val="004B587A"/>
    <w:rsid w:val="004B5F87"/>
    <w:rsid w:val="004B60A7"/>
    <w:rsid w:val="004B6317"/>
    <w:rsid w:val="004B6F83"/>
    <w:rsid w:val="004B7F74"/>
    <w:rsid w:val="004C0306"/>
    <w:rsid w:val="004C0428"/>
    <w:rsid w:val="004C0640"/>
    <w:rsid w:val="004C0881"/>
    <w:rsid w:val="004C0919"/>
    <w:rsid w:val="004C09D9"/>
    <w:rsid w:val="004C0F2F"/>
    <w:rsid w:val="004C1522"/>
    <w:rsid w:val="004C2111"/>
    <w:rsid w:val="004C27D8"/>
    <w:rsid w:val="004C4283"/>
    <w:rsid w:val="004C45CB"/>
    <w:rsid w:val="004C49BA"/>
    <w:rsid w:val="004C517F"/>
    <w:rsid w:val="004C51B9"/>
    <w:rsid w:val="004C5250"/>
    <w:rsid w:val="004C526E"/>
    <w:rsid w:val="004C5293"/>
    <w:rsid w:val="004C5FF1"/>
    <w:rsid w:val="004C6BC5"/>
    <w:rsid w:val="004C73FD"/>
    <w:rsid w:val="004D10FC"/>
    <w:rsid w:val="004D2CED"/>
    <w:rsid w:val="004D2D38"/>
    <w:rsid w:val="004D35E5"/>
    <w:rsid w:val="004D3EAC"/>
    <w:rsid w:val="004D4263"/>
    <w:rsid w:val="004D47EA"/>
    <w:rsid w:val="004D4CE9"/>
    <w:rsid w:val="004D6673"/>
    <w:rsid w:val="004D781C"/>
    <w:rsid w:val="004E0B5F"/>
    <w:rsid w:val="004E15D5"/>
    <w:rsid w:val="004E1768"/>
    <w:rsid w:val="004E295D"/>
    <w:rsid w:val="004E2B00"/>
    <w:rsid w:val="004E306B"/>
    <w:rsid w:val="004E33C3"/>
    <w:rsid w:val="004E4054"/>
    <w:rsid w:val="004E5240"/>
    <w:rsid w:val="004E6FCF"/>
    <w:rsid w:val="004E7336"/>
    <w:rsid w:val="004F0711"/>
    <w:rsid w:val="004F094C"/>
    <w:rsid w:val="004F0FBF"/>
    <w:rsid w:val="004F275C"/>
    <w:rsid w:val="004F2C39"/>
    <w:rsid w:val="004F34A8"/>
    <w:rsid w:val="004F361E"/>
    <w:rsid w:val="004F38E6"/>
    <w:rsid w:val="004F3B51"/>
    <w:rsid w:val="004F3C21"/>
    <w:rsid w:val="004F4E0B"/>
    <w:rsid w:val="004F50B7"/>
    <w:rsid w:val="004F51DE"/>
    <w:rsid w:val="004F5522"/>
    <w:rsid w:val="004F567B"/>
    <w:rsid w:val="004F59CA"/>
    <w:rsid w:val="004F61A2"/>
    <w:rsid w:val="004F6217"/>
    <w:rsid w:val="004F6E63"/>
    <w:rsid w:val="004F6F73"/>
    <w:rsid w:val="004F76F7"/>
    <w:rsid w:val="00500405"/>
    <w:rsid w:val="005006C9"/>
    <w:rsid w:val="00500B26"/>
    <w:rsid w:val="005014E8"/>
    <w:rsid w:val="005019E7"/>
    <w:rsid w:val="005025E7"/>
    <w:rsid w:val="00502832"/>
    <w:rsid w:val="00502B6A"/>
    <w:rsid w:val="0050338F"/>
    <w:rsid w:val="005047D6"/>
    <w:rsid w:val="005050E1"/>
    <w:rsid w:val="00505997"/>
    <w:rsid w:val="00505CBF"/>
    <w:rsid w:val="005060D0"/>
    <w:rsid w:val="005064BC"/>
    <w:rsid w:val="00506725"/>
    <w:rsid w:val="00507386"/>
    <w:rsid w:val="005073EF"/>
    <w:rsid w:val="00510049"/>
    <w:rsid w:val="00510645"/>
    <w:rsid w:val="0051183C"/>
    <w:rsid w:val="00511A97"/>
    <w:rsid w:val="00512B55"/>
    <w:rsid w:val="00513DE8"/>
    <w:rsid w:val="00513FBD"/>
    <w:rsid w:val="00515A0E"/>
    <w:rsid w:val="00516030"/>
    <w:rsid w:val="005200FB"/>
    <w:rsid w:val="00520459"/>
    <w:rsid w:val="005207F6"/>
    <w:rsid w:val="00520FB2"/>
    <w:rsid w:val="00521563"/>
    <w:rsid w:val="00521BED"/>
    <w:rsid w:val="00521F94"/>
    <w:rsid w:val="00523D80"/>
    <w:rsid w:val="00524565"/>
    <w:rsid w:val="005246FB"/>
    <w:rsid w:val="005249E3"/>
    <w:rsid w:val="00525A86"/>
    <w:rsid w:val="0052613D"/>
    <w:rsid w:val="005262E2"/>
    <w:rsid w:val="005264F8"/>
    <w:rsid w:val="00526ADE"/>
    <w:rsid w:val="0052710A"/>
    <w:rsid w:val="00530EC7"/>
    <w:rsid w:val="00531BEE"/>
    <w:rsid w:val="00531E06"/>
    <w:rsid w:val="0053240B"/>
    <w:rsid w:val="00532A36"/>
    <w:rsid w:val="00532F8A"/>
    <w:rsid w:val="00533622"/>
    <w:rsid w:val="00533899"/>
    <w:rsid w:val="0053434A"/>
    <w:rsid w:val="00535762"/>
    <w:rsid w:val="00535DEF"/>
    <w:rsid w:val="00537069"/>
    <w:rsid w:val="00540025"/>
    <w:rsid w:val="0054015D"/>
    <w:rsid w:val="005412EE"/>
    <w:rsid w:val="00541D23"/>
    <w:rsid w:val="00543557"/>
    <w:rsid w:val="00543D14"/>
    <w:rsid w:val="005444CA"/>
    <w:rsid w:val="00544EE2"/>
    <w:rsid w:val="00544F85"/>
    <w:rsid w:val="005454B8"/>
    <w:rsid w:val="00545565"/>
    <w:rsid w:val="00546038"/>
    <w:rsid w:val="00546343"/>
    <w:rsid w:val="0054687B"/>
    <w:rsid w:val="005477FA"/>
    <w:rsid w:val="00547A44"/>
    <w:rsid w:val="00547C05"/>
    <w:rsid w:val="00550B3C"/>
    <w:rsid w:val="00550C96"/>
    <w:rsid w:val="005518FA"/>
    <w:rsid w:val="00551952"/>
    <w:rsid w:val="00551B51"/>
    <w:rsid w:val="0055215F"/>
    <w:rsid w:val="00552A19"/>
    <w:rsid w:val="00553D3E"/>
    <w:rsid w:val="00553D47"/>
    <w:rsid w:val="0055443C"/>
    <w:rsid w:val="00554990"/>
    <w:rsid w:val="00554AB3"/>
    <w:rsid w:val="00555818"/>
    <w:rsid w:val="00556D8C"/>
    <w:rsid w:val="00556DDB"/>
    <w:rsid w:val="00556E0A"/>
    <w:rsid w:val="0055787B"/>
    <w:rsid w:val="00560B97"/>
    <w:rsid w:val="00560EE4"/>
    <w:rsid w:val="0056126A"/>
    <w:rsid w:val="00562046"/>
    <w:rsid w:val="005639C3"/>
    <w:rsid w:val="005642DC"/>
    <w:rsid w:val="005645DA"/>
    <w:rsid w:val="00564D75"/>
    <w:rsid w:val="005659A3"/>
    <w:rsid w:val="00565B91"/>
    <w:rsid w:val="00565E66"/>
    <w:rsid w:val="00565FB1"/>
    <w:rsid w:val="00566479"/>
    <w:rsid w:val="00566E53"/>
    <w:rsid w:val="005674FB"/>
    <w:rsid w:val="005710E6"/>
    <w:rsid w:val="00571D7C"/>
    <w:rsid w:val="00571FD2"/>
    <w:rsid w:val="0057477A"/>
    <w:rsid w:val="00575360"/>
    <w:rsid w:val="005754AC"/>
    <w:rsid w:val="00576111"/>
    <w:rsid w:val="00576611"/>
    <w:rsid w:val="005800DE"/>
    <w:rsid w:val="005809E3"/>
    <w:rsid w:val="005810FE"/>
    <w:rsid w:val="00581C05"/>
    <w:rsid w:val="005826A4"/>
    <w:rsid w:val="00582A41"/>
    <w:rsid w:val="00582B6E"/>
    <w:rsid w:val="00584270"/>
    <w:rsid w:val="005847BC"/>
    <w:rsid w:val="00584C94"/>
    <w:rsid w:val="00584D21"/>
    <w:rsid w:val="005851D0"/>
    <w:rsid w:val="00585A86"/>
    <w:rsid w:val="005860E4"/>
    <w:rsid w:val="00587B89"/>
    <w:rsid w:val="00587EC3"/>
    <w:rsid w:val="00591F70"/>
    <w:rsid w:val="00592210"/>
    <w:rsid w:val="00592724"/>
    <w:rsid w:val="0059380A"/>
    <w:rsid w:val="00593B36"/>
    <w:rsid w:val="00594524"/>
    <w:rsid w:val="005947D2"/>
    <w:rsid w:val="005965AA"/>
    <w:rsid w:val="00596F5B"/>
    <w:rsid w:val="005976A6"/>
    <w:rsid w:val="005977CE"/>
    <w:rsid w:val="005979F2"/>
    <w:rsid w:val="005A00BC"/>
    <w:rsid w:val="005A053C"/>
    <w:rsid w:val="005A08D8"/>
    <w:rsid w:val="005A08E2"/>
    <w:rsid w:val="005A10AD"/>
    <w:rsid w:val="005A17C1"/>
    <w:rsid w:val="005A42B3"/>
    <w:rsid w:val="005A453B"/>
    <w:rsid w:val="005A485D"/>
    <w:rsid w:val="005A569C"/>
    <w:rsid w:val="005A7B38"/>
    <w:rsid w:val="005B0E97"/>
    <w:rsid w:val="005B1512"/>
    <w:rsid w:val="005B2691"/>
    <w:rsid w:val="005B30FB"/>
    <w:rsid w:val="005B3245"/>
    <w:rsid w:val="005B328A"/>
    <w:rsid w:val="005B6345"/>
    <w:rsid w:val="005B6DD2"/>
    <w:rsid w:val="005B6F56"/>
    <w:rsid w:val="005B6F5A"/>
    <w:rsid w:val="005B709A"/>
    <w:rsid w:val="005B7331"/>
    <w:rsid w:val="005B79EF"/>
    <w:rsid w:val="005B7B2A"/>
    <w:rsid w:val="005C01C6"/>
    <w:rsid w:val="005C0B7A"/>
    <w:rsid w:val="005C0FAB"/>
    <w:rsid w:val="005C2B1C"/>
    <w:rsid w:val="005C3314"/>
    <w:rsid w:val="005C3632"/>
    <w:rsid w:val="005C4125"/>
    <w:rsid w:val="005C4587"/>
    <w:rsid w:val="005C57C8"/>
    <w:rsid w:val="005C6EDC"/>
    <w:rsid w:val="005D126B"/>
    <w:rsid w:val="005D1B3A"/>
    <w:rsid w:val="005D1E11"/>
    <w:rsid w:val="005D1E58"/>
    <w:rsid w:val="005D1FBF"/>
    <w:rsid w:val="005D28DF"/>
    <w:rsid w:val="005D454A"/>
    <w:rsid w:val="005D4821"/>
    <w:rsid w:val="005D4CA4"/>
    <w:rsid w:val="005D5B24"/>
    <w:rsid w:val="005D672F"/>
    <w:rsid w:val="005D67B7"/>
    <w:rsid w:val="005D6894"/>
    <w:rsid w:val="005D750A"/>
    <w:rsid w:val="005D7AC9"/>
    <w:rsid w:val="005E0200"/>
    <w:rsid w:val="005E033A"/>
    <w:rsid w:val="005E0941"/>
    <w:rsid w:val="005E09C7"/>
    <w:rsid w:val="005E1A5B"/>
    <w:rsid w:val="005E231B"/>
    <w:rsid w:val="005E2725"/>
    <w:rsid w:val="005E307C"/>
    <w:rsid w:val="005E36C4"/>
    <w:rsid w:val="005E465F"/>
    <w:rsid w:val="005E54B1"/>
    <w:rsid w:val="005E647A"/>
    <w:rsid w:val="005E654B"/>
    <w:rsid w:val="005E6A86"/>
    <w:rsid w:val="005E6B00"/>
    <w:rsid w:val="005E708C"/>
    <w:rsid w:val="005E712E"/>
    <w:rsid w:val="005E79F5"/>
    <w:rsid w:val="005E7D01"/>
    <w:rsid w:val="005F1919"/>
    <w:rsid w:val="005F1D5C"/>
    <w:rsid w:val="005F1F10"/>
    <w:rsid w:val="005F232F"/>
    <w:rsid w:val="005F321F"/>
    <w:rsid w:val="005F4EBD"/>
    <w:rsid w:val="005F530B"/>
    <w:rsid w:val="005F590F"/>
    <w:rsid w:val="005F623C"/>
    <w:rsid w:val="005F6525"/>
    <w:rsid w:val="005F7BC5"/>
    <w:rsid w:val="006003D7"/>
    <w:rsid w:val="00600BB5"/>
    <w:rsid w:val="006014DB"/>
    <w:rsid w:val="006042FA"/>
    <w:rsid w:val="00605F38"/>
    <w:rsid w:val="0060635D"/>
    <w:rsid w:val="00607924"/>
    <w:rsid w:val="006108EE"/>
    <w:rsid w:val="0061126F"/>
    <w:rsid w:val="006117A5"/>
    <w:rsid w:val="00611C7D"/>
    <w:rsid w:val="00611C8A"/>
    <w:rsid w:val="006121E6"/>
    <w:rsid w:val="00614CD6"/>
    <w:rsid w:val="00615A26"/>
    <w:rsid w:val="00615A2E"/>
    <w:rsid w:val="00615BB8"/>
    <w:rsid w:val="00615C33"/>
    <w:rsid w:val="00620EE4"/>
    <w:rsid w:val="00623A9C"/>
    <w:rsid w:val="0062428C"/>
    <w:rsid w:val="0062429B"/>
    <w:rsid w:val="00624805"/>
    <w:rsid w:val="00625A02"/>
    <w:rsid w:val="00625AE7"/>
    <w:rsid w:val="00627E0B"/>
    <w:rsid w:val="00630161"/>
    <w:rsid w:val="00630415"/>
    <w:rsid w:val="006325C7"/>
    <w:rsid w:val="00633139"/>
    <w:rsid w:val="0063358D"/>
    <w:rsid w:val="006345CE"/>
    <w:rsid w:val="006353B1"/>
    <w:rsid w:val="006354F8"/>
    <w:rsid w:val="00637C2D"/>
    <w:rsid w:val="00640B08"/>
    <w:rsid w:val="00641F45"/>
    <w:rsid w:val="00642CC9"/>
    <w:rsid w:val="00644079"/>
    <w:rsid w:val="00644124"/>
    <w:rsid w:val="0064422E"/>
    <w:rsid w:val="00644768"/>
    <w:rsid w:val="00645926"/>
    <w:rsid w:val="0064648C"/>
    <w:rsid w:val="00646B58"/>
    <w:rsid w:val="00646BEB"/>
    <w:rsid w:val="00646CCB"/>
    <w:rsid w:val="00646E28"/>
    <w:rsid w:val="0065199F"/>
    <w:rsid w:val="006521B2"/>
    <w:rsid w:val="006532B4"/>
    <w:rsid w:val="0065351F"/>
    <w:rsid w:val="00653DAD"/>
    <w:rsid w:val="00656339"/>
    <w:rsid w:val="0065675E"/>
    <w:rsid w:val="00657030"/>
    <w:rsid w:val="006608F1"/>
    <w:rsid w:val="00660B06"/>
    <w:rsid w:val="00660C1B"/>
    <w:rsid w:val="00660E5B"/>
    <w:rsid w:val="0066192D"/>
    <w:rsid w:val="00661FBF"/>
    <w:rsid w:val="00662C01"/>
    <w:rsid w:val="00663874"/>
    <w:rsid w:val="00663B24"/>
    <w:rsid w:val="00664167"/>
    <w:rsid w:val="00664EE2"/>
    <w:rsid w:val="00664EE4"/>
    <w:rsid w:val="00665013"/>
    <w:rsid w:val="00665C01"/>
    <w:rsid w:val="00665D6C"/>
    <w:rsid w:val="0066697F"/>
    <w:rsid w:val="006675A7"/>
    <w:rsid w:val="00667C59"/>
    <w:rsid w:val="0067002C"/>
    <w:rsid w:val="00670AEB"/>
    <w:rsid w:val="00670BB2"/>
    <w:rsid w:val="00670D99"/>
    <w:rsid w:val="00671837"/>
    <w:rsid w:val="00671B35"/>
    <w:rsid w:val="00672D7C"/>
    <w:rsid w:val="00673AF8"/>
    <w:rsid w:val="00673B28"/>
    <w:rsid w:val="00673B93"/>
    <w:rsid w:val="006741D7"/>
    <w:rsid w:val="00674F70"/>
    <w:rsid w:val="00675836"/>
    <w:rsid w:val="00675F43"/>
    <w:rsid w:val="00677315"/>
    <w:rsid w:val="006776CE"/>
    <w:rsid w:val="00677720"/>
    <w:rsid w:val="00680304"/>
    <w:rsid w:val="00680AF4"/>
    <w:rsid w:val="006811EF"/>
    <w:rsid w:val="0068124D"/>
    <w:rsid w:val="00681E06"/>
    <w:rsid w:val="00681F3E"/>
    <w:rsid w:val="00682612"/>
    <w:rsid w:val="0068332B"/>
    <w:rsid w:val="00683A3A"/>
    <w:rsid w:val="00683DF4"/>
    <w:rsid w:val="00683F6B"/>
    <w:rsid w:val="006841B2"/>
    <w:rsid w:val="006851B1"/>
    <w:rsid w:val="0068575A"/>
    <w:rsid w:val="00685792"/>
    <w:rsid w:val="00685C63"/>
    <w:rsid w:val="006863DE"/>
    <w:rsid w:val="00686729"/>
    <w:rsid w:val="00686CDC"/>
    <w:rsid w:val="00687549"/>
    <w:rsid w:val="006879C6"/>
    <w:rsid w:val="00687C33"/>
    <w:rsid w:val="00690292"/>
    <w:rsid w:val="00693567"/>
    <w:rsid w:val="006936A2"/>
    <w:rsid w:val="00693826"/>
    <w:rsid w:val="00694C49"/>
    <w:rsid w:val="00694F01"/>
    <w:rsid w:val="006954FE"/>
    <w:rsid w:val="006955B0"/>
    <w:rsid w:val="006960E4"/>
    <w:rsid w:val="00696202"/>
    <w:rsid w:val="00696451"/>
    <w:rsid w:val="0069745E"/>
    <w:rsid w:val="006974A5"/>
    <w:rsid w:val="00697815"/>
    <w:rsid w:val="00697E55"/>
    <w:rsid w:val="00697F65"/>
    <w:rsid w:val="006A0175"/>
    <w:rsid w:val="006A01AD"/>
    <w:rsid w:val="006A07AD"/>
    <w:rsid w:val="006A1957"/>
    <w:rsid w:val="006A29F4"/>
    <w:rsid w:val="006A2CB0"/>
    <w:rsid w:val="006A3382"/>
    <w:rsid w:val="006A35D9"/>
    <w:rsid w:val="006A38D8"/>
    <w:rsid w:val="006A409E"/>
    <w:rsid w:val="006A42E4"/>
    <w:rsid w:val="006A48A0"/>
    <w:rsid w:val="006A49AE"/>
    <w:rsid w:val="006A4C36"/>
    <w:rsid w:val="006A4E0B"/>
    <w:rsid w:val="006A5922"/>
    <w:rsid w:val="006A5BDE"/>
    <w:rsid w:val="006A72DB"/>
    <w:rsid w:val="006A7FAA"/>
    <w:rsid w:val="006B02B6"/>
    <w:rsid w:val="006B0C53"/>
    <w:rsid w:val="006B0CAA"/>
    <w:rsid w:val="006B12C4"/>
    <w:rsid w:val="006B140F"/>
    <w:rsid w:val="006B1F5F"/>
    <w:rsid w:val="006B1FEE"/>
    <w:rsid w:val="006B22E3"/>
    <w:rsid w:val="006B25FF"/>
    <w:rsid w:val="006B2655"/>
    <w:rsid w:val="006B2E16"/>
    <w:rsid w:val="006B33B9"/>
    <w:rsid w:val="006B3A47"/>
    <w:rsid w:val="006B47E3"/>
    <w:rsid w:val="006B488E"/>
    <w:rsid w:val="006B4A48"/>
    <w:rsid w:val="006B4BB5"/>
    <w:rsid w:val="006B5229"/>
    <w:rsid w:val="006B531B"/>
    <w:rsid w:val="006B670E"/>
    <w:rsid w:val="006B703C"/>
    <w:rsid w:val="006B7D34"/>
    <w:rsid w:val="006B7F0A"/>
    <w:rsid w:val="006C09BD"/>
    <w:rsid w:val="006C120F"/>
    <w:rsid w:val="006C1937"/>
    <w:rsid w:val="006C27E7"/>
    <w:rsid w:val="006C3E88"/>
    <w:rsid w:val="006C4B00"/>
    <w:rsid w:val="006C553A"/>
    <w:rsid w:val="006C5A9C"/>
    <w:rsid w:val="006C5FB5"/>
    <w:rsid w:val="006C62C2"/>
    <w:rsid w:val="006C66F7"/>
    <w:rsid w:val="006C6985"/>
    <w:rsid w:val="006C76BF"/>
    <w:rsid w:val="006D0EA1"/>
    <w:rsid w:val="006D1D39"/>
    <w:rsid w:val="006D247B"/>
    <w:rsid w:val="006D2641"/>
    <w:rsid w:val="006D3A34"/>
    <w:rsid w:val="006D47E5"/>
    <w:rsid w:val="006D5035"/>
    <w:rsid w:val="006D5977"/>
    <w:rsid w:val="006D5CC1"/>
    <w:rsid w:val="006D64BD"/>
    <w:rsid w:val="006D670E"/>
    <w:rsid w:val="006D749F"/>
    <w:rsid w:val="006D7971"/>
    <w:rsid w:val="006D7E3B"/>
    <w:rsid w:val="006E075F"/>
    <w:rsid w:val="006E0F7E"/>
    <w:rsid w:val="006E10A3"/>
    <w:rsid w:val="006E20FB"/>
    <w:rsid w:val="006E23CE"/>
    <w:rsid w:val="006E2C5D"/>
    <w:rsid w:val="006E2F60"/>
    <w:rsid w:val="006E30F9"/>
    <w:rsid w:val="006E37D9"/>
    <w:rsid w:val="006E3A3C"/>
    <w:rsid w:val="006E3AB7"/>
    <w:rsid w:val="006E573E"/>
    <w:rsid w:val="006E6BE5"/>
    <w:rsid w:val="006E7A2C"/>
    <w:rsid w:val="006E7AC6"/>
    <w:rsid w:val="006F0DC7"/>
    <w:rsid w:val="006F2037"/>
    <w:rsid w:val="006F3688"/>
    <w:rsid w:val="006F6F59"/>
    <w:rsid w:val="006F7A1B"/>
    <w:rsid w:val="006F7B4D"/>
    <w:rsid w:val="00700CFE"/>
    <w:rsid w:val="0070166C"/>
    <w:rsid w:val="0070179E"/>
    <w:rsid w:val="00701C90"/>
    <w:rsid w:val="0070369F"/>
    <w:rsid w:val="0070413A"/>
    <w:rsid w:val="00704DDE"/>
    <w:rsid w:val="00704F07"/>
    <w:rsid w:val="007057DA"/>
    <w:rsid w:val="007064A9"/>
    <w:rsid w:val="00706BF8"/>
    <w:rsid w:val="00706F65"/>
    <w:rsid w:val="00713786"/>
    <w:rsid w:val="00714375"/>
    <w:rsid w:val="007150E0"/>
    <w:rsid w:val="0071546D"/>
    <w:rsid w:val="0071570C"/>
    <w:rsid w:val="00716231"/>
    <w:rsid w:val="00716581"/>
    <w:rsid w:val="0071668F"/>
    <w:rsid w:val="00717952"/>
    <w:rsid w:val="00720741"/>
    <w:rsid w:val="00721CDE"/>
    <w:rsid w:val="0072397A"/>
    <w:rsid w:val="00723A46"/>
    <w:rsid w:val="00723F5C"/>
    <w:rsid w:val="007248A2"/>
    <w:rsid w:val="00725BD0"/>
    <w:rsid w:val="007260FC"/>
    <w:rsid w:val="00726990"/>
    <w:rsid w:val="00726C7F"/>
    <w:rsid w:val="00727E80"/>
    <w:rsid w:val="007300B0"/>
    <w:rsid w:val="00730C03"/>
    <w:rsid w:val="007318FD"/>
    <w:rsid w:val="00731FF9"/>
    <w:rsid w:val="00732C61"/>
    <w:rsid w:val="0073344D"/>
    <w:rsid w:val="00733DDC"/>
    <w:rsid w:val="00735043"/>
    <w:rsid w:val="0073551E"/>
    <w:rsid w:val="00735886"/>
    <w:rsid w:val="007369F5"/>
    <w:rsid w:val="00736BF7"/>
    <w:rsid w:val="0073763A"/>
    <w:rsid w:val="0073783F"/>
    <w:rsid w:val="0074005B"/>
    <w:rsid w:val="00741379"/>
    <w:rsid w:val="00741518"/>
    <w:rsid w:val="0074192F"/>
    <w:rsid w:val="00741B56"/>
    <w:rsid w:val="00741C93"/>
    <w:rsid w:val="00741EFF"/>
    <w:rsid w:val="007432EA"/>
    <w:rsid w:val="00743517"/>
    <w:rsid w:val="00744442"/>
    <w:rsid w:val="00745253"/>
    <w:rsid w:val="007456C0"/>
    <w:rsid w:val="00745AA1"/>
    <w:rsid w:val="00745BB9"/>
    <w:rsid w:val="0074643A"/>
    <w:rsid w:val="0074697D"/>
    <w:rsid w:val="00747049"/>
    <w:rsid w:val="00747412"/>
    <w:rsid w:val="00747972"/>
    <w:rsid w:val="00747D83"/>
    <w:rsid w:val="007509EF"/>
    <w:rsid w:val="00750D6E"/>
    <w:rsid w:val="00751ADB"/>
    <w:rsid w:val="00751E60"/>
    <w:rsid w:val="0075254F"/>
    <w:rsid w:val="0075463B"/>
    <w:rsid w:val="00754F83"/>
    <w:rsid w:val="007555E4"/>
    <w:rsid w:val="00756074"/>
    <w:rsid w:val="00756F56"/>
    <w:rsid w:val="00757C04"/>
    <w:rsid w:val="00757CCB"/>
    <w:rsid w:val="007612AA"/>
    <w:rsid w:val="0076179F"/>
    <w:rsid w:val="00761866"/>
    <w:rsid w:val="007619FB"/>
    <w:rsid w:val="00761BE9"/>
    <w:rsid w:val="007626BD"/>
    <w:rsid w:val="00765666"/>
    <w:rsid w:val="007657DA"/>
    <w:rsid w:val="00766053"/>
    <w:rsid w:val="00766FA8"/>
    <w:rsid w:val="007703FE"/>
    <w:rsid w:val="00770B14"/>
    <w:rsid w:val="00771928"/>
    <w:rsid w:val="00771B62"/>
    <w:rsid w:val="007720C7"/>
    <w:rsid w:val="00773A4D"/>
    <w:rsid w:val="00773AFA"/>
    <w:rsid w:val="0077449D"/>
    <w:rsid w:val="00774A2E"/>
    <w:rsid w:val="00780CD9"/>
    <w:rsid w:val="00780E7C"/>
    <w:rsid w:val="0078270A"/>
    <w:rsid w:val="00782FD6"/>
    <w:rsid w:val="00783AA6"/>
    <w:rsid w:val="00783BE7"/>
    <w:rsid w:val="00783EC5"/>
    <w:rsid w:val="007856F9"/>
    <w:rsid w:val="0078571B"/>
    <w:rsid w:val="00785D24"/>
    <w:rsid w:val="007865C4"/>
    <w:rsid w:val="00787650"/>
    <w:rsid w:val="00787B67"/>
    <w:rsid w:val="00790169"/>
    <w:rsid w:val="007913AE"/>
    <w:rsid w:val="0079247D"/>
    <w:rsid w:val="007928E4"/>
    <w:rsid w:val="00793A0F"/>
    <w:rsid w:val="00796E2A"/>
    <w:rsid w:val="007A05E0"/>
    <w:rsid w:val="007A0C45"/>
    <w:rsid w:val="007A1061"/>
    <w:rsid w:val="007A10F2"/>
    <w:rsid w:val="007A2386"/>
    <w:rsid w:val="007A3F59"/>
    <w:rsid w:val="007A3F71"/>
    <w:rsid w:val="007A4712"/>
    <w:rsid w:val="007A703C"/>
    <w:rsid w:val="007A70ED"/>
    <w:rsid w:val="007B015F"/>
    <w:rsid w:val="007B0ECE"/>
    <w:rsid w:val="007B1EC1"/>
    <w:rsid w:val="007B3A08"/>
    <w:rsid w:val="007B4552"/>
    <w:rsid w:val="007B57F7"/>
    <w:rsid w:val="007B5E79"/>
    <w:rsid w:val="007B63C0"/>
    <w:rsid w:val="007B6AE5"/>
    <w:rsid w:val="007B6CE6"/>
    <w:rsid w:val="007B7A72"/>
    <w:rsid w:val="007B7EA9"/>
    <w:rsid w:val="007B7F48"/>
    <w:rsid w:val="007C0C22"/>
    <w:rsid w:val="007C224F"/>
    <w:rsid w:val="007C2AA9"/>
    <w:rsid w:val="007C2EFE"/>
    <w:rsid w:val="007C31F6"/>
    <w:rsid w:val="007C3D21"/>
    <w:rsid w:val="007C4906"/>
    <w:rsid w:val="007C4AA7"/>
    <w:rsid w:val="007C4CD5"/>
    <w:rsid w:val="007C505A"/>
    <w:rsid w:val="007C5632"/>
    <w:rsid w:val="007C5A3A"/>
    <w:rsid w:val="007C5AA4"/>
    <w:rsid w:val="007C5D27"/>
    <w:rsid w:val="007C6900"/>
    <w:rsid w:val="007C786E"/>
    <w:rsid w:val="007C7F40"/>
    <w:rsid w:val="007D03F9"/>
    <w:rsid w:val="007D0D37"/>
    <w:rsid w:val="007D0DF3"/>
    <w:rsid w:val="007D24BF"/>
    <w:rsid w:val="007D273A"/>
    <w:rsid w:val="007D274D"/>
    <w:rsid w:val="007D278B"/>
    <w:rsid w:val="007D2B30"/>
    <w:rsid w:val="007D45B8"/>
    <w:rsid w:val="007D4860"/>
    <w:rsid w:val="007D4885"/>
    <w:rsid w:val="007D4E72"/>
    <w:rsid w:val="007D6970"/>
    <w:rsid w:val="007E0C4D"/>
    <w:rsid w:val="007E0FF4"/>
    <w:rsid w:val="007E19BF"/>
    <w:rsid w:val="007E1A2D"/>
    <w:rsid w:val="007E3DE8"/>
    <w:rsid w:val="007E4194"/>
    <w:rsid w:val="007E45E0"/>
    <w:rsid w:val="007E49AE"/>
    <w:rsid w:val="007E4D5B"/>
    <w:rsid w:val="007E4D96"/>
    <w:rsid w:val="007E4DFA"/>
    <w:rsid w:val="007E4EAF"/>
    <w:rsid w:val="007E5712"/>
    <w:rsid w:val="007E5AA3"/>
    <w:rsid w:val="007E6098"/>
    <w:rsid w:val="007E71B3"/>
    <w:rsid w:val="007E7615"/>
    <w:rsid w:val="007E7B27"/>
    <w:rsid w:val="007F0441"/>
    <w:rsid w:val="007F2FD1"/>
    <w:rsid w:val="007F45BE"/>
    <w:rsid w:val="007F4620"/>
    <w:rsid w:val="007F4B0E"/>
    <w:rsid w:val="007F4C67"/>
    <w:rsid w:val="007F52DF"/>
    <w:rsid w:val="007F5C8E"/>
    <w:rsid w:val="007F67F8"/>
    <w:rsid w:val="00800658"/>
    <w:rsid w:val="00801357"/>
    <w:rsid w:val="00801EB4"/>
    <w:rsid w:val="00802D21"/>
    <w:rsid w:val="00804137"/>
    <w:rsid w:val="00804285"/>
    <w:rsid w:val="00804C56"/>
    <w:rsid w:val="0080506B"/>
    <w:rsid w:val="00805370"/>
    <w:rsid w:val="008067E0"/>
    <w:rsid w:val="00806EE5"/>
    <w:rsid w:val="008103B5"/>
    <w:rsid w:val="00813BC7"/>
    <w:rsid w:val="0081594D"/>
    <w:rsid w:val="00815B55"/>
    <w:rsid w:val="00815C56"/>
    <w:rsid w:val="00816250"/>
    <w:rsid w:val="00816AE5"/>
    <w:rsid w:val="0081723C"/>
    <w:rsid w:val="00817711"/>
    <w:rsid w:val="00820522"/>
    <w:rsid w:val="00820AC0"/>
    <w:rsid w:val="00821544"/>
    <w:rsid w:val="008215CB"/>
    <w:rsid w:val="00821660"/>
    <w:rsid w:val="008218A6"/>
    <w:rsid w:val="0082272D"/>
    <w:rsid w:val="008227E3"/>
    <w:rsid w:val="008236B6"/>
    <w:rsid w:val="00823B78"/>
    <w:rsid w:val="00823D73"/>
    <w:rsid w:val="008240C2"/>
    <w:rsid w:val="00824225"/>
    <w:rsid w:val="00824428"/>
    <w:rsid w:val="00824ABE"/>
    <w:rsid w:val="008255BA"/>
    <w:rsid w:val="00825F0C"/>
    <w:rsid w:val="00826E27"/>
    <w:rsid w:val="00826EFD"/>
    <w:rsid w:val="008270C2"/>
    <w:rsid w:val="00827615"/>
    <w:rsid w:val="00827776"/>
    <w:rsid w:val="00830492"/>
    <w:rsid w:val="00830AED"/>
    <w:rsid w:val="008329E9"/>
    <w:rsid w:val="00832C00"/>
    <w:rsid w:val="008338DD"/>
    <w:rsid w:val="00834DE7"/>
    <w:rsid w:val="0083522C"/>
    <w:rsid w:val="008355D8"/>
    <w:rsid w:val="00835AC1"/>
    <w:rsid w:val="008367FD"/>
    <w:rsid w:val="00836B07"/>
    <w:rsid w:val="0084018A"/>
    <w:rsid w:val="00841383"/>
    <w:rsid w:val="008416EC"/>
    <w:rsid w:val="008425EF"/>
    <w:rsid w:val="008427F7"/>
    <w:rsid w:val="008429B9"/>
    <w:rsid w:val="00842A3D"/>
    <w:rsid w:val="00843761"/>
    <w:rsid w:val="008446B6"/>
    <w:rsid w:val="00844A8D"/>
    <w:rsid w:val="0084540C"/>
    <w:rsid w:val="00846435"/>
    <w:rsid w:val="00847521"/>
    <w:rsid w:val="0084775A"/>
    <w:rsid w:val="00850323"/>
    <w:rsid w:val="00850874"/>
    <w:rsid w:val="00850CE9"/>
    <w:rsid w:val="00851001"/>
    <w:rsid w:val="008537D4"/>
    <w:rsid w:val="00855618"/>
    <w:rsid w:val="0085593E"/>
    <w:rsid w:val="00855AAA"/>
    <w:rsid w:val="00856168"/>
    <w:rsid w:val="00856F93"/>
    <w:rsid w:val="00857114"/>
    <w:rsid w:val="0086039B"/>
    <w:rsid w:val="008608B6"/>
    <w:rsid w:val="00860F3C"/>
    <w:rsid w:val="00861146"/>
    <w:rsid w:val="00861399"/>
    <w:rsid w:val="00862ECE"/>
    <w:rsid w:val="0086354A"/>
    <w:rsid w:val="008637CA"/>
    <w:rsid w:val="00864057"/>
    <w:rsid w:val="008646DF"/>
    <w:rsid w:val="00864BF5"/>
    <w:rsid w:val="00867175"/>
    <w:rsid w:val="00867DAD"/>
    <w:rsid w:val="0087012E"/>
    <w:rsid w:val="008702A6"/>
    <w:rsid w:val="008711F2"/>
    <w:rsid w:val="00872768"/>
    <w:rsid w:val="00872D74"/>
    <w:rsid w:val="00872DCC"/>
    <w:rsid w:val="0087300E"/>
    <w:rsid w:val="00873027"/>
    <w:rsid w:val="0087317C"/>
    <w:rsid w:val="00873B6A"/>
    <w:rsid w:val="00874155"/>
    <w:rsid w:val="0087498C"/>
    <w:rsid w:val="008749EA"/>
    <w:rsid w:val="0087525C"/>
    <w:rsid w:val="00875432"/>
    <w:rsid w:val="008754C8"/>
    <w:rsid w:val="00875E33"/>
    <w:rsid w:val="00876282"/>
    <w:rsid w:val="0087684C"/>
    <w:rsid w:val="008778F3"/>
    <w:rsid w:val="008802FC"/>
    <w:rsid w:val="008808D8"/>
    <w:rsid w:val="00880C48"/>
    <w:rsid w:val="00880F2D"/>
    <w:rsid w:val="008812F3"/>
    <w:rsid w:val="00881A77"/>
    <w:rsid w:val="00881DDE"/>
    <w:rsid w:val="00882945"/>
    <w:rsid w:val="00883B74"/>
    <w:rsid w:val="00883D71"/>
    <w:rsid w:val="00886573"/>
    <w:rsid w:val="00886FCD"/>
    <w:rsid w:val="008872DC"/>
    <w:rsid w:val="0088764A"/>
    <w:rsid w:val="00887C5F"/>
    <w:rsid w:val="0089070D"/>
    <w:rsid w:val="00890A53"/>
    <w:rsid w:val="00891E82"/>
    <w:rsid w:val="008922D8"/>
    <w:rsid w:val="008925E0"/>
    <w:rsid w:val="00892BA5"/>
    <w:rsid w:val="008938A4"/>
    <w:rsid w:val="00893E42"/>
    <w:rsid w:val="00894ECB"/>
    <w:rsid w:val="00895C2D"/>
    <w:rsid w:val="0089605C"/>
    <w:rsid w:val="00897372"/>
    <w:rsid w:val="008A2C93"/>
    <w:rsid w:val="008A4E00"/>
    <w:rsid w:val="008A56BD"/>
    <w:rsid w:val="008A5FA4"/>
    <w:rsid w:val="008A6619"/>
    <w:rsid w:val="008A69C9"/>
    <w:rsid w:val="008A6ADE"/>
    <w:rsid w:val="008A6D39"/>
    <w:rsid w:val="008A7591"/>
    <w:rsid w:val="008B0B9E"/>
    <w:rsid w:val="008B1293"/>
    <w:rsid w:val="008B1642"/>
    <w:rsid w:val="008B1B8A"/>
    <w:rsid w:val="008B29AD"/>
    <w:rsid w:val="008B4011"/>
    <w:rsid w:val="008B4106"/>
    <w:rsid w:val="008B422E"/>
    <w:rsid w:val="008B429B"/>
    <w:rsid w:val="008B49AF"/>
    <w:rsid w:val="008B4BB7"/>
    <w:rsid w:val="008B7172"/>
    <w:rsid w:val="008B75C7"/>
    <w:rsid w:val="008B78D9"/>
    <w:rsid w:val="008C01FD"/>
    <w:rsid w:val="008C02ED"/>
    <w:rsid w:val="008C0E05"/>
    <w:rsid w:val="008C0EC4"/>
    <w:rsid w:val="008C10BE"/>
    <w:rsid w:val="008C2868"/>
    <w:rsid w:val="008C2A1D"/>
    <w:rsid w:val="008C2FE9"/>
    <w:rsid w:val="008C3394"/>
    <w:rsid w:val="008C3658"/>
    <w:rsid w:val="008C3EC4"/>
    <w:rsid w:val="008C3F3C"/>
    <w:rsid w:val="008C49EC"/>
    <w:rsid w:val="008C4B84"/>
    <w:rsid w:val="008C6A51"/>
    <w:rsid w:val="008C6E51"/>
    <w:rsid w:val="008D138D"/>
    <w:rsid w:val="008D1B58"/>
    <w:rsid w:val="008D1F0A"/>
    <w:rsid w:val="008D29EF"/>
    <w:rsid w:val="008D2A7F"/>
    <w:rsid w:val="008D2F73"/>
    <w:rsid w:val="008D3DA9"/>
    <w:rsid w:val="008D3E9A"/>
    <w:rsid w:val="008D45FC"/>
    <w:rsid w:val="008D5CBA"/>
    <w:rsid w:val="008D744B"/>
    <w:rsid w:val="008E0D26"/>
    <w:rsid w:val="008E1D82"/>
    <w:rsid w:val="008E2181"/>
    <w:rsid w:val="008E21AE"/>
    <w:rsid w:val="008E2EDB"/>
    <w:rsid w:val="008E311D"/>
    <w:rsid w:val="008E35EB"/>
    <w:rsid w:val="008E42AE"/>
    <w:rsid w:val="008E46A6"/>
    <w:rsid w:val="008E474D"/>
    <w:rsid w:val="008E4D7B"/>
    <w:rsid w:val="008E510F"/>
    <w:rsid w:val="008E56A7"/>
    <w:rsid w:val="008E5973"/>
    <w:rsid w:val="008E5A67"/>
    <w:rsid w:val="008E5A90"/>
    <w:rsid w:val="008E681A"/>
    <w:rsid w:val="008E732C"/>
    <w:rsid w:val="008E777D"/>
    <w:rsid w:val="008F0C20"/>
    <w:rsid w:val="008F170E"/>
    <w:rsid w:val="008F1DB7"/>
    <w:rsid w:val="008F263F"/>
    <w:rsid w:val="008F5B67"/>
    <w:rsid w:val="008F6E60"/>
    <w:rsid w:val="008F7329"/>
    <w:rsid w:val="008F76CC"/>
    <w:rsid w:val="008F794A"/>
    <w:rsid w:val="00903446"/>
    <w:rsid w:val="00903B1C"/>
    <w:rsid w:val="009077E7"/>
    <w:rsid w:val="009100C1"/>
    <w:rsid w:val="0091029F"/>
    <w:rsid w:val="00910948"/>
    <w:rsid w:val="00910AA5"/>
    <w:rsid w:val="00910B90"/>
    <w:rsid w:val="00911456"/>
    <w:rsid w:val="00911AE9"/>
    <w:rsid w:val="009133FC"/>
    <w:rsid w:val="009143D9"/>
    <w:rsid w:val="009147B3"/>
    <w:rsid w:val="009169F4"/>
    <w:rsid w:val="009171C5"/>
    <w:rsid w:val="00917FB9"/>
    <w:rsid w:val="00920393"/>
    <w:rsid w:val="00920B87"/>
    <w:rsid w:val="0092154F"/>
    <w:rsid w:val="009223B2"/>
    <w:rsid w:val="00922C9F"/>
    <w:rsid w:val="00923126"/>
    <w:rsid w:val="00923261"/>
    <w:rsid w:val="00923A7F"/>
    <w:rsid w:val="00924410"/>
    <w:rsid w:val="00924546"/>
    <w:rsid w:val="00924873"/>
    <w:rsid w:val="00925052"/>
    <w:rsid w:val="00925DAF"/>
    <w:rsid w:val="00926263"/>
    <w:rsid w:val="009262E9"/>
    <w:rsid w:val="009267D8"/>
    <w:rsid w:val="0092695C"/>
    <w:rsid w:val="00926BDC"/>
    <w:rsid w:val="00926D50"/>
    <w:rsid w:val="00930227"/>
    <w:rsid w:val="00931041"/>
    <w:rsid w:val="0093112A"/>
    <w:rsid w:val="009316BF"/>
    <w:rsid w:val="00931ACB"/>
    <w:rsid w:val="009323B9"/>
    <w:rsid w:val="00932D57"/>
    <w:rsid w:val="00932F88"/>
    <w:rsid w:val="009334CB"/>
    <w:rsid w:val="00933889"/>
    <w:rsid w:val="009358FD"/>
    <w:rsid w:val="0093685C"/>
    <w:rsid w:val="00936CD4"/>
    <w:rsid w:val="0093747B"/>
    <w:rsid w:val="00937ADD"/>
    <w:rsid w:val="00937B20"/>
    <w:rsid w:val="0094020D"/>
    <w:rsid w:val="009408AC"/>
    <w:rsid w:val="009409DE"/>
    <w:rsid w:val="0094232B"/>
    <w:rsid w:val="00942EEB"/>
    <w:rsid w:val="00943993"/>
    <w:rsid w:val="00943DBD"/>
    <w:rsid w:val="009440F9"/>
    <w:rsid w:val="00944DBA"/>
    <w:rsid w:val="0094564A"/>
    <w:rsid w:val="00945728"/>
    <w:rsid w:val="00945F5F"/>
    <w:rsid w:val="009466A0"/>
    <w:rsid w:val="0094685F"/>
    <w:rsid w:val="00946C22"/>
    <w:rsid w:val="00946DD6"/>
    <w:rsid w:val="009472B2"/>
    <w:rsid w:val="00950AF3"/>
    <w:rsid w:val="009515F5"/>
    <w:rsid w:val="00952669"/>
    <w:rsid w:val="00952AC3"/>
    <w:rsid w:val="009532DF"/>
    <w:rsid w:val="00953431"/>
    <w:rsid w:val="0095348C"/>
    <w:rsid w:val="009534F1"/>
    <w:rsid w:val="00954629"/>
    <w:rsid w:val="00954D33"/>
    <w:rsid w:val="0095511A"/>
    <w:rsid w:val="00955BC3"/>
    <w:rsid w:val="0095616F"/>
    <w:rsid w:val="00956E34"/>
    <w:rsid w:val="009571A3"/>
    <w:rsid w:val="009614B1"/>
    <w:rsid w:val="00961F83"/>
    <w:rsid w:val="0096340A"/>
    <w:rsid w:val="00963E79"/>
    <w:rsid w:val="00965ABF"/>
    <w:rsid w:val="00965E11"/>
    <w:rsid w:val="0097064A"/>
    <w:rsid w:val="00970C52"/>
    <w:rsid w:val="00970C88"/>
    <w:rsid w:val="00972321"/>
    <w:rsid w:val="00972F12"/>
    <w:rsid w:val="0097469A"/>
    <w:rsid w:val="00975A7B"/>
    <w:rsid w:val="00976F29"/>
    <w:rsid w:val="0097761F"/>
    <w:rsid w:val="00980380"/>
    <w:rsid w:val="00980FC1"/>
    <w:rsid w:val="00982031"/>
    <w:rsid w:val="00983408"/>
    <w:rsid w:val="00983CC6"/>
    <w:rsid w:val="00984903"/>
    <w:rsid w:val="00984BDD"/>
    <w:rsid w:val="00984CDA"/>
    <w:rsid w:val="00984F9C"/>
    <w:rsid w:val="009862CF"/>
    <w:rsid w:val="00986C7D"/>
    <w:rsid w:val="00986E75"/>
    <w:rsid w:val="00987995"/>
    <w:rsid w:val="00990909"/>
    <w:rsid w:val="00990DAE"/>
    <w:rsid w:val="00991978"/>
    <w:rsid w:val="0099252A"/>
    <w:rsid w:val="00993824"/>
    <w:rsid w:val="00994C63"/>
    <w:rsid w:val="00995BA0"/>
    <w:rsid w:val="009965F7"/>
    <w:rsid w:val="0099662F"/>
    <w:rsid w:val="00997556"/>
    <w:rsid w:val="009A04D3"/>
    <w:rsid w:val="009A0778"/>
    <w:rsid w:val="009A07BE"/>
    <w:rsid w:val="009A23D0"/>
    <w:rsid w:val="009A55A8"/>
    <w:rsid w:val="009A5616"/>
    <w:rsid w:val="009A59C2"/>
    <w:rsid w:val="009A59DD"/>
    <w:rsid w:val="009A6C67"/>
    <w:rsid w:val="009A766B"/>
    <w:rsid w:val="009A77C5"/>
    <w:rsid w:val="009A799A"/>
    <w:rsid w:val="009B03FC"/>
    <w:rsid w:val="009B065A"/>
    <w:rsid w:val="009B0D5F"/>
    <w:rsid w:val="009B10C7"/>
    <w:rsid w:val="009B1CF6"/>
    <w:rsid w:val="009B2260"/>
    <w:rsid w:val="009B2491"/>
    <w:rsid w:val="009B3573"/>
    <w:rsid w:val="009B3B52"/>
    <w:rsid w:val="009B48DA"/>
    <w:rsid w:val="009B505B"/>
    <w:rsid w:val="009B6659"/>
    <w:rsid w:val="009B7888"/>
    <w:rsid w:val="009B79E4"/>
    <w:rsid w:val="009C0B67"/>
    <w:rsid w:val="009C0DCA"/>
    <w:rsid w:val="009C16E3"/>
    <w:rsid w:val="009C1739"/>
    <w:rsid w:val="009C1C9C"/>
    <w:rsid w:val="009C2838"/>
    <w:rsid w:val="009C3C63"/>
    <w:rsid w:val="009C47F4"/>
    <w:rsid w:val="009C48B3"/>
    <w:rsid w:val="009C4911"/>
    <w:rsid w:val="009C5600"/>
    <w:rsid w:val="009C5796"/>
    <w:rsid w:val="009C6442"/>
    <w:rsid w:val="009C65D5"/>
    <w:rsid w:val="009C6B72"/>
    <w:rsid w:val="009C7188"/>
    <w:rsid w:val="009C7568"/>
    <w:rsid w:val="009C7865"/>
    <w:rsid w:val="009D00D8"/>
    <w:rsid w:val="009D1334"/>
    <w:rsid w:val="009D1C72"/>
    <w:rsid w:val="009D1D9C"/>
    <w:rsid w:val="009D21A2"/>
    <w:rsid w:val="009D24D4"/>
    <w:rsid w:val="009D2521"/>
    <w:rsid w:val="009D27B2"/>
    <w:rsid w:val="009D2D08"/>
    <w:rsid w:val="009D2ED5"/>
    <w:rsid w:val="009D4F3F"/>
    <w:rsid w:val="009D5DDE"/>
    <w:rsid w:val="009D61A5"/>
    <w:rsid w:val="009D66DE"/>
    <w:rsid w:val="009D71C7"/>
    <w:rsid w:val="009D79B4"/>
    <w:rsid w:val="009D7E26"/>
    <w:rsid w:val="009D7E68"/>
    <w:rsid w:val="009E042D"/>
    <w:rsid w:val="009E06AB"/>
    <w:rsid w:val="009E1DEB"/>
    <w:rsid w:val="009E2896"/>
    <w:rsid w:val="009E3160"/>
    <w:rsid w:val="009E404C"/>
    <w:rsid w:val="009E5536"/>
    <w:rsid w:val="009E56BA"/>
    <w:rsid w:val="009E5B96"/>
    <w:rsid w:val="009E61C7"/>
    <w:rsid w:val="009E63AF"/>
    <w:rsid w:val="009E6D5E"/>
    <w:rsid w:val="009E7008"/>
    <w:rsid w:val="009E769C"/>
    <w:rsid w:val="009F0401"/>
    <w:rsid w:val="009F0E77"/>
    <w:rsid w:val="009F0E8A"/>
    <w:rsid w:val="009F1367"/>
    <w:rsid w:val="009F1410"/>
    <w:rsid w:val="009F1462"/>
    <w:rsid w:val="009F1B26"/>
    <w:rsid w:val="009F1DC9"/>
    <w:rsid w:val="009F2F2A"/>
    <w:rsid w:val="009F3BE9"/>
    <w:rsid w:val="009F58A7"/>
    <w:rsid w:val="009F61D7"/>
    <w:rsid w:val="009F6358"/>
    <w:rsid w:val="009F75CE"/>
    <w:rsid w:val="009F790B"/>
    <w:rsid w:val="009F7DA3"/>
    <w:rsid w:val="00A0095D"/>
    <w:rsid w:val="00A00976"/>
    <w:rsid w:val="00A00AC7"/>
    <w:rsid w:val="00A00B1B"/>
    <w:rsid w:val="00A01847"/>
    <w:rsid w:val="00A020DC"/>
    <w:rsid w:val="00A02FF4"/>
    <w:rsid w:val="00A033E6"/>
    <w:rsid w:val="00A0406E"/>
    <w:rsid w:val="00A04C6C"/>
    <w:rsid w:val="00A05436"/>
    <w:rsid w:val="00A062D6"/>
    <w:rsid w:val="00A06924"/>
    <w:rsid w:val="00A07C15"/>
    <w:rsid w:val="00A104A5"/>
    <w:rsid w:val="00A112FF"/>
    <w:rsid w:val="00A12893"/>
    <w:rsid w:val="00A12B32"/>
    <w:rsid w:val="00A13881"/>
    <w:rsid w:val="00A13E52"/>
    <w:rsid w:val="00A14D04"/>
    <w:rsid w:val="00A15766"/>
    <w:rsid w:val="00A16E61"/>
    <w:rsid w:val="00A17B22"/>
    <w:rsid w:val="00A2064B"/>
    <w:rsid w:val="00A20B06"/>
    <w:rsid w:val="00A211B8"/>
    <w:rsid w:val="00A21E94"/>
    <w:rsid w:val="00A2325F"/>
    <w:rsid w:val="00A235A2"/>
    <w:rsid w:val="00A23749"/>
    <w:rsid w:val="00A24359"/>
    <w:rsid w:val="00A24594"/>
    <w:rsid w:val="00A25CCE"/>
    <w:rsid w:val="00A27AE0"/>
    <w:rsid w:val="00A30ED6"/>
    <w:rsid w:val="00A311E1"/>
    <w:rsid w:val="00A31DCE"/>
    <w:rsid w:val="00A33DEB"/>
    <w:rsid w:val="00A3401E"/>
    <w:rsid w:val="00A3445F"/>
    <w:rsid w:val="00A3507E"/>
    <w:rsid w:val="00A35471"/>
    <w:rsid w:val="00A35C4F"/>
    <w:rsid w:val="00A3610D"/>
    <w:rsid w:val="00A36880"/>
    <w:rsid w:val="00A36C44"/>
    <w:rsid w:val="00A377E9"/>
    <w:rsid w:val="00A40A4A"/>
    <w:rsid w:val="00A40E64"/>
    <w:rsid w:val="00A415C2"/>
    <w:rsid w:val="00A42685"/>
    <w:rsid w:val="00A42B99"/>
    <w:rsid w:val="00A4304F"/>
    <w:rsid w:val="00A439DD"/>
    <w:rsid w:val="00A43AC6"/>
    <w:rsid w:val="00A43B1E"/>
    <w:rsid w:val="00A447F7"/>
    <w:rsid w:val="00A44D01"/>
    <w:rsid w:val="00A44F96"/>
    <w:rsid w:val="00A452A0"/>
    <w:rsid w:val="00A45F9C"/>
    <w:rsid w:val="00A46B1A"/>
    <w:rsid w:val="00A46E38"/>
    <w:rsid w:val="00A50737"/>
    <w:rsid w:val="00A5104D"/>
    <w:rsid w:val="00A51B26"/>
    <w:rsid w:val="00A51CC4"/>
    <w:rsid w:val="00A51F48"/>
    <w:rsid w:val="00A5281F"/>
    <w:rsid w:val="00A52935"/>
    <w:rsid w:val="00A53466"/>
    <w:rsid w:val="00A536F5"/>
    <w:rsid w:val="00A53D38"/>
    <w:rsid w:val="00A543BF"/>
    <w:rsid w:val="00A544D8"/>
    <w:rsid w:val="00A54787"/>
    <w:rsid w:val="00A54BE6"/>
    <w:rsid w:val="00A55239"/>
    <w:rsid w:val="00A56355"/>
    <w:rsid w:val="00A565C8"/>
    <w:rsid w:val="00A57351"/>
    <w:rsid w:val="00A57E6E"/>
    <w:rsid w:val="00A609DC"/>
    <w:rsid w:val="00A60CC6"/>
    <w:rsid w:val="00A60E09"/>
    <w:rsid w:val="00A61388"/>
    <w:rsid w:val="00A61AA8"/>
    <w:rsid w:val="00A61CE3"/>
    <w:rsid w:val="00A630D2"/>
    <w:rsid w:val="00A6335C"/>
    <w:rsid w:val="00A6445E"/>
    <w:rsid w:val="00A644BD"/>
    <w:rsid w:val="00A64FAE"/>
    <w:rsid w:val="00A65287"/>
    <w:rsid w:val="00A65746"/>
    <w:rsid w:val="00A65755"/>
    <w:rsid w:val="00A673AB"/>
    <w:rsid w:val="00A67AEE"/>
    <w:rsid w:val="00A70085"/>
    <w:rsid w:val="00A70B72"/>
    <w:rsid w:val="00A73508"/>
    <w:rsid w:val="00A74965"/>
    <w:rsid w:val="00A7712E"/>
    <w:rsid w:val="00A7741B"/>
    <w:rsid w:val="00A77C3D"/>
    <w:rsid w:val="00A80A0E"/>
    <w:rsid w:val="00A8127B"/>
    <w:rsid w:val="00A81C67"/>
    <w:rsid w:val="00A81DE9"/>
    <w:rsid w:val="00A81FF7"/>
    <w:rsid w:val="00A822EC"/>
    <w:rsid w:val="00A835F5"/>
    <w:rsid w:val="00A836A9"/>
    <w:rsid w:val="00A8507C"/>
    <w:rsid w:val="00A852C4"/>
    <w:rsid w:val="00A85519"/>
    <w:rsid w:val="00A867E6"/>
    <w:rsid w:val="00A87475"/>
    <w:rsid w:val="00A87811"/>
    <w:rsid w:val="00A8791C"/>
    <w:rsid w:val="00A87EF0"/>
    <w:rsid w:val="00A91CF7"/>
    <w:rsid w:val="00A91E5A"/>
    <w:rsid w:val="00A92250"/>
    <w:rsid w:val="00A94429"/>
    <w:rsid w:val="00A948BF"/>
    <w:rsid w:val="00A9556B"/>
    <w:rsid w:val="00A95637"/>
    <w:rsid w:val="00A95B87"/>
    <w:rsid w:val="00A95F7B"/>
    <w:rsid w:val="00A964D3"/>
    <w:rsid w:val="00A967D3"/>
    <w:rsid w:val="00A9709B"/>
    <w:rsid w:val="00A97AEC"/>
    <w:rsid w:val="00AA01F7"/>
    <w:rsid w:val="00AA165D"/>
    <w:rsid w:val="00AA1E21"/>
    <w:rsid w:val="00AA1FF5"/>
    <w:rsid w:val="00AA2276"/>
    <w:rsid w:val="00AA2D9D"/>
    <w:rsid w:val="00AA39B0"/>
    <w:rsid w:val="00AA3DD7"/>
    <w:rsid w:val="00AA75D4"/>
    <w:rsid w:val="00AA75DC"/>
    <w:rsid w:val="00AA79A1"/>
    <w:rsid w:val="00AA7E4C"/>
    <w:rsid w:val="00AB0CDF"/>
    <w:rsid w:val="00AB1856"/>
    <w:rsid w:val="00AB2572"/>
    <w:rsid w:val="00AB3785"/>
    <w:rsid w:val="00AB3C22"/>
    <w:rsid w:val="00AB4721"/>
    <w:rsid w:val="00AB4D1E"/>
    <w:rsid w:val="00AB5FF8"/>
    <w:rsid w:val="00AB6091"/>
    <w:rsid w:val="00AB641F"/>
    <w:rsid w:val="00AB7618"/>
    <w:rsid w:val="00AC03B1"/>
    <w:rsid w:val="00AC03BE"/>
    <w:rsid w:val="00AC0A86"/>
    <w:rsid w:val="00AC0C5D"/>
    <w:rsid w:val="00AC27D8"/>
    <w:rsid w:val="00AC3A6A"/>
    <w:rsid w:val="00AC3B94"/>
    <w:rsid w:val="00AC44F8"/>
    <w:rsid w:val="00AC4B70"/>
    <w:rsid w:val="00AC598D"/>
    <w:rsid w:val="00AC5A1C"/>
    <w:rsid w:val="00AC5A68"/>
    <w:rsid w:val="00AC5E3C"/>
    <w:rsid w:val="00AC643A"/>
    <w:rsid w:val="00AC6F82"/>
    <w:rsid w:val="00AC739B"/>
    <w:rsid w:val="00AC7E75"/>
    <w:rsid w:val="00AC7FC5"/>
    <w:rsid w:val="00AD0AE8"/>
    <w:rsid w:val="00AD1251"/>
    <w:rsid w:val="00AD1FDD"/>
    <w:rsid w:val="00AD2C66"/>
    <w:rsid w:val="00AD33D7"/>
    <w:rsid w:val="00AD3BA1"/>
    <w:rsid w:val="00AD4D9F"/>
    <w:rsid w:val="00AD4FF5"/>
    <w:rsid w:val="00AD566F"/>
    <w:rsid w:val="00AD617C"/>
    <w:rsid w:val="00AD682C"/>
    <w:rsid w:val="00AD6DD7"/>
    <w:rsid w:val="00AD6F97"/>
    <w:rsid w:val="00AD7BC4"/>
    <w:rsid w:val="00AD7DDF"/>
    <w:rsid w:val="00AE07DA"/>
    <w:rsid w:val="00AE10AC"/>
    <w:rsid w:val="00AE1597"/>
    <w:rsid w:val="00AE1A74"/>
    <w:rsid w:val="00AE2077"/>
    <w:rsid w:val="00AE303D"/>
    <w:rsid w:val="00AE415B"/>
    <w:rsid w:val="00AE49C9"/>
    <w:rsid w:val="00AE4ACB"/>
    <w:rsid w:val="00AE5755"/>
    <w:rsid w:val="00AE5B84"/>
    <w:rsid w:val="00AE7EC6"/>
    <w:rsid w:val="00AF04D1"/>
    <w:rsid w:val="00AF0E9D"/>
    <w:rsid w:val="00AF1426"/>
    <w:rsid w:val="00AF1F5D"/>
    <w:rsid w:val="00AF2034"/>
    <w:rsid w:val="00AF2BD4"/>
    <w:rsid w:val="00AF2D1E"/>
    <w:rsid w:val="00AF3ADA"/>
    <w:rsid w:val="00AF3C92"/>
    <w:rsid w:val="00AF4979"/>
    <w:rsid w:val="00AF4AEF"/>
    <w:rsid w:val="00AF51FC"/>
    <w:rsid w:val="00AF57F4"/>
    <w:rsid w:val="00AF599A"/>
    <w:rsid w:val="00AF5C74"/>
    <w:rsid w:val="00AF5F82"/>
    <w:rsid w:val="00AF6CB0"/>
    <w:rsid w:val="00AF6F2E"/>
    <w:rsid w:val="00AF72C6"/>
    <w:rsid w:val="00B01423"/>
    <w:rsid w:val="00B02412"/>
    <w:rsid w:val="00B02819"/>
    <w:rsid w:val="00B04704"/>
    <w:rsid w:val="00B04CBF"/>
    <w:rsid w:val="00B050CD"/>
    <w:rsid w:val="00B053FF"/>
    <w:rsid w:val="00B05C17"/>
    <w:rsid w:val="00B061AF"/>
    <w:rsid w:val="00B07342"/>
    <w:rsid w:val="00B077D1"/>
    <w:rsid w:val="00B07ABF"/>
    <w:rsid w:val="00B10719"/>
    <w:rsid w:val="00B108A4"/>
    <w:rsid w:val="00B11046"/>
    <w:rsid w:val="00B11217"/>
    <w:rsid w:val="00B1139B"/>
    <w:rsid w:val="00B11B9A"/>
    <w:rsid w:val="00B11EE4"/>
    <w:rsid w:val="00B13DD8"/>
    <w:rsid w:val="00B14687"/>
    <w:rsid w:val="00B146B3"/>
    <w:rsid w:val="00B15452"/>
    <w:rsid w:val="00B1623A"/>
    <w:rsid w:val="00B170C9"/>
    <w:rsid w:val="00B17A39"/>
    <w:rsid w:val="00B21476"/>
    <w:rsid w:val="00B21935"/>
    <w:rsid w:val="00B21E3A"/>
    <w:rsid w:val="00B21F7F"/>
    <w:rsid w:val="00B23FEC"/>
    <w:rsid w:val="00B2470C"/>
    <w:rsid w:val="00B256BE"/>
    <w:rsid w:val="00B25EB9"/>
    <w:rsid w:val="00B266C0"/>
    <w:rsid w:val="00B275AD"/>
    <w:rsid w:val="00B3078E"/>
    <w:rsid w:val="00B3110C"/>
    <w:rsid w:val="00B31509"/>
    <w:rsid w:val="00B31A60"/>
    <w:rsid w:val="00B31BB3"/>
    <w:rsid w:val="00B325F4"/>
    <w:rsid w:val="00B3321A"/>
    <w:rsid w:val="00B33916"/>
    <w:rsid w:val="00B33C9D"/>
    <w:rsid w:val="00B344F9"/>
    <w:rsid w:val="00B35095"/>
    <w:rsid w:val="00B35E73"/>
    <w:rsid w:val="00B3605A"/>
    <w:rsid w:val="00B36A9C"/>
    <w:rsid w:val="00B36FEA"/>
    <w:rsid w:val="00B37743"/>
    <w:rsid w:val="00B3775A"/>
    <w:rsid w:val="00B3776A"/>
    <w:rsid w:val="00B402CD"/>
    <w:rsid w:val="00B406BE"/>
    <w:rsid w:val="00B41924"/>
    <w:rsid w:val="00B41C8E"/>
    <w:rsid w:val="00B42F98"/>
    <w:rsid w:val="00B43372"/>
    <w:rsid w:val="00B43E2B"/>
    <w:rsid w:val="00B44736"/>
    <w:rsid w:val="00B45239"/>
    <w:rsid w:val="00B4592C"/>
    <w:rsid w:val="00B4698C"/>
    <w:rsid w:val="00B472D2"/>
    <w:rsid w:val="00B476FB"/>
    <w:rsid w:val="00B5238D"/>
    <w:rsid w:val="00B52D24"/>
    <w:rsid w:val="00B53753"/>
    <w:rsid w:val="00B53BCA"/>
    <w:rsid w:val="00B54AE0"/>
    <w:rsid w:val="00B54C2F"/>
    <w:rsid w:val="00B56112"/>
    <w:rsid w:val="00B566D5"/>
    <w:rsid w:val="00B56FFC"/>
    <w:rsid w:val="00B60ACA"/>
    <w:rsid w:val="00B61F8E"/>
    <w:rsid w:val="00B620AF"/>
    <w:rsid w:val="00B6246D"/>
    <w:rsid w:val="00B624D6"/>
    <w:rsid w:val="00B62813"/>
    <w:rsid w:val="00B62D29"/>
    <w:rsid w:val="00B63F12"/>
    <w:rsid w:val="00B6413E"/>
    <w:rsid w:val="00B642D8"/>
    <w:rsid w:val="00B647A9"/>
    <w:rsid w:val="00B65C18"/>
    <w:rsid w:val="00B66459"/>
    <w:rsid w:val="00B66520"/>
    <w:rsid w:val="00B669AD"/>
    <w:rsid w:val="00B67240"/>
    <w:rsid w:val="00B6797B"/>
    <w:rsid w:val="00B70AE3"/>
    <w:rsid w:val="00B71780"/>
    <w:rsid w:val="00B7272F"/>
    <w:rsid w:val="00B72EDB"/>
    <w:rsid w:val="00B7339A"/>
    <w:rsid w:val="00B739E9"/>
    <w:rsid w:val="00B739EC"/>
    <w:rsid w:val="00B73C6D"/>
    <w:rsid w:val="00B74C1D"/>
    <w:rsid w:val="00B75187"/>
    <w:rsid w:val="00B7564E"/>
    <w:rsid w:val="00B75BF2"/>
    <w:rsid w:val="00B7650B"/>
    <w:rsid w:val="00B765B3"/>
    <w:rsid w:val="00B76B79"/>
    <w:rsid w:val="00B76BDB"/>
    <w:rsid w:val="00B77EBA"/>
    <w:rsid w:val="00B77F92"/>
    <w:rsid w:val="00B82084"/>
    <w:rsid w:val="00B8307A"/>
    <w:rsid w:val="00B83807"/>
    <w:rsid w:val="00B83ACB"/>
    <w:rsid w:val="00B842FB"/>
    <w:rsid w:val="00B848F8"/>
    <w:rsid w:val="00B84A39"/>
    <w:rsid w:val="00B8529F"/>
    <w:rsid w:val="00B85639"/>
    <w:rsid w:val="00B85C69"/>
    <w:rsid w:val="00B86607"/>
    <w:rsid w:val="00B8681B"/>
    <w:rsid w:val="00B9075C"/>
    <w:rsid w:val="00B90F81"/>
    <w:rsid w:val="00B921D7"/>
    <w:rsid w:val="00B922AE"/>
    <w:rsid w:val="00B926AF"/>
    <w:rsid w:val="00B92C76"/>
    <w:rsid w:val="00B95099"/>
    <w:rsid w:val="00B9582E"/>
    <w:rsid w:val="00B96641"/>
    <w:rsid w:val="00B96949"/>
    <w:rsid w:val="00B97053"/>
    <w:rsid w:val="00B9730E"/>
    <w:rsid w:val="00B97F42"/>
    <w:rsid w:val="00BA0519"/>
    <w:rsid w:val="00BA07B7"/>
    <w:rsid w:val="00BA0C39"/>
    <w:rsid w:val="00BA12CF"/>
    <w:rsid w:val="00BA1CB2"/>
    <w:rsid w:val="00BA1CB9"/>
    <w:rsid w:val="00BA395A"/>
    <w:rsid w:val="00BA40B7"/>
    <w:rsid w:val="00BA4397"/>
    <w:rsid w:val="00BA47B3"/>
    <w:rsid w:val="00BA538C"/>
    <w:rsid w:val="00BA581E"/>
    <w:rsid w:val="00BA5860"/>
    <w:rsid w:val="00BA5E04"/>
    <w:rsid w:val="00BA6E9D"/>
    <w:rsid w:val="00BA721D"/>
    <w:rsid w:val="00BA77DA"/>
    <w:rsid w:val="00BA7B0E"/>
    <w:rsid w:val="00BB00D2"/>
    <w:rsid w:val="00BB01D5"/>
    <w:rsid w:val="00BB020F"/>
    <w:rsid w:val="00BB06AF"/>
    <w:rsid w:val="00BB1793"/>
    <w:rsid w:val="00BB253B"/>
    <w:rsid w:val="00BB3C74"/>
    <w:rsid w:val="00BB46AD"/>
    <w:rsid w:val="00BB572D"/>
    <w:rsid w:val="00BB66D1"/>
    <w:rsid w:val="00BB7003"/>
    <w:rsid w:val="00BB734A"/>
    <w:rsid w:val="00BB7974"/>
    <w:rsid w:val="00BC03CA"/>
    <w:rsid w:val="00BC0A06"/>
    <w:rsid w:val="00BC0D6E"/>
    <w:rsid w:val="00BC1CA0"/>
    <w:rsid w:val="00BC2486"/>
    <w:rsid w:val="00BC273A"/>
    <w:rsid w:val="00BC28A4"/>
    <w:rsid w:val="00BC2A74"/>
    <w:rsid w:val="00BC36AB"/>
    <w:rsid w:val="00BC3D28"/>
    <w:rsid w:val="00BC4638"/>
    <w:rsid w:val="00BC49D8"/>
    <w:rsid w:val="00BC49EA"/>
    <w:rsid w:val="00BC5355"/>
    <w:rsid w:val="00BC622B"/>
    <w:rsid w:val="00BC6C48"/>
    <w:rsid w:val="00BC6F10"/>
    <w:rsid w:val="00BC7189"/>
    <w:rsid w:val="00BC74D7"/>
    <w:rsid w:val="00BD016F"/>
    <w:rsid w:val="00BD06EE"/>
    <w:rsid w:val="00BD08C5"/>
    <w:rsid w:val="00BD0C9F"/>
    <w:rsid w:val="00BD1165"/>
    <w:rsid w:val="00BD1461"/>
    <w:rsid w:val="00BD1DD9"/>
    <w:rsid w:val="00BD2B19"/>
    <w:rsid w:val="00BD2C07"/>
    <w:rsid w:val="00BD2D14"/>
    <w:rsid w:val="00BD3A45"/>
    <w:rsid w:val="00BD49E8"/>
    <w:rsid w:val="00BD5064"/>
    <w:rsid w:val="00BD5385"/>
    <w:rsid w:val="00BD6D2C"/>
    <w:rsid w:val="00BD726A"/>
    <w:rsid w:val="00BE074D"/>
    <w:rsid w:val="00BE079A"/>
    <w:rsid w:val="00BE08D9"/>
    <w:rsid w:val="00BE0BA2"/>
    <w:rsid w:val="00BE1888"/>
    <w:rsid w:val="00BE19B0"/>
    <w:rsid w:val="00BE1A8A"/>
    <w:rsid w:val="00BE2085"/>
    <w:rsid w:val="00BE27CC"/>
    <w:rsid w:val="00BE2D84"/>
    <w:rsid w:val="00BE2F95"/>
    <w:rsid w:val="00BE4AAB"/>
    <w:rsid w:val="00BE4F39"/>
    <w:rsid w:val="00BE65DC"/>
    <w:rsid w:val="00BE692F"/>
    <w:rsid w:val="00BF0216"/>
    <w:rsid w:val="00BF0845"/>
    <w:rsid w:val="00BF08D2"/>
    <w:rsid w:val="00BF24B7"/>
    <w:rsid w:val="00BF270E"/>
    <w:rsid w:val="00BF340F"/>
    <w:rsid w:val="00BF37A7"/>
    <w:rsid w:val="00BF39F5"/>
    <w:rsid w:val="00BF3B3A"/>
    <w:rsid w:val="00BF41D3"/>
    <w:rsid w:val="00BF4863"/>
    <w:rsid w:val="00BF52BD"/>
    <w:rsid w:val="00BF7065"/>
    <w:rsid w:val="00BF78BE"/>
    <w:rsid w:val="00BF7995"/>
    <w:rsid w:val="00C003A2"/>
    <w:rsid w:val="00C00C4F"/>
    <w:rsid w:val="00C00C87"/>
    <w:rsid w:val="00C015A6"/>
    <w:rsid w:val="00C016D8"/>
    <w:rsid w:val="00C01DB2"/>
    <w:rsid w:val="00C02974"/>
    <w:rsid w:val="00C03225"/>
    <w:rsid w:val="00C03297"/>
    <w:rsid w:val="00C05375"/>
    <w:rsid w:val="00C062C5"/>
    <w:rsid w:val="00C07260"/>
    <w:rsid w:val="00C07985"/>
    <w:rsid w:val="00C1011C"/>
    <w:rsid w:val="00C101D7"/>
    <w:rsid w:val="00C10D85"/>
    <w:rsid w:val="00C1185B"/>
    <w:rsid w:val="00C12974"/>
    <w:rsid w:val="00C12BD7"/>
    <w:rsid w:val="00C13D3A"/>
    <w:rsid w:val="00C1508A"/>
    <w:rsid w:val="00C1539D"/>
    <w:rsid w:val="00C158F5"/>
    <w:rsid w:val="00C1604C"/>
    <w:rsid w:val="00C16674"/>
    <w:rsid w:val="00C16891"/>
    <w:rsid w:val="00C170A7"/>
    <w:rsid w:val="00C178F5"/>
    <w:rsid w:val="00C179A2"/>
    <w:rsid w:val="00C20A57"/>
    <w:rsid w:val="00C21113"/>
    <w:rsid w:val="00C21987"/>
    <w:rsid w:val="00C2198E"/>
    <w:rsid w:val="00C21FD9"/>
    <w:rsid w:val="00C22557"/>
    <w:rsid w:val="00C227DE"/>
    <w:rsid w:val="00C22DAD"/>
    <w:rsid w:val="00C230ED"/>
    <w:rsid w:val="00C23766"/>
    <w:rsid w:val="00C24F95"/>
    <w:rsid w:val="00C25079"/>
    <w:rsid w:val="00C255D1"/>
    <w:rsid w:val="00C25C1D"/>
    <w:rsid w:val="00C2606D"/>
    <w:rsid w:val="00C319AF"/>
    <w:rsid w:val="00C3232D"/>
    <w:rsid w:val="00C3257C"/>
    <w:rsid w:val="00C330FF"/>
    <w:rsid w:val="00C3378F"/>
    <w:rsid w:val="00C3381F"/>
    <w:rsid w:val="00C34A91"/>
    <w:rsid w:val="00C34CFD"/>
    <w:rsid w:val="00C35391"/>
    <w:rsid w:val="00C35F5F"/>
    <w:rsid w:val="00C37E01"/>
    <w:rsid w:val="00C400B5"/>
    <w:rsid w:val="00C40158"/>
    <w:rsid w:val="00C40B78"/>
    <w:rsid w:val="00C412CC"/>
    <w:rsid w:val="00C427A5"/>
    <w:rsid w:val="00C43115"/>
    <w:rsid w:val="00C431BE"/>
    <w:rsid w:val="00C435FA"/>
    <w:rsid w:val="00C437CE"/>
    <w:rsid w:val="00C44600"/>
    <w:rsid w:val="00C453AD"/>
    <w:rsid w:val="00C4602D"/>
    <w:rsid w:val="00C4621D"/>
    <w:rsid w:val="00C471D3"/>
    <w:rsid w:val="00C47527"/>
    <w:rsid w:val="00C5077A"/>
    <w:rsid w:val="00C50A6A"/>
    <w:rsid w:val="00C50DB7"/>
    <w:rsid w:val="00C51460"/>
    <w:rsid w:val="00C51AA5"/>
    <w:rsid w:val="00C524AC"/>
    <w:rsid w:val="00C5351F"/>
    <w:rsid w:val="00C53E40"/>
    <w:rsid w:val="00C5465D"/>
    <w:rsid w:val="00C557EE"/>
    <w:rsid w:val="00C55CA5"/>
    <w:rsid w:val="00C5619A"/>
    <w:rsid w:val="00C5685B"/>
    <w:rsid w:val="00C570A2"/>
    <w:rsid w:val="00C604E0"/>
    <w:rsid w:val="00C60664"/>
    <w:rsid w:val="00C60B61"/>
    <w:rsid w:val="00C611FD"/>
    <w:rsid w:val="00C61574"/>
    <w:rsid w:val="00C628EA"/>
    <w:rsid w:val="00C62CCE"/>
    <w:rsid w:val="00C645E2"/>
    <w:rsid w:val="00C65232"/>
    <w:rsid w:val="00C6674B"/>
    <w:rsid w:val="00C66D40"/>
    <w:rsid w:val="00C67D1F"/>
    <w:rsid w:val="00C67E5D"/>
    <w:rsid w:val="00C702C1"/>
    <w:rsid w:val="00C703AD"/>
    <w:rsid w:val="00C70B20"/>
    <w:rsid w:val="00C70C3A"/>
    <w:rsid w:val="00C70E1C"/>
    <w:rsid w:val="00C7174E"/>
    <w:rsid w:val="00C722A1"/>
    <w:rsid w:val="00C74E37"/>
    <w:rsid w:val="00C769B9"/>
    <w:rsid w:val="00C80774"/>
    <w:rsid w:val="00C80AEE"/>
    <w:rsid w:val="00C811FC"/>
    <w:rsid w:val="00C8233D"/>
    <w:rsid w:val="00C82440"/>
    <w:rsid w:val="00C82535"/>
    <w:rsid w:val="00C831D5"/>
    <w:rsid w:val="00C83411"/>
    <w:rsid w:val="00C836C7"/>
    <w:rsid w:val="00C83B76"/>
    <w:rsid w:val="00C8453F"/>
    <w:rsid w:val="00C84CDC"/>
    <w:rsid w:val="00C8560A"/>
    <w:rsid w:val="00C86A40"/>
    <w:rsid w:val="00C87407"/>
    <w:rsid w:val="00C8745F"/>
    <w:rsid w:val="00C875F8"/>
    <w:rsid w:val="00C8767B"/>
    <w:rsid w:val="00C87DA2"/>
    <w:rsid w:val="00C87F28"/>
    <w:rsid w:val="00C903DA"/>
    <w:rsid w:val="00C903FF"/>
    <w:rsid w:val="00C90714"/>
    <w:rsid w:val="00C915AF"/>
    <w:rsid w:val="00C91B3D"/>
    <w:rsid w:val="00C92CA1"/>
    <w:rsid w:val="00C92D64"/>
    <w:rsid w:val="00C93592"/>
    <w:rsid w:val="00C94291"/>
    <w:rsid w:val="00C94306"/>
    <w:rsid w:val="00C948A7"/>
    <w:rsid w:val="00C94FAE"/>
    <w:rsid w:val="00C958C3"/>
    <w:rsid w:val="00C9724B"/>
    <w:rsid w:val="00C97F4B"/>
    <w:rsid w:val="00CA065D"/>
    <w:rsid w:val="00CA1923"/>
    <w:rsid w:val="00CA2EF3"/>
    <w:rsid w:val="00CA34EE"/>
    <w:rsid w:val="00CA3D48"/>
    <w:rsid w:val="00CA40E2"/>
    <w:rsid w:val="00CA522B"/>
    <w:rsid w:val="00CA5C73"/>
    <w:rsid w:val="00CA5D02"/>
    <w:rsid w:val="00CA5EC8"/>
    <w:rsid w:val="00CA61F4"/>
    <w:rsid w:val="00CA745E"/>
    <w:rsid w:val="00CB001A"/>
    <w:rsid w:val="00CB00B8"/>
    <w:rsid w:val="00CB0ED4"/>
    <w:rsid w:val="00CB168A"/>
    <w:rsid w:val="00CB1717"/>
    <w:rsid w:val="00CB1924"/>
    <w:rsid w:val="00CB1E5F"/>
    <w:rsid w:val="00CB1F2D"/>
    <w:rsid w:val="00CB2DD0"/>
    <w:rsid w:val="00CB4755"/>
    <w:rsid w:val="00CB480B"/>
    <w:rsid w:val="00CB6057"/>
    <w:rsid w:val="00CB68FB"/>
    <w:rsid w:val="00CB6F9B"/>
    <w:rsid w:val="00CB6FC3"/>
    <w:rsid w:val="00CB74EF"/>
    <w:rsid w:val="00CB7772"/>
    <w:rsid w:val="00CB7FC7"/>
    <w:rsid w:val="00CC24F6"/>
    <w:rsid w:val="00CC3590"/>
    <w:rsid w:val="00CC3B30"/>
    <w:rsid w:val="00CC565B"/>
    <w:rsid w:val="00CC5D7C"/>
    <w:rsid w:val="00CC7BD3"/>
    <w:rsid w:val="00CD0D5A"/>
    <w:rsid w:val="00CD197F"/>
    <w:rsid w:val="00CD221F"/>
    <w:rsid w:val="00CD2980"/>
    <w:rsid w:val="00CD2DCB"/>
    <w:rsid w:val="00CD2FB3"/>
    <w:rsid w:val="00CD379D"/>
    <w:rsid w:val="00CD3AF1"/>
    <w:rsid w:val="00CD3E4D"/>
    <w:rsid w:val="00CD55CC"/>
    <w:rsid w:val="00CD573B"/>
    <w:rsid w:val="00CD5BAD"/>
    <w:rsid w:val="00CD601C"/>
    <w:rsid w:val="00CD625A"/>
    <w:rsid w:val="00CD6317"/>
    <w:rsid w:val="00CD65AB"/>
    <w:rsid w:val="00CD6B64"/>
    <w:rsid w:val="00CD6C75"/>
    <w:rsid w:val="00CD721B"/>
    <w:rsid w:val="00CD7DAB"/>
    <w:rsid w:val="00CE00F6"/>
    <w:rsid w:val="00CE05E7"/>
    <w:rsid w:val="00CE09F6"/>
    <w:rsid w:val="00CE12E9"/>
    <w:rsid w:val="00CE14AC"/>
    <w:rsid w:val="00CE1C09"/>
    <w:rsid w:val="00CE2153"/>
    <w:rsid w:val="00CE2D68"/>
    <w:rsid w:val="00CE39C1"/>
    <w:rsid w:val="00CE3B87"/>
    <w:rsid w:val="00CE4239"/>
    <w:rsid w:val="00CE4FC9"/>
    <w:rsid w:val="00CE53E8"/>
    <w:rsid w:val="00CE56EB"/>
    <w:rsid w:val="00CE6352"/>
    <w:rsid w:val="00CE73FB"/>
    <w:rsid w:val="00CE797F"/>
    <w:rsid w:val="00CF05F7"/>
    <w:rsid w:val="00CF0633"/>
    <w:rsid w:val="00CF1865"/>
    <w:rsid w:val="00CF2991"/>
    <w:rsid w:val="00CF38DD"/>
    <w:rsid w:val="00CF42F7"/>
    <w:rsid w:val="00CF5902"/>
    <w:rsid w:val="00CF687B"/>
    <w:rsid w:val="00CF74D4"/>
    <w:rsid w:val="00CF7A8E"/>
    <w:rsid w:val="00D00A46"/>
    <w:rsid w:val="00D00E27"/>
    <w:rsid w:val="00D012A4"/>
    <w:rsid w:val="00D0299D"/>
    <w:rsid w:val="00D02A0C"/>
    <w:rsid w:val="00D02B25"/>
    <w:rsid w:val="00D03721"/>
    <w:rsid w:val="00D042F0"/>
    <w:rsid w:val="00D04FD8"/>
    <w:rsid w:val="00D0508F"/>
    <w:rsid w:val="00D057A7"/>
    <w:rsid w:val="00D06B5C"/>
    <w:rsid w:val="00D0748E"/>
    <w:rsid w:val="00D07887"/>
    <w:rsid w:val="00D07BCE"/>
    <w:rsid w:val="00D10939"/>
    <w:rsid w:val="00D10FCD"/>
    <w:rsid w:val="00D11349"/>
    <w:rsid w:val="00D12A55"/>
    <w:rsid w:val="00D13EF9"/>
    <w:rsid w:val="00D147F6"/>
    <w:rsid w:val="00D14B83"/>
    <w:rsid w:val="00D1515B"/>
    <w:rsid w:val="00D15241"/>
    <w:rsid w:val="00D15C25"/>
    <w:rsid w:val="00D17D9F"/>
    <w:rsid w:val="00D17DA4"/>
    <w:rsid w:val="00D220B8"/>
    <w:rsid w:val="00D224DB"/>
    <w:rsid w:val="00D22890"/>
    <w:rsid w:val="00D22F36"/>
    <w:rsid w:val="00D25381"/>
    <w:rsid w:val="00D255D5"/>
    <w:rsid w:val="00D259ED"/>
    <w:rsid w:val="00D2635B"/>
    <w:rsid w:val="00D27035"/>
    <w:rsid w:val="00D27B65"/>
    <w:rsid w:val="00D27E69"/>
    <w:rsid w:val="00D301AC"/>
    <w:rsid w:val="00D30442"/>
    <w:rsid w:val="00D3057F"/>
    <w:rsid w:val="00D31B03"/>
    <w:rsid w:val="00D31D63"/>
    <w:rsid w:val="00D325E7"/>
    <w:rsid w:val="00D33081"/>
    <w:rsid w:val="00D339DE"/>
    <w:rsid w:val="00D33CC9"/>
    <w:rsid w:val="00D34801"/>
    <w:rsid w:val="00D3618F"/>
    <w:rsid w:val="00D37E51"/>
    <w:rsid w:val="00D43629"/>
    <w:rsid w:val="00D437C2"/>
    <w:rsid w:val="00D44664"/>
    <w:rsid w:val="00D458B9"/>
    <w:rsid w:val="00D46FFD"/>
    <w:rsid w:val="00D47089"/>
    <w:rsid w:val="00D47AA5"/>
    <w:rsid w:val="00D503E7"/>
    <w:rsid w:val="00D50F43"/>
    <w:rsid w:val="00D520F2"/>
    <w:rsid w:val="00D526F0"/>
    <w:rsid w:val="00D52F51"/>
    <w:rsid w:val="00D53320"/>
    <w:rsid w:val="00D54177"/>
    <w:rsid w:val="00D54216"/>
    <w:rsid w:val="00D556D8"/>
    <w:rsid w:val="00D56A2B"/>
    <w:rsid w:val="00D56D74"/>
    <w:rsid w:val="00D60A41"/>
    <w:rsid w:val="00D61205"/>
    <w:rsid w:val="00D61CB8"/>
    <w:rsid w:val="00D61D10"/>
    <w:rsid w:val="00D62593"/>
    <w:rsid w:val="00D6271F"/>
    <w:rsid w:val="00D634F9"/>
    <w:rsid w:val="00D6395F"/>
    <w:rsid w:val="00D639E4"/>
    <w:rsid w:val="00D640A7"/>
    <w:rsid w:val="00D642F1"/>
    <w:rsid w:val="00D65276"/>
    <w:rsid w:val="00D65D01"/>
    <w:rsid w:val="00D65D48"/>
    <w:rsid w:val="00D65E3C"/>
    <w:rsid w:val="00D65E53"/>
    <w:rsid w:val="00D66050"/>
    <w:rsid w:val="00D6750A"/>
    <w:rsid w:val="00D67A33"/>
    <w:rsid w:val="00D67F1A"/>
    <w:rsid w:val="00D67FE9"/>
    <w:rsid w:val="00D70285"/>
    <w:rsid w:val="00D7098C"/>
    <w:rsid w:val="00D71B07"/>
    <w:rsid w:val="00D72629"/>
    <w:rsid w:val="00D732C5"/>
    <w:rsid w:val="00D7385D"/>
    <w:rsid w:val="00D74D4B"/>
    <w:rsid w:val="00D752A6"/>
    <w:rsid w:val="00D756E7"/>
    <w:rsid w:val="00D759D1"/>
    <w:rsid w:val="00D76453"/>
    <w:rsid w:val="00D76723"/>
    <w:rsid w:val="00D76EAA"/>
    <w:rsid w:val="00D7720D"/>
    <w:rsid w:val="00D77743"/>
    <w:rsid w:val="00D77933"/>
    <w:rsid w:val="00D809A8"/>
    <w:rsid w:val="00D80ACF"/>
    <w:rsid w:val="00D80F74"/>
    <w:rsid w:val="00D81544"/>
    <w:rsid w:val="00D818B2"/>
    <w:rsid w:val="00D8272A"/>
    <w:rsid w:val="00D8290B"/>
    <w:rsid w:val="00D82CF1"/>
    <w:rsid w:val="00D82E97"/>
    <w:rsid w:val="00D8348B"/>
    <w:rsid w:val="00D8385F"/>
    <w:rsid w:val="00D83E59"/>
    <w:rsid w:val="00D850ED"/>
    <w:rsid w:val="00D865A8"/>
    <w:rsid w:val="00D86C5C"/>
    <w:rsid w:val="00D8761B"/>
    <w:rsid w:val="00D8771E"/>
    <w:rsid w:val="00D8777D"/>
    <w:rsid w:val="00D87CAB"/>
    <w:rsid w:val="00D906F8"/>
    <w:rsid w:val="00D914C7"/>
    <w:rsid w:val="00D93172"/>
    <w:rsid w:val="00D9595D"/>
    <w:rsid w:val="00D95CE1"/>
    <w:rsid w:val="00D9673D"/>
    <w:rsid w:val="00D96B4F"/>
    <w:rsid w:val="00D96BE4"/>
    <w:rsid w:val="00D97451"/>
    <w:rsid w:val="00D97AC3"/>
    <w:rsid w:val="00DA02E4"/>
    <w:rsid w:val="00DA11A4"/>
    <w:rsid w:val="00DA16F7"/>
    <w:rsid w:val="00DA17EC"/>
    <w:rsid w:val="00DA1F4D"/>
    <w:rsid w:val="00DA26A6"/>
    <w:rsid w:val="00DA2BF0"/>
    <w:rsid w:val="00DA2C0C"/>
    <w:rsid w:val="00DA31DC"/>
    <w:rsid w:val="00DA3C22"/>
    <w:rsid w:val="00DA5849"/>
    <w:rsid w:val="00DA5D0A"/>
    <w:rsid w:val="00DA6052"/>
    <w:rsid w:val="00DA6AF4"/>
    <w:rsid w:val="00DA6B0C"/>
    <w:rsid w:val="00DA7F27"/>
    <w:rsid w:val="00DB078E"/>
    <w:rsid w:val="00DB2172"/>
    <w:rsid w:val="00DB25FA"/>
    <w:rsid w:val="00DB2F07"/>
    <w:rsid w:val="00DB3059"/>
    <w:rsid w:val="00DB3280"/>
    <w:rsid w:val="00DB42D4"/>
    <w:rsid w:val="00DB44B2"/>
    <w:rsid w:val="00DB4921"/>
    <w:rsid w:val="00DB5571"/>
    <w:rsid w:val="00DB6546"/>
    <w:rsid w:val="00DB6704"/>
    <w:rsid w:val="00DB6C9F"/>
    <w:rsid w:val="00DB6D9B"/>
    <w:rsid w:val="00DB6F89"/>
    <w:rsid w:val="00DB6FFE"/>
    <w:rsid w:val="00DC08D5"/>
    <w:rsid w:val="00DC1B53"/>
    <w:rsid w:val="00DC3471"/>
    <w:rsid w:val="00DC3C23"/>
    <w:rsid w:val="00DC525E"/>
    <w:rsid w:val="00DC5B42"/>
    <w:rsid w:val="00DC680D"/>
    <w:rsid w:val="00DC68C7"/>
    <w:rsid w:val="00DC77EB"/>
    <w:rsid w:val="00DC7C57"/>
    <w:rsid w:val="00DD05AD"/>
    <w:rsid w:val="00DD11B3"/>
    <w:rsid w:val="00DD1401"/>
    <w:rsid w:val="00DD14E3"/>
    <w:rsid w:val="00DD1F4A"/>
    <w:rsid w:val="00DD1F9F"/>
    <w:rsid w:val="00DD2891"/>
    <w:rsid w:val="00DD3316"/>
    <w:rsid w:val="00DD340B"/>
    <w:rsid w:val="00DD3B19"/>
    <w:rsid w:val="00DD5EB4"/>
    <w:rsid w:val="00DD6E30"/>
    <w:rsid w:val="00DD751F"/>
    <w:rsid w:val="00DE06BA"/>
    <w:rsid w:val="00DE0750"/>
    <w:rsid w:val="00DE1C5C"/>
    <w:rsid w:val="00DE2939"/>
    <w:rsid w:val="00DE3F19"/>
    <w:rsid w:val="00DE4615"/>
    <w:rsid w:val="00DE4CB3"/>
    <w:rsid w:val="00DE519E"/>
    <w:rsid w:val="00DE53E5"/>
    <w:rsid w:val="00DE5AC3"/>
    <w:rsid w:val="00DE6B87"/>
    <w:rsid w:val="00DE75A7"/>
    <w:rsid w:val="00DF0B5A"/>
    <w:rsid w:val="00DF139F"/>
    <w:rsid w:val="00DF1BAD"/>
    <w:rsid w:val="00DF362B"/>
    <w:rsid w:val="00DF397B"/>
    <w:rsid w:val="00DF3DBD"/>
    <w:rsid w:val="00DF504D"/>
    <w:rsid w:val="00DF63C0"/>
    <w:rsid w:val="00DF64BF"/>
    <w:rsid w:val="00DF7021"/>
    <w:rsid w:val="00DF7583"/>
    <w:rsid w:val="00DF7656"/>
    <w:rsid w:val="00E000DE"/>
    <w:rsid w:val="00E00332"/>
    <w:rsid w:val="00E00997"/>
    <w:rsid w:val="00E00A92"/>
    <w:rsid w:val="00E00FAB"/>
    <w:rsid w:val="00E032EF"/>
    <w:rsid w:val="00E03506"/>
    <w:rsid w:val="00E0403D"/>
    <w:rsid w:val="00E04986"/>
    <w:rsid w:val="00E04A9D"/>
    <w:rsid w:val="00E04BFC"/>
    <w:rsid w:val="00E05502"/>
    <w:rsid w:val="00E0596A"/>
    <w:rsid w:val="00E0667E"/>
    <w:rsid w:val="00E077AF"/>
    <w:rsid w:val="00E07BAD"/>
    <w:rsid w:val="00E10309"/>
    <w:rsid w:val="00E106CB"/>
    <w:rsid w:val="00E120EF"/>
    <w:rsid w:val="00E12274"/>
    <w:rsid w:val="00E137A5"/>
    <w:rsid w:val="00E13A83"/>
    <w:rsid w:val="00E13E96"/>
    <w:rsid w:val="00E13EEA"/>
    <w:rsid w:val="00E1414F"/>
    <w:rsid w:val="00E1418B"/>
    <w:rsid w:val="00E1471B"/>
    <w:rsid w:val="00E14D56"/>
    <w:rsid w:val="00E15861"/>
    <w:rsid w:val="00E15E4D"/>
    <w:rsid w:val="00E162F3"/>
    <w:rsid w:val="00E167CF"/>
    <w:rsid w:val="00E16DAC"/>
    <w:rsid w:val="00E17945"/>
    <w:rsid w:val="00E20C11"/>
    <w:rsid w:val="00E21326"/>
    <w:rsid w:val="00E2184A"/>
    <w:rsid w:val="00E2213B"/>
    <w:rsid w:val="00E23390"/>
    <w:rsid w:val="00E249B8"/>
    <w:rsid w:val="00E24DAA"/>
    <w:rsid w:val="00E251BC"/>
    <w:rsid w:val="00E251D6"/>
    <w:rsid w:val="00E25454"/>
    <w:rsid w:val="00E25AA0"/>
    <w:rsid w:val="00E26A84"/>
    <w:rsid w:val="00E27C21"/>
    <w:rsid w:val="00E27D25"/>
    <w:rsid w:val="00E3018E"/>
    <w:rsid w:val="00E30230"/>
    <w:rsid w:val="00E30884"/>
    <w:rsid w:val="00E31751"/>
    <w:rsid w:val="00E31B16"/>
    <w:rsid w:val="00E31E49"/>
    <w:rsid w:val="00E31FAE"/>
    <w:rsid w:val="00E32E1C"/>
    <w:rsid w:val="00E3497C"/>
    <w:rsid w:val="00E36165"/>
    <w:rsid w:val="00E36423"/>
    <w:rsid w:val="00E41920"/>
    <w:rsid w:val="00E42C19"/>
    <w:rsid w:val="00E42CE3"/>
    <w:rsid w:val="00E42F7F"/>
    <w:rsid w:val="00E438D6"/>
    <w:rsid w:val="00E43E5A"/>
    <w:rsid w:val="00E44F8E"/>
    <w:rsid w:val="00E46463"/>
    <w:rsid w:val="00E473C0"/>
    <w:rsid w:val="00E47804"/>
    <w:rsid w:val="00E47DE4"/>
    <w:rsid w:val="00E513DD"/>
    <w:rsid w:val="00E51C1E"/>
    <w:rsid w:val="00E51DCB"/>
    <w:rsid w:val="00E52D69"/>
    <w:rsid w:val="00E547CC"/>
    <w:rsid w:val="00E55277"/>
    <w:rsid w:val="00E55618"/>
    <w:rsid w:val="00E564DF"/>
    <w:rsid w:val="00E5770B"/>
    <w:rsid w:val="00E5779A"/>
    <w:rsid w:val="00E578FC"/>
    <w:rsid w:val="00E60295"/>
    <w:rsid w:val="00E60650"/>
    <w:rsid w:val="00E6117C"/>
    <w:rsid w:val="00E61685"/>
    <w:rsid w:val="00E620CE"/>
    <w:rsid w:val="00E629F8"/>
    <w:rsid w:val="00E62E6C"/>
    <w:rsid w:val="00E63105"/>
    <w:rsid w:val="00E6314E"/>
    <w:rsid w:val="00E633EC"/>
    <w:rsid w:val="00E63D6E"/>
    <w:rsid w:val="00E63DFE"/>
    <w:rsid w:val="00E645CA"/>
    <w:rsid w:val="00E64B4D"/>
    <w:rsid w:val="00E653FF"/>
    <w:rsid w:val="00E65971"/>
    <w:rsid w:val="00E66B0A"/>
    <w:rsid w:val="00E67314"/>
    <w:rsid w:val="00E70152"/>
    <w:rsid w:val="00E706BE"/>
    <w:rsid w:val="00E7266A"/>
    <w:rsid w:val="00E72B52"/>
    <w:rsid w:val="00E72D2D"/>
    <w:rsid w:val="00E73168"/>
    <w:rsid w:val="00E736C3"/>
    <w:rsid w:val="00E74641"/>
    <w:rsid w:val="00E74B22"/>
    <w:rsid w:val="00E74F37"/>
    <w:rsid w:val="00E775B5"/>
    <w:rsid w:val="00E77958"/>
    <w:rsid w:val="00E802B0"/>
    <w:rsid w:val="00E810C0"/>
    <w:rsid w:val="00E8178E"/>
    <w:rsid w:val="00E81E2A"/>
    <w:rsid w:val="00E83545"/>
    <w:rsid w:val="00E83BAA"/>
    <w:rsid w:val="00E84012"/>
    <w:rsid w:val="00E8535A"/>
    <w:rsid w:val="00E8547B"/>
    <w:rsid w:val="00E85BD2"/>
    <w:rsid w:val="00E86593"/>
    <w:rsid w:val="00E86CC5"/>
    <w:rsid w:val="00E86E17"/>
    <w:rsid w:val="00E8702A"/>
    <w:rsid w:val="00E87305"/>
    <w:rsid w:val="00E87AB9"/>
    <w:rsid w:val="00E87F66"/>
    <w:rsid w:val="00E9114D"/>
    <w:rsid w:val="00E9127F"/>
    <w:rsid w:val="00E9168F"/>
    <w:rsid w:val="00E923DC"/>
    <w:rsid w:val="00E92AAC"/>
    <w:rsid w:val="00E92C43"/>
    <w:rsid w:val="00E94166"/>
    <w:rsid w:val="00E9554D"/>
    <w:rsid w:val="00E9598A"/>
    <w:rsid w:val="00E975AF"/>
    <w:rsid w:val="00E9793A"/>
    <w:rsid w:val="00E97C36"/>
    <w:rsid w:val="00EA12BE"/>
    <w:rsid w:val="00EA137D"/>
    <w:rsid w:val="00EA276D"/>
    <w:rsid w:val="00EA3174"/>
    <w:rsid w:val="00EA340D"/>
    <w:rsid w:val="00EA3EF7"/>
    <w:rsid w:val="00EA4426"/>
    <w:rsid w:val="00EA5999"/>
    <w:rsid w:val="00EA62B3"/>
    <w:rsid w:val="00EA63B3"/>
    <w:rsid w:val="00EA65F2"/>
    <w:rsid w:val="00EA6795"/>
    <w:rsid w:val="00EA6A80"/>
    <w:rsid w:val="00EA6EE3"/>
    <w:rsid w:val="00EA7666"/>
    <w:rsid w:val="00EA7C92"/>
    <w:rsid w:val="00EA7FC1"/>
    <w:rsid w:val="00EB0A44"/>
    <w:rsid w:val="00EB0BD3"/>
    <w:rsid w:val="00EB0E81"/>
    <w:rsid w:val="00EB0E92"/>
    <w:rsid w:val="00EB0F3C"/>
    <w:rsid w:val="00EB1A00"/>
    <w:rsid w:val="00EB1E2D"/>
    <w:rsid w:val="00EB1EFB"/>
    <w:rsid w:val="00EB2FDB"/>
    <w:rsid w:val="00EB4CA2"/>
    <w:rsid w:val="00EB5E63"/>
    <w:rsid w:val="00EB6BF8"/>
    <w:rsid w:val="00EB72BD"/>
    <w:rsid w:val="00EC1767"/>
    <w:rsid w:val="00EC1AB7"/>
    <w:rsid w:val="00EC302F"/>
    <w:rsid w:val="00EC3A1E"/>
    <w:rsid w:val="00EC4597"/>
    <w:rsid w:val="00EC4D86"/>
    <w:rsid w:val="00EC533A"/>
    <w:rsid w:val="00EC5369"/>
    <w:rsid w:val="00EC711C"/>
    <w:rsid w:val="00EC76E1"/>
    <w:rsid w:val="00ED183A"/>
    <w:rsid w:val="00ED2FF4"/>
    <w:rsid w:val="00ED37FE"/>
    <w:rsid w:val="00ED452A"/>
    <w:rsid w:val="00ED45D8"/>
    <w:rsid w:val="00ED46BE"/>
    <w:rsid w:val="00ED489D"/>
    <w:rsid w:val="00ED4B23"/>
    <w:rsid w:val="00ED55E0"/>
    <w:rsid w:val="00ED64C2"/>
    <w:rsid w:val="00ED7388"/>
    <w:rsid w:val="00ED7D95"/>
    <w:rsid w:val="00EE08EA"/>
    <w:rsid w:val="00EE2EB8"/>
    <w:rsid w:val="00EE3118"/>
    <w:rsid w:val="00EE410F"/>
    <w:rsid w:val="00EE4944"/>
    <w:rsid w:val="00EE5643"/>
    <w:rsid w:val="00EE5DAF"/>
    <w:rsid w:val="00EE60C0"/>
    <w:rsid w:val="00EE6A96"/>
    <w:rsid w:val="00EE7424"/>
    <w:rsid w:val="00EE7D0D"/>
    <w:rsid w:val="00EF0040"/>
    <w:rsid w:val="00EF0CE7"/>
    <w:rsid w:val="00EF18C0"/>
    <w:rsid w:val="00EF23BB"/>
    <w:rsid w:val="00EF3B2F"/>
    <w:rsid w:val="00EF48E9"/>
    <w:rsid w:val="00EF4CDF"/>
    <w:rsid w:val="00EF58A2"/>
    <w:rsid w:val="00EF6A1C"/>
    <w:rsid w:val="00EF7589"/>
    <w:rsid w:val="00EF75AD"/>
    <w:rsid w:val="00EF79A7"/>
    <w:rsid w:val="00EF7EEF"/>
    <w:rsid w:val="00F001AF"/>
    <w:rsid w:val="00F00643"/>
    <w:rsid w:val="00F007D0"/>
    <w:rsid w:val="00F00EDE"/>
    <w:rsid w:val="00F00FDC"/>
    <w:rsid w:val="00F01400"/>
    <w:rsid w:val="00F0189E"/>
    <w:rsid w:val="00F02C6E"/>
    <w:rsid w:val="00F043BC"/>
    <w:rsid w:val="00F04B43"/>
    <w:rsid w:val="00F04E7D"/>
    <w:rsid w:val="00F05C46"/>
    <w:rsid w:val="00F05C5E"/>
    <w:rsid w:val="00F060C1"/>
    <w:rsid w:val="00F062A8"/>
    <w:rsid w:val="00F06479"/>
    <w:rsid w:val="00F07D23"/>
    <w:rsid w:val="00F07E9A"/>
    <w:rsid w:val="00F10544"/>
    <w:rsid w:val="00F10B94"/>
    <w:rsid w:val="00F1121E"/>
    <w:rsid w:val="00F116C2"/>
    <w:rsid w:val="00F1194E"/>
    <w:rsid w:val="00F11F9B"/>
    <w:rsid w:val="00F12832"/>
    <w:rsid w:val="00F12861"/>
    <w:rsid w:val="00F12C74"/>
    <w:rsid w:val="00F12F86"/>
    <w:rsid w:val="00F13F1B"/>
    <w:rsid w:val="00F14021"/>
    <w:rsid w:val="00F14394"/>
    <w:rsid w:val="00F151A7"/>
    <w:rsid w:val="00F15CA1"/>
    <w:rsid w:val="00F163CA"/>
    <w:rsid w:val="00F16B71"/>
    <w:rsid w:val="00F175C6"/>
    <w:rsid w:val="00F21212"/>
    <w:rsid w:val="00F2145D"/>
    <w:rsid w:val="00F21666"/>
    <w:rsid w:val="00F23179"/>
    <w:rsid w:val="00F23708"/>
    <w:rsid w:val="00F25647"/>
    <w:rsid w:val="00F25802"/>
    <w:rsid w:val="00F2718A"/>
    <w:rsid w:val="00F276DD"/>
    <w:rsid w:val="00F300E5"/>
    <w:rsid w:val="00F302E9"/>
    <w:rsid w:val="00F30E37"/>
    <w:rsid w:val="00F31DD6"/>
    <w:rsid w:val="00F32D9D"/>
    <w:rsid w:val="00F332D8"/>
    <w:rsid w:val="00F336A0"/>
    <w:rsid w:val="00F34515"/>
    <w:rsid w:val="00F363C3"/>
    <w:rsid w:val="00F36D66"/>
    <w:rsid w:val="00F3734E"/>
    <w:rsid w:val="00F405B4"/>
    <w:rsid w:val="00F405D9"/>
    <w:rsid w:val="00F40B0B"/>
    <w:rsid w:val="00F40B79"/>
    <w:rsid w:val="00F40D47"/>
    <w:rsid w:val="00F42045"/>
    <w:rsid w:val="00F42F5A"/>
    <w:rsid w:val="00F4316A"/>
    <w:rsid w:val="00F43FB4"/>
    <w:rsid w:val="00F44571"/>
    <w:rsid w:val="00F44DEA"/>
    <w:rsid w:val="00F45146"/>
    <w:rsid w:val="00F4641D"/>
    <w:rsid w:val="00F470B6"/>
    <w:rsid w:val="00F47655"/>
    <w:rsid w:val="00F47670"/>
    <w:rsid w:val="00F47B8A"/>
    <w:rsid w:val="00F47CAA"/>
    <w:rsid w:val="00F50163"/>
    <w:rsid w:val="00F507A9"/>
    <w:rsid w:val="00F51634"/>
    <w:rsid w:val="00F52257"/>
    <w:rsid w:val="00F534E9"/>
    <w:rsid w:val="00F538D8"/>
    <w:rsid w:val="00F53F39"/>
    <w:rsid w:val="00F53F45"/>
    <w:rsid w:val="00F54310"/>
    <w:rsid w:val="00F60849"/>
    <w:rsid w:val="00F6151C"/>
    <w:rsid w:val="00F6197D"/>
    <w:rsid w:val="00F629BD"/>
    <w:rsid w:val="00F63227"/>
    <w:rsid w:val="00F6356E"/>
    <w:rsid w:val="00F63807"/>
    <w:rsid w:val="00F63FD8"/>
    <w:rsid w:val="00F649F2"/>
    <w:rsid w:val="00F65319"/>
    <w:rsid w:val="00F6564F"/>
    <w:rsid w:val="00F65AAF"/>
    <w:rsid w:val="00F65D71"/>
    <w:rsid w:val="00F6636E"/>
    <w:rsid w:val="00F66672"/>
    <w:rsid w:val="00F70CAE"/>
    <w:rsid w:val="00F71247"/>
    <w:rsid w:val="00F72D89"/>
    <w:rsid w:val="00F74D7E"/>
    <w:rsid w:val="00F74EF3"/>
    <w:rsid w:val="00F7620D"/>
    <w:rsid w:val="00F7687B"/>
    <w:rsid w:val="00F776C2"/>
    <w:rsid w:val="00F77A9B"/>
    <w:rsid w:val="00F80122"/>
    <w:rsid w:val="00F81CB4"/>
    <w:rsid w:val="00F82907"/>
    <w:rsid w:val="00F82C76"/>
    <w:rsid w:val="00F83BB4"/>
    <w:rsid w:val="00F84713"/>
    <w:rsid w:val="00F8524B"/>
    <w:rsid w:val="00F85571"/>
    <w:rsid w:val="00F85A26"/>
    <w:rsid w:val="00F8666B"/>
    <w:rsid w:val="00F86A02"/>
    <w:rsid w:val="00F87057"/>
    <w:rsid w:val="00F8727D"/>
    <w:rsid w:val="00F87FAC"/>
    <w:rsid w:val="00F906CC"/>
    <w:rsid w:val="00F90EE3"/>
    <w:rsid w:val="00F92259"/>
    <w:rsid w:val="00F9231B"/>
    <w:rsid w:val="00F92326"/>
    <w:rsid w:val="00F934DD"/>
    <w:rsid w:val="00F93E3F"/>
    <w:rsid w:val="00F95680"/>
    <w:rsid w:val="00F9582D"/>
    <w:rsid w:val="00F95BC8"/>
    <w:rsid w:val="00F97511"/>
    <w:rsid w:val="00F9768E"/>
    <w:rsid w:val="00FA2B7C"/>
    <w:rsid w:val="00FA314C"/>
    <w:rsid w:val="00FA39CF"/>
    <w:rsid w:val="00FA5388"/>
    <w:rsid w:val="00FA6420"/>
    <w:rsid w:val="00FA71FF"/>
    <w:rsid w:val="00FA75D1"/>
    <w:rsid w:val="00FA78C8"/>
    <w:rsid w:val="00FA7FD2"/>
    <w:rsid w:val="00FB02F2"/>
    <w:rsid w:val="00FB2169"/>
    <w:rsid w:val="00FB4183"/>
    <w:rsid w:val="00FB5BA0"/>
    <w:rsid w:val="00FB5BBE"/>
    <w:rsid w:val="00FB6BEC"/>
    <w:rsid w:val="00FB7876"/>
    <w:rsid w:val="00FB7E3D"/>
    <w:rsid w:val="00FC00B1"/>
    <w:rsid w:val="00FC05A3"/>
    <w:rsid w:val="00FC0E29"/>
    <w:rsid w:val="00FC0E42"/>
    <w:rsid w:val="00FC1180"/>
    <w:rsid w:val="00FC119D"/>
    <w:rsid w:val="00FC2C49"/>
    <w:rsid w:val="00FC354D"/>
    <w:rsid w:val="00FC3A62"/>
    <w:rsid w:val="00FC3B40"/>
    <w:rsid w:val="00FC3F05"/>
    <w:rsid w:val="00FC47A6"/>
    <w:rsid w:val="00FC53E9"/>
    <w:rsid w:val="00FC5F98"/>
    <w:rsid w:val="00FC6E46"/>
    <w:rsid w:val="00FC704D"/>
    <w:rsid w:val="00FC71F0"/>
    <w:rsid w:val="00FC723D"/>
    <w:rsid w:val="00FC7C50"/>
    <w:rsid w:val="00FD0230"/>
    <w:rsid w:val="00FD0265"/>
    <w:rsid w:val="00FD0B8C"/>
    <w:rsid w:val="00FD177F"/>
    <w:rsid w:val="00FD1976"/>
    <w:rsid w:val="00FD1E19"/>
    <w:rsid w:val="00FD237C"/>
    <w:rsid w:val="00FD251D"/>
    <w:rsid w:val="00FD3056"/>
    <w:rsid w:val="00FD3D91"/>
    <w:rsid w:val="00FD45C8"/>
    <w:rsid w:val="00FD4A18"/>
    <w:rsid w:val="00FD6C6B"/>
    <w:rsid w:val="00FD7C34"/>
    <w:rsid w:val="00FD7E2A"/>
    <w:rsid w:val="00FE00B7"/>
    <w:rsid w:val="00FE0287"/>
    <w:rsid w:val="00FE076D"/>
    <w:rsid w:val="00FE1134"/>
    <w:rsid w:val="00FE1A7E"/>
    <w:rsid w:val="00FE1ADB"/>
    <w:rsid w:val="00FE2A63"/>
    <w:rsid w:val="00FE2BF2"/>
    <w:rsid w:val="00FE3892"/>
    <w:rsid w:val="00FE39FC"/>
    <w:rsid w:val="00FE3AB2"/>
    <w:rsid w:val="00FE3E05"/>
    <w:rsid w:val="00FE4176"/>
    <w:rsid w:val="00FE4474"/>
    <w:rsid w:val="00FE5721"/>
    <w:rsid w:val="00FE6D8B"/>
    <w:rsid w:val="00FE72EE"/>
    <w:rsid w:val="00FE76C8"/>
    <w:rsid w:val="00FE77CC"/>
    <w:rsid w:val="00FF1DFD"/>
    <w:rsid w:val="00FF2ABA"/>
    <w:rsid w:val="00FF3967"/>
    <w:rsid w:val="00FF3EE4"/>
    <w:rsid w:val="00FF4058"/>
    <w:rsid w:val="00FF4534"/>
    <w:rsid w:val="00FF4886"/>
    <w:rsid w:val="00FF4F4C"/>
    <w:rsid w:val="00FF53A9"/>
    <w:rsid w:val="00FF53EE"/>
    <w:rsid w:val="00FF6BCA"/>
    <w:rsid w:val="010F1FEE"/>
    <w:rsid w:val="010F2882"/>
    <w:rsid w:val="01191EEB"/>
    <w:rsid w:val="01247755"/>
    <w:rsid w:val="012C1152"/>
    <w:rsid w:val="01303F65"/>
    <w:rsid w:val="01384172"/>
    <w:rsid w:val="01397BE1"/>
    <w:rsid w:val="013A09C4"/>
    <w:rsid w:val="014C5266"/>
    <w:rsid w:val="01610878"/>
    <w:rsid w:val="01683BB5"/>
    <w:rsid w:val="018351D3"/>
    <w:rsid w:val="018710A3"/>
    <w:rsid w:val="01A7086A"/>
    <w:rsid w:val="01A93A5A"/>
    <w:rsid w:val="01AD7D01"/>
    <w:rsid w:val="01B812FF"/>
    <w:rsid w:val="01E462AD"/>
    <w:rsid w:val="01F36FCC"/>
    <w:rsid w:val="02060918"/>
    <w:rsid w:val="0217273D"/>
    <w:rsid w:val="023537C8"/>
    <w:rsid w:val="02360D4B"/>
    <w:rsid w:val="02713ECF"/>
    <w:rsid w:val="027F0AFA"/>
    <w:rsid w:val="027F14BA"/>
    <w:rsid w:val="02894C03"/>
    <w:rsid w:val="02B76D46"/>
    <w:rsid w:val="02C32F68"/>
    <w:rsid w:val="02D45050"/>
    <w:rsid w:val="02F07FB3"/>
    <w:rsid w:val="02F21EEB"/>
    <w:rsid w:val="02FA132F"/>
    <w:rsid w:val="02FE6431"/>
    <w:rsid w:val="03062A9E"/>
    <w:rsid w:val="03162731"/>
    <w:rsid w:val="032075E8"/>
    <w:rsid w:val="032F4898"/>
    <w:rsid w:val="033F6241"/>
    <w:rsid w:val="03470120"/>
    <w:rsid w:val="0351047A"/>
    <w:rsid w:val="035D17A4"/>
    <w:rsid w:val="035D7D75"/>
    <w:rsid w:val="035E5F74"/>
    <w:rsid w:val="035F5C25"/>
    <w:rsid w:val="0365592C"/>
    <w:rsid w:val="036B7E52"/>
    <w:rsid w:val="0372035D"/>
    <w:rsid w:val="03831553"/>
    <w:rsid w:val="03A2514E"/>
    <w:rsid w:val="03BF569A"/>
    <w:rsid w:val="03C9617B"/>
    <w:rsid w:val="04222B26"/>
    <w:rsid w:val="04234C6A"/>
    <w:rsid w:val="04302795"/>
    <w:rsid w:val="043729FA"/>
    <w:rsid w:val="04376B8D"/>
    <w:rsid w:val="04591A2E"/>
    <w:rsid w:val="0461422D"/>
    <w:rsid w:val="046E7456"/>
    <w:rsid w:val="047414F5"/>
    <w:rsid w:val="04826CFA"/>
    <w:rsid w:val="04976926"/>
    <w:rsid w:val="04A05494"/>
    <w:rsid w:val="04A558CA"/>
    <w:rsid w:val="04A9499D"/>
    <w:rsid w:val="04C63F01"/>
    <w:rsid w:val="04CD5227"/>
    <w:rsid w:val="04D55D13"/>
    <w:rsid w:val="04EC78FC"/>
    <w:rsid w:val="04FF46D6"/>
    <w:rsid w:val="05301C5F"/>
    <w:rsid w:val="05447943"/>
    <w:rsid w:val="054D67F1"/>
    <w:rsid w:val="057A69BF"/>
    <w:rsid w:val="057B0E62"/>
    <w:rsid w:val="0580785F"/>
    <w:rsid w:val="05B911AD"/>
    <w:rsid w:val="05C05AAE"/>
    <w:rsid w:val="05C37EAC"/>
    <w:rsid w:val="05CB0E27"/>
    <w:rsid w:val="05CC0218"/>
    <w:rsid w:val="05D05124"/>
    <w:rsid w:val="05F05D26"/>
    <w:rsid w:val="05F33C03"/>
    <w:rsid w:val="05FE3481"/>
    <w:rsid w:val="063C7A07"/>
    <w:rsid w:val="06416051"/>
    <w:rsid w:val="0642227C"/>
    <w:rsid w:val="065D4EDA"/>
    <w:rsid w:val="066F5174"/>
    <w:rsid w:val="06706E5D"/>
    <w:rsid w:val="06792D62"/>
    <w:rsid w:val="06A7360B"/>
    <w:rsid w:val="06AD4DCE"/>
    <w:rsid w:val="06BE5507"/>
    <w:rsid w:val="06DA057C"/>
    <w:rsid w:val="06DA6645"/>
    <w:rsid w:val="06E930F9"/>
    <w:rsid w:val="06F51521"/>
    <w:rsid w:val="0700486F"/>
    <w:rsid w:val="070142DB"/>
    <w:rsid w:val="070237E0"/>
    <w:rsid w:val="07054490"/>
    <w:rsid w:val="070A780F"/>
    <w:rsid w:val="070E1192"/>
    <w:rsid w:val="070F3382"/>
    <w:rsid w:val="071F0152"/>
    <w:rsid w:val="07622662"/>
    <w:rsid w:val="076707A0"/>
    <w:rsid w:val="07865474"/>
    <w:rsid w:val="078E5B59"/>
    <w:rsid w:val="079B4158"/>
    <w:rsid w:val="07CB2146"/>
    <w:rsid w:val="07CD2DA3"/>
    <w:rsid w:val="07CE525D"/>
    <w:rsid w:val="07CF512D"/>
    <w:rsid w:val="07D04F64"/>
    <w:rsid w:val="07E07011"/>
    <w:rsid w:val="07E17544"/>
    <w:rsid w:val="07FB307F"/>
    <w:rsid w:val="080001B0"/>
    <w:rsid w:val="08036F7C"/>
    <w:rsid w:val="0806636F"/>
    <w:rsid w:val="080E5F49"/>
    <w:rsid w:val="081661AF"/>
    <w:rsid w:val="0825441B"/>
    <w:rsid w:val="082D12C4"/>
    <w:rsid w:val="0854787A"/>
    <w:rsid w:val="08664345"/>
    <w:rsid w:val="08723626"/>
    <w:rsid w:val="08762F83"/>
    <w:rsid w:val="08821CBC"/>
    <w:rsid w:val="089A2898"/>
    <w:rsid w:val="089C5B28"/>
    <w:rsid w:val="08C23EEB"/>
    <w:rsid w:val="08CE3215"/>
    <w:rsid w:val="08FA7A77"/>
    <w:rsid w:val="08FC12C8"/>
    <w:rsid w:val="08FE4DC1"/>
    <w:rsid w:val="09216A76"/>
    <w:rsid w:val="09270490"/>
    <w:rsid w:val="0927512D"/>
    <w:rsid w:val="09295931"/>
    <w:rsid w:val="093C674A"/>
    <w:rsid w:val="09573866"/>
    <w:rsid w:val="0960347E"/>
    <w:rsid w:val="09652590"/>
    <w:rsid w:val="09707513"/>
    <w:rsid w:val="097653E7"/>
    <w:rsid w:val="097E16AA"/>
    <w:rsid w:val="09917881"/>
    <w:rsid w:val="09943C94"/>
    <w:rsid w:val="099536FE"/>
    <w:rsid w:val="09981F6F"/>
    <w:rsid w:val="09D5216E"/>
    <w:rsid w:val="09DC0A1F"/>
    <w:rsid w:val="09F92B47"/>
    <w:rsid w:val="09FF2195"/>
    <w:rsid w:val="0A0E2098"/>
    <w:rsid w:val="0A1646EB"/>
    <w:rsid w:val="0A1A73BA"/>
    <w:rsid w:val="0A2006DF"/>
    <w:rsid w:val="0A3B027F"/>
    <w:rsid w:val="0A8074EA"/>
    <w:rsid w:val="0A9E6CD0"/>
    <w:rsid w:val="0AA67147"/>
    <w:rsid w:val="0AAB0902"/>
    <w:rsid w:val="0ABC03F5"/>
    <w:rsid w:val="0AE4227C"/>
    <w:rsid w:val="0AE77A0C"/>
    <w:rsid w:val="0AE81B19"/>
    <w:rsid w:val="0AFB755B"/>
    <w:rsid w:val="0B046039"/>
    <w:rsid w:val="0B086E91"/>
    <w:rsid w:val="0B1D155E"/>
    <w:rsid w:val="0B235D74"/>
    <w:rsid w:val="0B2A329F"/>
    <w:rsid w:val="0B302FFB"/>
    <w:rsid w:val="0B4205CA"/>
    <w:rsid w:val="0B821434"/>
    <w:rsid w:val="0B8C6C47"/>
    <w:rsid w:val="0BAE6924"/>
    <w:rsid w:val="0BB814C1"/>
    <w:rsid w:val="0BC40744"/>
    <w:rsid w:val="0BCF0AAA"/>
    <w:rsid w:val="0BDC1CE9"/>
    <w:rsid w:val="0BF55601"/>
    <w:rsid w:val="0BF61DC9"/>
    <w:rsid w:val="0BF96086"/>
    <w:rsid w:val="0C1A3D59"/>
    <w:rsid w:val="0C255D6D"/>
    <w:rsid w:val="0C257B40"/>
    <w:rsid w:val="0C2C064B"/>
    <w:rsid w:val="0C316C9B"/>
    <w:rsid w:val="0C3E34A5"/>
    <w:rsid w:val="0C546315"/>
    <w:rsid w:val="0C812DED"/>
    <w:rsid w:val="0C871385"/>
    <w:rsid w:val="0C950BA6"/>
    <w:rsid w:val="0C970F7A"/>
    <w:rsid w:val="0CA92997"/>
    <w:rsid w:val="0CAF695A"/>
    <w:rsid w:val="0CB12611"/>
    <w:rsid w:val="0CB61B4C"/>
    <w:rsid w:val="0CCB06DA"/>
    <w:rsid w:val="0CEC2369"/>
    <w:rsid w:val="0CEF2175"/>
    <w:rsid w:val="0CFA6642"/>
    <w:rsid w:val="0D0E3BE8"/>
    <w:rsid w:val="0D124D83"/>
    <w:rsid w:val="0D163641"/>
    <w:rsid w:val="0D165FB3"/>
    <w:rsid w:val="0D203DB4"/>
    <w:rsid w:val="0D2D1B50"/>
    <w:rsid w:val="0D2E24AB"/>
    <w:rsid w:val="0D422A1C"/>
    <w:rsid w:val="0D434BB0"/>
    <w:rsid w:val="0D4E642E"/>
    <w:rsid w:val="0D5E0266"/>
    <w:rsid w:val="0D5E1D12"/>
    <w:rsid w:val="0D6061DE"/>
    <w:rsid w:val="0D8C68E2"/>
    <w:rsid w:val="0D972989"/>
    <w:rsid w:val="0D9943EA"/>
    <w:rsid w:val="0DA255F0"/>
    <w:rsid w:val="0DB545D2"/>
    <w:rsid w:val="0DC7118E"/>
    <w:rsid w:val="0DD33387"/>
    <w:rsid w:val="0DE56FE8"/>
    <w:rsid w:val="0DE81FB6"/>
    <w:rsid w:val="0DED34C2"/>
    <w:rsid w:val="0DF47AE0"/>
    <w:rsid w:val="0E154577"/>
    <w:rsid w:val="0E1E3AB1"/>
    <w:rsid w:val="0E331822"/>
    <w:rsid w:val="0E5B7068"/>
    <w:rsid w:val="0E671431"/>
    <w:rsid w:val="0E710B71"/>
    <w:rsid w:val="0E79338A"/>
    <w:rsid w:val="0E8D55BC"/>
    <w:rsid w:val="0E9E43B4"/>
    <w:rsid w:val="0EB47A93"/>
    <w:rsid w:val="0EB72DE1"/>
    <w:rsid w:val="0EC51CF1"/>
    <w:rsid w:val="0ED6340D"/>
    <w:rsid w:val="0ED87CF3"/>
    <w:rsid w:val="0EF04DE5"/>
    <w:rsid w:val="0EFF43BA"/>
    <w:rsid w:val="0F092CD6"/>
    <w:rsid w:val="0F143963"/>
    <w:rsid w:val="0F195054"/>
    <w:rsid w:val="0F215BF5"/>
    <w:rsid w:val="0F3907A8"/>
    <w:rsid w:val="0F3B4AA4"/>
    <w:rsid w:val="0F4425B0"/>
    <w:rsid w:val="0F5B6AB1"/>
    <w:rsid w:val="0F763ACE"/>
    <w:rsid w:val="0F777651"/>
    <w:rsid w:val="0F824F30"/>
    <w:rsid w:val="0FA37114"/>
    <w:rsid w:val="0FE179EE"/>
    <w:rsid w:val="100C34AE"/>
    <w:rsid w:val="100D5F57"/>
    <w:rsid w:val="101F3682"/>
    <w:rsid w:val="10447750"/>
    <w:rsid w:val="10454916"/>
    <w:rsid w:val="10592080"/>
    <w:rsid w:val="10672A16"/>
    <w:rsid w:val="10765DAF"/>
    <w:rsid w:val="107A125F"/>
    <w:rsid w:val="107F13A6"/>
    <w:rsid w:val="1081570B"/>
    <w:rsid w:val="10857989"/>
    <w:rsid w:val="10A76C07"/>
    <w:rsid w:val="10B4070D"/>
    <w:rsid w:val="10B84EDA"/>
    <w:rsid w:val="10C20616"/>
    <w:rsid w:val="10C34322"/>
    <w:rsid w:val="10DE674D"/>
    <w:rsid w:val="10E832B4"/>
    <w:rsid w:val="1113307B"/>
    <w:rsid w:val="111369C6"/>
    <w:rsid w:val="111934E7"/>
    <w:rsid w:val="112172C2"/>
    <w:rsid w:val="114D7618"/>
    <w:rsid w:val="11663183"/>
    <w:rsid w:val="116F6BC1"/>
    <w:rsid w:val="11983D3E"/>
    <w:rsid w:val="11AE39F8"/>
    <w:rsid w:val="11C53F61"/>
    <w:rsid w:val="11CB0A76"/>
    <w:rsid w:val="11D33C40"/>
    <w:rsid w:val="11D34725"/>
    <w:rsid w:val="11E20A93"/>
    <w:rsid w:val="11E96A5D"/>
    <w:rsid w:val="11F042B9"/>
    <w:rsid w:val="11F8380E"/>
    <w:rsid w:val="11F932C9"/>
    <w:rsid w:val="11FC5DEC"/>
    <w:rsid w:val="12062D4C"/>
    <w:rsid w:val="12134055"/>
    <w:rsid w:val="121767DB"/>
    <w:rsid w:val="122907E8"/>
    <w:rsid w:val="124117B1"/>
    <w:rsid w:val="12445622"/>
    <w:rsid w:val="12445E42"/>
    <w:rsid w:val="12465C21"/>
    <w:rsid w:val="12550B18"/>
    <w:rsid w:val="12663BE0"/>
    <w:rsid w:val="12735753"/>
    <w:rsid w:val="128A2BB7"/>
    <w:rsid w:val="128F2A4F"/>
    <w:rsid w:val="12A85BB1"/>
    <w:rsid w:val="12BF6976"/>
    <w:rsid w:val="12CA084D"/>
    <w:rsid w:val="12DE6746"/>
    <w:rsid w:val="13046D67"/>
    <w:rsid w:val="130E11A0"/>
    <w:rsid w:val="131F3CFA"/>
    <w:rsid w:val="1320527C"/>
    <w:rsid w:val="133929C4"/>
    <w:rsid w:val="133D6799"/>
    <w:rsid w:val="136007E7"/>
    <w:rsid w:val="13650BBA"/>
    <w:rsid w:val="136E327B"/>
    <w:rsid w:val="1393285B"/>
    <w:rsid w:val="139A199E"/>
    <w:rsid w:val="139E4122"/>
    <w:rsid w:val="13A07738"/>
    <w:rsid w:val="13A72EEF"/>
    <w:rsid w:val="13AB36C5"/>
    <w:rsid w:val="13B332B0"/>
    <w:rsid w:val="13B43589"/>
    <w:rsid w:val="13BB0808"/>
    <w:rsid w:val="13BC175F"/>
    <w:rsid w:val="13CB7DA9"/>
    <w:rsid w:val="13D057B3"/>
    <w:rsid w:val="13E26EA1"/>
    <w:rsid w:val="14060571"/>
    <w:rsid w:val="141A27C4"/>
    <w:rsid w:val="14206107"/>
    <w:rsid w:val="1426082A"/>
    <w:rsid w:val="14380960"/>
    <w:rsid w:val="143811B7"/>
    <w:rsid w:val="145A5FD6"/>
    <w:rsid w:val="14773A8D"/>
    <w:rsid w:val="1488287C"/>
    <w:rsid w:val="14A92EF7"/>
    <w:rsid w:val="14B856A7"/>
    <w:rsid w:val="14D55648"/>
    <w:rsid w:val="14DA401C"/>
    <w:rsid w:val="14DE0C0F"/>
    <w:rsid w:val="14E22466"/>
    <w:rsid w:val="14EE1A04"/>
    <w:rsid w:val="14F134BB"/>
    <w:rsid w:val="15330A9C"/>
    <w:rsid w:val="15367333"/>
    <w:rsid w:val="1537321C"/>
    <w:rsid w:val="154304FD"/>
    <w:rsid w:val="15482AA3"/>
    <w:rsid w:val="154923E9"/>
    <w:rsid w:val="156952E9"/>
    <w:rsid w:val="15766AAE"/>
    <w:rsid w:val="157D32D4"/>
    <w:rsid w:val="1585042C"/>
    <w:rsid w:val="15924B9F"/>
    <w:rsid w:val="15957D8F"/>
    <w:rsid w:val="15A5287C"/>
    <w:rsid w:val="15BD5E7C"/>
    <w:rsid w:val="15DA10CC"/>
    <w:rsid w:val="15DD00D1"/>
    <w:rsid w:val="15DE37A1"/>
    <w:rsid w:val="15E33004"/>
    <w:rsid w:val="1606775E"/>
    <w:rsid w:val="162C1EBE"/>
    <w:rsid w:val="16462E87"/>
    <w:rsid w:val="166C0B9E"/>
    <w:rsid w:val="167A18C1"/>
    <w:rsid w:val="16832BBD"/>
    <w:rsid w:val="169F561C"/>
    <w:rsid w:val="16A90C06"/>
    <w:rsid w:val="16AB6ADB"/>
    <w:rsid w:val="16B86BB9"/>
    <w:rsid w:val="16BC04A0"/>
    <w:rsid w:val="16C33D88"/>
    <w:rsid w:val="16C365AB"/>
    <w:rsid w:val="16C8192A"/>
    <w:rsid w:val="171A332F"/>
    <w:rsid w:val="17251EAC"/>
    <w:rsid w:val="172A5512"/>
    <w:rsid w:val="172F5A62"/>
    <w:rsid w:val="174602F3"/>
    <w:rsid w:val="174B3433"/>
    <w:rsid w:val="175201A4"/>
    <w:rsid w:val="17581F6D"/>
    <w:rsid w:val="177A1481"/>
    <w:rsid w:val="177A4BC0"/>
    <w:rsid w:val="17844E8E"/>
    <w:rsid w:val="179914B3"/>
    <w:rsid w:val="17A116AE"/>
    <w:rsid w:val="17B020A8"/>
    <w:rsid w:val="17D252F9"/>
    <w:rsid w:val="17EA27C8"/>
    <w:rsid w:val="17EF5266"/>
    <w:rsid w:val="18016AC9"/>
    <w:rsid w:val="18071B33"/>
    <w:rsid w:val="180B71E5"/>
    <w:rsid w:val="180C6C8C"/>
    <w:rsid w:val="180E5A00"/>
    <w:rsid w:val="181A0A1C"/>
    <w:rsid w:val="181B2BBC"/>
    <w:rsid w:val="18280523"/>
    <w:rsid w:val="1838767D"/>
    <w:rsid w:val="183F3519"/>
    <w:rsid w:val="1841459E"/>
    <w:rsid w:val="184A01D4"/>
    <w:rsid w:val="18573C5A"/>
    <w:rsid w:val="18692D3C"/>
    <w:rsid w:val="186F7BC5"/>
    <w:rsid w:val="187351E3"/>
    <w:rsid w:val="187D188E"/>
    <w:rsid w:val="188C47E4"/>
    <w:rsid w:val="188E4423"/>
    <w:rsid w:val="189039E8"/>
    <w:rsid w:val="1895034B"/>
    <w:rsid w:val="18AB63FB"/>
    <w:rsid w:val="18B157FE"/>
    <w:rsid w:val="18C91C4B"/>
    <w:rsid w:val="18D9032B"/>
    <w:rsid w:val="18F00E70"/>
    <w:rsid w:val="19023502"/>
    <w:rsid w:val="19055AD8"/>
    <w:rsid w:val="19104A6E"/>
    <w:rsid w:val="192E299C"/>
    <w:rsid w:val="19450804"/>
    <w:rsid w:val="194818B4"/>
    <w:rsid w:val="19560EC5"/>
    <w:rsid w:val="195C2DAE"/>
    <w:rsid w:val="19601CA0"/>
    <w:rsid w:val="196846B9"/>
    <w:rsid w:val="19704D28"/>
    <w:rsid w:val="1979599D"/>
    <w:rsid w:val="197C2A4A"/>
    <w:rsid w:val="19855AE2"/>
    <w:rsid w:val="19A65C35"/>
    <w:rsid w:val="19A86CE9"/>
    <w:rsid w:val="19AF3CC9"/>
    <w:rsid w:val="19B14BB6"/>
    <w:rsid w:val="19B72B7E"/>
    <w:rsid w:val="19BA322A"/>
    <w:rsid w:val="19C32321"/>
    <w:rsid w:val="19C34467"/>
    <w:rsid w:val="19C72EE6"/>
    <w:rsid w:val="19D55685"/>
    <w:rsid w:val="19D63097"/>
    <w:rsid w:val="19ED18E3"/>
    <w:rsid w:val="1A0645A3"/>
    <w:rsid w:val="1A0D2A4A"/>
    <w:rsid w:val="1A2B74EA"/>
    <w:rsid w:val="1A2F6045"/>
    <w:rsid w:val="1A400204"/>
    <w:rsid w:val="1A473FCC"/>
    <w:rsid w:val="1A564222"/>
    <w:rsid w:val="1A685EB8"/>
    <w:rsid w:val="1A6A2CE9"/>
    <w:rsid w:val="1A6D0BEE"/>
    <w:rsid w:val="1A817DEA"/>
    <w:rsid w:val="1A8F336A"/>
    <w:rsid w:val="1A977783"/>
    <w:rsid w:val="1A994D33"/>
    <w:rsid w:val="1AA0593B"/>
    <w:rsid w:val="1AA06B55"/>
    <w:rsid w:val="1AA36974"/>
    <w:rsid w:val="1ABE7DC8"/>
    <w:rsid w:val="1AC356AE"/>
    <w:rsid w:val="1AD35B55"/>
    <w:rsid w:val="1ADC4976"/>
    <w:rsid w:val="1AF71484"/>
    <w:rsid w:val="1AFD117C"/>
    <w:rsid w:val="1B026FC0"/>
    <w:rsid w:val="1B0852E4"/>
    <w:rsid w:val="1B0C4205"/>
    <w:rsid w:val="1B1A5FC1"/>
    <w:rsid w:val="1B3407E3"/>
    <w:rsid w:val="1B42721F"/>
    <w:rsid w:val="1B451A2A"/>
    <w:rsid w:val="1B571741"/>
    <w:rsid w:val="1B6F33E5"/>
    <w:rsid w:val="1B7F2276"/>
    <w:rsid w:val="1B871004"/>
    <w:rsid w:val="1B963FA6"/>
    <w:rsid w:val="1B9B5BFE"/>
    <w:rsid w:val="1B9F7211"/>
    <w:rsid w:val="1BA94E24"/>
    <w:rsid w:val="1BAB04C0"/>
    <w:rsid w:val="1BB362E2"/>
    <w:rsid w:val="1BBA0645"/>
    <w:rsid w:val="1BBF365C"/>
    <w:rsid w:val="1BC162E8"/>
    <w:rsid w:val="1BD83779"/>
    <w:rsid w:val="1C000FBC"/>
    <w:rsid w:val="1C010D1D"/>
    <w:rsid w:val="1C097C83"/>
    <w:rsid w:val="1C154BFE"/>
    <w:rsid w:val="1C2558B4"/>
    <w:rsid w:val="1C282F6F"/>
    <w:rsid w:val="1C3B4A23"/>
    <w:rsid w:val="1C451D69"/>
    <w:rsid w:val="1C53055C"/>
    <w:rsid w:val="1C57773B"/>
    <w:rsid w:val="1C6F7463"/>
    <w:rsid w:val="1C762B3D"/>
    <w:rsid w:val="1C784846"/>
    <w:rsid w:val="1C8D776B"/>
    <w:rsid w:val="1C9A47E7"/>
    <w:rsid w:val="1CA0383F"/>
    <w:rsid w:val="1CC36E55"/>
    <w:rsid w:val="1CCC1EBA"/>
    <w:rsid w:val="1D1D4E2E"/>
    <w:rsid w:val="1D22415C"/>
    <w:rsid w:val="1D2624F4"/>
    <w:rsid w:val="1D3E2C93"/>
    <w:rsid w:val="1D413C15"/>
    <w:rsid w:val="1D52669D"/>
    <w:rsid w:val="1D5E4918"/>
    <w:rsid w:val="1D610D61"/>
    <w:rsid w:val="1D855C9C"/>
    <w:rsid w:val="1D8645B5"/>
    <w:rsid w:val="1DA50210"/>
    <w:rsid w:val="1DD90E9A"/>
    <w:rsid w:val="1DE103FA"/>
    <w:rsid w:val="1DE72F8B"/>
    <w:rsid w:val="1DF41671"/>
    <w:rsid w:val="1E20408B"/>
    <w:rsid w:val="1E2E6377"/>
    <w:rsid w:val="1E3104EB"/>
    <w:rsid w:val="1E3A67DB"/>
    <w:rsid w:val="1E3C67A3"/>
    <w:rsid w:val="1E6D128D"/>
    <w:rsid w:val="1E722C69"/>
    <w:rsid w:val="1E9B0B5A"/>
    <w:rsid w:val="1EA63440"/>
    <w:rsid w:val="1EB072B1"/>
    <w:rsid w:val="1EB50BBD"/>
    <w:rsid w:val="1EC06BEC"/>
    <w:rsid w:val="1EC951EC"/>
    <w:rsid w:val="1EDD59CE"/>
    <w:rsid w:val="1EFD0BCB"/>
    <w:rsid w:val="1EFF420A"/>
    <w:rsid w:val="1F004471"/>
    <w:rsid w:val="1F3031B6"/>
    <w:rsid w:val="1F4B5E44"/>
    <w:rsid w:val="1F502E6E"/>
    <w:rsid w:val="1F5F2F92"/>
    <w:rsid w:val="1F677541"/>
    <w:rsid w:val="1F6F5384"/>
    <w:rsid w:val="1F7761D9"/>
    <w:rsid w:val="1F9853B4"/>
    <w:rsid w:val="1FAA1EEE"/>
    <w:rsid w:val="1FB20C2C"/>
    <w:rsid w:val="1FCD35E0"/>
    <w:rsid w:val="1FD02EE8"/>
    <w:rsid w:val="1FD2597E"/>
    <w:rsid w:val="1FEFA792"/>
    <w:rsid w:val="1FF20FA0"/>
    <w:rsid w:val="1FFB7C68"/>
    <w:rsid w:val="1FFF6B0A"/>
    <w:rsid w:val="2004034F"/>
    <w:rsid w:val="200B13E8"/>
    <w:rsid w:val="201E1EB2"/>
    <w:rsid w:val="2030186F"/>
    <w:rsid w:val="20350095"/>
    <w:rsid w:val="203F0AAD"/>
    <w:rsid w:val="20432DCD"/>
    <w:rsid w:val="2044159C"/>
    <w:rsid w:val="20492558"/>
    <w:rsid w:val="205E38F0"/>
    <w:rsid w:val="206724C7"/>
    <w:rsid w:val="20692E24"/>
    <w:rsid w:val="2075089D"/>
    <w:rsid w:val="2080012F"/>
    <w:rsid w:val="209F6845"/>
    <w:rsid w:val="20A20580"/>
    <w:rsid w:val="20AA0500"/>
    <w:rsid w:val="20CD4001"/>
    <w:rsid w:val="20E86F89"/>
    <w:rsid w:val="20EC1124"/>
    <w:rsid w:val="210920EF"/>
    <w:rsid w:val="21174251"/>
    <w:rsid w:val="21392153"/>
    <w:rsid w:val="213D3995"/>
    <w:rsid w:val="213E63DA"/>
    <w:rsid w:val="21514B5B"/>
    <w:rsid w:val="21627C9F"/>
    <w:rsid w:val="216819C4"/>
    <w:rsid w:val="21747CD2"/>
    <w:rsid w:val="217F7026"/>
    <w:rsid w:val="219313DF"/>
    <w:rsid w:val="21992531"/>
    <w:rsid w:val="21B170D7"/>
    <w:rsid w:val="21B40DB4"/>
    <w:rsid w:val="21BA320B"/>
    <w:rsid w:val="21BC344B"/>
    <w:rsid w:val="21BD7A67"/>
    <w:rsid w:val="21BF2C33"/>
    <w:rsid w:val="21D132BC"/>
    <w:rsid w:val="21D544E9"/>
    <w:rsid w:val="21F0010E"/>
    <w:rsid w:val="22030BB6"/>
    <w:rsid w:val="220C5635"/>
    <w:rsid w:val="220D2602"/>
    <w:rsid w:val="224951C9"/>
    <w:rsid w:val="2253337B"/>
    <w:rsid w:val="226C4986"/>
    <w:rsid w:val="22753104"/>
    <w:rsid w:val="22A50CDA"/>
    <w:rsid w:val="22B2216B"/>
    <w:rsid w:val="22BE4F7D"/>
    <w:rsid w:val="22C33E95"/>
    <w:rsid w:val="22C54964"/>
    <w:rsid w:val="22E44AF2"/>
    <w:rsid w:val="22F14B5A"/>
    <w:rsid w:val="22F310EC"/>
    <w:rsid w:val="230B3186"/>
    <w:rsid w:val="232A7F55"/>
    <w:rsid w:val="23366A59"/>
    <w:rsid w:val="233841C0"/>
    <w:rsid w:val="233A79F7"/>
    <w:rsid w:val="234A53BE"/>
    <w:rsid w:val="2363312E"/>
    <w:rsid w:val="23704814"/>
    <w:rsid w:val="237B4F4F"/>
    <w:rsid w:val="237F3F46"/>
    <w:rsid w:val="23925515"/>
    <w:rsid w:val="23A221A9"/>
    <w:rsid w:val="23A835D3"/>
    <w:rsid w:val="23DF4103"/>
    <w:rsid w:val="23E33B7E"/>
    <w:rsid w:val="23F23130"/>
    <w:rsid w:val="24055FBC"/>
    <w:rsid w:val="241271DB"/>
    <w:rsid w:val="24243943"/>
    <w:rsid w:val="24284DA4"/>
    <w:rsid w:val="24291D1C"/>
    <w:rsid w:val="242F013F"/>
    <w:rsid w:val="24355A7B"/>
    <w:rsid w:val="24381601"/>
    <w:rsid w:val="244D5D3A"/>
    <w:rsid w:val="246B0877"/>
    <w:rsid w:val="247A210A"/>
    <w:rsid w:val="24944FF6"/>
    <w:rsid w:val="2498033F"/>
    <w:rsid w:val="249C22E1"/>
    <w:rsid w:val="24A44AD2"/>
    <w:rsid w:val="250F054B"/>
    <w:rsid w:val="251C0032"/>
    <w:rsid w:val="251E464F"/>
    <w:rsid w:val="25221B36"/>
    <w:rsid w:val="25493364"/>
    <w:rsid w:val="255C378E"/>
    <w:rsid w:val="257467E5"/>
    <w:rsid w:val="25780806"/>
    <w:rsid w:val="25794E0D"/>
    <w:rsid w:val="25852D9E"/>
    <w:rsid w:val="258A22CD"/>
    <w:rsid w:val="258C2F14"/>
    <w:rsid w:val="25983863"/>
    <w:rsid w:val="259C58FE"/>
    <w:rsid w:val="25AF024F"/>
    <w:rsid w:val="25B862D0"/>
    <w:rsid w:val="25CB3A81"/>
    <w:rsid w:val="25E1520A"/>
    <w:rsid w:val="2619387A"/>
    <w:rsid w:val="261D6F6E"/>
    <w:rsid w:val="262C5C6D"/>
    <w:rsid w:val="263C2847"/>
    <w:rsid w:val="26567C0E"/>
    <w:rsid w:val="266F480A"/>
    <w:rsid w:val="267D1FC5"/>
    <w:rsid w:val="26805560"/>
    <w:rsid w:val="26A71D59"/>
    <w:rsid w:val="26C0346C"/>
    <w:rsid w:val="26C14A80"/>
    <w:rsid w:val="26CA79B1"/>
    <w:rsid w:val="26CB1A16"/>
    <w:rsid w:val="26D046A2"/>
    <w:rsid w:val="26D27F13"/>
    <w:rsid w:val="26E36DA9"/>
    <w:rsid w:val="26F53542"/>
    <w:rsid w:val="270C62B7"/>
    <w:rsid w:val="270D202F"/>
    <w:rsid w:val="270D444F"/>
    <w:rsid w:val="271916C3"/>
    <w:rsid w:val="27295107"/>
    <w:rsid w:val="273A24AE"/>
    <w:rsid w:val="27456DDA"/>
    <w:rsid w:val="274704F7"/>
    <w:rsid w:val="27506187"/>
    <w:rsid w:val="27591CFC"/>
    <w:rsid w:val="275A3352"/>
    <w:rsid w:val="276F63C2"/>
    <w:rsid w:val="27703BAC"/>
    <w:rsid w:val="27816204"/>
    <w:rsid w:val="27871DE1"/>
    <w:rsid w:val="278909E9"/>
    <w:rsid w:val="278D5029"/>
    <w:rsid w:val="278D77E9"/>
    <w:rsid w:val="27900E5F"/>
    <w:rsid w:val="27980778"/>
    <w:rsid w:val="27B039C8"/>
    <w:rsid w:val="27C564D2"/>
    <w:rsid w:val="27CB356E"/>
    <w:rsid w:val="27DB14E9"/>
    <w:rsid w:val="27E63708"/>
    <w:rsid w:val="27E97B96"/>
    <w:rsid w:val="27F95DF6"/>
    <w:rsid w:val="27FC68FC"/>
    <w:rsid w:val="28015AEC"/>
    <w:rsid w:val="280B7F29"/>
    <w:rsid w:val="281E1898"/>
    <w:rsid w:val="281F6326"/>
    <w:rsid w:val="28242737"/>
    <w:rsid w:val="28242E05"/>
    <w:rsid w:val="282F6F65"/>
    <w:rsid w:val="28531512"/>
    <w:rsid w:val="286A7CAD"/>
    <w:rsid w:val="286F6445"/>
    <w:rsid w:val="2880029E"/>
    <w:rsid w:val="28872154"/>
    <w:rsid w:val="28981857"/>
    <w:rsid w:val="289E3886"/>
    <w:rsid w:val="28AA21B8"/>
    <w:rsid w:val="28AB3FBB"/>
    <w:rsid w:val="28AC40B4"/>
    <w:rsid w:val="28AD4E25"/>
    <w:rsid w:val="28B214EF"/>
    <w:rsid w:val="28E76997"/>
    <w:rsid w:val="28F5576A"/>
    <w:rsid w:val="28F8088B"/>
    <w:rsid w:val="290D4165"/>
    <w:rsid w:val="291E414A"/>
    <w:rsid w:val="291E49C7"/>
    <w:rsid w:val="292661E0"/>
    <w:rsid w:val="292B71CE"/>
    <w:rsid w:val="29326F94"/>
    <w:rsid w:val="293715E5"/>
    <w:rsid w:val="2939014D"/>
    <w:rsid w:val="293A5C24"/>
    <w:rsid w:val="29496672"/>
    <w:rsid w:val="294B072C"/>
    <w:rsid w:val="298E2223"/>
    <w:rsid w:val="299710B2"/>
    <w:rsid w:val="29C03002"/>
    <w:rsid w:val="29C341ED"/>
    <w:rsid w:val="29D17C06"/>
    <w:rsid w:val="29D3340F"/>
    <w:rsid w:val="29E13C7C"/>
    <w:rsid w:val="29E26806"/>
    <w:rsid w:val="29F4710C"/>
    <w:rsid w:val="29FD7FF2"/>
    <w:rsid w:val="29FF0B07"/>
    <w:rsid w:val="2A0E00CA"/>
    <w:rsid w:val="2A2D064F"/>
    <w:rsid w:val="2A2E06AD"/>
    <w:rsid w:val="2A3B6720"/>
    <w:rsid w:val="2A3C54CD"/>
    <w:rsid w:val="2A4B3C6C"/>
    <w:rsid w:val="2A630D17"/>
    <w:rsid w:val="2A791B21"/>
    <w:rsid w:val="2A87357D"/>
    <w:rsid w:val="2A8B2271"/>
    <w:rsid w:val="2A920D5A"/>
    <w:rsid w:val="2A996A64"/>
    <w:rsid w:val="2AA5169E"/>
    <w:rsid w:val="2AA53D30"/>
    <w:rsid w:val="2AAE58D7"/>
    <w:rsid w:val="2AC13D22"/>
    <w:rsid w:val="2ACB20BE"/>
    <w:rsid w:val="2AED38FF"/>
    <w:rsid w:val="2AF02669"/>
    <w:rsid w:val="2AF13218"/>
    <w:rsid w:val="2AFD10AB"/>
    <w:rsid w:val="2B2158D3"/>
    <w:rsid w:val="2B273342"/>
    <w:rsid w:val="2B29595D"/>
    <w:rsid w:val="2B4A1AA4"/>
    <w:rsid w:val="2B5934AE"/>
    <w:rsid w:val="2B5B4633"/>
    <w:rsid w:val="2B6A7A50"/>
    <w:rsid w:val="2B7A5423"/>
    <w:rsid w:val="2B853CF9"/>
    <w:rsid w:val="2B914B5D"/>
    <w:rsid w:val="2BA9469B"/>
    <w:rsid w:val="2BB67139"/>
    <w:rsid w:val="2BCD0048"/>
    <w:rsid w:val="2BD07070"/>
    <w:rsid w:val="2BE529C4"/>
    <w:rsid w:val="2BE5693E"/>
    <w:rsid w:val="2BF544D2"/>
    <w:rsid w:val="2C0E0F1F"/>
    <w:rsid w:val="2C255A4C"/>
    <w:rsid w:val="2C3D1CE0"/>
    <w:rsid w:val="2C453FDD"/>
    <w:rsid w:val="2C5F5EB5"/>
    <w:rsid w:val="2C663433"/>
    <w:rsid w:val="2C816910"/>
    <w:rsid w:val="2C8D1C48"/>
    <w:rsid w:val="2C9E0649"/>
    <w:rsid w:val="2CA54B1C"/>
    <w:rsid w:val="2CC22BB9"/>
    <w:rsid w:val="2CD17CCF"/>
    <w:rsid w:val="2CD94E8D"/>
    <w:rsid w:val="2CE20CD8"/>
    <w:rsid w:val="2D1C517B"/>
    <w:rsid w:val="2D2824B2"/>
    <w:rsid w:val="2D355A17"/>
    <w:rsid w:val="2D4C5977"/>
    <w:rsid w:val="2D6138B7"/>
    <w:rsid w:val="2D666BF9"/>
    <w:rsid w:val="2D763884"/>
    <w:rsid w:val="2D833B32"/>
    <w:rsid w:val="2D896548"/>
    <w:rsid w:val="2D903C3D"/>
    <w:rsid w:val="2D917EAF"/>
    <w:rsid w:val="2D94331D"/>
    <w:rsid w:val="2DA13A86"/>
    <w:rsid w:val="2DB0030F"/>
    <w:rsid w:val="2DBF70E8"/>
    <w:rsid w:val="2DCA0BF2"/>
    <w:rsid w:val="2DD14BA3"/>
    <w:rsid w:val="2DD83397"/>
    <w:rsid w:val="2DEF6BDA"/>
    <w:rsid w:val="2DFE26D1"/>
    <w:rsid w:val="2E002321"/>
    <w:rsid w:val="2E05279A"/>
    <w:rsid w:val="2E1C647D"/>
    <w:rsid w:val="2E277EEB"/>
    <w:rsid w:val="2E2E4D65"/>
    <w:rsid w:val="2E325CD0"/>
    <w:rsid w:val="2E3C37AA"/>
    <w:rsid w:val="2E3E32B1"/>
    <w:rsid w:val="2E3F37FA"/>
    <w:rsid w:val="2E414B35"/>
    <w:rsid w:val="2E570595"/>
    <w:rsid w:val="2E580F8F"/>
    <w:rsid w:val="2E5E0768"/>
    <w:rsid w:val="2E675101"/>
    <w:rsid w:val="2E7A5712"/>
    <w:rsid w:val="2E8639C6"/>
    <w:rsid w:val="2EA532BE"/>
    <w:rsid w:val="2EB14DB5"/>
    <w:rsid w:val="2EB81807"/>
    <w:rsid w:val="2EC47A74"/>
    <w:rsid w:val="2ECD17AD"/>
    <w:rsid w:val="2ED9015F"/>
    <w:rsid w:val="2EDB7001"/>
    <w:rsid w:val="2EFB12DD"/>
    <w:rsid w:val="2F134289"/>
    <w:rsid w:val="2F246219"/>
    <w:rsid w:val="2F332407"/>
    <w:rsid w:val="2F5B70A6"/>
    <w:rsid w:val="2F5E5535"/>
    <w:rsid w:val="2F650E51"/>
    <w:rsid w:val="2F7D1042"/>
    <w:rsid w:val="2F7F38EF"/>
    <w:rsid w:val="2FA030EF"/>
    <w:rsid w:val="2FA63021"/>
    <w:rsid w:val="2FB9565D"/>
    <w:rsid w:val="2FC14E06"/>
    <w:rsid w:val="2FC66A80"/>
    <w:rsid w:val="2FD60F8C"/>
    <w:rsid w:val="2FDC0D67"/>
    <w:rsid w:val="2FDD7AA8"/>
    <w:rsid w:val="2FDF05E9"/>
    <w:rsid w:val="300E54BC"/>
    <w:rsid w:val="302A451F"/>
    <w:rsid w:val="302D54D4"/>
    <w:rsid w:val="302E0A39"/>
    <w:rsid w:val="30407780"/>
    <w:rsid w:val="3043520F"/>
    <w:rsid w:val="305A76AB"/>
    <w:rsid w:val="30841252"/>
    <w:rsid w:val="30AE5D9B"/>
    <w:rsid w:val="30BD5A46"/>
    <w:rsid w:val="30C670C4"/>
    <w:rsid w:val="30CA0688"/>
    <w:rsid w:val="30CA166B"/>
    <w:rsid w:val="30D06C23"/>
    <w:rsid w:val="30E87423"/>
    <w:rsid w:val="30ED1101"/>
    <w:rsid w:val="30ED7421"/>
    <w:rsid w:val="30F72E6E"/>
    <w:rsid w:val="30F857B9"/>
    <w:rsid w:val="31170894"/>
    <w:rsid w:val="313A36E5"/>
    <w:rsid w:val="313F50D7"/>
    <w:rsid w:val="314F6742"/>
    <w:rsid w:val="315727F7"/>
    <w:rsid w:val="31595A51"/>
    <w:rsid w:val="315C7F7F"/>
    <w:rsid w:val="31754FD5"/>
    <w:rsid w:val="31785A4E"/>
    <w:rsid w:val="31863DA3"/>
    <w:rsid w:val="31CC5D3F"/>
    <w:rsid w:val="31CF2D29"/>
    <w:rsid w:val="31CF4AB1"/>
    <w:rsid w:val="31E82675"/>
    <w:rsid w:val="31FE41EC"/>
    <w:rsid w:val="320D1173"/>
    <w:rsid w:val="321E6DA8"/>
    <w:rsid w:val="32287A9E"/>
    <w:rsid w:val="322A28A3"/>
    <w:rsid w:val="322D059F"/>
    <w:rsid w:val="32433665"/>
    <w:rsid w:val="325869D8"/>
    <w:rsid w:val="326D7BCF"/>
    <w:rsid w:val="327A6BD0"/>
    <w:rsid w:val="32832ED6"/>
    <w:rsid w:val="32AC1117"/>
    <w:rsid w:val="32C31B6B"/>
    <w:rsid w:val="32D45531"/>
    <w:rsid w:val="32D96982"/>
    <w:rsid w:val="32F74A3F"/>
    <w:rsid w:val="32FF3B55"/>
    <w:rsid w:val="33030EB6"/>
    <w:rsid w:val="33050AAD"/>
    <w:rsid w:val="330C7418"/>
    <w:rsid w:val="33116608"/>
    <w:rsid w:val="33174140"/>
    <w:rsid w:val="33290330"/>
    <w:rsid w:val="332C3F79"/>
    <w:rsid w:val="33392236"/>
    <w:rsid w:val="33404C33"/>
    <w:rsid w:val="334530F3"/>
    <w:rsid w:val="334A37F9"/>
    <w:rsid w:val="33666DC5"/>
    <w:rsid w:val="336E02D4"/>
    <w:rsid w:val="3381489C"/>
    <w:rsid w:val="33861D25"/>
    <w:rsid w:val="33BA1464"/>
    <w:rsid w:val="33C31966"/>
    <w:rsid w:val="33C96CCF"/>
    <w:rsid w:val="33CE606B"/>
    <w:rsid w:val="33D1513C"/>
    <w:rsid w:val="33D77C4D"/>
    <w:rsid w:val="33E508AC"/>
    <w:rsid w:val="33E97899"/>
    <w:rsid w:val="33EA3E24"/>
    <w:rsid w:val="33F30E32"/>
    <w:rsid w:val="33F85143"/>
    <w:rsid w:val="34004CF5"/>
    <w:rsid w:val="340505DC"/>
    <w:rsid w:val="34081FB8"/>
    <w:rsid w:val="341B2DD1"/>
    <w:rsid w:val="342041F4"/>
    <w:rsid w:val="342543BE"/>
    <w:rsid w:val="34270AC1"/>
    <w:rsid w:val="342927FC"/>
    <w:rsid w:val="34562F70"/>
    <w:rsid w:val="3461736E"/>
    <w:rsid w:val="347E3539"/>
    <w:rsid w:val="34830369"/>
    <w:rsid w:val="34F55309"/>
    <w:rsid w:val="35015008"/>
    <w:rsid w:val="350D407B"/>
    <w:rsid w:val="354503F4"/>
    <w:rsid w:val="35497E3D"/>
    <w:rsid w:val="355B3D82"/>
    <w:rsid w:val="35606624"/>
    <w:rsid w:val="35841377"/>
    <w:rsid w:val="358F1EC3"/>
    <w:rsid w:val="359A09ED"/>
    <w:rsid w:val="35AA1BCA"/>
    <w:rsid w:val="35B33563"/>
    <w:rsid w:val="35B53FBD"/>
    <w:rsid w:val="35BC4AB2"/>
    <w:rsid w:val="35BE16F7"/>
    <w:rsid w:val="35CB558F"/>
    <w:rsid w:val="35D31094"/>
    <w:rsid w:val="35E936E6"/>
    <w:rsid w:val="35EB0A3D"/>
    <w:rsid w:val="35FA1982"/>
    <w:rsid w:val="35FE2F69"/>
    <w:rsid w:val="360C3486"/>
    <w:rsid w:val="360D47B5"/>
    <w:rsid w:val="360F0EAE"/>
    <w:rsid w:val="361055D6"/>
    <w:rsid w:val="36197AB6"/>
    <w:rsid w:val="363C4806"/>
    <w:rsid w:val="36441F53"/>
    <w:rsid w:val="364C0351"/>
    <w:rsid w:val="364E6C2B"/>
    <w:rsid w:val="367E53BD"/>
    <w:rsid w:val="368559A2"/>
    <w:rsid w:val="36995CF0"/>
    <w:rsid w:val="36B15DF4"/>
    <w:rsid w:val="36C070E9"/>
    <w:rsid w:val="36D121F1"/>
    <w:rsid w:val="36DB74F0"/>
    <w:rsid w:val="36FC2539"/>
    <w:rsid w:val="37162A11"/>
    <w:rsid w:val="37383C9E"/>
    <w:rsid w:val="373E0DAB"/>
    <w:rsid w:val="37561C60"/>
    <w:rsid w:val="375A58F9"/>
    <w:rsid w:val="376D0505"/>
    <w:rsid w:val="376D4567"/>
    <w:rsid w:val="377C4C78"/>
    <w:rsid w:val="37965470"/>
    <w:rsid w:val="37A058ED"/>
    <w:rsid w:val="37B07E7F"/>
    <w:rsid w:val="37B2386C"/>
    <w:rsid w:val="37C472DC"/>
    <w:rsid w:val="37C8447C"/>
    <w:rsid w:val="37D4759E"/>
    <w:rsid w:val="37E17558"/>
    <w:rsid w:val="37F609F5"/>
    <w:rsid w:val="380644A3"/>
    <w:rsid w:val="38142EE2"/>
    <w:rsid w:val="381614F2"/>
    <w:rsid w:val="38265678"/>
    <w:rsid w:val="382D35E2"/>
    <w:rsid w:val="38383CFD"/>
    <w:rsid w:val="383A1306"/>
    <w:rsid w:val="383B3AEE"/>
    <w:rsid w:val="385C6972"/>
    <w:rsid w:val="387F6F98"/>
    <w:rsid w:val="38884D0A"/>
    <w:rsid w:val="388C0C80"/>
    <w:rsid w:val="389D260B"/>
    <w:rsid w:val="38AC2166"/>
    <w:rsid w:val="38AC2771"/>
    <w:rsid w:val="38AD2AC5"/>
    <w:rsid w:val="38B31CD2"/>
    <w:rsid w:val="38D46E50"/>
    <w:rsid w:val="38EE54CC"/>
    <w:rsid w:val="38F17A02"/>
    <w:rsid w:val="38FA50F6"/>
    <w:rsid w:val="391477F6"/>
    <w:rsid w:val="3937628D"/>
    <w:rsid w:val="3947249B"/>
    <w:rsid w:val="3952776E"/>
    <w:rsid w:val="397054D7"/>
    <w:rsid w:val="397131B7"/>
    <w:rsid w:val="397C5D25"/>
    <w:rsid w:val="397F6DBC"/>
    <w:rsid w:val="39B56092"/>
    <w:rsid w:val="39BD85AA"/>
    <w:rsid w:val="39C84966"/>
    <w:rsid w:val="39D178FD"/>
    <w:rsid w:val="39D20836"/>
    <w:rsid w:val="39E273E9"/>
    <w:rsid w:val="39E55C79"/>
    <w:rsid w:val="39ED3663"/>
    <w:rsid w:val="3A02225A"/>
    <w:rsid w:val="3A0E4A66"/>
    <w:rsid w:val="3A0F5041"/>
    <w:rsid w:val="3A224CCC"/>
    <w:rsid w:val="3A33340F"/>
    <w:rsid w:val="3A49697E"/>
    <w:rsid w:val="3A4A1178"/>
    <w:rsid w:val="3A514BDD"/>
    <w:rsid w:val="3A57248F"/>
    <w:rsid w:val="3A5930B4"/>
    <w:rsid w:val="3A760223"/>
    <w:rsid w:val="3AAA1FCB"/>
    <w:rsid w:val="3AB6601A"/>
    <w:rsid w:val="3AC22C8F"/>
    <w:rsid w:val="3AF56769"/>
    <w:rsid w:val="3B2A5097"/>
    <w:rsid w:val="3B2F0486"/>
    <w:rsid w:val="3B37434F"/>
    <w:rsid w:val="3B3D0CDD"/>
    <w:rsid w:val="3B401F9F"/>
    <w:rsid w:val="3B406A13"/>
    <w:rsid w:val="3B4C5420"/>
    <w:rsid w:val="3B596F6F"/>
    <w:rsid w:val="3B690062"/>
    <w:rsid w:val="3B6F1C75"/>
    <w:rsid w:val="3B703203"/>
    <w:rsid w:val="3B754CFB"/>
    <w:rsid w:val="3B82432C"/>
    <w:rsid w:val="3B8763FC"/>
    <w:rsid w:val="3B91770A"/>
    <w:rsid w:val="3B951E85"/>
    <w:rsid w:val="3B967E52"/>
    <w:rsid w:val="3BB03B5A"/>
    <w:rsid w:val="3BB56FEB"/>
    <w:rsid w:val="3BBC2C35"/>
    <w:rsid w:val="3BD76595"/>
    <w:rsid w:val="3BE00BB2"/>
    <w:rsid w:val="3BE3602E"/>
    <w:rsid w:val="3BE72E68"/>
    <w:rsid w:val="3BFA48AA"/>
    <w:rsid w:val="3C0A55D7"/>
    <w:rsid w:val="3C167219"/>
    <w:rsid w:val="3C1C1508"/>
    <w:rsid w:val="3C266A0E"/>
    <w:rsid w:val="3C335360"/>
    <w:rsid w:val="3C404ADE"/>
    <w:rsid w:val="3C4068B0"/>
    <w:rsid w:val="3C4D53D3"/>
    <w:rsid w:val="3C4D6189"/>
    <w:rsid w:val="3C85139E"/>
    <w:rsid w:val="3C8B3CCA"/>
    <w:rsid w:val="3CA55694"/>
    <w:rsid w:val="3CB30A45"/>
    <w:rsid w:val="3CC84549"/>
    <w:rsid w:val="3CCC7C23"/>
    <w:rsid w:val="3CD836A5"/>
    <w:rsid w:val="3CEF9CCC"/>
    <w:rsid w:val="3CF71423"/>
    <w:rsid w:val="3D0A4BEF"/>
    <w:rsid w:val="3D2321D5"/>
    <w:rsid w:val="3D3D3216"/>
    <w:rsid w:val="3D5034D4"/>
    <w:rsid w:val="3D5524D5"/>
    <w:rsid w:val="3D631D18"/>
    <w:rsid w:val="3D77BCB3"/>
    <w:rsid w:val="3D931C08"/>
    <w:rsid w:val="3D975801"/>
    <w:rsid w:val="3D9B0FF3"/>
    <w:rsid w:val="3D9E12A1"/>
    <w:rsid w:val="3DAE3337"/>
    <w:rsid w:val="3DB836BF"/>
    <w:rsid w:val="3DB84332"/>
    <w:rsid w:val="3DBF54D1"/>
    <w:rsid w:val="3DD0070F"/>
    <w:rsid w:val="3DD0314B"/>
    <w:rsid w:val="3DD1395F"/>
    <w:rsid w:val="3DD24540"/>
    <w:rsid w:val="3DEC3275"/>
    <w:rsid w:val="3DFA21F0"/>
    <w:rsid w:val="3DFD4F8B"/>
    <w:rsid w:val="3DFF6D97"/>
    <w:rsid w:val="3E0A6273"/>
    <w:rsid w:val="3E0E070F"/>
    <w:rsid w:val="3E1A7695"/>
    <w:rsid w:val="3E4C2268"/>
    <w:rsid w:val="3E4D6BDB"/>
    <w:rsid w:val="3E5D2E08"/>
    <w:rsid w:val="3E65120B"/>
    <w:rsid w:val="3E6825AB"/>
    <w:rsid w:val="3E730AC2"/>
    <w:rsid w:val="3E7A2248"/>
    <w:rsid w:val="3E860BED"/>
    <w:rsid w:val="3E8B1B27"/>
    <w:rsid w:val="3E8F45ED"/>
    <w:rsid w:val="3E983B91"/>
    <w:rsid w:val="3E990BCE"/>
    <w:rsid w:val="3EA74100"/>
    <w:rsid w:val="3ED25BE0"/>
    <w:rsid w:val="3ED71CC0"/>
    <w:rsid w:val="3ED8151A"/>
    <w:rsid w:val="3EE54372"/>
    <w:rsid w:val="3F0C16B6"/>
    <w:rsid w:val="3F396430"/>
    <w:rsid w:val="3F3D51AB"/>
    <w:rsid w:val="3F46049A"/>
    <w:rsid w:val="3F483449"/>
    <w:rsid w:val="3F4C559B"/>
    <w:rsid w:val="3F514D57"/>
    <w:rsid w:val="3F7C412D"/>
    <w:rsid w:val="3F7F3A39"/>
    <w:rsid w:val="3F80503B"/>
    <w:rsid w:val="3F836EDA"/>
    <w:rsid w:val="3F9738B9"/>
    <w:rsid w:val="3FA91189"/>
    <w:rsid w:val="3FB2368A"/>
    <w:rsid w:val="3FD40286"/>
    <w:rsid w:val="3FD85B95"/>
    <w:rsid w:val="3FDE4615"/>
    <w:rsid w:val="3FE1730C"/>
    <w:rsid w:val="40006203"/>
    <w:rsid w:val="40047475"/>
    <w:rsid w:val="40063D93"/>
    <w:rsid w:val="40070B3D"/>
    <w:rsid w:val="401A0A3D"/>
    <w:rsid w:val="402E0D38"/>
    <w:rsid w:val="403D52DB"/>
    <w:rsid w:val="404439DB"/>
    <w:rsid w:val="40457334"/>
    <w:rsid w:val="404A1C06"/>
    <w:rsid w:val="405151E1"/>
    <w:rsid w:val="405E6311"/>
    <w:rsid w:val="407927B7"/>
    <w:rsid w:val="407B513E"/>
    <w:rsid w:val="40805696"/>
    <w:rsid w:val="40934D9A"/>
    <w:rsid w:val="40945BD7"/>
    <w:rsid w:val="40B71256"/>
    <w:rsid w:val="40B77577"/>
    <w:rsid w:val="40C07E55"/>
    <w:rsid w:val="40D65444"/>
    <w:rsid w:val="40EA6631"/>
    <w:rsid w:val="40EB2F89"/>
    <w:rsid w:val="410406EE"/>
    <w:rsid w:val="411A2CA9"/>
    <w:rsid w:val="411A38B2"/>
    <w:rsid w:val="411C1CDD"/>
    <w:rsid w:val="41244342"/>
    <w:rsid w:val="412A58ED"/>
    <w:rsid w:val="4159217C"/>
    <w:rsid w:val="418A2F70"/>
    <w:rsid w:val="419101F1"/>
    <w:rsid w:val="41963683"/>
    <w:rsid w:val="419929E5"/>
    <w:rsid w:val="41A60B03"/>
    <w:rsid w:val="41B15792"/>
    <w:rsid w:val="41BD7303"/>
    <w:rsid w:val="41CF3A26"/>
    <w:rsid w:val="421D3B80"/>
    <w:rsid w:val="421E197A"/>
    <w:rsid w:val="42553004"/>
    <w:rsid w:val="42833F08"/>
    <w:rsid w:val="428B1BDB"/>
    <w:rsid w:val="428E0BC9"/>
    <w:rsid w:val="429121FE"/>
    <w:rsid w:val="42CE4E21"/>
    <w:rsid w:val="42E6012C"/>
    <w:rsid w:val="42E63401"/>
    <w:rsid w:val="42F57D48"/>
    <w:rsid w:val="42FA74B4"/>
    <w:rsid w:val="430B4E03"/>
    <w:rsid w:val="4324415B"/>
    <w:rsid w:val="43286F3A"/>
    <w:rsid w:val="433B24A0"/>
    <w:rsid w:val="43485634"/>
    <w:rsid w:val="434C6777"/>
    <w:rsid w:val="438172BC"/>
    <w:rsid w:val="438D7205"/>
    <w:rsid w:val="43A31501"/>
    <w:rsid w:val="43A51A0F"/>
    <w:rsid w:val="43A63ED9"/>
    <w:rsid w:val="43BA51F0"/>
    <w:rsid w:val="43CA4ED5"/>
    <w:rsid w:val="43D3039E"/>
    <w:rsid w:val="43DD2F3E"/>
    <w:rsid w:val="43E1359B"/>
    <w:rsid w:val="44006148"/>
    <w:rsid w:val="440F5CB7"/>
    <w:rsid w:val="4410164C"/>
    <w:rsid w:val="4421190E"/>
    <w:rsid w:val="442825A1"/>
    <w:rsid w:val="442D310D"/>
    <w:rsid w:val="44300C17"/>
    <w:rsid w:val="44347DF9"/>
    <w:rsid w:val="44387A96"/>
    <w:rsid w:val="443F6059"/>
    <w:rsid w:val="4440389E"/>
    <w:rsid w:val="44404FD8"/>
    <w:rsid w:val="44467B33"/>
    <w:rsid w:val="44471594"/>
    <w:rsid w:val="44507687"/>
    <w:rsid w:val="446108C6"/>
    <w:rsid w:val="4479276B"/>
    <w:rsid w:val="4498109B"/>
    <w:rsid w:val="44983E14"/>
    <w:rsid w:val="44D101C0"/>
    <w:rsid w:val="44D37D84"/>
    <w:rsid w:val="44DB7D4A"/>
    <w:rsid w:val="44E7070D"/>
    <w:rsid w:val="44E96140"/>
    <w:rsid w:val="45151EC2"/>
    <w:rsid w:val="452D6EC8"/>
    <w:rsid w:val="452E7CA8"/>
    <w:rsid w:val="454017BB"/>
    <w:rsid w:val="455D6C0E"/>
    <w:rsid w:val="456237E3"/>
    <w:rsid w:val="45646473"/>
    <w:rsid w:val="45674650"/>
    <w:rsid w:val="45694E4F"/>
    <w:rsid w:val="45791D52"/>
    <w:rsid w:val="457D5076"/>
    <w:rsid w:val="459338BA"/>
    <w:rsid w:val="45996092"/>
    <w:rsid w:val="45A20D7F"/>
    <w:rsid w:val="45A24CBD"/>
    <w:rsid w:val="45AF4A67"/>
    <w:rsid w:val="45B70AB6"/>
    <w:rsid w:val="45C83216"/>
    <w:rsid w:val="45CF5588"/>
    <w:rsid w:val="45FD2A9F"/>
    <w:rsid w:val="46185997"/>
    <w:rsid w:val="46480C46"/>
    <w:rsid w:val="464E5B22"/>
    <w:rsid w:val="46543DF1"/>
    <w:rsid w:val="465719BA"/>
    <w:rsid w:val="466A2D2D"/>
    <w:rsid w:val="468E4AE3"/>
    <w:rsid w:val="46995187"/>
    <w:rsid w:val="46C53057"/>
    <w:rsid w:val="46DD6135"/>
    <w:rsid w:val="46E64061"/>
    <w:rsid w:val="470D6DF4"/>
    <w:rsid w:val="471609FC"/>
    <w:rsid w:val="472714BE"/>
    <w:rsid w:val="473A2575"/>
    <w:rsid w:val="473F2635"/>
    <w:rsid w:val="4753398A"/>
    <w:rsid w:val="47537F64"/>
    <w:rsid w:val="477E64CE"/>
    <w:rsid w:val="478A2625"/>
    <w:rsid w:val="47995509"/>
    <w:rsid w:val="47AC0B95"/>
    <w:rsid w:val="47BA075C"/>
    <w:rsid w:val="47BB23D3"/>
    <w:rsid w:val="47BE498F"/>
    <w:rsid w:val="47DA3EE6"/>
    <w:rsid w:val="47E80D20"/>
    <w:rsid w:val="47FE205C"/>
    <w:rsid w:val="4800731A"/>
    <w:rsid w:val="48047754"/>
    <w:rsid w:val="48064ED6"/>
    <w:rsid w:val="481B0A7B"/>
    <w:rsid w:val="48286180"/>
    <w:rsid w:val="4843730A"/>
    <w:rsid w:val="4849022C"/>
    <w:rsid w:val="484E10BE"/>
    <w:rsid w:val="485F529B"/>
    <w:rsid w:val="48662799"/>
    <w:rsid w:val="48735D3E"/>
    <w:rsid w:val="48897354"/>
    <w:rsid w:val="48945E7F"/>
    <w:rsid w:val="489770C9"/>
    <w:rsid w:val="489D09AA"/>
    <w:rsid w:val="48B60EEA"/>
    <w:rsid w:val="48C20A74"/>
    <w:rsid w:val="48CB623B"/>
    <w:rsid w:val="48DB747C"/>
    <w:rsid w:val="48F9558A"/>
    <w:rsid w:val="48FD67EF"/>
    <w:rsid w:val="49042E3A"/>
    <w:rsid w:val="490D0375"/>
    <w:rsid w:val="490E2EBE"/>
    <w:rsid w:val="490F4371"/>
    <w:rsid w:val="491A72A2"/>
    <w:rsid w:val="494304CD"/>
    <w:rsid w:val="4953099D"/>
    <w:rsid w:val="49546E3C"/>
    <w:rsid w:val="495D5A00"/>
    <w:rsid w:val="49650814"/>
    <w:rsid w:val="49656C49"/>
    <w:rsid w:val="4989236D"/>
    <w:rsid w:val="49921C78"/>
    <w:rsid w:val="49A13F41"/>
    <w:rsid w:val="49A63C31"/>
    <w:rsid w:val="49D62DD0"/>
    <w:rsid w:val="49DF7B2A"/>
    <w:rsid w:val="49ED3805"/>
    <w:rsid w:val="49F444EB"/>
    <w:rsid w:val="4A280204"/>
    <w:rsid w:val="4A3029FF"/>
    <w:rsid w:val="4A471230"/>
    <w:rsid w:val="4A495F64"/>
    <w:rsid w:val="4A510E87"/>
    <w:rsid w:val="4A5F5DCB"/>
    <w:rsid w:val="4A6361B0"/>
    <w:rsid w:val="4A6D5817"/>
    <w:rsid w:val="4A6D5A21"/>
    <w:rsid w:val="4A764CF9"/>
    <w:rsid w:val="4A780E6E"/>
    <w:rsid w:val="4A7D61F3"/>
    <w:rsid w:val="4A9B3185"/>
    <w:rsid w:val="4A9C4AA6"/>
    <w:rsid w:val="4A9F3116"/>
    <w:rsid w:val="4AAA25C8"/>
    <w:rsid w:val="4AB1599D"/>
    <w:rsid w:val="4ABF7A37"/>
    <w:rsid w:val="4AC13BA7"/>
    <w:rsid w:val="4AD43CC2"/>
    <w:rsid w:val="4AF21831"/>
    <w:rsid w:val="4B03568E"/>
    <w:rsid w:val="4B073250"/>
    <w:rsid w:val="4B106111"/>
    <w:rsid w:val="4B157281"/>
    <w:rsid w:val="4B1B4D9A"/>
    <w:rsid w:val="4B43338C"/>
    <w:rsid w:val="4B533C05"/>
    <w:rsid w:val="4B596AA2"/>
    <w:rsid w:val="4B600810"/>
    <w:rsid w:val="4B6865B5"/>
    <w:rsid w:val="4B741C92"/>
    <w:rsid w:val="4B834D24"/>
    <w:rsid w:val="4B8455EB"/>
    <w:rsid w:val="4B845D24"/>
    <w:rsid w:val="4B966509"/>
    <w:rsid w:val="4BA2361E"/>
    <w:rsid w:val="4BAD443F"/>
    <w:rsid w:val="4BB960AE"/>
    <w:rsid w:val="4BBA1147"/>
    <w:rsid w:val="4BDF2F6B"/>
    <w:rsid w:val="4C037012"/>
    <w:rsid w:val="4C0B44E0"/>
    <w:rsid w:val="4C2C12C3"/>
    <w:rsid w:val="4C3008D0"/>
    <w:rsid w:val="4C3679C6"/>
    <w:rsid w:val="4C390B55"/>
    <w:rsid w:val="4C5C5F9D"/>
    <w:rsid w:val="4C7758AF"/>
    <w:rsid w:val="4C7A5603"/>
    <w:rsid w:val="4C8111CA"/>
    <w:rsid w:val="4C8220ED"/>
    <w:rsid w:val="4C961F41"/>
    <w:rsid w:val="4C9925D5"/>
    <w:rsid w:val="4C9D7847"/>
    <w:rsid w:val="4CA02E7A"/>
    <w:rsid w:val="4CA334F9"/>
    <w:rsid w:val="4CAB4709"/>
    <w:rsid w:val="4CD951A0"/>
    <w:rsid w:val="4CE524B9"/>
    <w:rsid w:val="4CE61651"/>
    <w:rsid w:val="4CF2752F"/>
    <w:rsid w:val="4CF70E21"/>
    <w:rsid w:val="4D013CFF"/>
    <w:rsid w:val="4D1923B1"/>
    <w:rsid w:val="4D271487"/>
    <w:rsid w:val="4D2A7EDF"/>
    <w:rsid w:val="4D2E3A04"/>
    <w:rsid w:val="4D3676FE"/>
    <w:rsid w:val="4D3B65C7"/>
    <w:rsid w:val="4D6B16DA"/>
    <w:rsid w:val="4D890E9D"/>
    <w:rsid w:val="4D8E7176"/>
    <w:rsid w:val="4D8F7DD5"/>
    <w:rsid w:val="4D901638"/>
    <w:rsid w:val="4D9F6363"/>
    <w:rsid w:val="4DC459B3"/>
    <w:rsid w:val="4DC57CA2"/>
    <w:rsid w:val="4DD80CDF"/>
    <w:rsid w:val="4DDF6B8F"/>
    <w:rsid w:val="4DF60FB8"/>
    <w:rsid w:val="4DF75681"/>
    <w:rsid w:val="4DFA0703"/>
    <w:rsid w:val="4E17663C"/>
    <w:rsid w:val="4E340B4C"/>
    <w:rsid w:val="4E35602E"/>
    <w:rsid w:val="4E3B72FE"/>
    <w:rsid w:val="4E67354A"/>
    <w:rsid w:val="4E73266B"/>
    <w:rsid w:val="4E8D5680"/>
    <w:rsid w:val="4E9E0267"/>
    <w:rsid w:val="4EA847B3"/>
    <w:rsid w:val="4EBA344B"/>
    <w:rsid w:val="4EBE12C8"/>
    <w:rsid w:val="4ECF0762"/>
    <w:rsid w:val="4ED15497"/>
    <w:rsid w:val="4ED4741A"/>
    <w:rsid w:val="4EE1173D"/>
    <w:rsid w:val="4EEE643C"/>
    <w:rsid w:val="4EF1594C"/>
    <w:rsid w:val="4EFD28C2"/>
    <w:rsid w:val="4F1B3ADD"/>
    <w:rsid w:val="4F2D5356"/>
    <w:rsid w:val="4F3C0C95"/>
    <w:rsid w:val="4F5A694A"/>
    <w:rsid w:val="4F7D3F49"/>
    <w:rsid w:val="4F8B1433"/>
    <w:rsid w:val="4F957F0E"/>
    <w:rsid w:val="4FAB48F5"/>
    <w:rsid w:val="4FC4795B"/>
    <w:rsid w:val="4FD24FE2"/>
    <w:rsid w:val="4FD25C82"/>
    <w:rsid w:val="4FD6135A"/>
    <w:rsid w:val="4FE84FCB"/>
    <w:rsid w:val="4FF26D74"/>
    <w:rsid w:val="4FF379A4"/>
    <w:rsid w:val="4FFF16B7"/>
    <w:rsid w:val="500217A5"/>
    <w:rsid w:val="50191F11"/>
    <w:rsid w:val="50290237"/>
    <w:rsid w:val="50302767"/>
    <w:rsid w:val="5038018E"/>
    <w:rsid w:val="503B2CD9"/>
    <w:rsid w:val="50531C78"/>
    <w:rsid w:val="505C064C"/>
    <w:rsid w:val="505C17AE"/>
    <w:rsid w:val="50693ADF"/>
    <w:rsid w:val="506D3AE2"/>
    <w:rsid w:val="506D5405"/>
    <w:rsid w:val="50950C9A"/>
    <w:rsid w:val="50AC4899"/>
    <w:rsid w:val="50E920BD"/>
    <w:rsid w:val="50EC36A9"/>
    <w:rsid w:val="50EE3B03"/>
    <w:rsid w:val="50F6662B"/>
    <w:rsid w:val="50F82A75"/>
    <w:rsid w:val="51053257"/>
    <w:rsid w:val="510D68D4"/>
    <w:rsid w:val="51160897"/>
    <w:rsid w:val="512010D9"/>
    <w:rsid w:val="514815B7"/>
    <w:rsid w:val="5154339D"/>
    <w:rsid w:val="51571620"/>
    <w:rsid w:val="51634A9A"/>
    <w:rsid w:val="517073FB"/>
    <w:rsid w:val="51852DBA"/>
    <w:rsid w:val="518E3D0C"/>
    <w:rsid w:val="51906CB3"/>
    <w:rsid w:val="51915487"/>
    <w:rsid w:val="51956D25"/>
    <w:rsid w:val="51A67184"/>
    <w:rsid w:val="51A947E6"/>
    <w:rsid w:val="52003972"/>
    <w:rsid w:val="52047653"/>
    <w:rsid w:val="522649B5"/>
    <w:rsid w:val="522C4466"/>
    <w:rsid w:val="52384E06"/>
    <w:rsid w:val="52387C4A"/>
    <w:rsid w:val="52535BCC"/>
    <w:rsid w:val="52623D08"/>
    <w:rsid w:val="52670B1E"/>
    <w:rsid w:val="52757A71"/>
    <w:rsid w:val="527903F5"/>
    <w:rsid w:val="527C7722"/>
    <w:rsid w:val="52863AC7"/>
    <w:rsid w:val="528A7B86"/>
    <w:rsid w:val="529C4351"/>
    <w:rsid w:val="529D7E1A"/>
    <w:rsid w:val="52A15B9E"/>
    <w:rsid w:val="52AA5BFC"/>
    <w:rsid w:val="52B4249C"/>
    <w:rsid w:val="52BB12C1"/>
    <w:rsid w:val="52BD6A99"/>
    <w:rsid w:val="52BE779B"/>
    <w:rsid w:val="52BF212E"/>
    <w:rsid w:val="52F6155C"/>
    <w:rsid w:val="52F9655C"/>
    <w:rsid w:val="52FD70ED"/>
    <w:rsid w:val="530E4638"/>
    <w:rsid w:val="531460EC"/>
    <w:rsid w:val="5315385C"/>
    <w:rsid w:val="531600F1"/>
    <w:rsid w:val="5317F4CF"/>
    <w:rsid w:val="531F6554"/>
    <w:rsid w:val="53244EF5"/>
    <w:rsid w:val="533162A1"/>
    <w:rsid w:val="533F22C0"/>
    <w:rsid w:val="5342491C"/>
    <w:rsid w:val="534D2BE9"/>
    <w:rsid w:val="534D3630"/>
    <w:rsid w:val="538206FB"/>
    <w:rsid w:val="53B86A58"/>
    <w:rsid w:val="53C56D73"/>
    <w:rsid w:val="53CC7CB4"/>
    <w:rsid w:val="53D233D8"/>
    <w:rsid w:val="53DD44AD"/>
    <w:rsid w:val="53E002AC"/>
    <w:rsid w:val="53FF5EFB"/>
    <w:rsid w:val="54061A64"/>
    <w:rsid w:val="54217E20"/>
    <w:rsid w:val="542875FB"/>
    <w:rsid w:val="542E4B24"/>
    <w:rsid w:val="54443D9F"/>
    <w:rsid w:val="544822BD"/>
    <w:rsid w:val="54673B1F"/>
    <w:rsid w:val="547E1C5D"/>
    <w:rsid w:val="54AF5270"/>
    <w:rsid w:val="54C04CA0"/>
    <w:rsid w:val="54C27769"/>
    <w:rsid w:val="54C33BA9"/>
    <w:rsid w:val="55157F87"/>
    <w:rsid w:val="5519173E"/>
    <w:rsid w:val="551A1F00"/>
    <w:rsid w:val="552F7917"/>
    <w:rsid w:val="5534121F"/>
    <w:rsid w:val="55390B69"/>
    <w:rsid w:val="553B71F6"/>
    <w:rsid w:val="553F1E51"/>
    <w:rsid w:val="55593E02"/>
    <w:rsid w:val="55731DA0"/>
    <w:rsid w:val="5579725C"/>
    <w:rsid w:val="559F30F0"/>
    <w:rsid w:val="55A81791"/>
    <w:rsid w:val="55A84BFE"/>
    <w:rsid w:val="55AB0044"/>
    <w:rsid w:val="55B45F63"/>
    <w:rsid w:val="55B8043B"/>
    <w:rsid w:val="55B90C0A"/>
    <w:rsid w:val="55BB0B72"/>
    <w:rsid w:val="55C02121"/>
    <w:rsid w:val="55D14611"/>
    <w:rsid w:val="55D63591"/>
    <w:rsid w:val="56054C48"/>
    <w:rsid w:val="560A087F"/>
    <w:rsid w:val="56122C31"/>
    <w:rsid w:val="561974BB"/>
    <w:rsid w:val="56281E78"/>
    <w:rsid w:val="562A4387"/>
    <w:rsid w:val="56334986"/>
    <w:rsid w:val="56394FFE"/>
    <w:rsid w:val="564F2FAE"/>
    <w:rsid w:val="56533581"/>
    <w:rsid w:val="56556A86"/>
    <w:rsid w:val="565A2E32"/>
    <w:rsid w:val="565D05CA"/>
    <w:rsid w:val="56665BE2"/>
    <w:rsid w:val="568858B4"/>
    <w:rsid w:val="56931D9E"/>
    <w:rsid w:val="56AE6CD3"/>
    <w:rsid w:val="56B044FB"/>
    <w:rsid w:val="56CF1ADE"/>
    <w:rsid w:val="56F95FA8"/>
    <w:rsid w:val="56FA2C95"/>
    <w:rsid w:val="56FFA6AA"/>
    <w:rsid w:val="57082B77"/>
    <w:rsid w:val="57172D90"/>
    <w:rsid w:val="57260DE0"/>
    <w:rsid w:val="57313A9F"/>
    <w:rsid w:val="57386662"/>
    <w:rsid w:val="574A02E3"/>
    <w:rsid w:val="574F03D9"/>
    <w:rsid w:val="575208F9"/>
    <w:rsid w:val="576D68D3"/>
    <w:rsid w:val="576F699C"/>
    <w:rsid w:val="57746F62"/>
    <w:rsid w:val="5776E763"/>
    <w:rsid w:val="57850AAF"/>
    <w:rsid w:val="578A0950"/>
    <w:rsid w:val="579B6DD6"/>
    <w:rsid w:val="57A21B1B"/>
    <w:rsid w:val="57AD6121"/>
    <w:rsid w:val="57C57C2A"/>
    <w:rsid w:val="57E73521"/>
    <w:rsid w:val="57F7304E"/>
    <w:rsid w:val="57FA0423"/>
    <w:rsid w:val="580E584B"/>
    <w:rsid w:val="58290DC5"/>
    <w:rsid w:val="582B03E3"/>
    <w:rsid w:val="582C6767"/>
    <w:rsid w:val="583170EE"/>
    <w:rsid w:val="58527FC8"/>
    <w:rsid w:val="58551587"/>
    <w:rsid w:val="58647470"/>
    <w:rsid w:val="58705DF6"/>
    <w:rsid w:val="58723020"/>
    <w:rsid w:val="587303D7"/>
    <w:rsid w:val="587F072F"/>
    <w:rsid w:val="58806C98"/>
    <w:rsid w:val="58876A3B"/>
    <w:rsid w:val="58934720"/>
    <w:rsid w:val="58961943"/>
    <w:rsid w:val="58B45DE2"/>
    <w:rsid w:val="58CB0566"/>
    <w:rsid w:val="58D411FE"/>
    <w:rsid w:val="58E40C92"/>
    <w:rsid w:val="58EB272B"/>
    <w:rsid w:val="58FC1269"/>
    <w:rsid w:val="590E217B"/>
    <w:rsid w:val="59121580"/>
    <w:rsid w:val="59160234"/>
    <w:rsid w:val="592F59DE"/>
    <w:rsid w:val="593B1A09"/>
    <w:rsid w:val="594A2AEB"/>
    <w:rsid w:val="59554FEC"/>
    <w:rsid w:val="595C6362"/>
    <w:rsid w:val="59A41CA5"/>
    <w:rsid w:val="59A41ECD"/>
    <w:rsid w:val="59AE485F"/>
    <w:rsid w:val="59AF256F"/>
    <w:rsid w:val="59B31149"/>
    <w:rsid w:val="59BA7705"/>
    <w:rsid w:val="59BE5D95"/>
    <w:rsid w:val="59DC58AD"/>
    <w:rsid w:val="59F82FAA"/>
    <w:rsid w:val="59FA6DBB"/>
    <w:rsid w:val="5A06483E"/>
    <w:rsid w:val="5A252C10"/>
    <w:rsid w:val="5A2F034B"/>
    <w:rsid w:val="5A334CA4"/>
    <w:rsid w:val="5A4C460E"/>
    <w:rsid w:val="5A4D497B"/>
    <w:rsid w:val="5A5F4F48"/>
    <w:rsid w:val="5A606759"/>
    <w:rsid w:val="5A6E11B5"/>
    <w:rsid w:val="5A8312EF"/>
    <w:rsid w:val="5A874A8D"/>
    <w:rsid w:val="5A97386D"/>
    <w:rsid w:val="5A9A2F72"/>
    <w:rsid w:val="5AB250D9"/>
    <w:rsid w:val="5AB25D8D"/>
    <w:rsid w:val="5ABB4FF8"/>
    <w:rsid w:val="5AD14385"/>
    <w:rsid w:val="5AD82E93"/>
    <w:rsid w:val="5AF108E9"/>
    <w:rsid w:val="5B0637B3"/>
    <w:rsid w:val="5B1227CA"/>
    <w:rsid w:val="5B2A3919"/>
    <w:rsid w:val="5B3929E1"/>
    <w:rsid w:val="5B533541"/>
    <w:rsid w:val="5B5C6B06"/>
    <w:rsid w:val="5B691FD4"/>
    <w:rsid w:val="5B6B4F9B"/>
    <w:rsid w:val="5B8B62C8"/>
    <w:rsid w:val="5B926846"/>
    <w:rsid w:val="5BA57414"/>
    <w:rsid w:val="5BB8544A"/>
    <w:rsid w:val="5BD11960"/>
    <w:rsid w:val="5BF67A13"/>
    <w:rsid w:val="5C1025DB"/>
    <w:rsid w:val="5C14762D"/>
    <w:rsid w:val="5C1C73FB"/>
    <w:rsid w:val="5C2A2C70"/>
    <w:rsid w:val="5C403D31"/>
    <w:rsid w:val="5C51394C"/>
    <w:rsid w:val="5C72662A"/>
    <w:rsid w:val="5C960E86"/>
    <w:rsid w:val="5CBD5382"/>
    <w:rsid w:val="5CC122D6"/>
    <w:rsid w:val="5CC15D47"/>
    <w:rsid w:val="5CD81AA5"/>
    <w:rsid w:val="5CE01AB4"/>
    <w:rsid w:val="5CE86B44"/>
    <w:rsid w:val="5CECCA06"/>
    <w:rsid w:val="5CF2208B"/>
    <w:rsid w:val="5CFD25D5"/>
    <w:rsid w:val="5D033BE7"/>
    <w:rsid w:val="5D3C2E5D"/>
    <w:rsid w:val="5D464A44"/>
    <w:rsid w:val="5D604509"/>
    <w:rsid w:val="5D703211"/>
    <w:rsid w:val="5D753286"/>
    <w:rsid w:val="5D9E1D99"/>
    <w:rsid w:val="5DB524FD"/>
    <w:rsid w:val="5DD33B7E"/>
    <w:rsid w:val="5DE03167"/>
    <w:rsid w:val="5DE52DE2"/>
    <w:rsid w:val="5DFC0FC1"/>
    <w:rsid w:val="5E117B3B"/>
    <w:rsid w:val="5E135FCC"/>
    <w:rsid w:val="5E282AA1"/>
    <w:rsid w:val="5E8D672F"/>
    <w:rsid w:val="5E9138DC"/>
    <w:rsid w:val="5EC461DB"/>
    <w:rsid w:val="5EC56A6D"/>
    <w:rsid w:val="5EC64E6D"/>
    <w:rsid w:val="5EE44A5F"/>
    <w:rsid w:val="5EEB1665"/>
    <w:rsid w:val="5F252FCF"/>
    <w:rsid w:val="5F2931A3"/>
    <w:rsid w:val="5F2A0360"/>
    <w:rsid w:val="5F3D3A6B"/>
    <w:rsid w:val="5F457CB2"/>
    <w:rsid w:val="5F4A3C9E"/>
    <w:rsid w:val="5F5550E4"/>
    <w:rsid w:val="5F635AAB"/>
    <w:rsid w:val="5F792B54"/>
    <w:rsid w:val="5F822779"/>
    <w:rsid w:val="5F9178EA"/>
    <w:rsid w:val="5F927C61"/>
    <w:rsid w:val="5FA94D3C"/>
    <w:rsid w:val="5FA995ED"/>
    <w:rsid w:val="5FB223E4"/>
    <w:rsid w:val="5FB34363"/>
    <w:rsid w:val="5FCB0E07"/>
    <w:rsid w:val="5FD62FEA"/>
    <w:rsid w:val="5FDD424F"/>
    <w:rsid w:val="5FE857D0"/>
    <w:rsid w:val="5FF13B6D"/>
    <w:rsid w:val="5FF31011"/>
    <w:rsid w:val="60072091"/>
    <w:rsid w:val="600F52EB"/>
    <w:rsid w:val="60152B0C"/>
    <w:rsid w:val="603424E2"/>
    <w:rsid w:val="60566219"/>
    <w:rsid w:val="60605C7B"/>
    <w:rsid w:val="606D7561"/>
    <w:rsid w:val="60832177"/>
    <w:rsid w:val="609465DD"/>
    <w:rsid w:val="60A10BD7"/>
    <w:rsid w:val="60A565EE"/>
    <w:rsid w:val="60AF69F1"/>
    <w:rsid w:val="60D55390"/>
    <w:rsid w:val="611368AB"/>
    <w:rsid w:val="61232853"/>
    <w:rsid w:val="612826A2"/>
    <w:rsid w:val="614B240F"/>
    <w:rsid w:val="61767A26"/>
    <w:rsid w:val="61AA0686"/>
    <w:rsid w:val="61DF2510"/>
    <w:rsid w:val="61E80983"/>
    <w:rsid w:val="61F36B4D"/>
    <w:rsid w:val="61FF628C"/>
    <w:rsid w:val="620F7A0D"/>
    <w:rsid w:val="62487DE4"/>
    <w:rsid w:val="62567799"/>
    <w:rsid w:val="627574D8"/>
    <w:rsid w:val="62841D84"/>
    <w:rsid w:val="628A7090"/>
    <w:rsid w:val="62903706"/>
    <w:rsid w:val="629358D4"/>
    <w:rsid w:val="629E6BDE"/>
    <w:rsid w:val="62A62DA3"/>
    <w:rsid w:val="62AC1B8A"/>
    <w:rsid w:val="62BC587D"/>
    <w:rsid w:val="62D17FA8"/>
    <w:rsid w:val="62D358FF"/>
    <w:rsid w:val="62DE49C6"/>
    <w:rsid w:val="62EB04C8"/>
    <w:rsid w:val="62F77154"/>
    <w:rsid w:val="630F0EC2"/>
    <w:rsid w:val="63170F37"/>
    <w:rsid w:val="6318550E"/>
    <w:rsid w:val="6321658D"/>
    <w:rsid w:val="63353BCF"/>
    <w:rsid w:val="633573FF"/>
    <w:rsid w:val="634B417A"/>
    <w:rsid w:val="636469B1"/>
    <w:rsid w:val="637A1067"/>
    <w:rsid w:val="637D1ECB"/>
    <w:rsid w:val="637E7593"/>
    <w:rsid w:val="6385105C"/>
    <w:rsid w:val="63863EAA"/>
    <w:rsid w:val="639452F3"/>
    <w:rsid w:val="63AA0D5F"/>
    <w:rsid w:val="63BA052F"/>
    <w:rsid w:val="63BC45E5"/>
    <w:rsid w:val="63BE0AD3"/>
    <w:rsid w:val="63CF45D8"/>
    <w:rsid w:val="63DA11C1"/>
    <w:rsid w:val="63F221BC"/>
    <w:rsid w:val="63FC7559"/>
    <w:rsid w:val="64032C6B"/>
    <w:rsid w:val="64086C20"/>
    <w:rsid w:val="640A1B8C"/>
    <w:rsid w:val="640B57D3"/>
    <w:rsid w:val="641A5836"/>
    <w:rsid w:val="64421735"/>
    <w:rsid w:val="64525100"/>
    <w:rsid w:val="645667E8"/>
    <w:rsid w:val="64585427"/>
    <w:rsid w:val="645B2788"/>
    <w:rsid w:val="646B76EF"/>
    <w:rsid w:val="646F5CE5"/>
    <w:rsid w:val="64B57AEF"/>
    <w:rsid w:val="64B72E0C"/>
    <w:rsid w:val="64B86B2D"/>
    <w:rsid w:val="64C1510D"/>
    <w:rsid w:val="64CB244A"/>
    <w:rsid w:val="64D130E9"/>
    <w:rsid w:val="64DA415F"/>
    <w:rsid w:val="64E37CD1"/>
    <w:rsid w:val="64E90FD1"/>
    <w:rsid w:val="64EA0CBB"/>
    <w:rsid w:val="64FE00DF"/>
    <w:rsid w:val="64FE0A7A"/>
    <w:rsid w:val="65213CE2"/>
    <w:rsid w:val="65233767"/>
    <w:rsid w:val="652D26C7"/>
    <w:rsid w:val="65571136"/>
    <w:rsid w:val="655C6166"/>
    <w:rsid w:val="65604F99"/>
    <w:rsid w:val="65682F42"/>
    <w:rsid w:val="65685B97"/>
    <w:rsid w:val="65757083"/>
    <w:rsid w:val="6584208A"/>
    <w:rsid w:val="659A4539"/>
    <w:rsid w:val="65C32871"/>
    <w:rsid w:val="65CB0B10"/>
    <w:rsid w:val="65D51FB2"/>
    <w:rsid w:val="65DA4CF7"/>
    <w:rsid w:val="65DF0CA7"/>
    <w:rsid w:val="65E24BB0"/>
    <w:rsid w:val="66014227"/>
    <w:rsid w:val="66060EC6"/>
    <w:rsid w:val="660E3E13"/>
    <w:rsid w:val="660F5746"/>
    <w:rsid w:val="661C5600"/>
    <w:rsid w:val="66206B4D"/>
    <w:rsid w:val="6624317F"/>
    <w:rsid w:val="662D17CA"/>
    <w:rsid w:val="66450607"/>
    <w:rsid w:val="66530A5C"/>
    <w:rsid w:val="665836A7"/>
    <w:rsid w:val="665B03C2"/>
    <w:rsid w:val="667E108E"/>
    <w:rsid w:val="66C34609"/>
    <w:rsid w:val="66C537B1"/>
    <w:rsid w:val="67057D4B"/>
    <w:rsid w:val="670D0413"/>
    <w:rsid w:val="67187ECE"/>
    <w:rsid w:val="671E6720"/>
    <w:rsid w:val="6728344B"/>
    <w:rsid w:val="67320624"/>
    <w:rsid w:val="673348C9"/>
    <w:rsid w:val="673B1CC5"/>
    <w:rsid w:val="673E76D0"/>
    <w:rsid w:val="674E7C4A"/>
    <w:rsid w:val="67504513"/>
    <w:rsid w:val="67621416"/>
    <w:rsid w:val="67713C9E"/>
    <w:rsid w:val="677463F2"/>
    <w:rsid w:val="677C68AC"/>
    <w:rsid w:val="677C7EDD"/>
    <w:rsid w:val="678646B5"/>
    <w:rsid w:val="67A16DDF"/>
    <w:rsid w:val="67AD71F1"/>
    <w:rsid w:val="67AF72B1"/>
    <w:rsid w:val="67B558B7"/>
    <w:rsid w:val="67B96881"/>
    <w:rsid w:val="67BB277C"/>
    <w:rsid w:val="67D61813"/>
    <w:rsid w:val="67F824D4"/>
    <w:rsid w:val="680243EE"/>
    <w:rsid w:val="680A12F6"/>
    <w:rsid w:val="6816794D"/>
    <w:rsid w:val="682928D9"/>
    <w:rsid w:val="683318FD"/>
    <w:rsid w:val="68694A1F"/>
    <w:rsid w:val="68727727"/>
    <w:rsid w:val="68786E71"/>
    <w:rsid w:val="688B0A2A"/>
    <w:rsid w:val="68A0671B"/>
    <w:rsid w:val="68B93CC3"/>
    <w:rsid w:val="68B960C7"/>
    <w:rsid w:val="68DE1086"/>
    <w:rsid w:val="69044E27"/>
    <w:rsid w:val="690F1242"/>
    <w:rsid w:val="692C1C8F"/>
    <w:rsid w:val="69320D51"/>
    <w:rsid w:val="69384393"/>
    <w:rsid w:val="69384D87"/>
    <w:rsid w:val="694B590C"/>
    <w:rsid w:val="69579124"/>
    <w:rsid w:val="696B2CBA"/>
    <w:rsid w:val="696F7F2A"/>
    <w:rsid w:val="698603B2"/>
    <w:rsid w:val="698B577F"/>
    <w:rsid w:val="69951B60"/>
    <w:rsid w:val="69972F92"/>
    <w:rsid w:val="69981827"/>
    <w:rsid w:val="699875F6"/>
    <w:rsid w:val="69AB6217"/>
    <w:rsid w:val="69B55394"/>
    <w:rsid w:val="69B87748"/>
    <w:rsid w:val="69ED5C66"/>
    <w:rsid w:val="69F03448"/>
    <w:rsid w:val="69FF0B60"/>
    <w:rsid w:val="6A031661"/>
    <w:rsid w:val="6A2922FD"/>
    <w:rsid w:val="6A3B5FFB"/>
    <w:rsid w:val="6A5260D3"/>
    <w:rsid w:val="6A5F2B90"/>
    <w:rsid w:val="6A6A371E"/>
    <w:rsid w:val="6A852222"/>
    <w:rsid w:val="6A8F6B4A"/>
    <w:rsid w:val="6A903551"/>
    <w:rsid w:val="6A906F5C"/>
    <w:rsid w:val="6A944812"/>
    <w:rsid w:val="6A965DEB"/>
    <w:rsid w:val="6A971908"/>
    <w:rsid w:val="6AA32179"/>
    <w:rsid w:val="6AA33495"/>
    <w:rsid w:val="6AD217AA"/>
    <w:rsid w:val="6ADE3F6B"/>
    <w:rsid w:val="6AEB7FAC"/>
    <w:rsid w:val="6AFF3CC9"/>
    <w:rsid w:val="6B132234"/>
    <w:rsid w:val="6B1A5186"/>
    <w:rsid w:val="6B362ECF"/>
    <w:rsid w:val="6B3F5604"/>
    <w:rsid w:val="6B3F768F"/>
    <w:rsid w:val="6B607F4C"/>
    <w:rsid w:val="6B676167"/>
    <w:rsid w:val="6B6A6E49"/>
    <w:rsid w:val="6B7B079E"/>
    <w:rsid w:val="6B7E1823"/>
    <w:rsid w:val="6B97015C"/>
    <w:rsid w:val="6BA55399"/>
    <w:rsid w:val="6BA71F08"/>
    <w:rsid w:val="6BA863CC"/>
    <w:rsid w:val="6BB225E6"/>
    <w:rsid w:val="6BB624BF"/>
    <w:rsid w:val="6BC97482"/>
    <w:rsid w:val="6BD24CD3"/>
    <w:rsid w:val="6BDE7AE6"/>
    <w:rsid w:val="6BEF1B1D"/>
    <w:rsid w:val="6BEF1E2F"/>
    <w:rsid w:val="6C11344C"/>
    <w:rsid w:val="6C380E3A"/>
    <w:rsid w:val="6C3A254B"/>
    <w:rsid w:val="6C4D5750"/>
    <w:rsid w:val="6C503067"/>
    <w:rsid w:val="6C680298"/>
    <w:rsid w:val="6C6D5838"/>
    <w:rsid w:val="6C7850A5"/>
    <w:rsid w:val="6C8A5926"/>
    <w:rsid w:val="6C952553"/>
    <w:rsid w:val="6C96580F"/>
    <w:rsid w:val="6C9855A9"/>
    <w:rsid w:val="6C9F051B"/>
    <w:rsid w:val="6CC07D8A"/>
    <w:rsid w:val="6CC22FFA"/>
    <w:rsid w:val="6CC74771"/>
    <w:rsid w:val="6CCB23CF"/>
    <w:rsid w:val="6CCF2F38"/>
    <w:rsid w:val="6CDB4BFE"/>
    <w:rsid w:val="6CE476D9"/>
    <w:rsid w:val="6CF879DA"/>
    <w:rsid w:val="6D0B038C"/>
    <w:rsid w:val="6D207157"/>
    <w:rsid w:val="6D2A25C0"/>
    <w:rsid w:val="6D3E5422"/>
    <w:rsid w:val="6D55344D"/>
    <w:rsid w:val="6D7B66EA"/>
    <w:rsid w:val="6D7C5122"/>
    <w:rsid w:val="6D8143A5"/>
    <w:rsid w:val="6D831AC3"/>
    <w:rsid w:val="6DA62B68"/>
    <w:rsid w:val="6DB51690"/>
    <w:rsid w:val="6DCA1943"/>
    <w:rsid w:val="6DCB4E90"/>
    <w:rsid w:val="6DD31DA9"/>
    <w:rsid w:val="6DDE5E7F"/>
    <w:rsid w:val="6DE532E0"/>
    <w:rsid w:val="6DED0138"/>
    <w:rsid w:val="6E205FD6"/>
    <w:rsid w:val="6E2F26AE"/>
    <w:rsid w:val="6E3C4239"/>
    <w:rsid w:val="6E3D2DFA"/>
    <w:rsid w:val="6E4D5367"/>
    <w:rsid w:val="6E4E0530"/>
    <w:rsid w:val="6E59122B"/>
    <w:rsid w:val="6E5E7234"/>
    <w:rsid w:val="6E6F2871"/>
    <w:rsid w:val="6E7921E8"/>
    <w:rsid w:val="6E795FB2"/>
    <w:rsid w:val="6E871171"/>
    <w:rsid w:val="6E922485"/>
    <w:rsid w:val="6E9F5E9B"/>
    <w:rsid w:val="6EA12D56"/>
    <w:rsid w:val="6EA57B89"/>
    <w:rsid w:val="6EAA17BE"/>
    <w:rsid w:val="6EAA4396"/>
    <w:rsid w:val="6EB8323D"/>
    <w:rsid w:val="6EE71CD3"/>
    <w:rsid w:val="6EEB3AF6"/>
    <w:rsid w:val="6EEE4ED9"/>
    <w:rsid w:val="6F222A98"/>
    <w:rsid w:val="6F281E78"/>
    <w:rsid w:val="6F38522F"/>
    <w:rsid w:val="6F41540F"/>
    <w:rsid w:val="6F523436"/>
    <w:rsid w:val="6F563B40"/>
    <w:rsid w:val="6F69CA74"/>
    <w:rsid w:val="6F7044B4"/>
    <w:rsid w:val="6F7166F6"/>
    <w:rsid w:val="6F770304"/>
    <w:rsid w:val="6F933322"/>
    <w:rsid w:val="6F940239"/>
    <w:rsid w:val="6FA27D4C"/>
    <w:rsid w:val="6FA62F43"/>
    <w:rsid w:val="6FB241F8"/>
    <w:rsid w:val="6FC2588B"/>
    <w:rsid w:val="6FCC5990"/>
    <w:rsid w:val="6FDC4FC3"/>
    <w:rsid w:val="6FDE490E"/>
    <w:rsid w:val="6FE36D2F"/>
    <w:rsid w:val="700210C8"/>
    <w:rsid w:val="700417EE"/>
    <w:rsid w:val="70094ED2"/>
    <w:rsid w:val="70133490"/>
    <w:rsid w:val="70152AAC"/>
    <w:rsid w:val="70251A46"/>
    <w:rsid w:val="702F56F8"/>
    <w:rsid w:val="703E7AB4"/>
    <w:rsid w:val="7055227F"/>
    <w:rsid w:val="70570FF5"/>
    <w:rsid w:val="70894A34"/>
    <w:rsid w:val="70965CA7"/>
    <w:rsid w:val="70AF0B0E"/>
    <w:rsid w:val="70B842F9"/>
    <w:rsid w:val="70F53B43"/>
    <w:rsid w:val="70FF5527"/>
    <w:rsid w:val="710A3193"/>
    <w:rsid w:val="711102D2"/>
    <w:rsid w:val="71332EDE"/>
    <w:rsid w:val="71535404"/>
    <w:rsid w:val="715541A6"/>
    <w:rsid w:val="717B05A6"/>
    <w:rsid w:val="71840E5C"/>
    <w:rsid w:val="7184489C"/>
    <w:rsid w:val="71902AE4"/>
    <w:rsid w:val="71A73234"/>
    <w:rsid w:val="71B06E02"/>
    <w:rsid w:val="71BE6B57"/>
    <w:rsid w:val="71C6024F"/>
    <w:rsid w:val="71D912D4"/>
    <w:rsid w:val="71EF75C7"/>
    <w:rsid w:val="71F20DEA"/>
    <w:rsid w:val="7215417C"/>
    <w:rsid w:val="7217298D"/>
    <w:rsid w:val="722000C9"/>
    <w:rsid w:val="7229032E"/>
    <w:rsid w:val="72332EFC"/>
    <w:rsid w:val="72357A4A"/>
    <w:rsid w:val="723F3412"/>
    <w:rsid w:val="72424EF5"/>
    <w:rsid w:val="72480F19"/>
    <w:rsid w:val="724C4D86"/>
    <w:rsid w:val="724E6E89"/>
    <w:rsid w:val="724F81D5"/>
    <w:rsid w:val="72647297"/>
    <w:rsid w:val="727732B9"/>
    <w:rsid w:val="728A57E7"/>
    <w:rsid w:val="72A2512C"/>
    <w:rsid w:val="72B27CB2"/>
    <w:rsid w:val="72CA1C8E"/>
    <w:rsid w:val="72F62DED"/>
    <w:rsid w:val="730078FC"/>
    <w:rsid w:val="730A3E35"/>
    <w:rsid w:val="731B32C3"/>
    <w:rsid w:val="733A5DD6"/>
    <w:rsid w:val="733B309E"/>
    <w:rsid w:val="7352463F"/>
    <w:rsid w:val="73590D34"/>
    <w:rsid w:val="736B3932"/>
    <w:rsid w:val="73892A07"/>
    <w:rsid w:val="738C335A"/>
    <w:rsid w:val="73C94993"/>
    <w:rsid w:val="73CA5314"/>
    <w:rsid w:val="73D24CA1"/>
    <w:rsid w:val="73DF7FDA"/>
    <w:rsid w:val="73F6144E"/>
    <w:rsid w:val="742023C5"/>
    <w:rsid w:val="742C2582"/>
    <w:rsid w:val="744A1799"/>
    <w:rsid w:val="745E6FF3"/>
    <w:rsid w:val="74835319"/>
    <w:rsid w:val="74933140"/>
    <w:rsid w:val="74935141"/>
    <w:rsid w:val="74950319"/>
    <w:rsid w:val="74A01E17"/>
    <w:rsid w:val="74B82BA7"/>
    <w:rsid w:val="74C70189"/>
    <w:rsid w:val="74C83877"/>
    <w:rsid w:val="74C84547"/>
    <w:rsid w:val="74C84657"/>
    <w:rsid w:val="74CA4ECB"/>
    <w:rsid w:val="74CE2B0B"/>
    <w:rsid w:val="74E05C5A"/>
    <w:rsid w:val="74F35FA9"/>
    <w:rsid w:val="74F43CCF"/>
    <w:rsid w:val="75272761"/>
    <w:rsid w:val="75312FA0"/>
    <w:rsid w:val="75341056"/>
    <w:rsid w:val="753D7EC6"/>
    <w:rsid w:val="754E4CF1"/>
    <w:rsid w:val="75506001"/>
    <w:rsid w:val="755D5A0A"/>
    <w:rsid w:val="756D3B06"/>
    <w:rsid w:val="75724C91"/>
    <w:rsid w:val="75731385"/>
    <w:rsid w:val="75752FAA"/>
    <w:rsid w:val="7584263F"/>
    <w:rsid w:val="7587423B"/>
    <w:rsid w:val="758A609D"/>
    <w:rsid w:val="758B3E18"/>
    <w:rsid w:val="759C3C2D"/>
    <w:rsid w:val="759E1544"/>
    <w:rsid w:val="759E1D8F"/>
    <w:rsid w:val="75AA0F7D"/>
    <w:rsid w:val="75AC6280"/>
    <w:rsid w:val="75B81F99"/>
    <w:rsid w:val="75BB202B"/>
    <w:rsid w:val="75D7BFA2"/>
    <w:rsid w:val="75DF8CF3"/>
    <w:rsid w:val="75E218BE"/>
    <w:rsid w:val="75E52664"/>
    <w:rsid w:val="75FA20BE"/>
    <w:rsid w:val="75FF7F78"/>
    <w:rsid w:val="762D71E3"/>
    <w:rsid w:val="763D4F16"/>
    <w:rsid w:val="76414570"/>
    <w:rsid w:val="76446D61"/>
    <w:rsid w:val="76635A18"/>
    <w:rsid w:val="76742ED1"/>
    <w:rsid w:val="768704C9"/>
    <w:rsid w:val="769B43DA"/>
    <w:rsid w:val="769C0E3E"/>
    <w:rsid w:val="76AF60AC"/>
    <w:rsid w:val="76B145E2"/>
    <w:rsid w:val="76B14BC3"/>
    <w:rsid w:val="76B55028"/>
    <w:rsid w:val="76BC4508"/>
    <w:rsid w:val="76E510A5"/>
    <w:rsid w:val="76F26DE2"/>
    <w:rsid w:val="76F6732E"/>
    <w:rsid w:val="76FD524C"/>
    <w:rsid w:val="772D453D"/>
    <w:rsid w:val="7733706B"/>
    <w:rsid w:val="7738582D"/>
    <w:rsid w:val="7744154B"/>
    <w:rsid w:val="774822BE"/>
    <w:rsid w:val="7769030A"/>
    <w:rsid w:val="776E26C5"/>
    <w:rsid w:val="77787134"/>
    <w:rsid w:val="77877C60"/>
    <w:rsid w:val="778B418E"/>
    <w:rsid w:val="77922438"/>
    <w:rsid w:val="779C0783"/>
    <w:rsid w:val="77B268BC"/>
    <w:rsid w:val="77B470C3"/>
    <w:rsid w:val="77BA0EA6"/>
    <w:rsid w:val="77C2448A"/>
    <w:rsid w:val="77C822DD"/>
    <w:rsid w:val="77CB4B65"/>
    <w:rsid w:val="77E578DC"/>
    <w:rsid w:val="77ED3B77"/>
    <w:rsid w:val="781836F9"/>
    <w:rsid w:val="7821360E"/>
    <w:rsid w:val="78354AF9"/>
    <w:rsid w:val="78374B57"/>
    <w:rsid w:val="784A3CD3"/>
    <w:rsid w:val="78591EBE"/>
    <w:rsid w:val="78615480"/>
    <w:rsid w:val="786C19B4"/>
    <w:rsid w:val="787B7CAE"/>
    <w:rsid w:val="78812164"/>
    <w:rsid w:val="78844BD2"/>
    <w:rsid w:val="788C2661"/>
    <w:rsid w:val="78947BB5"/>
    <w:rsid w:val="78A0407E"/>
    <w:rsid w:val="78AC1E9F"/>
    <w:rsid w:val="78AF118E"/>
    <w:rsid w:val="78DA2A6E"/>
    <w:rsid w:val="78EF048B"/>
    <w:rsid w:val="78FC3F71"/>
    <w:rsid w:val="79063F3E"/>
    <w:rsid w:val="79093BBE"/>
    <w:rsid w:val="790D3193"/>
    <w:rsid w:val="791A5F5A"/>
    <w:rsid w:val="792E0533"/>
    <w:rsid w:val="79366345"/>
    <w:rsid w:val="7939713F"/>
    <w:rsid w:val="79403559"/>
    <w:rsid w:val="79493484"/>
    <w:rsid w:val="7951392B"/>
    <w:rsid w:val="795D308D"/>
    <w:rsid w:val="796850A8"/>
    <w:rsid w:val="79AC79FB"/>
    <w:rsid w:val="79AD1192"/>
    <w:rsid w:val="79D03C4E"/>
    <w:rsid w:val="79EC0475"/>
    <w:rsid w:val="79ED7E9B"/>
    <w:rsid w:val="79F17CA3"/>
    <w:rsid w:val="79FE700A"/>
    <w:rsid w:val="7A02599B"/>
    <w:rsid w:val="7A0423EA"/>
    <w:rsid w:val="7A1547FF"/>
    <w:rsid w:val="7A3007BF"/>
    <w:rsid w:val="7A481EBA"/>
    <w:rsid w:val="7A484DDA"/>
    <w:rsid w:val="7A5507C4"/>
    <w:rsid w:val="7A990DD9"/>
    <w:rsid w:val="7A9F1116"/>
    <w:rsid w:val="7AA5310B"/>
    <w:rsid w:val="7AAF62F1"/>
    <w:rsid w:val="7AB42307"/>
    <w:rsid w:val="7AB67EEC"/>
    <w:rsid w:val="7ABA2123"/>
    <w:rsid w:val="7ACD1F36"/>
    <w:rsid w:val="7AD62AFA"/>
    <w:rsid w:val="7AFA5C24"/>
    <w:rsid w:val="7AFC1DE4"/>
    <w:rsid w:val="7B097BDE"/>
    <w:rsid w:val="7B1623D5"/>
    <w:rsid w:val="7B376C34"/>
    <w:rsid w:val="7B3A0A78"/>
    <w:rsid w:val="7B484A08"/>
    <w:rsid w:val="7B503313"/>
    <w:rsid w:val="7B516C8E"/>
    <w:rsid w:val="7B6416E8"/>
    <w:rsid w:val="7B675BAF"/>
    <w:rsid w:val="7B6A4B11"/>
    <w:rsid w:val="7B81748F"/>
    <w:rsid w:val="7B87F9DA"/>
    <w:rsid w:val="7B986902"/>
    <w:rsid w:val="7BA47BCF"/>
    <w:rsid w:val="7BA65D51"/>
    <w:rsid w:val="7BBF53C8"/>
    <w:rsid w:val="7BC37918"/>
    <w:rsid w:val="7BC44B32"/>
    <w:rsid w:val="7BC736D0"/>
    <w:rsid w:val="7BC90C1C"/>
    <w:rsid w:val="7BD16478"/>
    <w:rsid w:val="7BD30F97"/>
    <w:rsid w:val="7BD512CA"/>
    <w:rsid w:val="7BDA5297"/>
    <w:rsid w:val="7BDD0422"/>
    <w:rsid w:val="7BDD0E17"/>
    <w:rsid w:val="7BE6710A"/>
    <w:rsid w:val="7BF78D2E"/>
    <w:rsid w:val="7BFEE1D0"/>
    <w:rsid w:val="7C021D23"/>
    <w:rsid w:val="7C07269A"/>
    <w:rsid w:val="7C0C4CCC"/>
    <w:rsid w:val="7C0E6E59"/>
    <w:rsid w:val="7C15390B"/>
    <w:rsid w:val="7C1B3232"/>
    <w:rsid w:val="7C5A2BF8"/>
    <w:rsid w:val="7C602641"/>
    <w:rsid w:val="7C681717"/>
    <w:rsid w:val="7C762C26"/>
    <w:rsid w:val="7CB138FF"/>
    <w:rsid w:val="7CBB3234"/>
    <w:rsid w:val="7CBFF14B"/>
    <w:rsid w:val="7CD146CD"/>
    <w:rsid w:val="7CDC699E"/>
    <w:rsid w:val="7CEC5AE4"/>
    <w:rsid w:val="7CF712F4"/>
    <w:rsid w:val="7CFA81B0"/>
    <w:rsid w:val="7CFC5110"/>
    <w:rsid w:val="7D0828AC"/>
    <w:rsid w:val="7D1563E6"/>
    <w:rsid w:val="7D21794B"/>
    <w:rsid w:val="7D306514"/>
    <w:rsid w:val="7D3E0B18"/>
    <w:rsid w:val="7D3E70D3"/>
    <w:rsid w:val="7D40198C"/>
    <w:rsid w:val="7D4775B1"/>
    <w:rsid w:val="7D47ABDE"/>
    <w:rsid w:val="7D5C3EB4"/>
    <w:rsid w:val="7D663E6F"/>
    <w:rsid w:val="7D6FE31F"/>
    <w:rsid w:val="7D71615B"/>
    <w:rsid w:val="7D86422B"/>
    <w:rsid w:val="7D912F29"/>
    <w:rsid w:val="7D966FEB"/>
    <w:rsid w:val="7D9B469E"/>
    <w:rsid w:val="7DB14677"/>
    <w:rsid w:val="7DC5730E"/>
    <w:rsid w:val="7DCA57F6"/>
    <w:rsid w:val="7DD64891"/>
    <w:rsid w:val="7DD73BA6"/>
    <w:rsid w:val="7E1A21DD"/>
    <w:rsid w:val="7E1C6248"/>
    <w:rsid w:val="7E2412AD"/>
    <w:rsid w:val="7E2B5B66"/>
    <w:rsid w:val="7E337624"/>
    <w:rsid w:val="7E3D6F9A"/>
    <w:rsid w:val="7E5514BB"/>
    <w:rsid w:val="7E704832"/>
    <w:rsid w:val="7E761F9C"/>
    <w:rsid w:val="7E800C15"/>
    <w:rsid w:val="7E8D1873"/>
    <w:rsid w:val="7E8D46BF"/>
    <w:rsid w:val="7E8F2119"/>
    <w:rsid w:val="7E953617"/>
    <w:rsid w:val="7EB45EC5"/>
    <w:rsid w:val="7EBF7F51"/>
    <w:rsid w:val="7EC43638"/>
    <w:rsid w:val="7EF1686D"/>
    <w:rsid w:val="7EFB745E"/>
    <w:rsid w:val="7EFD19F7"/>
    <w:rsid w:val="7F0A4EC1"/>
    <w:rsid w:val="7F3E07EB"/>
    <w:rsid w:val="7F565D15"/>
    <w:rsid w:val="7F593177"/>
    <w:rsid w:val="7F5D0609"/>
    <w:rsid w:val="7F5E434B"/>
    <w:rsid w:val="7F79B582"/>
    <w:rsid w:val="7F7A3D1F"/>
    <w:rsid w:val="7F7B1571"/>
    <w:rsid w:val="7F8A1909"/>
    <w:rsid w:val="7F96147F"/>
    <w:rsid w:val="7F961D37"/>
    <w:rsid w:val="7F9711EC"/>
    <w:rsid w:val="7F9814CA"/>
    <w:rsid w:val="7FB17628"/>
    <w:rsid w:val="7FB53AF5"/>
    <w:rsid w:val="7FBB84EC"/>
    <w:rsid w:val="7FC414A5"/>
    <w:rsid w:val="7FE125BE"/>
    <w:rsid w:val="7FE15E36"/>
    <w:rsid w:val="7FED20FF"/>
    <w:rsid w:val="7FF1C11B"/>
    <w:rsid w:val="7FFF1659"/>
    <w:rsid w:val="876BE54A"/>
    <w:rsid w:val="A7FEFF64"/>
    <w:rsid w:val="AFEE6AEF"/>
    <w:rsid w:val="B32A31F0"/>
    <w:rsid w:val="B3FA92F5"/>
    <w:rsid w:val="B77608B8"/>
    <w:rsid w:val="B7FAC240"/>
    <w:rsid w:val="B7FFA969"/>
    <w:rsid w:val="B97EC3CF"/>
    <w:rsid w:val="BFAF2EBF"/>
    <w:rsid w:val="BFF366CD"/>
    <w:rsid w:val="BFF705D2"/>
    <w:rsid w:val="CBA644E7"/>
    <w:rsid w:val="CE5B8533"/>
    <w:rsid w:val="D2E7D3C9"/>
    <w:rsid w:val="D3FD5D2E"/>
    <w:rsid w:val="D9EB1ECC"/>
    <w:rsid w:val="DA3E4494"/>
    <w:rsid w:val="DAFDAEA0"/>
    <w:rsid w:val="DAFE9F0B"/>
    <w:rsid w:val="DDB69EC6"/>
    <w:rsid w:val="DF0FCB9B"/>
    <w:rsid w:val="DF5D5A40"/>
    <w:rsid w:val="DF5F22A9"/>
    <w:rsid w:val="DF9B8DAD"/>
    <w:rsid w:val="DFF2DE5A"/>
    <w:rsid w:val="E779C183"/>
    <w:rsid w:val="EBFF5D45"/>
    <w:rsid w:val="EFF56383"/>
    <w:rsid w:val="EFFF60D8"/>
    <w:rsid w:val="EFFFCCF3"/>
    <w:rsid w:val="F2C9294E"/>
    <w:rsid w:val="F3DFA297"/>
    <w:rsid w:val="F4F77D5D"/>
    <w:rsid w:val="F6DF6E6A"/>
    <w:rsid w:val="F772176F"/>
    <w:rsid w:val="F7F12B89"/>
    <w:rsid w:val="F8FEA527"/>
    <w:rsid w:val="FD7D71ED"/>
    <w:rsid w:val="FDF70499"/>
    <w:rsid w:val="FDFDF2D0"/>
    <w:rsid w:val="FE970CFD"/>
    <w:rsid w:val="FEF9C93F"/>
    <w:rsid w:val="FF8F60E4"/>
    <w:rsid w:val="FFEF25CB"/>
    <w:rsid w:val="FFFE75A9"/>
    <w:rsid w:val="FFFF951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nhideWhenUsed="0" w:uiPriority="39" w:semiHidden="0" w:name="toc 2"/>
    <w:lsdException w:qFormat="1" w:unhideWhenUsed="0" w:uiPriority="0" w:semiHidden="0" w:name="toc 3"/>
    <w:lsdException w:uiPriority="0" w:name="toc 4"/>
    <w:lsdException w:uiPriority="0" w:name="toc 5"/>
    <w:lsdException w:qFormat="1" w:unhideWhenUsed="0" w:uiPriority="0"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8">
    <w:name w:val="heading 2"/>
    <w:basedOn w:val="1"/>
    <w:next w:val="1"/>
    <w:link w:val="45"/>
    <w:qFormat/>
    <w:uiPriority w:val="0"/>
    <w:pPr>
      <w:keepNext/>
      <w:keepLines/>
      <w:spacing w:before="260" w:after="260" w:line="412" w:lineRule="auto"/>
      <w:outlineLvl w:val="1"/>
    </w:pPr>
    <w:rPr>
      <w:rFonts w:ascii="Arial" w:hAnsi="Arial" w:eastAsia="??"/>
      <w:b/>
      <w:sz w:val="32"/>
      <w:szCs w:val="28"/>
    </w:rPr>
  </w:style>
  <w:style w:type="paragraph" w:styleId="9">
    <w:name w:val="heading 3"/>
    <w:basedOn w:val="1"/>
    <w:next w:val="1"/>
    <w:qFormat/>
    <w:uiPriority w:val="0"/>
    <w:pPr>
      <w:keepNext/>
      <w:keepLines/>
      <w:spacing w:before="260" w:after="260" w:line="413" w:lineRule="auto"/>
      <w:outlineLvl w:val="2"/>
    </w:pPr>
    <w:rPr>
      <w:b/>
      <w:bCs/>
      <w:sz w:val="32"/>
      <w:szCs w:val="3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5"/>
    <w:qFormat/>
    <w:uiPriority w:val="99"/>
    <w:pPr>
      <w:jc w:val="left"/>
    </w:pPr>
    <w:rPr>
      <w:kern w:val="21"/>
    </w:rPr>
  </w:style>
  <w:style w:type="paragraph" w:styleId="3">
    <w:name w:val="Plain Text"/>
    <w:basedOn w:val="1"/>
    <w:next w:val="4"/>
    <w:link w:val="50"/>
    <w:qFormat/>
    <w:uiPriority w:val="0"/>
    <w:rPr>
      <w:rFonts w:ascii="宋体" w:hAnsi="Courier New" w:eastAsia="仿宋_GB2312"/>
      <w:sz w:val="30"/>
    </w:rPr>
  </w:style>
  <w:style w:type="paragraph" w:styleId="4">
    <w:name w:val="Date"/>
    <w:basedOn w:val="1"/>
    <w:next w:val="1"/>
    <w:qFormat/>
    <w:uiPriority w:val="0"/>
    <w:pPr>
      <w:ind w:left="100" w:leftChars="2500"/>
    </w:pPr>
  </w:style>
  <w:style w:type="paragraph" w:styleId="5">
    <w:name w:val="Body Text"/>
    <w:basedOn w:val="1"/>
    <w:next w:val="6"/>
    <w:link w:val="42"/>
    <w:qFormat/>
    <w:uiPriority w:val="99"/>
    <w:pPr>
      <w:spacing w:after="120"/>
    </w:pPr>
    <w:rPr>
      <w:rFonts w:eastAsia="??"/>
      <w:sz w:val="28"/>
      <w:szCs w:val="28"/>
    </w:rPr>
  </w:style>
  <w:style w:type="paragraph" w:styleId="6">
    <w:name w:val="toc 8"/>
    <w:basedOn w:val="1"/>
    <w:next w:val="1"/>
    <w:qFormat/>
    <w:uiPriority w:val="0"/>
    <w:pPr>
      <w:ind w:left="1470"/>
    </w:pPr>
    <w:rPr>
      <w:rFonts w:ascii="仿宋_GB2312" w:hAnsi="Calibri" w:eastAsia="仿宋_GB2312"/>
      <w:sz w:val="18"/>
      <w:szCs w:val="18"/>
    </w:rPr>
  </w:style>
  <w:style w:type="paragraph" w:styleId="10">
    <w:name w:val="List Number"/>
    <w:basedOn w:val="1"/>
    <w:qFormat/>
    <w:uiPriority w:val="0"/>
    <w:pPr>
      <w:widowControl/>
      <w:tabs>
        <w:tab w:val="left" w:pos="360"/>
        <w:tab w:val="left" w:pos="454"/>
        <w:tab w:val="left" w:pos="720"/>
      </w:tabs>
      <w:spacing w:afterLines="50"/>
      <w:ind w:left="454" w:hanging="284"/>
      <w:jc w:val="left"/>
    </w:pPr>
    <w:rPr>
      <w:kern w:val="0"/>
      <w:sz w:val="24"/>
    </w:rPr>
  </w:style>
  <w:style w:type="paragraph" w:styleId="11">
    <w:name w:val="Normal Indent"/>
    <w:basedOn w:val="1"/>
    <w:qFormat/>
    <w:uiPriority w:val="0"/>
    <w:pPr>
      <w:spacing w:line="300" w:lineRule="auto"/>
      <w:ind w:firstLine="420"/>
    </w:pPr>
  </w:style>
  <w:style w:type="paragraph" w:styleId="12">
    <w:name w:val="Document Map"/>
    <w:basedOn w:val="1"/>
    <w:link w:val="47"/>
    <w:qFormat/>
    <w:uiPriority w:val="0"/>
    <w:rPr>
      <w:rFonts w:ascii="宋体"/>
      <w:sz w:val="18"/>
      <w:szCs w:val="18"/>
    </w:rPr>
  </w:style>
  <w:style w:type="paragraph" w:styleId="13">
    <w:name w:val="annotation text"/>
    <w:basedOn w:val="1"/>
    <w:link w:val="48"/>
    <w:qFormat/>
    <w:uiPriority w:val="0"/>
    <w:pPr>
      <w:jc w:val="left"/>
    </w:pPr>
    <w:rPr>
      <w:szCs w:val="24"/>
    </w:rPr>
  </w:style>
  <w:style w:type="paragraph" w:styleId="14">
    <w:name w:val="Body Text Indent"/>
    <w:basedOn w:val="1"/>
    <w:next w:val="1"/>
    <w:link w:val="49"/>
    <w:qFormat/>
    <w:uiPriority w:val="0"/>
    <w:pPr>
      <w:spacing w:after="120"/>
      <w:ind w:left="420" w:leftChars="200"/>
    </w:pPr>
  </w:style>
  <w:style w:type="paragraph" w:styleId="15">
    <w:name w:val="Block Text"/>
    <w:basedOn w:val="1"/>
    <w:unhideWhenUsed/>
    <w:qFormat/>
    <w:uiPriority w:val="99"/>
    <w:pPr>
      <w:spacing w:after="120"/>
      <w:ind w:left="1440" w:leftChars="700" w:right="1440" w:rightChars="700"/>
    </w:pPr>
  </w:style>
  <w:style w:type="paragraph" w:styleId="16">
    <w:name w:val="index 4"/>
    <w:basedOn w:val="1"/>
    <w:next w:val="1"/>
    <w:unhideWhenUsed/>
    <w:qFormat/>
    <w:uiPriority w:val="99"/>
    <w:pPr>
      <w:widowControl/>
      <w:ind w:left="600" w:leftChars="600"/>
      <w:jc w:val="left"/>
    </w:pPr>
    <w:rPr>
      <w:rFonts w:ascii="Verdana" w:hAnsi="Verdana" w:eastAsia="微软雅黑"/>
      <w:kern w:val="0"/>
    </w:rPr>
  </w:style>
  <w:style w:type="paragraph" w:styleId="17">
    <w:name w:val="toc 3"/>
    <w:basedOn w:val="1"/>
    <w:next w:val="1"/>
    <w:qFormat/>
    <w:uiPriority w:val="0"/>
    <w:pPr>
      <w:ind w:left="840" w:leftChars="400"/>
    </w:pPr>
  </w:style>
  <w:style w:type="paragraph" w:styleId="18">
    <w:name w:val="Body Text Indent 2"/>
    <w:basedOn w:val="1"/>
    <w:link w:val="51"/>
    <w:qFormat/>
    <w:uiPriority w:val="0"/>
    <w:pPr>
      <w:spacing w:line="500" w:lineRule="exact"/>
      <w:ind w:left="105" w:firstLine="465" w:firstLineChars="166"/>
    </w:pPr>
    <w:rPr>
      <w:sz w:val="28"/>
    </w:rPr>
  </w:style>
  <w:style w:type="paragraph" w:styleId="19">
    <w:name w:val="Balloon Text"/>
    <w:basedOn w:val="1"/>
    <w:link w:val="52"/>
    <w:qFormat/>
    <w:uiPriority w:val="0"/>
    <w:rPr>
      <w:sz w:val="18"/>
      <w:szCs w:val="18"/>
    </w:rPr>
  </w:style>
  <w:style w:type="paragraph" w:styleId="20">
    <w:name w:val="footer"/>
    <w:basedOn w:val="1"/>
    <w:next w:val="21"/>
    <w:link w:val="53"/>
    <w:qFormat/>
    <w:uiPriority w:val="99"/>
    <w:pPr>
      <w:tabs>
        <w:tab w:val="center" w:pos="4153"/>
        <w:tab w:val="right" w:pos="8306"/>
      </w:tabs>
      <w:snapToGrid w:val="0"/>
      <w:jc w:val="left"/>
    </w:pPr>
    <w:rPr>
      <w:sz w:val="18"/>
      <w:szCs w:val="18"/>
    </w:rPr>
  </w:style>
  <w:style w:type="paragraph" w:styleId="21">
    <w:name w:val="toc 2"/>
    <w:basedOn w:val="1"/>
    <w:next w:val="1"/>
    <w:qFormat/>
    <w:uiPriority w:val="39"/>
    <w:pPr>
      <w:tabs>
        <w:tab w:val="right" w:leader="middleDot" w:pos="8948"/>
      </w:tabs>
      <w:spacing w:before="60" w:after="60"/>
      <w:ind w:left="210"/>
    </w:pPr>
    <w:rPr>
      <w:smallCaps/>
    </w:rPr>
  </w:style>
  <w:style w:type="paragraph" w:styleId="22">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0"/>
    <w:rPr>
      <w:rFonts w:ascii="Calibri" w:hAnsi="Calibri"/>
      <w:szCs w:val="24"/>
    </w:rPr>
  </w:style>
  <w:style w:type="paragraph" w:styleId="24">
    <w:name w:val="List"/>
    <w:basedOn w:val="1"/>
    <w:qFormat/>
    <w:uiPriority w:val="0"/>
    <w:pPr>
      <w:ind w:left="200" w:hanging="200" w:hangingChars="200"/>
    </w:pPr>
  </w:style>
  <w:style w:type="paragraph" w:styleId="25">
    <w:name w:val="toc 6"/>
    <w:basedOn w:val="1"/>
    <w:next w:val="1"/>
    <w:qFormat/>
    <w:uiPriority w:val="0"/>
    <w:pPr>
      <w:ind w:left="1000" w:leftChars="1000"/>
    </w:pPr>
  </w:style>
  <w:style w:type="paragraph" w:styleId="26">
    <w:name w:val="Body Text Indent 3"/>
    <w:basedOn w:val="1"/>
    <w:link w:val="55"/>
    <w:qFormat/>
    <w:uiPriority w:val="0"/>
    <w:pPr>
      <w:spacing w:after="120"/>
      <w:ind w:left="420" w:leftChars="200"/>
    </w:pPr>
    <w:rPr>
      <w:sz w:val="16"/>
      <w:szCs w:val="16"/>
    </w:rPr>
  </w:style>
  <w:style w:type="paragraph" w:styleId="27">
    <w:name w:val="Body Text 2"/>
    <w:basedOn w:val="1"/>
    <w:semiHidden/>
    <w:qFormat/>
    <w:uiPriority w:val="0"/>
    <w:rPr>
      <w:rFonts w:ascii="宋体"/>
      <w:color w:val="000000"/>
      <w:sz w:val="28"/>
    </w:rPr>
  </w:style>
  <w:style w:type="paragraph" w:styleId="2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9">
    <w:name w:val="Title"/>
    <w:basedOn w:val="1"/>
    <w:link w:val="56"/>
    <w:qFormat/>
    <w:uiPriority w:val="0"/>
    <w:pPr>
      <w:jc w:val="center"/>
    </w:pPr>
    <w:rPr>
      <w:rFonts w:ascii="Calibri" w:hAnsi="Calibri"/>
      <w:sz w:val="30"/>
      <w:szCs w:val="30"/>
    </w:rPr>
  </w:style>
  <w:style w:type="paragraph" w:styleId="30">
    <w:name w:val="annotation subject"/>
    <w:basedOn w:val="13"/>
    <w:next w:val="13"/>
    <w:link w:val="57"/>
    <w:qFormat/>
    <w:uiPriority w:val="0"/>
    <w:rPr>
      <w:b/>
      <w:bCs/>
    </w:rPr>
  </w:style>
  <w:style w:type="paragraph" w:styleId="31">
    <w:name w:val="Body Text First Indent"/>
    <w:basedOn w:val="5"/>
    <w:next w:val="1"/>
    <w:link w:val="58"/>
    <w:qFormat/>
    <w:uiPriority w:val="99"/>
    <w:pPr>
      <w:ind w:firstLine="420" w:firstLineChars="100"/>
    </w:pPr>
    <w:rPr>
      <w:szCs w:val="24"/>
    </w:rPr>
  </w:style>
  <w:style w:type="paragraph" w:styleId="32">
    <w:name w:val="Body Text First Indent 2"/>
    <w:basedOn w:val="14"/>
    <w:next w:val="1"/>
    <w:link w:val="59"/>
    <w:qFormat/>
    <w:uiPriority w:val="0"/>
    <w:pPr>
      <w:ind w:firstLine="420" w:firstLineChars="200"/>
    </w:pPr>
  </w:style>
  <w:style w:type="table" w:styleId="34">
    <w:name w:val="Table Grid"/>
    <w:basedOn w:val="3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qFormat/>
    <w:uiPriority w:val="0"/>
  </w:style>
  <w:style w:type="character" w:styleId="38">
    <w:name w:val="FollowedHyperlink"/>
    <w:unhideWhenUsed/>
    <w:qFormat/>
    <w:uiPriority w:val="99"/>
    <w:rPr>
      <w:color w:val="800080"/>
      <w:u w:val="single"/>
    </w:rPr>
  </w:style>
  <w:style w:type="character" w:styleId="39">
    <w:name w:val="Hyperlink"/>
    <w:qFormat/>
    <w:uiPriority w:val="99"/>
    <w:rPr>
      <w:color w:val="0000FF"/>
      <w:u w:val="single"/>
    </w:rPr>
  </w:style>
  <w:style w:type="character" w:styleId="40">
    <w:name w:val="annotation reference"/>
    <w:basedOn w:val="35"/>
    <w:qFormat/>
    <w:uiPriority w:val="0"/>
    <w:rPr>
      <w:sz w:val="21"/>
      <w:szCs w:val="21"/>
    </w:rPr>
  </w:style>
  <w:style w:type="character" w:styleId="41">
    <w:name w:val="HTML Sample"/>
    <w:basedOn w:val="35"/>
    <w:semiHidden/>
    <w:unhideWhenUsed/>
    <w:qFormat/>
    <w:uiPriority w:val="0"/>
    <w:rPr>
      <w:rFonts w:ascii="Courier New" w:hAnsi="Courier New"/>
    </w:rPr>
  </w:style>
  <w:style w:type="character" w:customStyle="1" w:styleId="42">
    <w:name w:val="正文文本 Char"/>
    <w:link w:val="5"/>
    <w:qFormat/>
    <w:uiPriority w:val="99"/>
    <w:rPr>
      <w:rFonts w:eastAsia="??"/>
      <w:kern w:val="2"/>
      <w:sz w:val="28"/>
      <w:szCs w:val="28"/>
      <w:lang w:val="en-US" w:eastAsia="zh-CN" w:bidi="ar-SA"/>
    </w:rPr>
  </w:style>
  <w:style w:type="paragraph" w:customStyle="1" w:styleId="43">
    <w:name w:val="BodyText"/>
    <w:basedOn w:val="1"/>
    <w:next w:val="44"/>
    <w:qFormat/>
    <w:uiPriority w:val="0"/>
    <w:pPr>
      <w:spacing w:line="460" w:lineRule="exact"/>
      <w:textAlignment w:val="baseline"/>
    </w:pPr>
    <w:rPr>
      <w:rFonts w:ascii="Calibri" w:hAnsi="Calibri" w:eastAsia="黑体"/>
      <w:sz w:val="24"/>
      <w:szCs w:val="24"/>
    </w:rPr>
  </w:style>
  <w:style w:type="paragraph" w:customStyle="1" w:styleId="44">
    <w:name w:val="BodyText1I"/>
    <w:basedOn w:val="43"/>
    <w:next w:val="1"/>
    <w:qFormat/>
    <w:uiPriority w:val="0"/>
    <w:pPr>
      <w:spacing w:after="120" w:line="240" w:lineRule="auto"/>
      <w:ind w:firstLine="420" w:firstLineChars="100"/>
    </w:pPr>
    <w:rPr>
      <w:rFonts w:eastAsia="宋体"/>
      <w:sz w:val="21"/>
    </w:rPr>
  </w:style>
  <w:style w:type="character" w:customStyle="1" w:styleId="45">
    <w:name w:val="标题 2 Char"/>
    <w:link w:val="8"/>
    <w:qFormat/>
    <w:uiPriority w:val="0"/>
    <w:rPr>
      <w:rFonts w:ascii="Arial" w:hAnsi="Arial" w:eastAsia="??"/>
      <w:b/>
      <w:kern w:val="2"/>
      <w:sz w:val="32"/>
      <w:szCs w:val="28"/>
      <w:lang w:val="en-US" w:eastAsia="zh-CN" w:bidi="ar-SA"/>
    </w:rPr>
  </w:style>
  <w:style w:type="character" w:customStyle="1" w:styleId="46">
    <w:name w:val="标题 1 Char"/>
    <w:link w:val="7"/>
    <w:qFormat/>
    <w:uiPriority w:val="9"/>
    <w:rPr>
      <w:b/>
      <w:bCs/>
      <w:kern w:val="44"/>
      <w:sz w:val="44"/>
      <w:szCs w:val="44"/>
    </w:rPr>
  </w:style>
  <w:style w:type="character" w:customStyle="1" w:styleId="47">
    <w:name w:val="文档结构图 Char"/>
    <w:link w:val="12"/>
    <w:qFormat/>
    <w:uiPriority w:val="0"/>
    <w:rPr>
      <w:rFonts w:ascii="宋体"/>
      <w:kern w:val="2"/>
      <w:sz w:val="18"/>
      <w:szCs w:val="18"/>
    </w:rPr>
  </w:style>
  <w:style w:type="character" w:customStyle="1" w:styleId="48">
    <w:name w:val="批注文字 Char"/>
    <w:link w:val="13"/>
    <w:qFormat/>
    <w:uiPriority w:val="0"/>
    <w:rPr>
      <w:kern w:val="2"/>
      <w:sz w:val="21"/>
      <w:szCs w:val="24"/>
    </w:rPr>
  </w:style>
  <w:style w:type="character" w:customStyle="1" w:styleId="49">
    <w:name w:val="正文文本缩进 Char"/>
    <w:link w:val="14"/>
    <w:qFormat/>
    <w:uiPriority w:val="0"/>
    <w:rPr>
      <w:kern w:val="2"/>
      <w:sz w:val="21"/>
    </w:rPr>
  </w:style>
  <w:style w:type="character" w:customStyle="1" w:styleId="50">
    <w:name w:val="纯文本 Char"/>
    <w:link w:val="3"/>
    <w:qFormat/>
    <w:uiPriority w:val="0"/>
    <w:rPr>
      <w:rFonts w:ascii="宋体" w:hAnsi="Courier New" w:eastAsia="仿宋_GB2312"/>
      <w:kern w:val="2"/>
      <w:sz w:val="30"/>
      <w:lang w:val="en-US" w:eastAsia="zh-CN" w:bidi="ar-SA"/>
    </w:rPr>
  </w:style>
  <w:style w:type="character" w:customStyle="1" w:styleId="51">
    <w:name w:val="正文文本缩进 2 Char"/>
    <w:link w:val="18"/>
    <w:qFormat/>
    <w:uiPriority w:val="0"/>
    <w:rPr>
      <w:kern w:val="2"/>
      <w:sz w:val="28"/>
    </w:rPr>
  </w:style>
  <w:style w:type="character" w:customStyle="1" w:styleId="52">
    <w:name w:val="批注框文本 Char"/>
    <w:link w:val="19"/>
    <w:qFormat/>
    <w:uiPriority w:val="0"/>
    <w:rPr>
      <w:kern w:val="2"/>
      <w:sz w:val="18"/>
      <w:szCs w:val="18"/>
    </w:rPr>
  </w:style>
  <w:style w:type="character" w:customStyle="1" w:styleId="53">
    <w:name w:val="页脚 Char"/>
    <w:link w:val="20"/>
    <w:qFormat/>
    <w:uiPriority w:val="99"/>
    <w:rPr>
      <w:kern w:val="2"/>
      <w:sz w:val="18"/>
      <w:szCs w:val="18"/>
    </w:rPr>
  </w:style>
  <w:style w:type="character" w:customStyle="1" w:styleId="54">
    <w:name w:val="页眉 Char"/>
    <w:link w:val="22"/>
    <w:qFormat/>
    <w:uiPriority w:val="99"/>
    <w:rPr>
      <w:kern w:val="2"/>
      <w:sz w:val="18"/>
      <w:szCs w:val="18"/>
    </w:rPr>
  </w:style>
  <w:style w:type="character" w:customStyle="1" w:styleId="55">
    <w:name w:val="正文文本缩进 3 Char"/>
    <w:link w:val="26"/>
    <w:qFormat/>
    <w:uiPriority w:val="0"/>
    <w:rPr>
      <w:kern w:val="2"/>
      <w:sz w:val="16"/>
      <w:szCs w:val="16"/>
    </w:rPr>
  </w:style>
  <w:style w:type="character" w:customStyle="1" w:styleId="56">
    <w:name w:val="标题 Char"/>
    <w:link w:val="29"/>
    <w:qFormat/>
    <w:uiPriority w:val="0"/>
    <w:rPr>
      <w:rFonts w:ascii="Calibri" w:hAnsi="Calibri"/>
      <w:kern w:val="2"/>
      <w:sz w:val="30"/>
      <w:szCs w:val="30"/>
    </w:rPr>
  </w:style>
  <w:style w:type="character" w:customStyle="1" w:styleId="57">
    <w:name w:val="批注主题 Char"/>
    <w:link w:val="30"/>
    <w:qFormat/>
    <w:uiPriority w:val="0"/>
    <w:rPr>
      <w:b/>
      <w:bCs/>
      <w:kern w:val="2"/>
      <w:sz w:val="21"/>
      <w:szCs w:val="24"/>
    </w:rPr>
  </w:style>
  <w:style w:type="character" w:customStyle="1" w:styleId="58">
    <w:name w:val="正文首行缩进 Char"/>
    <w:link w:val="31"/>
    <w:qFormat/>
    <w:uiPriority w:val="99"/>
    <w:rPr>
      <w:rFonts w:eastAsia="??"/>
      <w:kern w:val="2"/>
      <w:sz w:val="28"/>
      <w:szCs w:val="24"/>
    </w:rPr>
  </w:style>
  <w:style w:type="character" w:customStyle="1" w:styleId="59">
    <w:name w:val="正文首行缩进 2 Char"/>
    <w:link w:val="32"/>
    <w:qFormat/>
    <w:uiPriority w:val="0"/>
  </w:style>
  <w:style w:type="paragraph" w:customStyle="1" w:styleId="60">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61">
    <w:name w:val="font31"/>
    <w:qFormat/>
    <w:uiPriority w:val="0"/>
    <w:rPr>
      <w:rFonts w:hint="eastAsia" w:ascii="宋体" w:hAnsi="宋体" w:eastAsia="宋体" w:cs="宋体"/>
      <w:color w:val="000000"/>
      <w:sz w:val="20"/>
      <w:szCs w:val="20"/>
      <w:u w:val="none"/>
    </w:rPr>
  </w:style>
  <w:style w:type="character" w:customStyle="1" w:styleId="62">
    <w:name w:val="font71"/>
    <w:qFormat/>
    <w:uiPriority w:val="0"/>
    <w:rPr>
      <w:rFonts w:ascii="Arial" w:hAnsi="Arial" w:cs="Arial"/>
      <w:color w:val="000000"/>
      <w:sz w:val="20"/>
      <w:szCs w:val="20"/>
      <w:u w:val="none"/>
    </w:rPr>
  </w:style>
  <w:style w:type="character" w:customStyle="1" w:styleId="63">
    <w:name w:val="Char Char7"/>
    <w:qFormat/>
    <w:uiPriority w:val="0"/>
    <w:rPr>
      <w:rFonts w:ascii="??" w:hAnsi="??" w:eastAsia="??" w:cs="宋体"/>
      <w:kern w:val="2"/>
      <w:sz w:val="24"/>
      <w:szCs w:val="28"/>
    </w:rPr>
  </w:style>
  <w:style w:type="character" w:customStyle="1" w:styleId="64">
    <w:name w:val="font81"/>
    <w:qFormat/>
    <w:uiPriority w:val="0"/>
    <w:rPr>
      <w:rFonts w:hint="eastAsia" w:ascii="宋体" w:hAnsi="宋体" w:eastAsia="宋体" w:cs="宋体"/>
      <w:color w:val="000000"/>
      <w:sz w:val="20"/>
      <w:szCs w:val="20"/>
      <w:u w:val="none"/>
    </w:rPr>
  </w:style>
  <w:style w:type="character" w:customStyle="1" w:styleId="65">
    <w:name w:val="font61"/>
    <w:qFormat/>
    <w:uiPriority w:val="0"/>
    <w:rPr>
      <w:rFonts w:hint="default" w:ascii="Times New Roman" w:hAnsi="Times New Roman" w:cs="Times New Roman"/>
      <w:color w:val="000000"/>
      <w:sz w:val="20"/>
      <w:szCs w:val="20"/>
      <w:u w:val="none"/>
    </w:rPr>
  </w:style>
  <w:style w:type="character" w:customStyle="1" w:styleId="66">
    <w:name w:val="font112"/>
    <w:qFormat/>
    <w:uiPriority w:val="0"/>
    <w:rPr>
      <w:rFonts w:hint="eastAsia" w:ascii="宋体" w:hAnsi="宋体" w:eastAsia="宋体" w:cs="宋体"/>
      <w:color w:val="000000"/>
      <w:sz w:val="22"/>
      <w:szCs w:val="22"/>
      <w:u w:val="none"/>
    </w:rPr>
  </w:style>
  <w:style w:type="character" w:customStyle="1" w:styleId="67">
    <w:name w:val="font11"/>
    <w:basedOn w:val="35"/>
    <w:qFormat/>
    <w:uiPriority w:val="0"/>
    <w:rPr>
      <w:rFonts w:hint="eastAsia" w:ascii="宋体" w:hAnsi="宋体" w:eastAsia="宋体" w:cs="宋体"/>
      <w:b/>
      <w:color w:val="000000"/>
      <w:sz w:val="22"/>
      <w:szCs w:val="22"/>
      <w:u w:val="none"/>
    </w:rPr>
  </w:style>
  <w:style w:type="character" w:customStyle="1" w:styleId="68">
    <w:name w:val="font01"/>
    <w:basedOn w:val="35"/>
    <w:qFormat/>
    <w:uiPriority w:val="0"/>
    <w:rPr>
      <w:rFonts w:hint="eastAsia" w:ascii="宋体" w:hAnsi="宋体" w:eastAsia="宋体" w:cs="宋体"/>
      <w:b/>
      <w:color w:val="000000"/>
      <w:sz w:val="40"/>
      <w:szCs w:val="40"/>
      <w:u w:val="none"/>
    </w:rPr>
  </w:style>
  <w:style w:type="character" w:customStyle="1" w:styleId="69">
    <w:name w:val="NormalCharacter"/>
    <w:qFormat/>
    <w:uiPriority w:val="0"/>
    <w:rPr>
      <w:rFonts w:ascii="Calibri" w:hAnsi="Calibri" w:eastAsia="宋体"/>
    </w:rPr>
  </w:style>
  <w:style w:type="character" w:customStyle="1" w:styleId="70">
    <w:name w:val="font41"/>
    <w:qFormat/>
    <w:uiPriority w:val="0"/>
    <w:rPr>
      <w:rFonts w:hint="eastAsia" w:ascii="宋体" w:hAnsi="宋体" w:eastAsia="宋体" w:cs="宋体"/>
      <w:color w:val="7030A0"/>
      <w:sz w:val="20"/>
      <w:szCs w:val="20"/>
      <w:u w:val="none"/>
    </w:rPr>
  </w:style>
  <w:style w:type="character" w:customStyle="1" w:styleId="71">
    <w:name w:val="font111"/>
    <w:qFormat/>
    <w:uiPriority w:val="0"/>
    <w:rPr>
      <w:rFonts w:hint="eastAsia" w:ascii="宋体" w:hAnsi="宋体" w:eastAsia="宋体" w:cs="宋体"/>
      <w:color w:val="7030A0"/>
      <w:sz w:val="20"/>
      <w:szCs w:val="20"/>
      <w:u w:val="none"/>
    </w:rPr>
  </w:style>
  <w:style w:type="character" w:customStyle="1" w:styleId="72">
    <w:name w:val="font91"/>
    <w:qFormat/>
    <w:uiPriority w:val="0"/>
    <w:rPr>
      <w:rFonts w:hint="eastAsia" w:ascii="宋体" w:hAnsi="宋体" w:eastAsia="宋体" w:cs="宋体"/>
      <w:color w:val="000000"/>
      <w:sz w:val="20"/>
      <w:szCs w:val="20"/>
      <w:u w:val="none"/>
    </w:rPr>
  </w:style>
  <w:style w:type="character" w:customStyle="1" w:styleId="73">
    <w:name w:val="apple-style-span"/>
    <w:qFormat/>
    <w:uiPriority w:val="0"/>
    <w:rPr>
      <w:rFonts w:ascii="Tahoma" w:hAnsi="Tahoma"/>
      <w:sz w:val="24"/>
      <w:szCs w:val="20"/>
    </w:rPr>
  </w:style>
  <w:style w:type="character" w:customStyle="1" w:styleId="74">
    <w:name w:val="font51"/>
    <w:qFormat/>
    <w:uiPriority w:val="0"/>
    <w:rPr>
      <w:rFonts w:hint="eastAsia" w:ascii="宋体" w:hAnsi="宋体" w:eastAsia="宋体" w:cs="宋体"/>
      <w:color w:val="000000"/>
      <w:sz w:val="22"/>
      <w:szCs w:val="22"/>
      <w:u w:val="none"/>
    </w:rPr>
  </w:style>
  <w:style w:type="paragraph" w:customStyle="1" w:styleId="75">
    <w:name w:val="列表段落1"/>
    <w:basedOn w:val="1"/>
    <w:qFormat/>
    <w:uiPriority w:val="0"/>
    <w:pPr>
      <w:ind w:firstLine="420" w:firstLineChars="200"/>
    </w:pPr>
    <w:rPr>
      <w:rFonts w:ascii="Calibri" w:hAnsi="Calibri"/>
      <w:szCs w:val="22"/>
    </w:rPr>
  </w:style>
  <w:style w:type="paragraph" w:customStyle="1" w:styleId="76">
    <w:name w:val="Body Text First Indent1"/>
    <w:basedOn w:val="5"/>
    <w:next w:val="20"/>
    <w:qFormat/>
    <w:uiPriority w:val="0"/>
    <w:pPr>
      <w:ind w:firstLine="420" w:firstLineChars="100"/>
    </w:pPr>
  </w:style>
  <w:style w:type="paragraph" w:customStyle="1" w:styleId="77">
    <w:name w:val="样式 正文文本缩进 + 首行缩进:  2 字符 行距: 1.5 倍行距"/>
    <w:basedOn w:val="14"/>
    <w:qFormat/>
    <w:uiPriority w:val="0"/>
    <w:pPr>
      <w:spacing w:before="156"/>
      <w:ind w:left="0" w:leftChars="0" w:firstLine="482"/>
    </w:pPr>
    <w:rPr>
      <w:rFonts w:cs="宋体"/>
      <w:b/>
    </w:rPr>
  </w:style>
  <w:style w:type="paragraph" w:customStyle="1" w:styleId="78">
    <w:name w:val="修订1"/>
    <w:unhideWhenUsed/>
    <w:qFormat/>
    <w:uiPriority w:val="99"/>
    <w:rPr>
      <w:rFonts w:ascii="Times New Roman" w:hAnsi="Times New Roman" w:eastAsia="宋体" w:cs="Times New Roman"/>
      <w:kern w:val="2"/>
      <w:sz w:val="21"/>
      <w:lang w:val="en-US" w:eastAsia="zh-CN" w:bidi="ar-SA"/>
    </w:rPr>
  </w:style>
  <w:style w:type="paragraph" w:customStyle="1" w:styleId="79">
    <w:name w:val="Table Text"/>
    <w:qFormat/>
    <w:uiPriority w:val="0"/>
    <w:pPr>
      <w:autoSpaceDE w:val="0"/>
      <w:autoSpaceDN w:val="0"/>
      <w:spacing w:before="80" w:after="80"/>
      <w:textAlignment w:val="bottom"/>
    </w:pPr>
    <w:rPr>
      <w:rFonts w:ascii="Arial" w:hAnsi="Arial" w:eastAsia="宋体" w:cs="Arial Narrow"/>
      <w:sz w:val="18"/>
      <w:szCs w:val="18"/>
      <w:lang w:val="en-US" w:eastAsia="zh-CN" w:bidi="ar-SA"/>
    </w:rPr>
  </w:style>
  <w:style w:type="paragraph" w:customStyle="1" w:styleId="80">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81">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
    <w:name w:val="中等深浅列表 2 - 强调文字颜色 41"/>
    <w:basedOn w:val="1"/>
    <w:qFormat/>
    <w:uiPriority w:val="34"/>
    <w:pPr>
      <w:ind w:firstLine="420" w:firstLineChars="200"/>
    </w:pPr>
    <w:rPr>
      <w:rFonts w:ascii="Calibri" w:hAnsi="Calibri"/>
      <w:szCs w:val="22"/>
    </w:rPr>
  </w:style>
  <w:style w:type="paragraph" w:customStyle="1" w:styleId="83">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5">
    <w:name w:val="列出段落11"/>
    <w:basedOn w:val="1"/>
    <w:qFormat/>
    <w:uiPriority w:val="0"/>
    <w:pPr>
      <w:ind w:firstLine="420" w:firstLineChars="200"/>
    </w:pPr>
    <w:rPr>
      <w:rFonts w:ascii="Calibri" w:hAnsi="Calibri"/>
      <w:szCs w:val="22"/>
    </w:rPr>
  </w:style>
  <w:style w:type="paragraph" w:customStyle="1" w:styleId="86">
    <w:name w:val="p0"/>
    <w:basedOn w:val="1"/>
    <w:qFormat/>
    <w:uiPriority w:val="0"/>
    <w:pPr>
      <w:widowControl/>
    </w:pPr>
    <w:rPr>
      <w:kern w:val="0"/>
      <w:szCs w:val="21"/>
    </w:rPr>
  </w:style>
  <w:style w:type="paragraph" w:customStyle="1" w:styleId="87">
    <w:name w:val="newnew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
    <w:name w:val="列出段落1"/>
    <w:basedOn w:val="1"/>
    <w:qFormat/>
    <w:uiPriority w:val="34"/>
    <w:pPr>
      <w:ind w:firstLine="420" w:firstLineChars="200"/>
    </w:pPr>
  </w:style>
  <w:style w:type="paragraph" w:customStyle="1" w:styleId="89">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reader-word-layer reader-word-s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
    <w:name w:val="正文样式"/>
    <w:basedOn w:val="1"/>
    <w:qFormat/>
    <w:uiPriority w:val="0"/>
    <w:pPr>
      <w:spacing w:beforeLines="50" w:line="312" w:lineRule="auto"/>
      <w:ind w:firstLine="200" w:firstLineChars="200"/>
    </w:pPr>
    <w:rPr>
      <w:rFonts w:ascii="Calibri" w:hAnsi="Calibri"/>
      <w:sz w:val="24"/>
      <w:szCs w:val="24"/>
    </w:rPr>
  </w:style>
  <w:style w:type="paragraph" w:customStyle="1" w:styleId="92">
    <w:name w:val="Body text|1"/>
    <w:basedOn w:val="1"/>
    <w:qFormat/>
    <w:uiPriority w:val="0"/>
    <w:pPr>
      <w:spacing w:line="413" w:lineRule="auto"/>
    </w:pPr>
    <w:rPr>
      <w:rFonts w:ascii="宋体" w:hAnsi="宋体" w:cs="宋体"/>
      <w:sz w:val="20"/>
      <w:lang w:val="zh-CN" w:bidi="zh-CN"/>
    </w:rPr>
  </w:style>
  <w:style w:type="paragraph" w:customStyle="1" w:styleId="93">
    <w:name w:val="[Normal]"/>
    <w:qFormat/>
    <w:uiPriority w:val="0"/>
    <w:rPr>
      <w:rFonts w:ascii="宋体" w:hAnsi="宋体" w:eastAsia="宋体" w:cs="Times New Roman"/>
      <w:sz w:val="24"/>
      <w:szCs w:val="22"/>
      <w:lang w:val="zh-CN" w:eastAsia="zh-CN" w:bidi="ar-SA"/>
    </w:rPr>
  </w:style>
  <w:style w:type="paragraph" w:customStyle="1" w:styleId="94">
    <w:name w:val="正文1"/>
    <w:basedOn w:val="17"/>
    <w:next w:val="1"/>
    <w:qFormat/>
    <w:uiPriority w:val="0"/>
    <w:pPr>
      <w:adjustRightInd w:val="0"/>
      <w:spacing w:line="318" w:lineRule="atLeast"/>
      <w:ind w:left="369" w:firstLine="369"/>
      <w:textAlignment w:val="baseline"/>
    </w:pPr>
    <w:rPr>
      <w:rFonts w:ascii="宋体"/>
    </w:rPr>
  </w:style>
  <w:style w:type="paragraph" w:customStyle="1" w:styleId="95">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96">
    <w:name w:val="xl35"/>
    <w:basedOn w:val="1"/>
    <w:qFormat/>
    <w:uiPriority w:val="0"/>
    <w:pPr>
      <w:widowControl/>
      <w:spacing w:before="100" w:beforeAutospacing="1" w:after="100" w:afterAutospacing="1"/>
      <w:jc w:val="right"/>
      <w:textAlignment w:val="center"/>
    </w:pPr>
    <w:rPr>
      <w:rFonts w:ascii="宋体" w:hAnsi="宋体"/>
      <w:kern w:val="0"/>
      <w:sz w:val="18"/>
    </w:rPr>
  </w:style>
  <w:style w:type="paragraph" w:styleId="97">
    <w:name w:val="List Paragraph"/>
    <w:basedOn w:val="1"/>
    <w:qFormat/>
    <w:uiPriority w:val="34"/>
    <w:pPr>
      <w:autoSpaceDE w:val="0"/>
      <w:autoSpaceDN w:val="0"/>
      <w:adjustRightInd w:val="0"/>
      <w:ind w:firstLine="200" w:firstLineChars="200"/>
      <w:jc w:val="left"/>
    </w:pPr>
    <w:rPr>
      <w:rFonts w:eastAsia="??"/>
      <w:kern w:val="0"/>
      <w:sz w:val="24"/>
      <w:szCs w:val="24"/>
    </w:rPr>
  </w:style>
  <w:style w:type="paragraph" w:customStyle="1" w:styleId="98">
    <w:name w:val="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9">
    <w:name w:val="Char"/>
    <w:basedOn w:val="1"/>
    <w:qFormat/>
    <w:uiPriority w:val="0"/>
    <w:rPr>
      <w:szCs w:val="24"/>
    </w:rPr>
  </w:style>
  <w:style w:type="paragraph" w:customStyle="1" w:styleId="100">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101">
    <w:name w:val="书籍标题1"/>
    <w:basedOn w:val="1"/>
    <w:next w:val="1"/>
    <w:qFormat/>
    <w:uiPriority w:val="0"/>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102">
    <w:name w:val="正文文本缩进1"/>
    <w:basedOn w:val="1"/>
    <w:qFormat/>
    <w:uiPriority w:val="0"/>
    <w:pPr>
      <w:ind w:firstLine="200"/>
    </w:pPr>
    <w:rPr>
      <w:rFonts w:ascii="仿宋_GB2312" w:eastAsia="仿宋_GB2312"/>
      <w:sz w:val="32"/>
    </w:rPr>
  </w:style>
  <w:style w:type="paragraph" w:customStyle="1" w:styleId="103">
    <w:name w:val="正文首行缩进 21"/>
    <w:basedOn w:val="102"/>
    <w:qFormat/>
    <w:uiPriority w:val="0"/>
    <w:pPr>
      <w:ind w:firstLine="420"/>
    </w:pPr>
  </w:style>
  <w:style w:type="paragraph" w:customStyle="1" w:styleId="104">
    <w:name w:val="正文2"/>
    <w:next w:val="23"/>
    <w:qFormat/>
    <w:uiPriority w:val="0"/>
    <w:pPr>
      <w:jc w:val="both"/>
    </w:pPr>
    <w:rPr>
      <w:rFonts w:ascii="Calibri" w:hAnsi="Calibri" w:eastAsia="宋体" w:cs="宋体"/>
      <w:kern w:val="2"/>
      <w:sz w:val="21"/>
      <w:szCs w:val="21"/>
      <w:lang w:val="en-US" w:eastAsia="zh-CN" w:bidi="ar-SA"/>
    </w:rPr>
  </w:style>
  <w:style w:type="paragraph" w:customStyle="1" w:styleId="105">
    <w:name w:val="_Style 97"/>
    <w:unhideWhenUsed/>
    <w:qFormat/>
    <w:uiPriority w:val="99"/>
    <w:rPr>
      <w:rFonts w:ascii="Times New Roman" w:hAnsi="Times New Roman" w:eastAsia="宋体" w:cs="Times New Roman"/>
      <w:kern w:val="2"/>
      <w:sz w:val="21"/>
      <w:lang w:val="en-US" w:eastAsia="zh-CN" w:bidi="ar-SA"/>
    </w:rPr>
  </w:style>
  <w:style w:type="paragraph" w:customStyle="1" w:styleId="106">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107">
    <w:name w:val="Table Heading"/>
    <w:qFormat/>
    <w:uiPriority w:val="0"/>
    <w:pPr>
      <w:keepNext/>
      <w:spacing w:before="80" w:after="80"/>
      <w:jc w:val="center"/>
    </w:pPr>
    <w:rPr>
      <w:rFonts w:ascii="Arial" w:hAnsi="Arial" w:eastAsia="黑体" w:cs="Arial Narrow"/>
      <w:bCs/>
      <w:sz w:val="18"/>
      <w:lang w:val="en-US" w:eastAsia="zh-CN" w:bidi="ar-SA"/>
    </w:rPr>
  </w:style>
  <w:style w:type="paragraph" w:customStyle="1" w:styleId="108">
    <w:name w:val="p16"/>
    <w:basedOn w:val="1"/>
    <w:qFormat/>
    <w:uiPriority w:val="0"/>
    <w:pPr>
      <w:widowControl/>
    </w:pPr>
    <w:rPr>
      <w:rFonts w:ascii="宋体" w:hAnsi="宋体" w:cs="宋体"/>
      <w:kern w:val="0"/>
      <w:sz w:val="30"/>
      <w:szCs w:val="30"/>
    </w:rPr>
  </w:style>
  <w:style w:type="paragraph" w:customStyle="1" w:styleId="109">
    <w:name w:val="_Style 64"/>
    <w:basedOn w:val="1"/>
    <w:next w:val="97"/>
    <w:qFormat/>
    <w:uiPriority w:val="0"/>
    <w:pPr>
      <w:ind w:firstLine="420" w:firstLineChars="200"/>
    </w:pPr>
    <w:rPr>
      <w:szCs w:val="24"/>
    </w:rPr>
  </w:style>
  <w:style w:type="paragraph" w:customStyle="1" w:styleId="110">
    <w:name w:val="_Style 8"/>
    <w:basedOn w:val="1"/>
    <w:next w:val="97"/>
    <w:qFormat/>
    <w:uiPriority w:val="34"/>
    <w:pPr>
      <w:ind w:firstLine="420" w:firstLineChars="200"/>
    </w:pPr>
    <w:rPr>
      <w:rFonts w:ascii="Calibri" w:hAnsi="Calibri"/>
      <w:szCs w:val="22"/>
    </w:rPr>
  </w:style>
  <w:style w:type="table" w:customStyle="1" w:styleId="111">
    <w:name w:val="网格型2"/>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
    <w:name w:val="网格型1"/>
    <w:basedOn w:val="33"/>
    <w:qFormat/>
    <w:uiPriority w:val="59"/>
    <w:rPr>
      <w:rFonts w:cs="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3">
    <w:name w:val="_正文段落"/>
    <w:basedOn w:val="1"/>
    <w:qFormat/>
    <w:uiPriority w:val="0"/>
    <w:pPr>
      <w:spacing w:beforeLines="15" w:afterLines="15" w:line="360" w:lineRule="auto"/>
      <w:ind w:firstLine="480" w:firstLineChars="200"/>
    </w:pPr>
    <w:rPr>
      <w:rFonts w:ascii="宋体" w:hAnsi="宋体"/>
      <w:kern w:val="0"/>
      <w:szCs w:val="24"/>
    </w:rPr>
  </w:style>
  <w:style w:type="character" w:customStyle="1" w:styleId="114">
    <w:name w:val="font21"/>
    <w:qFormat/>
    <w:uiPriority w:val="0"/>
    <w:rPr>
      <w:rFonts w:ascii="Calibri" w:hAnsi="Calibri" w:cs="Calibri"/>
      <w:color w:val="000000"/>
      <w:sz w:val="22"/>
      <w:szCs w:val="22"/>
      <w:u w:val="none"/>
    </w:rPr>
  </w:style>
  <w:style w:type="paragraph" w:customStyle="1" w:styleId="115">
    <w:name w:val="文档正文"/>
    <w:basedOn w:val="1"/>
    <w:qFormat/>
    <w:uiPriority w:val="99"/>
    <w:rPr>
      <w:rFonts w:ascii="宋体" w:hAnsi="宋体" w:cs="宋体"/>
    </w:rPr>
  </w:style>
  <w:style w:type="paragraph" w:customStyle="1" w:styleId="116">
    <w:name w:val="公文正文"/>
    <w:basedOn w:val="1"/>
    <w:qFormat/>
    <w:uiPriority w:val="5"/>
    <w:pPr>
      <w:spacing w:line="360" w:lineRule="auto"/>
      <w:ind w:firstLine="480" w:firstLineChars="200"/>
    </w:pPr>
    <w:rPr>
      <w:rFonts w:ascii="仿宋" w:hAnsi="仿宋" w:eastAsia="仿宋" w:cs="宋体"/>
      <w:sz w:val="24"/>
      <w:szCs w:val="24"/>
    </w:rPr>
  </w:style>
  <w:style w:type="paragraph" w:customStyle="1" w:styleId="117">
    <w:name w:val="_HT_正文"/>
    <w:basedOn w:val="1"/>
    <w:qFormat/>
    <w:uiPriority w:val="0"/>
    <w:pPr>
      <w:widowControl/>
      <w:spacing w:line="360" w:lineRule="auto"/>
      <w:ind w:firstLine="476"/>
      <w:jc w:val="left"/>
    </w:pPr>
    <w:rPr>
      <w:rFonts w:ascii="宋体" w:hAnsi="宋体" w:cs="宋体"/>
      <w:kern w:val="0"/>
      <w:sz w:val="24"/>
      <w:szCs w:val="24"/>
    </w:rPr>
  </w:style>
  <w:style w:type="paragraph" w:customStyle="1" w:styleId="118">
    <w:name w:val="列出段落4"/>
    <w:basedOn w:val="1"/>
    <w:qFormat/>
    <w:uiPriority w:val="99"/>
    <w:pPr>
      <w:ind w:firstLine="200" w:firstLineChars="200"/>
    </w:pPr>
    <w:rPr>
      <w:rFonts w:ascii="Calibri" w:hAnsi="Calibri"/>
    </w:rPr>
  </w:style>
  <w:style w:type="paragraph" w:customStyle="1" w:styleId="119">
    <w:name w:val="UserStyle_94"/>
    <w:basedOn w:val="1"/>
    <w:qFormat/>
    <w:uiPriority w:val="0"/>
    <w:pPr>
      <w:textAlignment w:val="baseline"/>
    </w:pPr>
    <w:rPr>
      <w:rFonts w:ascii="Tahoma" w:hAnsi="Tahoma"/>
      <w:sz w:val="24"/>
    </w:rPr>
  </w:style>
  <w:style w:type="character" w:customStyle="1" w:styleId="120">
    <w:name w:val="font121"/>
    <w:basedOn w:val="35"/>
    <w:qFormat/>
    <w:uiPriority w:val="0"/>
    <w:rPr>
      <w:rFonts w:hint="eastAsia" w:ascii="宋体" w:hAnsi="宋体" w:eastAsia="宋体" w:cs="宋体"/>
      <w:color w:val="000000"/>
      <w:sz w:val="18"/>
      <w:szCs w:val="18"/>
      <w:u w:val="none"/>
      <w:vertAlign w:val="superscript"/>
    </w:rPr>
  </w:style>
  <w:style w:type="paragraph" w:customStyle="1" w:styleId="121">
    <w:name w:val="WPSOffice手动目录 1"/>
    <w:qFormat/>
    <w:uiPriority w:val="0"/>
    <w:pPr>
      <w:ind w:leftChars="0"/>
    </w:pPr>
    <w:rPr>
      <w:rFonts w:ascii="Times New Roman" w:hAnsi="Times New Roman" w:eastAsia="宋体" w:cs="Times New Roman"/>
      <w:sz w:val="20"/>
      <w:szCs w:val="20"/>
    </w:rPr>
  </w:style>
  <w:style w:type="paragraph" w:customStyle="1" w:styleId="12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59</Pages>
  <Words>9517</Words>
  <Characters>10173</Characters>
  <Lines>223</Lines>
  <Paragraphs>62</Paragraphs>
  <TotalTime>8</TotalTime>
  <ScaleCrop>false</ScaleCrop>
  <LinksUpToDate>false</LinksUpToDate>
  <CharactersWithSpaces>10275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2024-06-15T09:11:00Z</dcterms:created>
  <dc:creator>Administrator</dc:creator>
  <cp:lastModifiedBy>Administrator</cp:lastModifiedBy>
  <cp:lastPrinted>2021-07-02T00:17:00Z</cp:lastPrinted>
  <dcterms:modified xsi:type="dcterms:W3CDTF">2025-07-07T09:31:20Z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1A6A3EE247204C09BC3B955275F6840B_13</vt:lpwstr>
  </property>
  <property fmtid="{D5CDD505-2E9C-101B-9397-08002B2CF9AE}" pid="4" name="KSOTemplateDocerSaveRecord">
    <vt:lpwstr>eyJoZGlkIjoiYjM1NjY4NzgwZjMxOTQ0ZWFiYTU1NjZhYTJhMjQzMzEifQ==</vt:lpwstr>
  </property>
</Properties>
</file>