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55CB6">
      <w:pPr>
        <w:jc w:val="center"/>
        <w:outlineLvl w:val="0"/>
        <w:rPr>
          <w:rFonts w:hint="eastAsia" w:ascii="宋体" w:hAnsi="宋体" w:cs="宋体"/>
          <w:sz w:val="52"/>
          <w:szCs w:val="52"/>
          <w:highlight w:val="none"/>
          <w:lang w:eastAsia="zh-CN"/>
        </w:rPr>
      </w:pPr>
    </w:p>
    <w:p w14:paraId="7A57F175">
      <w:pPr>
        <w:jc w:val="center"/>
        <w:outlineLvl w:val="0"/>
        <w:rPr>
          <w:highlight w:val="none"/>
        </w:rPr>
      </w:pPr>
      <w:r>
        <w:rPr>
          <w:rFonts w:hint="eastAsia" w:ascii="宋体" w:hAnsi="宋体" w:cs="宋体"/>
          <w:sz w:val="52"/>
          <w:szCs w:val="52"/>
          <w:highlight w:val="none"/>
          <w:lang w:eastAsia="zh-CN"/>
        </w:rPr>
        <w:t>2025年安全生产社会化服务项目</w:t>
      </w:r>
    </w:p>
    <w:p w14:paraId="40A34A56">
      <w:pPr>
        <w:pStyle w:val="14"/>
        <w:snapToGrid w:val="0"/>
        <w:spacing w:before="120" w:after="120" w:line="360" w:lineRule="auto"/>
        <w:jc w:val="center"/>
        <w:rPr>
          <w:rFonts w:hint="eastAsia" w:hAnsi="宋体" w:eastAsia="宋体" w:cs="宋体"/>
          <w:bCs/>
          <w:sz w:val="72"/>
          <w:szCs w:val="72"/>
          <w:highlight w:val="none"/>
          <w:lang w:val="en-US" w:eastAsia="zh-CN"/>
        </w:rPr>
      </w:pPr>
    </w:p>
    <w:p w14:paraId="00416C90">
      <w:pPr>
        <w:pStyle w:val="14"/>
        <w:snapToGrid w:val="0"/>
        <w:spacing w:before="120" w:after="120" w:line="360" w:lineRule="auto"/>
        <w:jc w:val="center"/>
        <w:rPr>
          <w:rFonts w:hint="eastAsia" w:hAnsi="宋体" w:eastAsia="宋体" w:cs="宋体"/>
          <w:bCs/>
          <w:sz w:val="72"/>
          <w:szCs w:val="72"/>
          <w:highlight w:val="none"/>
          <w:lang w:val="en-US" w:eastAsia="zh-CN"/>
        </w:rPr>
      </w:pPr>
    </w:p>
    <w:p w14:paraId="209D1867">
      <w:pPr>
        <w:pStyle w:val="14"/>
        <w:snapToGrid w:val="0"/>
        <w:spacing w:before="120" w:after="120" w:line="360" w:lineRule="auto"/>
        <w:jc w:val="center"/>
        <w:rPr>
          <w:rFonts w:hAnsi="宋体" w:eastAsia="宋体" w:cs="宋体"/>
          <w:b/>
          <w:sz w:val="72"/>
          <w:szCs w:val="72"/>
          <w:highlight w:val="none"/>
        </w:rPr>
      </w:pPr>
      <w:r>
        <w:rPr>
          <w:rFonts w:hint="eastAsia" w:hAnsi="宋体" w:eastAsia="宋体" w:cs="宋体"/>
          <w:bCs/>
          <w:sz w:val="72"/>
          <w:szCs w:val="72"/>
          <w:highlight w:val="none"/>
          <w:lang w:val="en-US" w:eastAsia="zh-CN"/>
        </w:rPr>
        <w:t>磋商</w:t>
      </w:r>
      <w:r>
        <w:rPr>
          <w:rFonts w:hint="eastAsia" w:hAnsi="宋体" w:eastAsia="宋体" w:cs="宋体"/>
          <w:bCs/>
          <w:sz w:val="72"/>
          <w:szCs w:val="72"/>
          <w:highlight w:val="none"/>
        </w:rPr>
        <w:t>文件</w:t>
      </w:r>
    </w:p>
    <w:p w14:paraId="5513042A">
      <w:pPr>
        <w:pStyle w:val="14"/>
        <w:snapToGrid w:val="0"/>
        <w:spacing w:before="120" w:after="120" w:line="360" w:lineRule="auto"/>
        <w:rPr>
          <w:rFonts w:hAnsi="宋体" w:eastAsia="宋体" w:cs="宋体"/>
          <w:b/>
          <w:sz w:val="24"/>
          <w:szCs w:val="24"/>
          <w:highlight w:val="none"/>
        </w:rPr>
      </w:pPr>
    </w:p>
    <w:p w14:paraId="3EE7BE8D">
      <w:pPr>
        <w:pStyle w:val="14"/>
        <w:snapToGrid w:val="0"/>
        <w:spacing w:before="120" w:after="120" w:line="360" w:lineRule="auto"/>
        <w:rPr>
          <w:rFonts w:hAnsi="宋体" w:eastAsia="宋体" w:cs="宋体"/>
          <w:b/>
          <w:sz w:val="24"/>
          <w:szCs w:val="24"/>
          <w:highlight w:val="none"/>
        </w:rPr>
      </w:pPr>
    </w:p>
    <w:p w14:paraId="2C293711">
      <w:pPr>
        <w:bidi w:val="0"/>
        <w:rPr>
          <w:highlight w:val="none"/>
        </w:rPr>
      </w:pPr>
    </w:p>
    <w:p w14:paraId="4486B288">
      <w:pPr>
        <w:pStyle w:val="10"/>
        <w:ind w:left="0" w:leftChars="0" w:firstLine="0" w:firstLineChars="0"/>
        <w:rPr>
          <w:highlight w:val="none"/>
        </w:rPr>
      </w:pPr>
    </w:p>
    <w:p w14:paraId="17293614">
      <w:pPr>
        <w:pStyle w:val="10"/>
        <w:ind w:left="0" w:leftChars="0" w:firstLine="0" w:firstLineChars="0"/>
        <w:rPr>
          <w:highlight w:val="none"/>
        </w:rPr>
      </w:pPr>
    </w:p>
    <w:p w14:paraId="48106D8C">
      <w:pPr>
        <w:pStyle w:val="74"/>
        <w:widowControl w:val="0"/>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项目编号：0773-2541GNZSFWCS1004</w:t>
      </w:r>
    </w:p>
    <w:p w14:paraId="75584ABB">
      <w:pPr>
        <w:spacing w:line="720" w:lineRule="auto"/>
        <w:ind w:left="0" w:leftChars="0" w:firstLine="1898" w:firstLineChars="678"/>
        <w:rPr>
          <w:rFonts w:hint="eastAsia" w:ascii="宋体" w:hAnsi="宋体" w:eastAsia="宋体" w:cs="宋体"/>
          <w:sz w:val="28"/>
          <w:szCs w:val="28"/>
          <w:highlight w:val="none"/>
          <w:lang w:eastAsia="zh-CN"/>
        </w:rPr>
      </w:pPr>
      <w:r>
        <w:rPr>
          <w:rFonts w:hint="eastAsia" w:ascii="宋体" w:hAnsi="宋体" w:cs="宋体"/>
          <w:sz w:val="28"/>
          <w:szCs w:val="28"/>
          <w:highlight w:val="none"/>
        </w:rPr>
        <w:t>项目名称：</w:t>
      </w:r>
      <w:r>
        <w:rPr>
          <w:rFonts w:hint="eastAsia" w:ascii="宋体" w:hAnsi="宋体" w:cs="宋体"/>
          <w:sz w:val="28"/>
          <w:szCs w:val="28"/>
          <w:highlight w:val="none"/>
          <w:lang w:eastAsia="zh-CN"/>
        </w:rPr>
        <w:t>2025年安全生产社会化服务项目</w:t>
      </w:r>
    </w:p>
    <w:p w14:paraId="6AB771DC">
      <w:pPr>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采 购 人：</w:t>
      </w:r>
      <w:r>
        <w:rPr>
          <w:rFonts w:hint="eastAsia" w:ascii="宋体" w:hAnsi="宋体" w:cs="宋体"/>
          <w:sz w:val="28"/>
          <w:szCs w:val="28"/>
          <w:highlight w:val="none"/>
          <w:lang w:eastAsia="zh-CN"/>
        </w:rPr>
        <w:t>舟山市普陀区东极镇人民政府</w:t>
      </w:r>
      <w:r>
        <w:rPr>
          <w:rFonts w:hint="eastAsia" w:ascii="宋体" w:hAnsi="宋体" w:cs="宋体"/>
          <w:sz w:val="28"/>
          <w:szCs w:val="28"/>
          <w:highlight w:val="none"/>
          <w:lang w:val="en-US" w:eastAsia="zh-CN"/>
        </w:rPr>
        <w:t>（</w:t>
      </w:r>
      <w:r>
        <w:rPr>
          <w:rFonts w:hint="eastAsia" w:ascii="宋体" w:hAnsi="宋体" w:cs="宋体"/>
          <w:sz w:val="28"/>
          <w:szCs w:val="28"/>
          <w:highlight w:val="none"/>
        </w:rPr>
        <w:t>盖章）</w:t>
      </w:r>
    </w:p>
    <w:p w14:paraId="0FF1A1A6">
      <w:pPr>
        <w:spacing w:line="720" w:lineRule="auto"/>
        <w:ind w:left="0" w:leftChars="0" w:firstLine="1898" w:firstLineChars="678"/>
        <w:rPr>
          <w:rFonts w:ascii="宋体" w:hAnsi="宋体" w:cs="宋体"/>
          <w:sz w:val="28"/>
          <w:szCs w:val="28"/>
          <w:highlight w:val="none"/>
        </w:rPr>
      </w:pPr>
      <w:r>
        <w:rPr>
          <w:rFonts w:hint="eastAsia" w:ascii="宋体" w:hAnsi="宋体" w:cs="宋体"/>
          <w:sz w:val="28"/>
          <w:szCs w:val="28"/>
          <w:highlight w:val="none"/>
        </w:rPr>
        <w:t>代理机构：中金招标有限责任公司（盖章）</w:t>
      </w:r>
    </w:p>
    <w:p w14:paraId="322B58BD">
      <w:pPr>
        <w:pStyle w:val="14"/>
        <w:spacing w:before="120" w:after="120" w:line="360" w:lineRule="auto"/>
        <w:ind w:left="0" w:leftChars="0" w:firstLine="1898" w:firstLineChars="678"/>
        <w:rPr>
          <w:rFonts w:hAnsi="宋体" w:eastAsia="宋体" w:cs="宋体"/>
          <w:sz w:val="24"/>
          <w:szCs w:val="24"/>
          <w:highlight w:val="none"/>
        </w:rPr>
      </w:pPr>
      <w:r>
        <w:rPr>
          <w:rFonts w:hint="eastAsia" w:hAnsi="宋体" w:eastAsia="宋体" w:cs="宋体"/>
          <w:bCs/>
          <w:sz w:val="28"/>
          <w:szCs w:val="28"/>
          <w:highlight w:val="none"/>
        </w:rPr>
        <w:t>日    期：二〇二</w:t>
      </w:r>
      <w:r>
        <w:rPr>
          <w:rFonts w:hint="eastAsia" w:hAnsi="宋体" w:eastAsia="宋体" w:cs="宋体"/>
          <w:bCs/>
          <w:sz w:val="28"/>
          <w:szCs w:val="28"/>
          <w:highlight w:val="none"/>
          <w:lang w:val="en-US" w:eastAsia="zh-CN"/>
        </w:rPr>
        <w:t>五</w:t>
      </w:r>
      <w:r>
        <w:rPr>
          <w:rFonts w:hint="eastAsia" w:hAnsi="宋体" w:eastAsia="宋体" w:cs="宋体"/>
          <w:bCs/>
          <w:sz w:val="28"/>
          <w:szCs w:val="28"/>
          <w:highlight w:val="none"/>
        </w:rPr>
        <w:t>年</w:t>
      </w:r>
      <w:r>
        <w:rPr>
          <w:rFonts w:hint="eastAsia" w:hAnsi="宋体" w:eastAsia="宋体" w:cs="宋体"/>
          <w:bCs/>
          <w:sz w:val="28"/>
          <w:szCs w:val="28"/>
          <w:highlight w:val="none"/>
          <w:lang w:val="en-US" w:eastAsia="zh-CN"/>
        </w:rPr>
        <w:t>七</w:t>
      </w:r>
      <w:r>
        <w:rPr>
          <w:rFonts w:hint="eastAsia" w:hAnsi="宋体" w:eastAsia="宋体" w:cs="宋体"/>
          <w:bCs/>
          <w:sz w:val="28"/>
          <w:szCs w:val="28"/>
          <w:highlight w:val="none"/>
        </w:rPr>
        <w:t>月</w:t>
      </w:r>
    </w:p>
    <w:p w14:paraId="0280CBC5">
      <w:pPr>
        <w:pStyle w:val="14"/>
        <w:spacing w:before="120" w:after="120" w:line="600" w:lineRule="auto"/>
        <w:jc w:val="both"/>
        <w:rPr>
          <w:rFonts w:hAnsi="宋体" w:eastAsia="宋体" w:cs="宋体"/>
          <w:sz w:val="36"/>
          <w:szCs w:val="36"/>
          <w:highlight w:val="none"/>
        </w:rPr>
        <w:sectPr>
          <w:headerReference r:id="rId4" w:type="first"/>
          <w:headerReference r:id="rId3" w:type="default"/>
          <w:pgSz w:w="11906" w:h="16838"/>
          <w:pgMar w:top="1531" w:right="992" w:bottom="737" w:left="992" w:header="851" w:footer="584" w:gutter="0"/>
          <w:pgBorders>
            <w:top w:val="none" w:sz="0" w:space="0"/>
            <w:left w:val="none" w:sz="0" w:space="0"/>
            <w:bottom w:val="none" w:sz="0" w:space="0"/>
            <w:right w:val="none" w:sz="0" w:space="0"/>
          </w:pgBorders>
          <w:pgNumType w:fmt="decimal"/>
          <w:cols w:space="720" w:num="1"/>
          <w:titlePg/>
          <w:docGrid w:type="lines" w:linePitch="312" w:charSpace="0"/>
        </w:sectPr>
      </w:pPr>
    </w:p>
    <w:p w14:paraId="1565F69D">
      <w:pPr>
        <w:pStyle w:val="14"/>
        <w:spacing w:before="120" w:after="120" w:line="600" w:lineRule="auto"/>
        <w:jc w:val="center"/>
        <w:rPr>
          <w:highlight w:val="none"/>
        </w:rPr>
      </w:pPr>
      <w:r>
        <w:rPr>
          <w:rFonts w:hint="eastAsia" w:hAnsi="宋体" w:eastAsia="宋体" w:cs="宋体"/>
          <w:sz w:val="36"/>
          <w:szCs w:val="36"/>
          <w:highlight w:val="none"/>
        </w:rPr>
        <w:t>目    录</w:t>
      </w:r>
    </w:p>
    <w:p w14:paraId="2DF81E75">
      <w:pPr>
        <w:spacing w:before="120" w:line="552" w:lineRule="auto"/>
        <w:ind w:firstLine="840" w:firstLineChars="300"/>
        <w:outlineLvl w:val="0"/>
        <w:rPr>
          <w:rFonts w:ascii="宋体" w:hAnsi="宋体" w:cs="宋体"/>
          <w:sz w:val="28"/>
          <w:szCs w:val="28"/>
          <w:highlight w:val="none"/>
        </w:rPr>
      </w:pPr>
      <w:bookmarkStart w:id="0" w:name="_Toc12110"/>
      <w:bookmarkStart w:id="1" w:name="_Toc2993"/>
      <w:bookmarkStart w:id="2" w:name="_Toc10864"/>
      <w:r>
        <w:rPr>
          <w:rFonts w:hint="eastAsia" w:ascii="宋体" w:hAnsi="宋体" w:cs="宋体"/>
          <w:sz w:val="28"/>
          <w:szCs w:val="28"/>
          <w:highlight w:val="none"/>
        </w:rPr>
        <w:t>第一章  竞争性磋商公告</w:t>
      </w:r>
      <w:bookmarkEnd w:id="0"/>
      <w:bookmarkEnd w:id="1"/>
      <w:bookmarkEnd w:id="2"/>
    </w:p>
    <w:p w14:paraId="35884C3F">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第二章  采购需求</w:t>
      </w:r>
    </w:p>
    <w:p w14:paraId="2ABE7C49">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第三章  响应人须知</w:t>
      </w:r>
    </w:p>
    <w:p w14:paraId="3B4DAC69">
      <w:pPr>
        <w:spacing w:before="120" w:line="552" w:lineRule="auto"/>
        <w:ind w:firstLine="1960" w:firstLineChars="700"/>
        <w:rPr>
          <w:rFonts w:ascii="宋体" w:hAnsi="宋体" w:cs="宋体"/>
          <w:sz w:val="28"/>
          <w:szCs w:val="28"/>
          <w:highlight w:val="none"/>
        </w:rPr>
      </w:pPr>
      <w:r>
        <w:rPr>
          <w:rFonts w:hint="eastAsia" w:ascii="宋体" w:hAnsi="宋体" w:cs="宋体"/>
          <w:sz w:val="28"/>
          <w:szCs w:val="28"/>
          <w:highlight w:val="none"/>
        </w:rPr>
        <w:t xml:space="preserve">前附表 </w:t>
      </w:r>
    </w:p>
    <w:p w14:paraId="0C7A8F00">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一、总 则</w:t>
      </w:r>
    </w:p>
    <w:p w14:paraId="6E93E2BD">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二、</w:t>
      </w:r>
      <w:r>
        <w:rPr>
          <w:rFonts w:hint="eastAsia" w:ascii="宋体" w:hAnsi="宋体" w:cs="宋体"/>
          <w:sz w:val="28"/>
          <w:szCs w:val="28"/>
          <w:highlight w:val="none"/>
          <w:lang w:val="en-US" w:eastAsia="zh-CN"/>
        </w:rPr>
        <w:t>磋商</w:t>
      </w:r>
      <w:r>
        <w:rPr>
          <w:rFonts w:hint="eastAsia" w:ascii="宋体" w:hAnsi="宋体" w:cs="宋体"/>
          <w:sz w:val="28"/>
          <w:szCs w:val="28"/>
          <w:highlight w:val="none"/>
        </w:rPr>
        <w:t>文件</w:t>
      </w:r>
    </w:p>
    <w:p w14:paraId="72A04C7B">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三、</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文件的编制</w:t>
      </w:r>
    </w:p>
    <w:p w14:paraId="65AFB78A">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四、开标</w:t>
      </w:r>
    </w:p>
    <w:p w14:paraId="28EB6717">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五、评标</w:t>
      </w:r>
    </w:p>
    <w:p w14:paraId="01C31582">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六、废标</w:t>
      </w:r>
    </w:p>
    <w:p w14:paraId="7632E103">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七、定标</w:t>
      </w:r>
    </w:p>
    <w:p w14:paraId="260A992E">
      <w:pPr>
        <w:spacing w:before="120" w:line="552" w:lineRule="auto"/>
        <w:ind w:firstLine="1400" w:firstLineChars="500"/>
        <w:rPr>
          <w:rFonts w:ascii="宋体" w:hAnsi="宋体" w:cs="宋体"/>
          <w:sz w:val="28"/>
          <w:szCs w:val="28"/>
          <w:highlight w:val="none"/>
        </w:rPr>
      </w:pPr>
      <w:r>
        <w:rPr>
          <w:rFonts w:hint="eastAsia" w:ascii="宋体" w:hAnsi="宋体" w:cs="宋体"/>
          <w:sz w:val="28"/>
          <w:szCs w:val="28"/>
          <w:highlight w:val="none"/>
        </w:rPr>
        <w:t>八、合同授予</w:t>
      </w:r>
    </w:p>
    <w:p w14:paraId="7F2F1343">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第四章  评标办法及标准</w:t>
      </w:r>
    </w:p>
    <w:p w14:paraId="13C53A4B">
      <w:pPr>
        <w:spacing w:before="120" w:line="552" w:lineRule="auto"/>
        <w:ind w:firstLine="840" w:firstLineChars="300"/>
        <w:rPr>
          <w:rFonts w:ascii="宋体" w:hAnsi="宋体" w:cs="宋体"/>
          <w:sz w:val="28"/>
          <w:szCs w:val="28"/>
          <w:highlight w:val="none"/>
        </w:rPr>
      </w:pPr>
      <w:r>
        <w:rPr>
          <w:rFonts w:hint="eastAsia" w:ascii="宋体" w:hAnsi="宋体" w:cs="宋体"/>
          <w:sz w:val="28"/>
          <w:szCs w:val="28"/>
          <w:highlight w:val="none"/>
        </w:rPr>
        <w:t>第五章  合同主要条款</w:t>
      </w:r>
    </w:p>
    <w:p w14:paraId="673D1720">
      <w:pPr>
        <w:spacing w:before="120" w:line="552" w:lineRule="auto"/>
        <w:ind w:firstLine="840" w:firstLineChars="300"/>
        <w:rPr>
          <w:rFonts w:hint="eastAsia" w:ascii="宋体" w:hAnsi="宋体" w:cs="宋体"/>
          <w:sz w:val="28"/>
          <w:szCs w:val="28"/>
          <w:highlight w:val="none"/>
        </w:rPr>
      </w:pPr>
      <w:r>
        <w:rPr>
          <w:rFonts w:hint="eastAsia" w:ascii="宋体" w:hAnsi="宋体" w:cs="宋体"/>
          <w:sz w:val="28"/>
          <w:szCs w:val="28"/>
          <w:highlight w:val="none"/>
        </w:rPr>
        <w:t xml:space="preserve">第六章  </w:t>
      </w:r>
      <w:r>
        <w:rPr>
          <w:rFonts w:hint="eastAsia" w:ascii="宋体" w:hAnsi="宋体" w:cs="宋体"/>
          <w:sz w:val="28"/>
          <w:szCs w:val="28"/>
          <w:highlight w:val="none"/>
          <w:lang w:val="en-US" w:eastAsia="zh-CN"/>
        </w:rPr>
        <w:t>响应</w:t>
      </w:r>
      <w:r>
        <w:rPr>
          <w:rFonts w:hint="eastAsia" w:ascii="宋体" w:hAnsi="宋体" w:cs="宋体"/>
          <w:sz w:val="28"/>
          <w:szCs w:val="28"/>
          <w:highlight w:val="none"/>
        </w:rPr>
        <w:t>文件组成</w:t>
      </w:r>
    </w:p>
    <w:sdt>
      <w:sdtPr>
        <w:rPr>
          <w:rFonts w:ascii="宋体" w:hAnsi="宋体" w:eastAsia="宋体" w:cs="Times New Roman"/>
          <w:kern w:val="2"/>
          <w:sz w:val="21"/>
          <w:highlight w:val="none"/>
          <w:lang w:val="en-US" w:eastAsia="zh-CN" w:bidi="ar-SA"/>
        </w:rPr>
        <w:id w:val="147480267"/>
        <w:showingPlcHdr/>
        <w15:color w:val="DBDBDB"/>
        <w:docPartObj>
          <w:docPartGallery w:val="Table of Contents"/>
          <w:docPartUnique/>
        </w:docPartObj>
      </w:sdtPr>
      <w:sdtEndPr>
        <w:rPr>
          <w:rFonts w:hint="eastAsia" w:ascii="宋体" w:hAnsi="宋体" w:eastAsia="宋体" w:cs="宋体"/>
          <w:kern w:val="2"/>
          <w:sz w:val="21"/>
          <w:szCs w:val="28"/>
          <w:highlight w:val="none"/>
          <w:lang w:val="en-US" w:eastAsia="zh-CN" w:bidi="ar-SA"/>
        </w:rPr>
      </w:sdtEndPr>
      <w:sdtContent>
        <w:p w14:paraId="626E5F35">
          <w:pPr>
            <w:rPr>
              <w:rFonts w:hint="eastAsia" w:ascii="宋体" w:hAnsi="宋体" w:cs="宋体"/>
              <w:b/>
              <w:sz w:val="28"/>
              <w:szCs w:val="28"/>
              <w:highlight w:val="none"/>
            </w:rPr>
          </w:pPr>
          <w:bookmarkStart w:id="3" w:name="OLE_LINK1"/>
          <w:r>
            <w:rPr>
              <w:rFonts w:hint="eastAsia" w:ascii="宋体" w:hAnsi="宋体" w:eastAsia="宋体" w:cs="Times New Roman"/>
              <w:kern w:val="2"/>
              <w:sz w:val="21"/>
              <w:highlight w:val="none"/>
              <w:lang w:val="en-US" w:eastAsia="zh-CN" w:bidi="ar-SA"/>
            </w:rPr>
            <w:t xml:space="preserve">     </w:t>
          </w:r>
        </w:p>
      </w:sdtContent>
    </w:sdt>
    <w:p w14:paraId="260A107C">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28"/>
          <w:szCs w:val="28"/>
          <w:highlight w:val="none"/>
        </w:rPr>
        <w:sectPr>
          <w:headerReference r:id="rId5" w:type="default"/>
          <w:footerReference r:id="rId6" w:type="default"/>
          <w:pgSz w:w="11906" w:h="16838"/>
          <w:pgMar w:top="1531" w:right="992" w:bottom="1531"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pPr>
      <w:bookmarkStart w:id="4" w:name="_Toc24947"/>
    </w:p>
    <w:p w14:paraId="782D730E">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ascii="宋体" w:hAnsi="宋体" w:cs="宋体"/>
          <w:b/>
          <w:sz w:val="28"/>
          <w:szCs w:val="28"/>
          <w:highlight w:val="none"/>
        </w:rPr>
      </w:pPr>
      <w:bookmarkStart w:id="5" w:name="_Toc24324"/>
      <w:bookmarkStart w:id="6" w:name="_Toc11181"/>
      <w:r>
        <w:rPr>
          <w:rFonts w:hint="eastAsia" w:ascii="宋体" w:hAnsi="宋体" w:cs="宋体"/>
          <w:b/>
          <w:sz w:val="28"/>
          <w:szCs w:val="28"/>
          <w:highlight w:val="none"/>
        </w:rPr>
        <w:t xml:space="preserve">第一章 </w:t>
      </w:r>
      <w:bookmarkStart w:id="7" w:name="OLE_LINK3"/>
      <w:r>
        <w:rPr>
          <w:rFonts w:hint="eastAsia" w:ascii="宋体" w:hAnsi="宋体" w:cs="宋体"/>
          <w:b/>
          <w:sz w:val="28"/>
          <w:szCs w:val="28"/>
          <w:highlight w:val="none"/>
        </w:rPr>
        <w:t xml:space="preserve"> </w:t>
      </w:r>
      <w:bookmarkStart w:id="8" w:name="OLE_LINK4"/>
      <w:bookmarkStart w:id="9" w:name="OLE_LINK2"/>
      <w:r>
        <w:rPr>
          <w:rFonts w:hint="eastAsia" w:ascii="宋体" w:hAnsi="宋体" w:cs="宋体"/>
          <w:b/>
          <w:sz w:val="28"/>
          <w:szCs w:val="28"/>
          <w:highlight w:val="none"/>
        </w:rPr>
        <w:t>竞争性磋商公告</w:t>
      </w:r>
      <w:bookmarkEnd w:id="4"/>
      <w:bookmarkEnd w:id="5"/>
      <w:bookmarkEnd w:id="6"/>
    </w:p>
    <w:bookmarkEnd w:id="3"/>
    <w:bookmarkEnd w:id="7"/>
    <w:bookmarkEnd w:id="8"/>
    <w:bookmarkEnd w:id="9"/>
    <w:tbl>
      <w:tblPr>
        <w:tblStyle w:val="29"/>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14:paraId="22E2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14:paraId="1442BC4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rPr>
              <w:t xml:space="preserve">项目概况    </w:t>
            </w:r>
          </w:p>
          <w:p w14:paraId="1CF7A72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sz w:val="24"/>
                <w:szCs w:val="24"/>
                <w:highlight w:val="none"/>
                <w:vertAlign w:val="baseline"/>
              </w:rPr>
            </w:pPr>
            <w:r>
              <w:rPr>
                <w:rFonts w:hint="eastAsia" w:ascii="宋体" w:hAnsi="宋体" w:eastAsia="宋体" w:cs="宋体"/>
                <w:b w:val="0"/>
                <w:bCs/>
                <w:sz w:val="24"/>
                <w:szCs w:val="24"/>
                <w:highlight w:val="none"/>
                <w:vertAlign w:val="baseline"/>
              </w:rPr>
              <w:t>2025年安全生产社会化服务项目采购项目的潜在供应商应在浙江政府采购网http://zfcg.czt.zj.gov.cn/（用“政采云”注册账号、密码登录系统后获取采购文件） 获取（下载）采购文件，并于2025年07月28日 09:00（北京时间）前提交（上传）响应文件</w:t>
            </w:r>
            <w:r>
              <w:rPr>
                <w:rFonts w:hint="eastAsia" w:ascii="宋体" w:hAnsi="宋体" w:eastAsia="宋体" w:cs="宋体"/>
                <w:b/>
                <w:sz w:val="24"/>
                <w:szCs w:val="24"/>
                <w:highlight w:val="none"/>
                <w:vertAlign w:val="baseline"/>
              </w:rPr>
              <w:t>。</w:t>
            </w:r>
          </w:p>
        </w:tc>
      </w:tr>
    </w:tbl>
    <w:p w14:paraId="5CFB2D38">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一、项目基本情况</w:t>
      </w:r>
    </w:p>
    <w:p w14:paraId="1002D2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项目编号：0773-2541GNZSFWCS1004      </w:t>
      </w:r>
    </w:p>
    <w:p w14:paraId="536940E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项目名称：2025年安全生产社会化服务项目      </w:t>
      </w:r>
    </w:p>
    <w:p w14:paraId="5AF81D7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采购方式：竞争性磋商      </w:t>
      </w:r>
    </w:p>
    <w:p w14:paraId="7496A40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预算金额（元）：479600      </w:t>
      </w:r>
    </w:p>
    <w:p w14:paraId="2DD2FE7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最高限价（元）：/ </w:t>
      </w:r>
    </w:p>
    <w:p w14:paraId="6C7F9A3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     </w:t>
      </w:r>
    </w:p>
    <w:p w14:paraId="73176E28">
      <w:pPr>
        <w:keepNext w:val="0"/>
        <w:keepLines w:val="0"/>
        <w:pageBreakBefore w:val="0"/>
        <w:widowControl/>
        <w:suppressLineNumbers w:val="0"/>
        <w:kinsoku/>
        <w:wordWrap/>
        <w:overflowPunct/>
        <w:topLinePunct w:val="0"/>
        <w:autoSpaceDE/>
        <w:autoSpaceDN/>
        <w:bidi w:val="0"/>
        <w:adjustRightInd/>
        <w:snapToGrid/>
        <w:spacing w:line="360" w:lineRule="auto"/>
        <w:ind w:left="0" w:firstLine="42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采购需求：        </w:t>
      </w:r>
    </w:p>
    <w:p w14:paraId="65673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数量：1          </w:t>
      </w:r>
    </w:p>
    <w:p w14:paraId="5F7694A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预算金额（元）：479600          </w:t>
      </w:r>
    </w:p>
    <w:p w14:paraId="6BC5837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单位：项          </w:t>
      </w:r>
    </w:p>
    <w:p w14:paraId="3A72146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简要规格描述：详见磋商文件          </w:t>
      </w:r>
    </w:p>
    <w:p w14:paraId="4CCC433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备注：          </w:t>
      </w:r>
    </w:p>
    <w:p w14:paraId="2A587EC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合同履约期限：标项 1，本项目自合同正式签署生效起，服务期1年。      </w:t>
      </w:r>
    </w:p>
    <w:p w14:paraId="1F9B000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本项目（否）接受联合体投标。      </w:t>
      </w:r>
    </w:p>
    <w:p w14:paraId="4B22EB47">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二、申请人的资格要求：</w:t>
      </w:r>
    </w:p>
    <w:p w14:paraId="78CB56C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1.满足《中华人民共和国政府采购法》第二十二条规定；未被“信用中国”（www.creditchina.gov.cn)、中国政府采购网（www.ccgp.gov.cn）列入失信被执行人、重大税收违法失信主体、政府采购严重违法失信行为记录名单。      </w:t>
      </w:r>
    </w:p>
    <w:p w14:paraId="40A02E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2.落实政府采购政策需满足的资格要求：标项1：供应商为中小企业      </w:t>
      </w:r>
    </w:p>
    <w:p w14:paraId="599C8C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3.本项目的特定资格要求：无      </w:t>
      </w:r>
    </w:p>
    <w:p w14:paraId="39D12FB4">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三、获取（下载）采购文件</w:t>
      </w:r>
    </w:p>
    <w:p w14:paraId="7D49267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时间：2025年07月15日至2025年07月28日，每天上午00:00至12:00，下午12:00至23:59（北京时间，线上获取法定节假日均可，线下获取文件法定节假日除外）      </w:t>
      </w:r>
    </w:p>
    <w:p w14:paraId="1118136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地点（网址）：浙江政府采购网http://zfcg.czt.zj.gov.cn/（用“政采云”注册账号、密码登录系统后获取采购文件）       </w:t>
      </w:r>
    </w:p>
    <w:p w14:paraId="0670251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14:paraId="25FE1ED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售价（元）：0      </w:t>
      </w:r>
    </w:p>
    <w:p w14:paraId="13304BBB">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四、响应文件提交（上传）</w:t>
      </w:r>
    </w:p>
    <w:p w14:paraId="43D440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截止时间：2025年07月28日 09:00（北京时间）</w:t>
      </w:r>
    </w:p>
    <w:p w14:paraId="47C85C9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地点（网址）：①本项目不要求供应商授权代表参加现场开标、开启投标文件活动。②投标人将加密的电子版投标文件于投标截止时间前上传到政采云系统中。③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许天天；联系方式：18857054665）。      </w:t>
      </w:r>
    </w:p>
    <w:p w14:paraId="1885D636">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五、响应文件开启</w:t>
      </w:r>
    </w:p>
    <w:p w14:paraId="662415A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开启时间： 2025年07月28日 09:00（北京时间）</w:t>
      </w:r>
    </w:p>
    <w:p w14:paraId="39E2ADC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地点（网址）：舟山市定海区海天大道998号中金招标四楼开标室      </w:t>
      </w:r>
    </w:p>
    <w:p w14:paraId="43874153">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六、公告期限</w:t>
      </w:r>
    </w:p>
    <w:p w14:paraId="761B314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自本公告发布之日起3个工作日。      </w:t>
      </w:r>
    </w:p>
    <w:p w14:paraId="4ADC164F">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七、其他补充事宜</w:t>
      </w:r>
    </w:p>
    <w:p w14:paraId="6A8AF08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0E1F50F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60FF301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681AD1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       </w:t>
      </w:r>
    </w:p>
    <w:p w14:paraId="688A3966">
      <w:pPr>
        <w:pStyle w:val="25"/>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60" w:lineRule="auto"/>
        <w:ind w:left="0" w:right="0"/>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八、凡对本次招标提出询问、质疑、投诉，请按以下方式联系</w:t>
      </w:r>
    </w:p>
    <w:p w14:paraId="475604C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1.采购人信息        </w:t>
      </w:r>
    </w:p>
    <w:p w14:paraId="338CCE1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名    称：舟山市普陀区东极镇人民政府        </w:t>
      </w:r>
    </w:p>
    <w:p w14:paraId="0E1AA87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地    址：浙江省舟山市普陀区东极镇东极村庙子湖岛中街山路1弄22</w:t>
      </w:r>
      <w:r>
        <w:rPr>
          <w:rFonts w:hint="eastAsia" w:cs="宋体"/>
          <w:i w:val="0"/>
          <w:iCs w:val="0"/>
          <w:caps w:val="0"/>
          <w:color w:val="000000"/>
          <w:spacing w:val="0"/>
          <w:sz w:val="24"/>
          <w:szCs w:val="24"/>
          <w:lang w:val="en-US" w:eastAsia="zh-CN"/>
        </w:rPr>
        <w:t>号</w:t>
      </w:r>
      <w:r>
        <w:rPr>
          <w:rFonts w:hint="eastAsia" w:ascii="宋体" w:hAnsi="宋体" w:eastAsia="宋体" w:cs="宋体"/>
          <w:i w:val="0"/>
          <w:iCs w:val="0"/>
          <w:caps w:val="0"/>
          <w:color w:val="000000"/>
          <w:spacing w:val="0"/>
          <w:sz w:val="24"/>
          <w:szCs w:val="24"/>
        </w:rPr>
        <w:t>     </w:t>
      </w:r>
    </w:p>
    <w:p w14:paraId="13B49F1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传    真：        </w:t>
      </w:r>
      <w:bookmarkStart w:id="158" w:name="_GoBack"/>
      <w:bookmarkEnd w:id="158"/>
    </w:p>
    <w:p w14:paraId="09A916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项目联系人（询问）：张喆恩        </w:t>
      </w:r>
    </w:p>
    <w:p w14:paraId="7CCF03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项目联系方式（询问）：18768095704         </w:t>
      </w:r>
    </w:p>
    <w:p w14:paraId="5290D5C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质疑联系人：王家辉        </w:t>
      </w:r>
    </w:p>
    <w:p w14:paraId="2A59124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质疑联系方式：13735028241        </w:t>
      </w:r>
    </w:p>
    <w:p w14:paraId="77480BF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2.采购代理机构信息        </w:t>
      </w:r>
    </w:p>
    <w:p w14:paraId="61C029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名    称：中金招标有限责任公司        </w:t>
      </w:r>
    </w:p>
    <w:p w14:paraId="6976E3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地    址：舟山市定海区海天大道998号四楼         </w:t>
      </w:r>
    </w:p>
    <w:p w14:paraId="54B994E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传    真：0580-2083003        </w:t>
      </w:r>
    </w:p>
    <w:p w14:paraId="3200D8D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项目联系人（询问）：许天天        </w:t>
      </w:r>
    </w:p>
    <w:p w14:paraId="5AF59C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项目联系方式（询问）：0580-2260620/18857054665          </w:t>
      </w:r>
    </w:p>
    <w:p w14:paraId="741BCCA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质疑联系人：蔡真鹏        </w:t>
      </w:r>
    </w:p>
    <w:p w14:paraId="1E11656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质疑联系方式：19106800108         </w:t>
      </w:r>
    </w:p>
    <w:p w14:paraId="415ACE0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3.</w:t>
      </w:r>
      <w:r>
        <w:rPr>
          <w:rStyle w:val="36"/>
          <w:rFonts w:hint="eastAsia" w:ascii="宋体" w:hAnsi="宋体" w:eastAsia="宋体" w:cs="宋体"/>
          <w:i w:val="0"/>
          <w:iCs w:val="0"/>
          <w:caps w:val="0"/>
          <w:color w:val="000000"/>
          <w:spacing w:val="0"/>
          <w:sz w:val="24"/>
          <w:szCs w:val="24"/>
        </w:rPr>
        <w:t>同级政府采购监督管理部门</w:t>
      </w:r>
    </w:p>
    <w:p w14:paraId="49FA700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名    称：舟山市普陀区财政局</w:t>
      </w:r>
    </w:p>
    <w:p w14:paraId="6A83E8D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地    址：舟山市普陀区东港街道昌正街169号东港商务中心3号楼</w:t>
      </w:r>
    </w:p>
    <w:p w14:paraId="0A6BD28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传    真：</w:t>
      </w:r>
    </w:p>
    <w:p w14:paraId="387E86D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联 系 人：徐女士</w:t>
      </w:r>
    </w:p>
    <w:p w14:paraId="723217A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监督投诉电话：0580-3062881 </w:t>
      </w:r>
    </w:p>
    <w:p w14:paraId="13116720">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54007978">
      <w:pPr>
        <w:pStyle w:val="25"/>
        <w:keepNext w:val="0"/>
        <w:keepLines w:val="0"/>
        <w:pageBreakBefore w:val="0"/>
        <w:widowControl/>
        <w:suppressLineNumbers w:val="0"/>
        <w:kinsoku/>
        <w:wordWrap/>
        <w:overflowPunct/>
        <w:topLinePunct w:val="0"/>
        <w:autoSpaceDE/>
        <w:autoSpaceDN/>
        <w:bidi w:val="0"/>
        <w:adjustRightInd/>
        <w:snapToGrid/>
        <w:spacing w:before="60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若对项目采购电子交易系统操作有疑问，可登录政采云（https://www.zcygov.cn/），点击右侧咨询小采，获取采小蜜智能服务管家帮助，或拨打政采云服务热线95763获取热线服务帮助。</w:t>
      </w:r>
    </w:p>
    <w:p w14:paraId="3F566C0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CA问题联系电话（人工）：汇信CA 400-888-4636；天谷CA 400-087-8198。</w:t>
      </w:r>
    </w:p>
    <w:p w14:paraId="7C12E25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sz w:val="24"/>
          <w:szCs w:val="24"/>
          <w:highlight w:val="none"/>
          <w:vertAlign w:val="baseline"/>
        </w:rPr>
      </w:pPr>
    </w:p>
    <w:p w14:paraId="743D01C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b/>
          <w:sz w:val="24"/>
          <w:szCs w:val="24"/>
          <w:highlight w:val="none"/>
        </w:rPr>
      </w:pPr>
      <w:r>
        <w:rPr>
          <w:rFonts w:hint="eastAsia" w:ascii="宋体" w:hAnsi="宋体" w:eastAsia="宋体" w:cs="宋体"/>
          <w:b w:val="0"/>
          <w:bCs/>
          <w:sz w:val="24"/>
          <w:szCs w:val="24"/>
          <w:highlight w:val="none"/>
          <w:vertAlign w:val="baseline"/>
        </w:rPr>
        <w:br w:type="page"/>
      </w:r>
      <w:bookmarkStart w:id="10" w:name="_Toc9708"/>
      <w:bookmarkStart w:id="11" w:name="_Toc10560"/>
      <w:bookmarkStart w:id="12" w:name="_Toc7238"/>
      <w:r>
        <w:rPr>
          <w:rFonts w:hint="eastAsia" w:ascii="宋体" w:hAnsi="宋体" w:eastAsia="宋体" w:cs="宋体"/>
          <w:b/>
          <w:sz w:val="24"/>
          <w:szCs w:val="24"/>
          <w:highlight w:val="none"/>
        </w:rPr>
        <w:t>第二章 采购需求</w:t>
      </w:r>
      <w:bookmarkEnd w:id="10"/>
      <w:bookmarkEnd w:id="11"/>
      <w:bookmarkEnd w:id="12"/>
      <w:bookmarkStart w:id="13" w:name="_Toc6305"/>
      <w:bookmarkStart w:id="14" w:name="_Toc15530"/>
      <w:bookmarkStart w:id="15" w:name="_Toc263083258"/>
      <w:bookmarkStart w:id="16" w:name="_Toc517442217"/>
      <w:bookmarkStart w:id="17" w:name="_Toc37423705"/>
    </w:p>
    <w:bookmarkEnd w:id="13"/>
    <w:bookmarkEnd w:id="14"/>
    <w:bookmarkEnd w:id="15"/>
    <w:bookmarkEnd w:id="16"/>
    <w:bookmarkEnd w:id="17"/>
    <w:p w14:paraId="43029D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bookmarkStart w:id="18" w:name="_Toc42261953"/>
    </w:p>
    <w:p w14:paraId="640FD5B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lang w:val="en-US" w:eastAsia="zh-CN"/>
        </w:rPr>
      </w:pPr>
      <w:bookmarkStart w:id="19" w:name="_Toc4634"/>
      <w:bookmarkStart w:id="20" w:name="_Toc5139"/>
      <w:r>
        <w:rPr>
          <w:rFonts w:hint="eastAsia" w:ascii="宋体" w:hAnsi="宋体" w:eastAsia="宋体" w:cs="宋体"/>
          <w:b/>
          <w:bCs/>
          <w:sz w:val="24"/>
          <w:szCs w:val="24"/>
          <w:highlight w:val="none"/>
          <w:lang w:val="en-US" w:eastAsia="zh-CN"/>
        </w:rPr>
        <w:t>一、项目背景</w:t>
      </w:r>
      <w:bookmarkEnd w:id="19"/>
      <w:bookmarkEnd w:id="20"/>
    </w:p>
    <w:p w14:paraId="7BA38D0A">
      <w:pPr>
        <w:spacing w:line="360" w:lineRule="auto"/>
        <w:ind w:firstLine="480" w:firstLineChars="200"/>
        <w:outlineLvl w:val="0"/>
        <w:rPr>
          <w:rFonts w:hint="eastAsia" w:ascii="宋体" w:hAnsi="宋体" w:eastAsia="宋体" w:cs="宋体"/>
          <w:b/>
          <w:bCs/>
          <w:sz w:val="24"/>
          <w:szCs w:val="24"/>
          <w:highlight w:val="none"/>
          <w:lang w:val="en-US" w:eastAsia="zh-CN"/>
        </w:rPr>
      </w:pPr>
      <w:r>
        <w:rPr>
          <w:rFonts w:hint="eastAsia" w:ascii="宋体" w:hAnsi="宋体"/>
          <w:sz w:val="24"/>
          <w:szCs w:val="24"/>
          <w:highlight w:val="none"/>
          <w:lang w:bidi="zh-CN"/>
        </w:rPr>
        <w:t>为贯彻落实《舟山市普陀区渔业安全专业委员会办公室关于印发渔业领域安全生产“春雷行动</w:t>
      </w:r>
      <w:r>
        <w:rPr>
          <w:rFonts w:hint="eastAsia" w:ascii="宋体" w:hAnsi="宋体"/>
          <w:sz w:val="24"/>
          <w:szCs w:val="24"/>
          <w:highlight w:val="none"/>
          <w:lang w:val="en-US" w:bidi="zh-CN"/>
        </w:rPr>
        <w:t>2025</w:t>
      </w:r>
      <w:r>
        <w:rPr>
          <w:rFonts w:hint="eastAsia" w:ascii="宋体" w:hAnsi="宋体"/>
          <w:sz w:val="24"/>
          <w:szCs w:val="24"/>
          <w:highlight w:val="none"/>
          <w:lang w:bidi="zh-CN"/>
        </w:rPr>
        <w:t>”方案的通知》（舟普渔安专办〔2025〕1</w:t>
      </w:r>
      <w:r>
        <w:rPr>
          <w:rFonts w:hint="eastAsia" w:ascii="宋体" w:hAnsi="宋体"/>
          <w:sz w:val="24"/>
          <w:szCs w:val="24"/>
          <w:highlight w:val="none"/>
          <w:lang w:val="en-US" w:bidi="zh-CN"/>
        </w:rPr>
        <w:t>0</w:t>
      </w:r>
      <w:r>
        <w:rPr>
          <w:rFonts w:hint="eastAsia" w:ascii="宋体" w:hAnsi="宋体"/>
          <w:sz w:val="24"/>
          <w:szCs w:val="24"/>
          <w:highlight w:val="none"/>
          <w:lang w:bidi="zh-CN"/>
        </w:rPr>
        <w:t xml:space="preserve"> 号）文件精神，关于构建渔船隐患“渔民自查、属地普查、部门监督、技术辅助”排查体系的指示部署，结合普陀渔业工作实际，向全社会公开采</w:t>
      </w:r>
      <w:r>
        <w:rPr>
          <w:rFonts w:hint="eastAsia" w:ascii="宋体" w:hAnsi="宋体" w:eastAsia="宋体" w:cs="Times New Roman"/>
          <w:sz w:val="24"/>
          <w:szCs w:val="24"/>
          <w:highlight w:val="none"/>
          <w:lang w:bidi="zh-CN"/>
        </w:rPr>
        <w:t>购</w:t>
      </w:r>
      <w:r>
        <w:rPr>
          <w:rFonts w:hint="eastAsia" w:ascii="宋体" w:hAnsi="宋体" w:eastAsia="宋体" w:cs="Times New Roman"/>
          <w:sz w:val="24"/>
          <w:szCs w:val="24"/>
          <w:highlight w:val="none"/>
          <w:lang w:val="en-US" w:eastAsia="zh-CN" w:bidi="zh-CN"/>
        </w:rPr>
        <w:t>2025年安全生产社会化服务项目</w:t>
      </w:r>
      <w:r>
        <w:rPr>
          <w:rFonts w:hint="eastAsia" w:ascii="宋体" w:hAnsi="宋体" w:eastAsia="宋体" w:cs="Times New Roman"/>
          <w:sz w:val="24"/>
          <w:szCs w:val="24"/>
          <w:highlight w:val="none"/>
          <w:lang w:bidi="zh-CN"/>
        </w:rPr>
        <w:t>。</w:t>
      </w:r>
    </w:p>
    <w:p w14:paraId="3B078FB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服务</w:t>
      </w:r>
      <w:r>
        <w:rPr>
          <w:rFonts w:hint="eastAsia" w:ascii="宋体" w:hAnsi="宋体" w:eastAsia="宋体" w:cs="宋体"/>
          <w:b/>
          <w:bCs/>
          <w:sz w:val="24"/>
          <w:szCs w:val="24"/>
          <w:highlight w:val="none"/>
          <w:lang w:val="en-US" w:eastAsia="zh-CN"/>
        </w:rPr>
        <w:t>内容及技术要求</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0"/>
        <w:gridCol w:w="3496"/>
      </w:tblGrid>
      <w:tr w14:paraId="1F58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5" w:type="pct"/>
            <w:noWrap w:val="0"/>
            <w:vAlign w:val="center"/>
          </w:tcPr>
          <w:p w14:paraId="2752E7B5">
            <w:pPr>
              <w:keepNext w:val="0"/>
              <w:keepLines w:val="0"/>
              <w:widowControl/>
              <w:suppressLineNumbers w:val="0"/>
              <w:jc w:val="center"/>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rPr>
              <w:t>渔船船长区间</w:t>
            </w:r>
          </w:p>
        </w:tc>
        <w:tc>
          <w:tcPr>
            <w:tcW w:w="1724" w:type="pct"/>
            <w:noWrap w:val="0"/>
            <w:vAlign w:val="center"/>
          </w:tcPr>
          <w:p w14:paraId="4B65F861">
            <w:pPr>
              <w:keepNext w:val="0"/>
              <w:keepLines w:val="0"/>
              <w:widowControl/>
              <w:suppressLineNumbers w:val="0"/>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rPr>
              <w:t>数量</w:t>
            </w:r>
            <w:r>
              <w:rPr>
                <w:rFonts w:hint="eastAsia" w:ascii="Times New Roman" w:hAnsi="Times New Roman" w:eastAsia="宋体" w:cs="Times New Roman"/>
                <w:sz w:val="24"/>
                <w:szCs w:val="24"/>
                <w:highlight w:val="none"/>
                <w:lang w:val="en-US" w:eastAsia="zh-CN"/>
              </w:rPr>
              <w:t>/单位</w:t>
            </w:r>
          </w:p>
        </w:tc>
      </w:tr>
      <w:tr w14:paraId="2895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5" w:type="pct"/>
            <w:noWrap w:val="0"/>
            <w:vAlign w:val="center"/>
          </w:tcPr>
          <w:p w14:paraId="41939298">
            <w:pPr>
              <w:keepNext w:val="0"/>
              <w:keepLines w:val="0"/>
              <w:widowControl/>
              <w:suppressLineNumbers w:val="0"/>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12≤船长L&lt;24</w:t>
            </w:r>
          </w:p>
        </w:tc>
        <w:tc>
          <w:tcPr>
            <w:tcW w:w="1724" w:type="pct"/>
            <w:noWrap w:val="0"/>
            <w:vAlign w:val="center"/>
          </w:tcPr>
          <w:p w14:paraId="173C83D4">
            <w:pPr>
              <w:keepNext w:val="0"/>
              <w:keepLines w:val="0"/>
              <w:widowControl/>
              <w:suppressLineNumbers w:val="0"/>
              <w:jc w:val="center"/>
              <w:rPr>
                <w:rFonts w:hint="default" w:ascii="Times New Roman" w:hAnsi="Times New Roman"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bidi="zh-CN"/>
              </w:rPr>
              <w:t>26</w:t>
            </w:r>
            <w:r>
              <w:rPr>
                <w:rFonts w:hint="eastAsia" w:ascii="Times New Roman" w:hAnsi="Times New Roman" w:eastAsia="宋体" w:cs="Times New Roman"/>
                <w:sz w:val="24"/>
                <w:szCs w:val="24"/>
                <w:highlight w:val="none"/>
                <w:lang w:val="en-US" w:eastAsia="zh-CN"/>
              </w:rPr>
              <w:t>艘</w:t>
            </w:r>
          </w:p>
        </w:tc>
      </w:tr>
      <w:tr w14:paraId="1845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5" w:type="pct"/>
            <w:noWrap w:val="0"/>
            <w:vAlign w:val="center"/>
          </w:tcPr>
          <w:p w14:paraId="374329F7">
            <w:pPr>
              <w:keepNext w:val="0"/>
              <w:keepLines w:val="0"/>
              <w:widowControl/>
              <w:suppressLineNumbers w:val="0"/>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船长L≥24</w:t>
            </w:r>
          </w:p>
        </w:tc>
        <w:tc>
          <w:tcPr>
            <w:tcW w:w="1724" w:type="pct"/>
            <w:noWrap w:val="0"/>
            <w:vAlign w:val="center"/>
          </w:tcPr>
          <w:p w14:paraId="43529D7F">
            <w:pPr>
              <w:keepNext w:val="0"/>
              <w:keepLines w:val="0"/>
              <w:widowControl/>
              <w:suppressLineNumbers w:val="0"/>
              <w:jc w:val="center"/>
              <w:rPr>
                <w:rFonts w:hint="default" w:ascii="Times New Roman" w:hAnsi="Times New Roman"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bidi="zh-CN"/>
              </w:rPr>
              <w:t>378</w:t>
            </w:r>
            <w:r>
              <w:rPr>
                <w:rFonts w:hint="eastAsia" w:ascii="Times New Roman" w:hAnsi="Times New Roman" w:eastAsia="宋体" w:cs="Times New Roman"/>
                <w:sz w:val="24"/>
                <w:szCs w:val="24"/>
                <w:highlight w:val="none"/>
                <w:lang w:val="en-US" w:eastAsia="zh-CN"/>
              </w:rPr>
              <w:t>艘</w:t>
            </w:r>
          </w:p>
        </w:tc>
      </w:tr>
    </w:tbl>
    <w:p w14:paraId="7AA24B56">
      <w:p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根据浙江省农业农村厅关于印发《渔船安全隐患排查整治工作方案》的通知附件中“渔船专业性隐患排查登记表”的内容要求，结合舟山市普陀区渔船实际情况，综合考虑制定下列隐患排查内容： </w:t>
      </w:r>
    </w:p>
    <w:p w14:paraId="7D3AC2D7">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渔船结构安全：船体外板是否严重变形；防火围蔽是否完整、防火门是否有效安装；防护保护装置是否有效安装等。 </w:t>
      </w:r>
    </w:p>
    <w:p w14:paraId="0DDBF553">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消防救生安全：逃生区域是否设置防护措施；厨房煤气瓶是否违规连接三通，摆放、设置不合理；燃气报警装置是否能正常使用；消防设备数量和类型是否与检验证书核准不一致；救生筏、救生衣、救生圈数量是否与检验证书核准不一致，救生衣灯、口哨等附件是否不齐全；逃生通道、逃生窗、安全出口是否被堵塞、占用，处于不畅通状态等。 </w:t>
      </w:r>
    </w:p>
    <w:p w14:paraId="4DAEF52C">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设备安全：通海阀，舷外阀及附件是否有效运行；轴舵系密封装置是否存在漏油漏水；馈电设备的开关，紧急切断及断路器是否有效配置；信号灯是否有效安装、配备。 </w:t>
      </w:r>
    </w:p>
    <w:p w14:paraId="4098C0D4">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电气安全；应急电源的配备、布置、接线等是否符合安全要求；是否存在电线私拉乱接，违规使用双绞线等情况。 </w:t>
      </w:r>
    </w:p>
    <w:p w14:paraId="409AFACD">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警报安全：通用报警及警铃、火灾报警、舱底水位报警、号笛等是否有效安装使用。 </w:t>
      </w:r>
    </w:p>
    <w:p w14:paraId="0DD3B670">
      <w:pPr>
        <w:numPr>
          <w:ilvl w:val="0"/>
          <w:numId w:val="2"/>
        </w:numPr>
        <w:spacing w:line="360" w:lineRule="auto"/>
        <w:ind w:firstLine="480" w:firstLineChars="200"/>
        <w:outlineLvl w:val="0"/>
        <w:rPr>
          <w:rFonts w:hint="eastAsia" w:ascii="宋体" w:hAnsi="宋体"/>
          <w:sz w:val="24"/>
          <w:szCs w:val="24"/>
          <w:highlight w:val="none"/>
          <w:lang w:bidi="zh-CN"/>
        </w:rPr>
      </w:pPr>
      <w:r>
        <w:rPr>
          <w:rFonts w:hint="eastAsia" w:ascii="宋体" w:hAnsi="宋体"/>
          <w:sz w:val="24"/>
          <w:szCs w:val="24"/>
          <w:highlight w:val="none"/>
          <w:lang w:bidi="zh-CN"/>
        </w:rPr>
        <w:t xml:space="preserve">通讯安全：应急无线示位标、应答器、双向甚高频无线电话等及其天线的是否有效安装和正常运行；甚高频（VHF）16 频道是否正常使用；AIS设备静态信息与证书不一致，MMSI码、船名号与证书是否一致，是否存在“一船多码”的情况。 </w:t>
      </w:r>
    </w:p>
    <w:p w14:paraId="0F0318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sz w:val="24"/>
          <w:szCs w:val="24"/>
          <w:highlight w:val="none"/>
          <w:lang w:val="en-US" w:bidi="zh-CN"/>
        </w:rPr>
        <w:t>7、</w:t>
      </w:r>
      <w:r>
        <w:rPr>
          <w:rFonts w:hint="eastAsia" w:ascii="宋体" w:hAnsi="宋体"/>
          <w:sz w:val="24"/>
          <w:szCs w:val="24"/>
          <w:highlight w:val="none"/>
          <w:lang w:bidi="zh-CN"/>
        </w:rPr>
        <w:t>应急安全：信号弹是否缺失。</w:t>
      </w:r>
    </w:p>
    <w:p w14:paraId="6A92C26F">
      <w:pPr>
        <w:widowControl/>
        <w:spacing w:line="360" w:lineRule="auto"/>
        <w:rPr>
          <w:rFonts w:hint="default" w:ascii="宋体" w:hAnsi="宋体" w:eastAsia="宋体" w:cs="宋体"/>
          <w:b/>
          <w:bCs/>
          <w:sz w:val="24"/>
          <w:szCs w:val="24"/>
          <w:highlight w:val="none"/>
          <w:lang w:val="en-US" w:eastAsia="zh-CN"/>
        </w:rPr>
      </w:pPr>
      <w:bookmarkStart w:id="21" w:name="_Toc16745"/>
      <w:bookmarkStart w:id="22" w:name="_Toc15818"/>
      <w:r>
        <w:rPr>
          <w:rFonts w:hint="eastAsia" w:ascii="宋体" w:hAnsi="宋体" w:eastAsia="宋体" w:cs="宋体"/>
          <w:b/>
          <w:bCs/>
          <w:sz w:val="24"/>
          <w:szCs w:val="24"/>
          <w:highlight w:val="none"/>
          <w:lang w:val="en-US" w:eastAsia="zh-CN"/>
        </w:rPr>
        <w:t>三、服务成果</w:t>
      </w:r>
    </w:p>
    <w:p w14:paraId="599F09DF">
      <w:pPr>
        <w:widowControl/>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通过渔船专业性隐患排查整治工作，全面治理各类渔船安全隐患，实现渔船检查覆盖率 100%、安全隐患整改率100%。提高渔民安全意识，健全渔船隐患排查治理长效机制，提高安全管理水平，坚决减少一般事故、遏制较大事故、杜绝重大以上事故的发生，促进普陀区渔船安全生产形势持续稳定好转。</w:t>
      </w:r>
    </w:p>
    <w:p w14:paraId="29CB0E54">
      <w:pPr>
        <w:widowControl/>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四、服务期限</w:t>
      </w:r>
    </w:p>
    <w:p w14:paraId="19CD3B09">
      <w:pPr>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cs="宋体"/>
          <w:sz w:val="24"/>
          <w:szCs w:val="24"/>
          <w:highlight w:val="none"/>
        </w:rPr>
        <w:t>本项目自合同正式签署生效起，服务期1年。</w:t>
      </w:r>
    </w:p>
    <w:p w14:paraId="13DE1951">
      <w:pPr>
        <w:widowControl/>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五、保密要求</w:t>
      </w:r>
    </w:p>
    <w:p w14:paraId="71678DDC">
      <w:pPr>
        <w:widowControl/>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没有</w:t>
      </w:r>
      <w:r>
        <w:rPr>
          <w:rFonts w:hint="eastAsia" w:ascii="宋体" w:hAnsi="宋体" w:cs="宋体"/>
          <w:b w:val="0"/>
          <w:bCs w:val="0"/>
          <w:sz w:val="24"/>
          <w:szCs w:val="24"/>
          <w:highlight w:val="none"/>
          <w:lang w:val="en-US" w:eastAsia="zh-CN"/>
        </w:rPr>
        <w:t>采购人</w:t>
      </w:r>
      <w:r>
        <w:rPr>
          <w:rFonts w:hint="eastAsia" w:ascii="宋体" w:hAnsi="宋体" w:eastAsia="宋体" w:cs="宋体"/>
          <w:b w:val="0"/>
          <w:bCs w:val="0"/>
          <w:sz w:val="24"/>
          <w:szCs w:val="24"/>
          <w:highlight w:val="none"/>
          <w:lang w:val="en-US" w:eastAsia="zh-CN"/>
        </w:rPr>
        <w:t>事先书面同意，</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人不得将由</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人提供的有关合同或任何合同条文、规格、计划、图纸、样品或其它资料提供给与履行本合同无关的任何其他人。即使向履行本合同有关的人员提供，也应注意保密并限于履行合同的必需范围。</w:t>
      </w:r>
    </w:p>
    <w:p w14:paraId="61A1F8D6">
      <w:pPr>
        <w:widowControl/>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建立严格的保密制度，</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人应当加强对工作人员的保密管理及保密知识教育；</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人承担与此有关的技术和数据资料的保密责任。</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人应保护</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人的知识产权，未经对方同意，不得对对方的资料及文件擅自修改、复制或向第三人转让或用于本合同项目外的项目。如发生以上情况，</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人承担一切由此引起的后果并承担赔偿责任。</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人擅自向第三方透露、公开本项目成果的，每发生一次，</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人应向</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人支付合同总价的30%的违约金，且</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人有权要求</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人立即停止相关行为和采取补救措施，并有权立即解除合同，</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人应返还</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人已支付的款项，并赔偿</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人全部损失。</w:t>
      </w:r>
    </w:p>
    <w:p w14:paraId="3CC8AB32">
      <w:pPr>
        <w:widowControl/>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人保证提供给</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人的工作报告书及其他资料不侵犯任何第三方的知识产权等权利，否则</w:t>
      </w:r>
      <w:r>
        <w:rPr>
          <w:rFonts w:hint="eastAsia" w:ascii="宋体" w:hAnsi="宋体" w:cs="宋体"/>
          <w:b w:val="0"/>
          <w:bCs w:val="0"/>
          <w:sz w:val="24"/>
          <w:szCs w:val="24"/>
          <w:highlight w:val="none"/>
          <w:lang w:val="en-US" w:eastAsia="zh-CN"/>
        </w:rPr>
        <w:t>成交</w:t>
      </w:r>
      <w:r>
        <w:rPr>
          <w:rFonts w:hint="eastAsia" w:ascii="宋体" w:hAnsi="宋体" w:eastAsia="宋体" w:cs="宋体"/>
          <w:b w:val="0"/>
          <w:bCs w:val="0"/>
          <w:sz w:val="24"/>
          <w:szCs w:val="24"/>
          <w:highlight w:val="none"/>
          <w:lang w:val="en-US" w:eastAsia="zh-CN"/>
        </w:rPr>
        <w:t>人承担全部责任（包括对</w:t>
      </w: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lang w:val="en-US" w:eastAsia="zh-CN"/>
        </w:rPr>
        <w:t>人造成的全部损失）。</w:t>
      </w:r>
    </w:p>
    <w:p w14:paraId="302B42BE">
      <w:pPr>
        <w:widowControl/>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六、其他要求</w:t>
      </w:r>
    </w:p>
    <w:p w14:paraId="04A87737">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1、由</w:t>
      </w:r>
      <w:r>
        <w:rPr>
          <w:rFonts w:hint="eastAsia" w:ascii="宋体" w:hAnsi="宋体" w:cs="宋体"/>
          <w:b w:val="0"/>
          <w:bCs w:val="0"/>
          <w:color w:val="000000"/>
          <w:sz w:val="24"/>
          <w:szCs w:val="24"/>
          <w:highlight w:val="none"/>
          <w:lang w:val="en-US" w:eastAsia="zh-CN"/>
        </w:rPr>
        <w:t>成交人</w:t>
      </w:r>
      <w:r>
        <w:rPr>
          <w:rFonts w:hint="eastAsia" w:ascii="宋体" w:hAnsi="宋体" w:eastAsia="宋体" w:cs="宋体"/>
          <w:b w:val="0"/>
          <w:bCs w:val="0"/>
          <w:color w:val="000000"/>
          <w:sz w:val="24"/>
          <w:szCs w:val="24"/>
          <w:highlight w:val="none"/>
          <w:lang w:val="en-US" w:eastAsia="zh-CN"/>
        </w:rPr>
        <w:t>负责所有与项目相关的服务等采购工作，并承担全部工作责任，其成果所有权归采购人所有。</w:t>
      </w:r>
    </w:p>
    <w:p w14:paraId="2FE4CAD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2、项目方案具体在实施前须报经采购人同意后方可执行，采购人有权修改</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人的项目实施方案，费用不再调整。</w:t>
      </w:r>
    </w:p>
    <w:p w14:paraId="3CDF215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3、本项目合同服务的质量、技术标准按最新的国家或专业标准执行。所有工作须满足本项目需要及</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人要求。</w:t>
      </w:r>
    </w:p>
    <w:p w14:paraId="4906C8B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4、强化安全意识、抓好安全生产，明确安全责任，杜绝事故发生，项目实施中发生安全及人身事故均由</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人负责处理，并承担全部责任和费用。</w:t>
      </w:r>
    </w:p>
    <w:p w14:paraId="743B8E19">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5、验收方式：</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人应于项目服务周期结束前向</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人提供渔船安全隐患排查成果资料。</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人按合同规定提供了符合</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人要求的渔船安全隐患排查成果资料，所有的技术资料和清单已向</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人提交并被接受，即为验收合格；若因</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人质量问题等导致验收不合格，</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人应及时予以处理，直至验收合格。若</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人向</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人提交渔船安全隐患排查所有的成果资料后二十个工作日内，</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人未提出存在质量问题需要处理的，则视为验收合格。</w:t>
      </w:r>
    </w:p>
    <w:p w14:paraId="09014D3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0" w:rightChars="0" w:firstLine="480" w:firstLineChars="200"/>
        <w:jc w:val="both"/>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6、</w:t>
      </w:r>
      <w:r>
        <w:rPr>
          <w:rFonts w:hint="eastAsia" w:ascii="宋体" w:hAnsi="宋体" w:cs="宋体"/>
          <w:b w:val="0"/>
          <w:bCs w:val="0"/>
          <w:color w:val="000000"/>
          <w:sz w:val="24"/>
          <w:szCs w:val="24"/>
          <w:highlight w:val="none"/>
          <w:lang w:val="en-US" w:eastAsia="zh-CN"/>
        </w:rPr>
        <w:t>成交</w:t>
      </w:r>
      <w:r>
        <w:rPr>
          <w:rFonts w:hint="eastAsia" w:ascii="宋体" w:hAnsi="宋体" w:eastAsia="宋体" w:cs="宋体"/>
          <w:b w:val="0"/>
          <w:bCs w:val="0"/>
          <w:color w:val="000000"/>
          <w:sz w:val="24"/>
          <w:szCs w:val="24"/>
          <w:highlight w:val="none"/>
          <w:lang w:val="en-US" w:eastAsia="zh-CN"/>
        </w:rPr>
        <w:t>人向</w:t>
      </w:r>
      <w:r>
        <w:rPr>
          <w:rFonts w:hint="eastAsia" w:ascii="宋体" w:hAnsi="宋体" w:cs="宋体"/>
          <w:b w:val="0"/>
          <w:bCs w:val="0"/>
          <w:color w:val="000000"/>
          <w:sz w:val="24"/>
          <w:szCs w:val="24"/>
          <w:highlight w:val="none"/>
          <w:lang w:val="en-US" w:eastAsia="zh-CN"/>
        </w:rPr>
        <w:t>采购</w:t>
      </w:r>
      <w:r>
        <w:rPr>
          <w:rFonts w:hint="eastAsia" w:ascii="宋体" w:hAnsi="宋体" w:eastAsia="宋体" w:cs="宋体"/>
          <w:b w:val="0"/>
          <w:bCs w:val="0"/>
          <w:color w:val="000000"/>
          <w:sz w:val="24"/>
          <w:szCs w:val="24"/>
          <w:highlight w:val="none"/>
          <w:lang w:val="en-US" w:eastAsia="zh-CN"/>
        </w:rPr>
        <w:t>人提供项目排查成果资料（成果资料祥见附表信息），并报送</w:t>
      </w:r>
      <w:r>
        <w:rPr>
          <w:rFonts w:hint="eastAsia" w:ascii="宋体" w:hAnsi="宋体" w:cs="宋体"/>
          <w:b w:val="0"/>
          <w:bCs w:val="0"/>
          <w:color w:val="000000"/>
          <w:sz w:val="24"/>
          <w:szCs w:val="24"/>
          <w:highlight w:val="none"/>
          <w:lang w:val="en-US" w:eastAsia="zh-CN"/>
        </w:rPr>
        <w:t>采购人</w:t>
      </w:r>
      <w:r>
        <w:rPr>
          <w:rFonts w:hint="eastAsia" w:ascii="宋体" w:hAnsi="宋体" w:eastAsia="宋体" w:cs="宋体"/>
          <w:b w:val="0"/>
          <w:bCs w:val="0"/>
          <w:color w:val="000000"/>
          <w:sz w:val="24"/>
          <w:szCs w:val="24"/>
          <w:highlight w:val="none"/>
          <w:lang w:val="en-US" w:eastAsia="zh-CN"/>
        </w:rPr>
        <w:t>留存。</w:t>
      </w:r>
      <w:bookmarkEnd w:id="21"/>
      <w:bookmarkEnd w:id="22"/>
    </w:p>
    <w:p w14:paraId="7F8E845A">
      <w:pPr>
        <w:widowControl/>
        <w:spacing w:line="360" w:lineRule="auto"/>
        <w:rPr>
          <w:rFonts w:hint="eastAsia" w:ascii="宋体" w:hAnsi="宋体" w:eastAsia="宋体" w:cs="宋体"/>
          <w:b/>
          <w:bCs/>
          <w:sz w:val="24"/>
          <w:szCs w:val="24"/>
          <w:highlight w:val="none"/>
          <w:lang w:val="en-US" w:eastAsia="zh-CN"/>
        </w:rPr>
      </w:pPr>
      <w:bookmarkStart w:id="23" w:name="_Toc11934"/>
      <w:bookmarkStart w:id="24" w:name="_Toc15432"/>
      <w:r>
        <w:rPr>
          <w:rFonts w:hint="eastAsia" w:ascii="宋体" w:hAnsi="宋体" w:eastAsia="宋体" w:cs="宋体"/>
          <w:b/>
          <w:bCs/>
          <w:sz w:val="24"/>
          <w:szCs w:val="24"/>
          <w:highlight w:val="none"/>
          <w:lang w:val="en-US" w:eastAsia="zh-CN"/>
        </w:rPr>
        <w:t>七、支付方式</w:t>
      </w:r>
    </w:p>
    <w:p w14:paraId="0641C26D">
      <w:pPr>
        <w:spacing w:line="360" w:lineRule="auto"/>
        <w:ind w:firstLine="480" w:firstLineChars="200"/>
        <w:rPr>
          <w:rFonts w:hint="eastAsia" w:ascii="宋体" w:hAnsi="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合同签订后七个工作日内支付合同总金额的50%；服务期满后7个工作日内，支付剩余合同款项。</w:t>
      </w:r>
    </w:p>
    <w:p w14:paraId="01830CE5">
      <w:pPr>
        <w:pStyle w:val="10"/>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textAlignment w:val="auto"/>
        <w:outlineLvl w:val="1"/>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lang w:val="en-US" w:eastAsia="zh-CN"/>
        </w:rPr>
        <w:t>、其他</w:t>
      </w:r>
      <w:bookmarkEnd w:id="23"/>
      <w:bookmarkEnd w:id="24"/>
    </w:p>
    <w:p w14:paraId="20EEC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、采购人认为</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人提供的产品和服务不能满足需求，可否决、终止本次采购。</w:t>
      </w:r>
    </w:p>
    <w:p w14:paraId="4D2B744E">
      <w:pPr>
        <w:pStyle w:val="10"/>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、采购人有权对</w:t>
      </w:r>
      <w:r>
        <w:rPr>
          <w:rFonts w:hint="eastAsia" w:ascii="宋体" w:hAnsi="宋体" w:cs="宋体"/>
          <w:sz w:val="24"/>
          <w:szCs w:val="24"/>
          <w:highlight w:val="none"/>
          <w:lang w:val="en-US" w:eastAsia="zh-CN"/>
        </w:rPr>
        <w:t>投标</w:t>
      </w:r>
      <w:r>
        <w:rPr>
          <w:rFonts w:hint="eastAsia" w:ascii="宋体" w:hAnsi="宋体" w:eastAsia="宋体" w:cs="宋体"/>
          <w:color w:val="auto"/>
          <w:sz w:val="24"/>
          <w:szCs w:val="24"/>
          <w:highlight w:val="none"/>
        </w:rPr>
        <w:t>人在服务过程中的情况进行相应的考核，考核结果不符合要求的，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有权取消</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人的中标资格。</w:t>
      </w:r>
    </w:p>
    <w:bookmarkEnd w:id="18"/>
    <w:p w14:paraId="5B06C95A">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p>
    <w:p w14:paraId="5A782942">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9"/>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附表</w:t>
      </w:r>
    </w:p>
    <w:tbl>
      <w:tblPr>
        <w:tblStyle w:val="28"/>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4538"/>
        <w:gridCol w:w="1052"/>
        <w:gridCol w:w="2548"/>
        <w:gridCol w:w="1243"/>
      </w:tblGrid>
      <w:tr w14:paraId="0A0F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3" w:type="pct"/>
            <w:noWrap w:val="0"/>
            <w:vAlign w:val="center"/>
          </w:tcPr>
          <w:p w14:paraId="769E0BD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序号</w:t>
            </w:r>
          </w:p>
        </w:tc>
        <w:tc>
          <w:tcPr>
            <w:tcW w:w="2242" w:type="pct"/>
            <w:noWrap w:val="0"/>
            <w:vAlign w:val="center"/>
          </w:tcPr>
          <w:p w14:paraId="1593BADE">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资料及文件名称</w:t>
            </w:r>
          </w:p>
        </w:tc>
        <w:tc>
          <w:tcPr>
            <w:tcW w:w="520" w:type="pct"/>
            <w:noWrap w:val="0"/>
            <w:vAlign w:val="center"/>
          </w:tcPr>
          <w:p w14:paraId="73F49109">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份数</w:t>
            </w:r>
          </w:p>
        </w:tc>
        <w:tc>
          <w:tcPr>
            <w:tcW w:w="1259" w:type="pct"/>
            <w:noWrap w:val="0"/>
            <w:vAlign w:val="center"/>
          </w:tcPr>
          <w:p w14:paraId="1FA1484B">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提交日期</w:t>
            </w:r>
          </w:p>
        </w:tc>
        <w:tc>
          <w:tcPr>
            <w:tcW w:w="614" w:type="pct"/>
            <w:noWrap w:val="0"/>
            <w:vAlign w:val="center"/>
          </w:tcPr>
          <w:p w14:paraId="0533A87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有关事宜</w:t>
            </w:r>
          </w:p>
        </w:tc>
      </w:tr>
      <w:tr w14:paraId="569D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3" w:type="pct"/>
            <w:noWrap w:val="0"/>
            <w:vAlign w:val="center"/>
          </w:tcPr>
          <w:p w14:paraId="040D1281">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1</w:t>
            </w:r>
          </w:p>
        </w:tc>
        <w:tc>
          <w:tcPr>
            <w:tcW w:w="2242" w:type="pct"/>
            <w:noWrap w:val="0"/>
            <w:vAlign w:val="center"/>
          </w:tcPr>
          <w:p w14:paraId="23488178">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渔船安全隐患排查遗留项目告知单</w:t>
            </w:r>
          </w:p>
        </w:tc>
        <w:tc>
          <w:tcPr>
            <w:tcW w:w="520" w:type="pct"/>
            <w:noWrap w:val="0"/>
            <w:vAlign w:val="center"/>
          </w:tcPr>
          <w:p w14:paraId="4F2D32B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1份/艘</w:t>
            </w:r>
          </w:p>
        </w:tc>
        <w:tc>
          <w:tcPr>
            <w:tcW w:w="1259" w:type="pct"/>
            <w:noWrap w:val="0"/>
            <w:vAlign w:val="center"/>
          </w:tcPr>
          <w:p w14:paraId="39DDACA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现场排查结束后</w:t>
            </w:r>
          </w:p>
        </w:tc>
        <w:tc>
          <w:tcPr>
            <w:tcW w:w="614" w:type="pct"/>
            <w:noWrap w:val="0"/>
            <w:vAlign w:val="center"/>
          </w:tcPr>
          <w:p w14:paraId="0AA611FB">
            <w:pPr>
              <w:spacing w:line="400" w:lineRule="atLeast"/>
              <w:jc w:val="center"/>
              <w:rPr>
                <w:rFonts w:hint="eastAsia" w:ascii="宋体" w:hAnsi="宋体" w:eastAsia="宋体" w:cs="宋体"/>
                <w:color w:val="auto"/>
                <w:sz w:val="24"/>
                <w:szCs w:val="24"/>
                <w:highlight w:val="none"/>
              </w:rPr>
            </w:pPr>
          </w:p>
        </w:tc>
      </w:tr>
      <w:tr w14:paraId="20F1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3" w:type="pct"/>
            <w:noWrap w:val="0"/>
            <w:vAlign w:val="center"/>
          </w:tcPr>
          <w:p w14:paraId="41B2F4CE">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2</w:t>
            </w:r>
          </w:p>
        </w:tc>
        <w:tc>
          <w:tcPr>
            <w:tcW w:w="2242" w:type="pct"/>
            <w:noWrap w:val="0"/>
            <w:vAlign w:val="center"/>
          </w:tcPr>
          <w:p w14:paraId="638A9A70">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渔船安全隐患排查问题记录汇总（纸质）</w:t>
            </w:r>
          </w:p>
        </w:tc>
        <w:tc>
          <w:tcPr>
            <w:tcW w:w="520" w:type="pct"/>
            <w:noWrap w:val="0"/>
            <w:vAlign w:val="center"/>
          </w:tcPr>
          <w:p w14:paraId="34BE1411">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1份</w:t>
            </w:r>
          </w:p>
        </w:tc>
        <w:tc>
          <w:tcPr>
            <w:tcW w:w="1259" w:type="pct"/>
            <w:noWrap w:val="0"/>
            <w:vAlign w:val="center"/>
          </w:tcPr>
          <w:p w14:paraId="433B438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全部渔船排查完成后</w:t>
            </w:r>
          </w:p>
        </w:tc>
        <w:tc>
          <w:tcPr>
            <w:tcW w:w="614" w:type="pct"/>
            <w:noWrap w:val="0"/>
            <w:vAlign w:val="center"/>
          </w:tcPr>
          <w:p w14:paraId="1FBDCCFC">
            <w:pPr>
              <w:spacing w:line="400" w:lineRule="atLeast"/>
              <w:jc w:val="center"/>
              <w:rPr>
                <w:rFonts w:hint="eastAsia" w:ascii="宋体" w:hAnsi="宋体" w:eastAsia="宋体" w:cs="宋体"/>
                <w:color w:val="auto"/>
                <w:sz w:val="24"/>
                <w:szCs w:val="24"/>
                <w:highlight w:val="none"/>
              </w:rPr>
            </w:pPr>
          </w:p>
        </w:tc>
      </w:tr>
      <w:tr w14:paraId="3EB4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3" w:type="pct"/>
            <w:noWrap w:val="0"/>
            <w:vAlign w:val="center"/>
          </w:tcPr>
          <w:p w14:paraId="1AC2D0B2">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3</w:t>
            </w:r>
          </w:p>
        </w:tc>
        <w:tc>
          <w:tcPr>
            <w:tcW w:w="2242" w:type="pct"/>
            <w:noWrap w:val="0"/>
            <w:vAlign w:val="center"/>
          </w:tcPr>
          <w:p w14:paraId="00CB40D4">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渔船安全隐患排查档案材料（电子版）</w:t>
            </w:r>
          </w:p>
        </w:tc>
        <w:tc>
          <w:tcPr>
            <w:tcW w:w="520" w:type="pct"/>
            <w:noWrap w:val="0"/>
            <w:vAlign w:val="center"/>
          </w:tcPr>
          <w:p w14:paraId="7ECE37C1">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1份/艘</w:t>
            </w:r>
          </w:p>
        </w:tc>
        <w:tc>
          <w:tcPr>
            <w:tcW w:w="1259" w:type="pct"/>
            <w:noWrap w:val="0"/>
            <w:vAlign w:val="center"/>
          </w:tcPr>
          <w:p w14:paraId="04A82C1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全部渔船排查完成后</w:t>
            </w:r>
          </w:p>
        </w:tc>
        <w:tc>
          <w:tcPr>
            <w:tcW w:w="614" w:type="pct"/>
            <w:noWrap w:val="0"/>
            <w:vAlign w:val="center"/>
          </w:tcPr>
          <w:p w14:paraId="10633EDB">
            <w:pPr>
              <w:spacing w:line="400" w:lineRule="atLeast"/>
              <w:jc w:val="center"/>
              <w:rPr>
                <w:rFonts w:hint="eastAsia" w:ascii="宋体" w:hAnsi="宋体" w:eastAsia="宋体" w:cs="宋体"/>
                <w:color w:val="auto"/>
                <w:sz w:val="24"/>
                <w:szCs w:val="24"/>
                <w:highlight w:val="none"/>
              </w:rPr>
            </w:pPr>
          </w:p>
        </w:tc>
      </w:tr>
      <w:tr w14:paraId="0D4D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63" w:type="pct"/>
            <w:noWrap w:val="0"/>
            <w:vAlign w:val="center"/>
          </w:tcPr>
          <w:p w14:paraId="151623FF">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4</w:t>
            </w:r>
          </w:p>
        </w:tc>
        <w:tc>
          <w:tcPr>
            <w:tcW w:w="2242" w:type="pct"/>
            <w:noWrap w:val="0"/>
            <w:vAlign w:val="center"/>
          </w:tcPr>
          <w:p w14:paraId="361EE852">
            <w:pPr>
              <w:spacing w:line="400" w:lineRule="atLeast"/>
              <w:jc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渔船安全隐患排查照片及视频</w:t>
            </w:r>
          </w:p>
        </w:tc>
        <w:tc>
          <w:tcPr>
            <w:tcW w:w="520" w:type="pct"/>
            <w:noWrap w:val="0"/>
            <w:vAlign w:val="center"/>
          </w:tcPr>
          <w:p w14:paraId="19480313">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1份/艘</w:t>
            </w:r>
          </w:p>
        </w:tc>
        <w:tc>
          <w:tcPr>
            <w:tcW w:w="1259" w:type="pct"/>
            <w:noWrap w:val="0"/>
            <w:vAlign w:val="center"/>
          </w:tcPr>
          <w:p w14:paraId="100D081E">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全部渔船排查完成后</w:t>
            </w:r>
          </w:p>
        </w:tc>
        <w:tc>
          <w:tcPr>
            <w:tcW w:w="614" w:type="pct"/>
            <w:noWrap w:val="0"/>
            <w:vAlign w:val="center"/>
          </w:tcPr>
          <w:p w14:paraId="4167B506">
            <w:pPr>
              <w:spacing w:line="400" w:lineRule="atLeast"/>
              <w:jc w:val="center"/>
              <w:rPr>
                <w:rFonts w:hint="eastAsia" w:ascii="宋体" w:hAnsi="宋体" w:eastAsia="宋体" w:cs="宋体"/>
                <w:color w:val="auto"/>
                <w:sz w:val="24"/>
                <w:szCs w:val="24"/>
                <w:highlight w:val="none"/>
              </w:rPr>
            </w:pPr>
          </w:p>
        </w:tc>
      </w:tr>
    </w:tbl>
    <w:p w14:paraId="63C13C73">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outlineLvl w:val="9"/>
        <w:rPr>
          <w:rFonts w:hint="eastAsia" w:ascii="宋体" w:hAnsi="宋体" w:cs="宋体"/>
          <w:b/>
          <w:sz w:val="28"/>
          <w:szCs w:val="28"/>
          <w:highlight w:val="none"/>
        </w:rPr>
      </w:pPr>
      <w:r>
        <w:rPr>
          <w:rFonts w:hint="eastAsia" w:ascii="宋体" w:hAnsi="宋体" w:cs="宋体"/>
          <w:b/>
          <w:sz w:val="28"/>
          <w:szCs w:val="28"/>
          <w:highlight w:val="none"/>
        </w:rPr>
        <w:br w:type="page"/>
      </w:r>
    </w:p>
    <w:p w14:paraId="6CC9A954">
      <w:pPr>
        <w:pageBreakBefore w:val="0"/>
        <w:kinsoku/>
        <w:wordWrap/>
        <w:overflowPunct/>
        <w:topLinePunct w:val="0"/>
        <w:bidi w:val="0"/>
        <w:spacing w:line="360" w:lineRule="auto"/>
        <w:jc w:val="center"/>
        <w:outlineLvl w:val="0"/>
        <w:rPr>
          <w:rFonts w:ascii="宋体" w:hAnsi="宋体" w:cs="宋体"/>
          <w:b/>
          <w:sz w:val="28"/>
          <w:szCs w:val="28"/>
          <w:highlight w:val="none"/>
        </w:rPr>
      </w:pPr>
      <w:bookmarkStart w:id="25" w:name="_Toc6753"/>
      <w:bookmarkStart w:id="26" w:name="_Toc28753"/>
      <w:bookmarkStart w:id="27" w:name="_Toc9097"/>
      <w:r>
        <w:rPr>
          <w:rFonts w:hint="eastAsia" w:ascii="宋体" w:hAnsi="宋体" w:cs="宋体"/>
          <w:b/>
          <w:sz w:val="28"/>
          <w:szCs w:val="28"/>
          <w:highlight w:val="none"/>
        </w:rPr>
        <w:t>第三章  响应人须知</w:t>
      </w:r>
      <w:bookmarkEnd w:id="25"/>
      <w:bookmarkEnd w:id="26"/>
      <w:bookmarkEnd w:id="27"/>
    </w:p>
    <w:p w14:paraId="42C20C24">
      <w:pPr>
        <w:pageBreakBefore w:val="0"/>
        <w:kinsoku/>
        <w:wordWrap/>
        <w:overflowPunct/>
        <w:topLinePunct w:val="0"/>
        <w:bidi w:val="0"/>
        <w:snapToGrid w:val="0"/>
        <w:spacing w:line="360" w:lineRule="auto"/>
        <w:jc w:val="center"/>
        <w:outlineLvl w:val="1"/>
        <w:rPr>
          <w:rFonts w:hint="eastAsia" w:ascii="宋体" w:hAnsi="宋体" w:eastAsia="宋体" w:cs="宋体"/>
          <w:sz w:val="24"/>
          <w:szCs w:val="24"/>
          <w:highlight w:val="none"/>
        </w:rPr>
      </w:pPr>
      <w:bookmarkStart w:id="28" w:name="_Toc1668"/>
      <w:bookmarkStart w:id="29" w:name="_Toc10275"/>
      <w:r>
        <w:rPr>
          <w:rFonts w:hint="eastAsia" w:ascii="宋体" w:hAnsi="宋体" w:eastAsia="宋体" w:cs="宋体"/>
          <w:b/>
          <w:sz w:val="24"/>
          <w:szCs w:val="24"/>
          <w:highlight w:val="none"/>
        </w:rPr>
        <w:t>前附表</w:t>
      </w:r>
      <w:bookmarkEnd w:id="28"/>
      <w:bookmarkEnd w:id="29"/>
    </w:p>
    <w:tbl>
      <w:tblPr>
        <w:tblStyle w:val="28"/>
        <w:tblW w:w="4999"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40"/>
        <w:gridCol w:w="1566"/>
        <w:gridCol w:w="7792"/>
      </w:tblGrid>
      <w:tr w14:paraId="544A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4201013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668" w:type="pct"/>
            <w:gridSpan w:val="2"/>
            <w:shd w:val="clear" w:color="auto" w:fill="D7D7D7" w:themeFill="background1" w:themeFillShade="D8"/>
            <w:vAlign w:val="center"/>
          </w:tcPr>
          <w:p w14:paraId="302DEAC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内容说明及要求</w:t>
            </w:r>
          </w:p>
        </w:tc>
      </w:tr>
      <w:tr w14:paraId="43B7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7379BC6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p>
        </w:tc>
        <w:tc>
          <w:tcPr>
            <w:tcW w:w="777" w:type="pct"/>
            <w:shd w:val="clear" w:color="auto" w:fill="D7D7D7" w:themeFill="background1" w:themeFillShade="D8"/>
            <w:vAlign w:val="center"/>
          </w:tcPr>
          <w:p w14:paraId="56AD378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项目名称</w:t>
            </w:r>
          </w:p>
        </w:tc>
        <w:tc>
          <w:tcPr>
            <w:tcW w:w="3884" w:type="pct"/>
            <w:shd w:val="clear" w:color="auto" w:fill="auto"/>
            <w:vAlign w:val="center"/>
          </w:tcPr>
          <w:p w14:paraId="12BA0CE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eastAsia="zh-CN"/>
              </w:rPr>
              <w:t>2025年安全生产社会化服务项目</w:t>
            </w:r>
          </w:p>
        </w:tc>
      </w:tr>
      <w:tr w14:paraId="3FB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7AF7D95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p>
        </w:tc>
        <w:tc>
          <w:tcPr>
            <w:tcW w:w="777" w:type="pct"/>
            <w:shd w:val="clear" w:color="auto" w:fill="D7D7D7" w:themeFill="background1" w:themeFillShade="D8"/>
            <w:vAlign w:val="center"/>
          </w:tcPr>
          <w:p w14:paraId="3693364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采购人名称</w:t>
            </w:r>
          </w:p>
        </w:tc>
        <w:tc>
          <w:tcPr>
            <w:tcW w:w="3884" w:type="pct"/>
            <w:shd w:val="clear" w:color="auto" w:fill="auto"/>
            <w:vAlign w:val="center"/>
          </w:tcPr>
          <w:p w14:paraId="27F7D00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舟山市普陀区东极镇人民政府</w:t>
            </w:r>
          </w:p>
        </w:tc>
      </w:tr>
      <w:tr w14:paraId="7CB8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21C2BE2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3</w:t>
            </w:r>
          </w:p>
        </w:tc>
        <w:tc>
          <w:tcPr>
            <w:tcW w:w="777" w:type="pct"/>
            <w:shd w:val="clear" w:color="auto" w:fill="D7D7D7" w:themeFill="background1" w:themeFillShade="D8"/>
            <w:vAlign w:val="center"/>
          </w:tcPr>
          <w:p w14:paraId="7916F67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3884" w:type="pct"/>
            <w:shd w:val="clear" w:color="auto" w:fill="auto"/>
            <w:vAlign w:val="center"/>
          </w:tcPr>
          <w:p w14:paraId="5F68B286">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lang w:val="en-US" w:eastAsia="zh-CN"/>
              </w:rPr>
              <w:t>船舶隐患排查</w:t>
            </w:r>
          </w:p>
        </w:tc>
      </w:tr>
      <w:tr w14:paraId="1853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5EE09EA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4</w:t>
            </w:r>
          </w:p>
        </w:tc>
        <w:tc>
          <w:tcPr>
            <w:tcW w:w="777" w:type="pct"/>
            <w:shd w:val="clear" w:color="auto" w:fill="D7D7D7" w:themeFill="background1" w:themeFillShade="D8"/>
            <w:vAlign w:val="center"/>
          </w:tcPr>
          <w:p w14:paraId="41D591C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预算金额</w:t>
            </w:r>
          </w:p>
        </w:tc>
        <w:tc>
          <w:tcPr>
            <w:tcW w:w="3884" w:type="pct"/>
            <w:shd w:val="clear" w:color="auto" w:fill="auto"/>
            <w:vAlign w:val="center"/>
          </w:tcPr>
          <w:p w14:paraId="28A7C4C7">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color w:val="auto"/>
                <w:sz w:val="24"/>
                <w:szCs w:val="24"/>
                <w:highlight w:val="none"/>
                <w:lang w:val="en-US" w:eastAsia="zh-CN"/>
              </w:rPr>
            </w:pPr>
            <w:r>
              <w:rPr>
                <w:rFonts w:hint="eastAsia" w:ascii="宋体" w:hAnsi="宋体" w:cs="宋体"/>
                <w:i w:val="0"/>
                <w:iCs w:val="0"/>
                <w:caps w:val="0"/>
                <w:color w:val="auto"/>
                <w:spacing w:val="0"/>
                <w:sz w:val="24"/>
                <w:szCs w:val="24"/>
                <w:highlight w:val="none"/>
                <w:lang w:val="en-US" w:eastAsia="zh-CN"/>
              </w:rPr>
              <w:t>47.96</w:t>
            </w:r>
            <w:r>
              <w:rPr>
                <w:rFonts w:hint="eastAsia" w:ascii="宋体" w:hAnsi="宋体" w:eastAsia="宋体" w:cs="宋体"/>
                <w:i w:val="0"/>
                <w:iCs w:val="0"/>
                <w:caps w:val="0"/>
                <w:color w:val="auto"/>
                <w:spacing w:val="0"/>
                <w:sz w:val="24"/>
                <w:szCs w:val="24"/>
                <w:highlight w:val="none"/>
                <w:lang w:val="en-US" w:eastAsia="zh-CN"/>
              </w:rPr>
              <w:t>万元</w:t>
            </w:r>
          </w:p>
        </w:tc>
      </w:tr>
      <w:tr w14:paraId="248F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14A3E72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5</w:t>
            </w:r>
          </w:p>
        </w:tc>
        <w:tc>
          <w:tcPr>
            <w:tcW w:w="777" w:type="pct"/>
            <w:shd w:val="clear" w:color="auto" w:fill="D7D7D7" w:themeFill="background1" w:themeFillShade="D8"/>
            <w:vAlign w:val="center"/>
          </w:tcPr>
          <w:p w14:paraId="6186106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服务期限</w:t>
            </w:r>
          </w:p>
        </w:tc>
        <w:tc>
          <w:tcPr>
            <w:tcW w:w="3884" w:type="pct"/>
            <w:shd w:val="clear" w:color="auto" w:fill="auto"/>
            <w:vAlign w:val="center"/>
          </w:tcPr>
          <w:p w14:paraId="4EAD6D2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lang w:val="en-US" w:eastAsia="zh-CN"/>
              </w:rPr>
              <w:t>详见采购需求</w:t>
            </w:r>
          </w:p>
        </w:tc>
      </w:tr>
      <w:tr w14:paraId="18F0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3E5D540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6</w:t>
            </w:r>
          </w:p>
        </w:tc>
        <w:tc>
          <w:tcPr>
            <w:tcW w:w="777" w:type="pct"/>
            <w:shd w:val="clear" w:color="auto" w:fill="D7D7D7" w:themeFill="background1" w:themeFillShade="D8"/>
            <w:vAlign w:val="center"/>
          </w:tcPr>
          <w:p w14:paraId="37F9D61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投标有效期</w:t>
            </w:r>
          </w:p>
        </w:tc>
        <w:tc>
          <w:tcPr>
            <w:tcW w:w="3884" w:type="pct"/>
            <w:shd w:val="clear" w:color="auto" w:fill="auto"/>
            <w:vAlign w:val="center"/>
          </w:tcPr>
          <w:p w14:paraId="0FC29570">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90日</w:t>
            </w:r>
            <w:r>
              <w:rPr>
                <w:rFonts w:hint="eastAsia" w:ascii="宋体" w:hAnsi="宋体" w:eastAsia="宋体" w:cs="宋体"/>
                <w:sz w:val="24"/>
                <w:szCs w:val="24"/>
                <w:highlight w:val="none"/>
              </w:rPr>
              <w:t>历天。（从投标截止之日算起）</w:t>
            </w:r>
          </w:p>
        </w:tc>
      </w:tr>
      <w:tr w14:paraId="4E01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82" w:hRule="atLeast"/>
          <w:tblCellSpacing w:w="7" w:type="dxa"/>
          <w:jc w:val="center"/>
        </w:trPr>
        <w:tc>
          <w:tcPr>
            <w:tcW w:w="310" w:type="pct"/>
            <w:shd w:val="clear" w:color="auto" w:fill="D7D7D7" w:themeFill="background1" w:themeFillShade="D8"/>
            <w:vAlign w:val="center"/>
          </w:tcPr>
          <w:p w14:paraId="3AB0856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7</w:t>
            </w:r>
          </w:p>
        </w:tc>
        <w:tc>
          <w:tcPr>
            <w:tcW w:w="777" w:type="pct"/>
            <w:shd w:val="clear" w:color="auto" w:fill="D7D7D7" w:themeFill="background1" w:themeFillShade="D8"/>
            <w:vAlign w:val="center"/>
          </w:tcPr>
          <w:p w14:paraId="097E8BD5">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评标办法</w:t>
            </w:r>
          </w:p>
        </w:tc>
        <w:tc>
          <w:tcPr>
            <w:tcW w:w="3884" w:type="pct"/>
            <w:shd w:val="clear" w:color="auto" w:fill="auto"/>
            <w:vAlign w:val="center"/>
          </w:tcPr>
          <w:p w14:paraId="016BABD0">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综合评分法</w:t>
            </w:r>
          </w:p>
        </w:tc>
      </w:tr>
      <w:tr w14:paraId="5F55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730C61C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8</w:t>
            </w:r>
          </w:p>
        </w:tc>
        <w:tc>
          <w:tcPr>
            <w:tcW w:w="777" w:type="pct"/>
            <w:shd w:val="clear" w:color="auto" w:fill="D7D7D7" w:themeFill="background1" w:themeFillShade="D8"/>
            <w:vAlign w:val="center"/>
          </w:tcPr>
          <w:p w14:paraId="092188C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付款方式</w:t>
            </w:r>
          </w:p>
        </w:tc>
        <w:tc>
          <w:tcPr>
            <w:tcW w:w="3884" w:type="pct"/>
            <w:shd w:val="clear" w:color="auto" w:fill="auto"/>
            <w:vAlign w:val="center"/>
          </w:tcPr>
          <w:p w14:paraId="4B4C83A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详见采购需求</w:t>
            </w:r>
          </w:p>
        </w:tc>
      </w:tr>
      <w:tr w14:paraId="1E82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14" w:hRule="atLeast"/>
          <w:tblCellSpacing w:w="7" w:type="dxa"/>
          <w:jc w:val="center"/>
        </w:trPr>
        <w:tc>
          <w:tcPr>
            <w:tcW w:w="310" w:type="pct"/>
            <w:shd w:val="clear" w:color="auto" w:fill="D7D7D7" w:themeFill="background1" w:themeFillShade="D8"/>
            <w:vAlign w:val="center"/>
          </w:tcPr>
          <w:p w14:paraId="245A0A1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9</w:t>
            </w:r>
          </w:p>
        </w:tc>
        <w:tc>
          <w:tcPr>
            <w:tcW w:w="777" w:type="pct"/>
            <w:shd w:val="clear" w:color="auto" w:fill="D7D7D7" w:themeFill="background1" w:themeFillShade="D8"/>
            <w:vAlign w:val="center"/>
          </w:tcPr>
          <w:p w14:paraId="54CA79DD">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磋商报价</w:t>
            </w:r>
          </w:p>
          <w:p w14:paraId="0D704D4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与相关费用</w:t>
            </w:r>
          </w:p>
        </w:tc>
        <w:tc>
          <w:tcPr>
            <w:tcW w:w="3884" w:type="pct"/>
            <w:shd w:val="clear" w:color="auto" w:fill="auto"/>
            <w:vAlign w:val="center"/>
          </w:tcPr>
          <w:p w14:paraId="05D7DD8F">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eastAsia="zh-CN"/>
              </w:rPr>
              <w:t>人所投报的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eastAsia="zh-CN"/>
              </w:rPr>
              <w:t>报价为</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val="zh-CN" w:eastAsia="zh-CN"/>
              </w:rPr>
              <w:t>人所能承受的整个项目的一次性最终最低合同总价，包括完成本项目工作内容所需的一切费用。合同总价不得超过本项目对应的</w:t>
            </w:r>
            <w:r>
              <w:rPr>
                <w:rFonts w:hint="eastAsia" w:ascii="宋体" w:hAnsi="宋体" w:eastAsia="宋体" w:cs="宋体"/>
                <w:sz w:val="24"/>
                <w:szCs w:val="24"/>
                <w:highlight w:val="none"/>
                <w:lang w:val="en-US" w:eastAsia="zh-CN"/>
              </w:rPr>
              <w:t>预算金额</w:t>
            </w:r>
            <w:r>
              <w:rPr>
                <w:rFonts w:hint="eastAsia" w:ascii="宋体" w:hAnsi="宋体" w:eastAsia="宋体" w:cs="宋体"/>
                <w:sz w:val="24"/>
                <w:szCs w:val="24"/>
                <w:highlight w:val="none"/>
                <w:lang w:val="zh-CN" w:eastAsia="zh-CN"/>
              </w:rPr>
              <w:t>。</w:t>
            </w:r>
          </w:p>
          <w:p w14:paraId="4A6D0A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eastAsia="zh-CN"/>
              </w:rPr>
              <w:t>、按国家规定由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val="zh-CN" w:eastAsia="zh-CN"/>
              </w:rPr>
              <w:t>人缴纳的各种税收已包含在投标总价内，由</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val="zh-CN" w:eastAsia="zh-CN"/>
              </w:rPr>
              <w:t>人向税务机关缴纳相关费用。</w:t>
            </w:r>
          </w:p>
          <w:p w14:paraId="68396E7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3、响应</w:t>
            </w:r>
            <w:r>
              <w:rPr>
                <w:rFonts w:hint="eastAsia" w:ascii="宋体" w:hAnsi="宋体" w:eastAsia="宋体" w:cs="宋体"/>
                <w:sz w:val="24"/>
                <w:szCs w:val="24"/>
                <w:highlight w:val="none"/>
                <w:lang w:val="zh-CN" w:eastAsia="zh-CN"/>
              </w:rPr>
              <w:t>人应承担其参加本</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val="zh-CN" w:eastAsia="zh-CN"/>
              </w:rPr>
              <w:t>活动自身所发生的费用。</w:t>
            </w:r>
          </w:p>
          <w:p w14:paraId="5EC4228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4、成交</w:t>
            </w:r>
            <w:r>
              <w:rPr>
                <w:rFonts w:hint="eastAsia" w:ascii="宋体" w:hAnsi="宋体" w:eastAsia="宋体" w:cs="宋体"/>
                <w:sz w:val="24"/>
                <w:szCs w:val="24"/>
                <w:highlight w:val="none"/>
                <w:lang w:val="zh-CN" w:eastAsia="zh-CN"/>
              </w:rPr>
              <w:t>人须缴纳招标代理服务费，招标代理服务收费标准金额为：</w:t>
            </w:r>
            <w:r>
              <w:rPr>
                <w:rFonts w:hint="eastAsia" w:ascii="宋体" w:hAnsi="宋体" w:eastAsia="宋体" w:cs="宋体"/>
                <w:sz w:val="24"/>
                <w:szCs w:val="24"/>
                <w:highlight w:val="none"/>
                <w:lang w:val="en-US" w:eastAsia="zh-CN"/>
              </w:rPr>
              <w:t>一次性收费人民币</w:t>
            </w:r>
            <w:r>
              <w:rPr>
                <w:rFonts w:hint="eastAsia" w:ascii="宋体" w:hAnsi="宋体" w:cs="宋体"/>
                <w:sz w:val="24"/>
                <w:szCs w:val="24"/>
                <w:highlight w:val="none"/>
                <w:lang w:val="en-US" w:eastAsia="zh-CN"/>
              </w:rPr>
              <w:t>捌仟贰佰</w:t>
            </w:r>
            <w:r>
              <w:rPr>
                <w:rFonts w:hint="eastAsia" w:ascii="宋体" w:hAnsi="宋体" w:eastAsia="宋体" w:cs="宋体"/>
                <w:sz w:val="24"/>
                <w:szCs w:val="24"/>
                <w:highlight w:val="none"/>
                <w:lang w:val="en-US" w:eastAsia="zh-CN"/>
              </w:rPr>
              <w:t>元整（¥</w:t>
            </w:r>
            <w:r>
              <w:rPr>
                <w:rFonts w:hint="eastAsia" w:ascii="宋体" w:hAnsi="宋体" w:cs="宋体"/>
                <w:sz w:val="24"/>
                <w:szCs w:val="24"/>
                <w:highlight w:val="none"/>
                <w:lang w:val="en-US" w:eastAsia="zh-CN"/>
              </w:rPr>
              <w:t>8200元</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zh-CN" w:eastAsia="zh-CN"/>
              </w:rPr>
              <w:t>。支付方式及时间为：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lang w:val="zh-CN" w:eastAsia="zh-CN"/>
              </w:rPr>
              <w:t>通知书发出</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val="zh-CN" w:eastAsia="zh-CN"/>
              </w:rPr>
              <w:t>一次性支付给招标代理机构。</w:t>
            </w:r>
          </w:p>
          <w:p w14:paraId="512057C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收款单位名称：中金招标有限责任公司舟山分公司</w:t>
            </w:r>
          </w:p>
          <w:p w14:paraId="5360C91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开户银行：中国建设银行股份有限公司舟山新城支行</w:t>
            </w:r>
          </w:p>
          <w:p w14:paraId="7FD69EB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银行账号：3300 1706 2550 5300 3969</w:t>
            </w:r>
          </w:p>
          <w:p w14:paraId="09B3F49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5、中标、成交人放弃中标、成交资格导致重新采购的，承担支付代理费和专家评审费等费用在内的赔偿责任。</w:t>
            </w:r>
          </w:p>
        </w:tc>
      </w:tr>
      <w:tr w14:paraId="541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6AEE9CA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10</w:t>
            </w:r>
          </w:p>
        </w:tc>
        <w:tc>
          <w:tcPr>
            <w:tcW w:w="777" w:type="pct"/>
            <w:shd w:val="clear" w:color="auto" w:fill="D7D7D7" w:themeFill="background1" w:themeFillShade="D8"/>
            <w:vAlign w:val="center"/>
          </w:tcPr>
          <w:p w14:paraId="5A54AE2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响应文件的组成</w:t>
            </w:r>
          </w:p>
        </w:tc>
        <w:tc>
          <w:tcPr>
            <w:tcW w:w="3884" w:type="pct"/>
            <w:shd w:val="clear" w:color="auto" w:fill="auto"/>
            <w:vAlign w:val="center"/>
          </w:tcPr>
          <w:p w14:paraId="498FD52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本项目实行网上投标。</w:t>
            </w:r>
          </w:p>
          <w:p w14:paraId="018811C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响应人应准备电子投标文件、以介质存储的数据电文形式的备份投标文件：</w:t>
            </w:r>
          </w:p>
          <w:p w14:paraId="520C569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（1）电子投标文件，按政采云供应商项目采购-电子招投标操作指南及本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文件要求制作，加密并递交。</w:t>
            </w:r>
          </w:p>
          <w:p w14:paraId="7D1C5F5E">
            <w:pPr>
              <w:pStyle w:val="8"/>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b/>
                <w:bCs/>
                <w:sz w:val="24"/>
                <w:szCs w:val="24"/>
                <w:highlight w:val="none"/>
              </w:rPr>
              <w:t>（2）以介质存储的数据电文形式的备份投标文件，按政采云供应商项目采购-电子招投标操作指南中制作的电子投标文件，以DVD光盘或U盘形式提供。数量为1份。</w:t>
            </w:r>
          </w:p>
        </w:tc>
      </w:tr>
      <w:tr w14:paraId="650E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203B721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11</w:t>
            </w:r>
          </w:p>
        </w:tc>
        <w:tc>
          <w:tcPr>
            <w:tcW w:w="777" w:type="pct"/>
            <w:shd w:val="clear" w:color="auto" w:fill="D7D7D7" w:themeFill="background1" w:themeFillShade="D8"/>
            <w:vAlign w:val="center"/>
          </w:tcPr>
          <w:p w14:paraId="107DA62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开标地点</w:t>
            </w:r>
          </w:p>
        </w:tc>
        <w:tc>
          <w:tcPr>
            <w:tcW w:w="3884" w:type="pct"/>
            <w:shd w:val="clear" w:color="auto" w:fill="auto"/>
            <w:vAlign w:val="center"/>
          </w:tcPr>
          <w:p w14:paraId="5C81F09D">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舟山市定海区海天大道998号中金招标四楼</w:t>
            </w:r>
            <w:r>
              <w:rPr>
                <w:rFonts w:hint="eastAsia" w:ascii="宋体" w:hAnsi="宋体" w:eastAsia="宋体" w:cs="宋体"/>
                <w:sz w:val="24"/>
                <w:szCs w:val="24"/>
                <w:highlight w:val="none"/>
                <w:lang w:val="en-US" w:eastAsia="zh-CN"/>
              </w:rPr>
              <w:t>开标室</w:t>
            </w:r>
          </w:p>
        </w:tc>
      </w:tr>
      <w:tr w14:paraId="6F8E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CellSpacing w:w="7" w:type="dxa"/>
          <w:jc w:val="center"/>
        </w:trPr>
        <w:tc>
          <w:tcPr>
            <w:tcW w:w="310" w:type="pct"/>
            <w:shd w:val="clear" w:color="auto" w:fill="D7D7D7" w:themeFill="background1" w:themeFillShade="D8"/>
            <w:vAlign w:val="center"/>
          </w:tcPr>
          <w:p w14:paraId="381705D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12</w:t>
            </w:r>
          </w:p>
        </w:tc>
        <w:tc>
          <w:tcPr>
            <w:tcW w:w="777" w:type="pct"/>
            <w:shd w:val="clear" w:color="auto" w:fill="D7D7D7" w:themeFill="background1" w:themeFillShade="D8"/>
            <w:vAlign w:val="center"/>
          </w:tcPr>
          <w:p w14:paraId="5A0FAEF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投标文件的递交</w:t>
            </w:r>
          </w:p>
        </w:tc>
        <w:tc>
          <w:tcPr>
            <w:tcW w:w="3884" w:type="pct"/>
            <w:shd w:val="clear" w:color="auto" w:fill="auto"/>
            <w:vAlign w:val="center"/>
          </w:tcPr>
          <w:p w14:paraId="66FF5920">
            <w:pPr>
              <w:keepNext w:val="0"/>
              <w:keepLines w:val="0"/>
              <w:pageBreakBefore w:val="0"/>
              <w:widowControl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8F970F0">
            <w:pPr>
              <w:keepNext w:val="0"/>
              <w:keepLines w:val="0"/>
              <w:pageBreakBefore w:val="0"/>
              <w:widowControl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可以选择递交备份投标文件。备份投标文件须密封完好，注明投标人单位名称，并于投标截止时间前递交，否则采购代理机构将拒收。具体递交方式为开标日前通过邮寄、专人等形式送达采购代理机构地址或开标当天专人送达开标地点。联系人：</w:t>
            </w:r>
            <w:r>
              <w:rPr>
                <w:rFonts w:hint="eastAsia" w:ascii="宋体" w:hAnsi="宋体" w:cs="宋体"/>
                <w:sz w:val="24"/>
                <w:szCs w:val="24"/>
                <w:highlight w:val="none"/>
                <w:lang w:val="en-US" w:eastAsia="zh-CN"/>
              </w:rPr>
              <w:t>许天天</w:t>
            </w:r>
            <w:r>
              <w:rPr>
                <w:rFonts w:hint="eastAsia" w:ascii="宋体" w:hAnsi="宋体" w:eastAsia="宋体" w:cs="宋体"/>
                <w:sz w:val="24"/>
                <w:szCs w:val="24"/>
                <w:highlight w:val="none"/>
              </w:rPr>
              <w:t>；联系方式：</w:t>
            </w:r>
            <w:r>
              <w:rPr>
                <w:rFonts w:hint="eastAsia" w:ascii="宋体" w:hAnsi="宋体" w:cs="宋体"/>
                <w:sz w:val="24"/>
                <w:szCs w:val="24"/>
                <w:highlight w:val="none"/>
                <w:lang w:val="en-US" w:eastAsia="zh-CN"/>
              </w:rPr>
              <w:t>0580-2260620/18857054665</w:t>
            </w:r>
            <w:r>
              <w:rPr>
                <w:rFonts w:hint="eastAsia" w:ascii="宋体" w:hAnsi="宋体" w:eastAsia="宋体" w:cs="宋体"/>
                <w:sz w:val="24"/>
                <w:szCs w:val="24"/>
                <w:highlight w:val="none"/>
              </w:rPr>
              <w:t>。投标人递交备份投标文件时，如出现下列情况之一的，将被拒收：</w:t>
            </w:r>
          </w:p>
          <w:p w14:paraId="11109639">
            <w:pPr>
              <w:keepNext w:val="0"/>
              <w:keepLines w:val="0"/>
              <w:pageBreakBefore w:val="0"/>
              <w:widowControl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1、未按规定密封或标记的投标文件；</w:t>
            </w:r>
          </w:p>
          <w:p w14:paraId="6C91B3ED">
            <w:pPr>
              <w:keepNext w:val="0"/>
              <w:keepLines w:val="0"/>
              <w:pageBreakBefore w:val="0"/>
              <w:widowControl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2、由于包装不妥，在送交途中严重破损或失散的；</w:t>
            </w:r>
          </w:p>
          <w:p w14:paraId="3169D898">
            <w:pPr>
              <w:keepNext w:val="0"/>
              <w:keepLines w:val="0"/>
              <w:pageBreakBefore w:val="0"/>
              <w:widowControl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3、超过投标截止时间送达的；</w:t>
            </w:r>
          </w:p>
          <w:p w14:paraId="763E5582">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4、仅提供备份投标文件的。</w:t>
            </w:r>
          </w:p>
          <w:p w14:paraId="3A9CA277">
            <w:pPr>
              <w:keepNext w:val="0"/>
              <w:keepLines w:val="0"/>
              <w:pageBreakBefore w:val="0"/>
              <w:suppressLineNumbers w:val="0"/>
              <w:kinsoku/>
              <w:wordWrap/>
              <w:overflowPunct/>
              <w:topLinePunct w:val="0"/>
              <w:bidi w:val="0"/>
              <w:spacing w:before="0" w:beforeAutospacing="0" w:after="0" w:afterAutospacing="0" w:line="360" w:lineRule="auto"/>
              <w:ind w:left="0" w:right="0" w:firstLine="480" w:firstLineChars="200"/>
              <w:rPr>
                <w:rFonts w:hint="eastAsia" w:ascii="宋体" w:hAnsi="宋体" w:eastAsia="宋体" w:cs="宋体"/>
                <w:b/>
                <w:kern w:val="0"/>
                <w:sz w:val="24"/>
                <w:szCs w:val="24"/>
                <w:highlight w:val="none"/>
              </w:rPr>
            </w:pPr>
            <w:r>
              <w:rPr>
                <w:rFonts w:hint="eastAsia" w:ascii="宋体" w:hAnsi="宋体" w:eastAsia="宋体" w:cs="宋体"/>
                <w:sz w:val="24"/>
                <w:szCs w:val="24"/>
                <w:highlight w:val="none"/>
              </w:rPr>
              <w:t>当发生解密失败或未按时解密的，投标人提供了备份投标文件的，以备份投标文件为依据，否则视为投标文件撤回。投标文件已按时解密的，备份投标文件自动失效。</w:t>
            </w:r>
          </w:p>
        </w:tc>
      </w:tr>
      <w:tr w14:paraId="364A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91" w:hRule="atLeast"/>
          <w:tblCellSpacing w:w="7" w:type="dxa"/>
          <w:jc w:val="center"/>
        </w:trPr>
        <w:tc>
          <w:tcPr>
            <w:tcW w:w="310" w:type="pct"/>
            <w:shd w:val="clear" w:color="auto" w:fill="D7D7D7" w:themeFill="background1" w:themeFillShade="D8"/>
            <w:vAlign w:val="center"/>
          </w:tcPr>
          <w:p w14:paraId="1534B0C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13</w:t>
            </w:r>
          </w:p>
        </w:tc>
        <w:tc>
          <w:tcPr>
            <w:tcW w:w="777" w:type="pct"/>
            <w:shd w:val="clear" w:color="auto" w:fill="D7D7D7" w:themeFill="background1" w:themeFillShade="D8"/>
            <w:vAlign w:val="center"/>
          </w:tcPr>
          <w:p w14:paraId="4AB74EC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投标文件提交截止时间及开标时间</w:t>
            </w:r>
          </w:p>
        </w:tc>
        <w:tc>
          <w:tcPr>
            <w:tcW w:w="3884" w:type="pct"/>
            <w:shd w:val="clear" w:color="auto" w:fill="auto"/>
            <w:vAlign w:val="center"/>
          </w:tcPr>
          <w:p w14:paraId="0144F20F">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default" w:ascii="宋体" w:hAnsi="宋体" w:eastAsia="宋体" w:cs="宋体"/>
                <w:b/>
                <w:sz w:val="24"/>
                <w:szCs w:val="24"/>
                <w:highlight w:val="none"/>
                <w:lang w:val="en-US" w:eastAsia="zh-CN"/>
              </w:rPr>
            </w:pPr>
            <w:r>
              <w:rPr>
                <w:rFonts w:hint="default" w:ascii="宋体" w:hAnsi="宋体" w:eastAsia="宋体" w:cs="宋体"/>
                <w:b/>
                <w:bCs w:val="0"/>
                <w:kern w:val="0"/>
                <w:sz w:val="24"/>
                <w:szCs w:val="24"/>
                <w:highlight w:val="none"/>
              </w:rPr>
              <w:t>2025年</w:t>
            </w:r>
            <w:r>
              <w:rPr>
                <w:rFonts w:hint="eastAsia" w:ascii="宋体" w:hAnsi="宋体" w:cs="宋体"/>
                <w:b/>
                <w:bCs w:val="0"/>
                <w:kern w:val="0"/>
                <w:sz w:val="24"/>
                <w:szCs w:val="24"/>
                <w:highlight w:val="none"/>
                <w:lang w:val="en-US" w:eastAsia="zh-CN"/>
              </w:rPr>
              <w:t>7</w:t>
            </w:r>
            <w:r>
              <w:rPr>
                <w:rFonts w:hint="default" w:ascii="宋体" w:hAnsi="宋体" w:eastAsia="宋体" w:cs="宋体"/>
                <w:b/>
                <w:bCs w:val="0"/>
                <w:kern w:val="0"/>
                <w:sz w:val="24"/>
                <w:szCs w:val="24"/>
                <w:highlight w:val="none"/>
              </w:rPr>
              <w:t>月</w:t>
            </w:r>
            <w:r>
              <w:rPr>
                <w:rFonts w:hint="eastAsia" w:ascii="宋体" w:hAnsi="宋体" w:cs="宋体"/>
                <w:b/>
                <w:bCs w:val="0"/>
                <w:kern w:val="0"/>
                <w:sz w:val="24"/>
                <w:szCs w:val="24"/>
                <w:highlight w:val="none"/>
                <w:lang w:val="en-US" w:eastAsia="zh-CN"/>
              </w:rPr>
              <w:t>28</w:t>
            </w:r>
            <w:r>
              <w:rPr>
                <w:rFonts w:hint="default" w:ascii="宋体" w:hAnsi="宋体" w:eastAsia="宋体" w:cs="宋体"/>
                <w:b/>
                <w:bCs w:val="0"/>
                <w:kern w:val="0"/>
                <w:sz w:val="24"/>
                <w:szCs w:val="24"/>
                <w:highlight w:val="none"/>
              </w:rPr>
              <w:t>日</w:t>
            </w:r>
            <w:r>
              <w:rPr>
                <w:rFonts w:hint="default" w:ascii="宋体" w:hAnsi="宋体" w:eastAsia="宋体" w:cs="宋体"/>
                <w:b/>
                <w:bCs w:val="0"/>
                <w:kern w:val="0"/>
                <w:sz w:val="24"/>
                <w:szCs w:val="24"/>
                <w:highlight w:val="none"/>
                <w:lang w:val="en-US" w:eastAsia="zh-CN"/>
              </w:rPr>
              <w:t>0</w:t>
            </w:r>
            <w:r>
              <w:rPr>
                <w:rFonts w:hint="eastAsia" w:ascii="宋体" w:hAnsi="宋体" w:eastAsia="宋体" w:cs="宋体"/>
                <w:b/>
                <w:bCs w:val="0"/>
                <w:kern w:val="0"/>
                <w:sz w:val="24"/>
                <w:szCs w:val="24"/>
                <w:highlight w:val="none"/>
                <w:lang w:val="en-US" w:eastAsia="zh-CN"/>
              </w:rPr>
              <w:t>9</w:t>
            </w:r>
            <w:r>
              <w:rPr>
                <w:rFonts w:hint="default" w:ascii="宋体" w:hAnsi="宋体" w:eastAsia="宋体" w:cs="宋体"/>
                <w:b/>
                <w:bCs w:val="0"/>
                <w:kern w:val="0"/>
                <w:sz w:val="24"/>
                <w:szCs w:val="24"/>
                <w:highlight w:val="none"/>
              </w:rPr>
              <w:t>:00（</w:t>
            </w:r>
            <w:r>
              <w:rPr>
                <w:rFonts w:hint="eastAsia" w:ascii="宋体" w:hAnsi="宋体" w:eastAsia="宋体" w:cs="宋体"/>
                <w:b/>
                <w:bCs w:val="0"/>
                <w:kern w:val="0"/>
                <w:sz w:val="24"/>
                <w:szCs w:val="24"/>
                <w:highlight w:val="none"/>
                <w:lang w:val="en-US" w:eastAsia="zh-CN"/>
              </w:rPr>
              <w:t>北京时间）</w:t>
            </w:r>
          </w:p>
        </w:tc>
      </w:tr>
      <w:tr w14:paraId="041C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jc w:val="center"/>
        </w:trPr>
        <w:tc>
          <w:tcPr>
            <w:tcW w:w="310" w:type="pct"/>
            <w:vMerge w:val="restart"/>
            <w:shd w:val="clear" w:color="auto" w:fill="D7D7D7" w:themeFill="background1" w:themeFillShade="D8"/>
            <w:vAlign w:val="center"/>
          </w:tcPr>
          <w:p w14:paraId="7A1806A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lang w:val="en-US"/>
              </w:rPr>
            </w:pPr>
            <w:r>
              <w:rPr>
                <w:rFonts w:hint="eastAsia" w:ascii="宋体" w:hAnsi="宋体" w:eastAsia="宋体" w:cs="宋体"/>
                <w:b/>
                <w:sz w:val="24"/>
                <w:szCs w:val="24"/>
                <w:highlight w:val="none"/>
                <w:lang w:val="en-US" w:eastAsia="zh-CN"/>
              </w:rPr>
              <w:t>14</w:t>
            </w:r>
          </w:p>
        </w:tc>
        <w:tc>
          <w:tcPr>
            <w:tcW w:w="777" w:type="pct"/>
            <w:vMerge w:val="restart"/>
            <w:shd w:val="clear" w:color="auto" w:fill="D7D7D7" w:themeFill="background1" w:themeFillShade="D8"/>
            <w:vAlign w:val="center"/>
          </w:tcPr>
          <w:p w14:paraId="71C03E8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中小企业</w:t>
            </w:r>
          </w:p>
          <w:p w14:paraId="2B1464D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扶持政策</w:t>
            </w:r>
          </w:p>
        </w:tc>
        <w:tc>
          <w:tcPr>
            <w:tcW w:w="3884" w:type="pct"/>
            <w:shd w:val="clear" w:color="auto" w:fill="auto"/>
            <w:vAlign w:val="center"/>
          </w:tcPr>
          <w:p w14:paraId="56031CD1">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kern w:val="0"/>
                <w:sz w:val="24"/>
                <w:szCs w:val="24"/>
                <w:highlight w:val="none"/>
              </w:rPr>
            </w:pPr>
            <w:r>
              <w:rPr>
                <w:rFonts w:hint="eastAsia" w:ascii="宋体" w:hAnsi="宋体" w:eastAsia="宋体" w:cs="宋体"/>
                <w:b/>
                <w:bCs w:val="0"/>
                <w:kern w:val="0"/>
                <w:sz w:val="24"/>
                <w:szCs w:val="24"/>
                <w:highlight w:val="none"/>
              </w:rPr>
              <w:t>本项目专门面向中小企业采购。</w:t>
            </w:r>
          </w:p>
        </w:tc>
      </w:tr>
      <w:tr w14:paraId="3747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jc w:val="center"/>
        </w:trPr>
        <w:tc>
          <w:tcPr>
            <w:tcW w:w="310" w:type="pct"/>
            <w:vMerge w:val="continue"/>
            <w:shd w:val="clear" w:color="auto" w:fill="D7D7D7" w:themeFill="background1" w:themeFillShade="D8"/>
            <w:vAlign w:val="center"/>
          </w:tcPr>
          <w:p w14:paraId="2BF29C6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777" w:type="pct"/>
            <w:vMerge w:val="continue"/>
            <w:shd w:val="clear" w:color="auto" w:fill="D7D7D7" w:themeFill="background1" w:themeFillShade="D8"/>
            <w:vAlign w:val="center"/>
          </w:tcPr>
          <w:p w14:paraId="2E9935B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4"/>
                <w:szCs w:val="24"/>
                <w:highlight w:val="none"/>
              </w:rPr>
            </w:pPr>
          </w:p>
        </w:tc>
        <w:tc>
          <w:tcPr>
            <w:tcW w:w="3884" w:type="pct"/>
            <w:shd w:val="clear" w:color="auto" w:fill="auto"/>
            <w:vAlign w:val="center"/>
          </w:tcPr>
          <w:p w14:paraId="762BDB51">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本项目不接受联合体投标。</w:t>
            </w:r>
          </w:p>
        </w:tc>
      </w:tr>
      <w:tr w14:paraId="1E12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jc w:val="center"/>
        </w:trPr>
        <w:tc>
          <w:tcPr>
            <w:tcW w:w="310" w:type="pct"/>
            <w:vMerge w:val="continue"/>
            <w:shd w:val="clear" w:color="auto" w:fill="D7D7D7" w:themeFill="background1" w:themeFillShade="D8"/>
            <w:vAlign w:val="center"/>
          </w:tcPr>
          <w:p w14:paraId="70F5999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777" w:type="pct"/>
            <w:vMerge w:val="continue"/>
            <w:shd w:val="clear" w:color="auto" w:fill="D7D7D7" w:themeFill="background1" w:themeFillShade="D8"/>
            <w:vAlign w:val="center"/>
          </w:tcPr>
          <w:p w14:paraId="10F4E74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4"/>
                <w:szCs w:val="24"/>
                <w:highlight w:val="none"/>
              </w:rPr>
            </w:pPr>
          </w:p>
        </w:tc>
        <w:tc>
          <w:tcPr>
            <w:tcW w:w="3884" w:type="pct"/>
            <w:shd w:val="clear" w:color="auto" w:fill="auto"/>
            <w:vAlign w:val="center"/>
          </w:tcPr>
          <w:p w14:paraId="38A7DB65">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本项目不允许转包，分包。</w:t>
            </w:r>
          </w:p>
        </w:tc>
      </w:tr>
      <w:tr w14:paraId="1DD0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jc w:val="center"/>
        </w:trPr>
        <w:tc>
          <w:tcPr>
            <w:tcW w:w="310" w:type="pct"/>
            <w:vMerge w:val="continue"/>
            <w:shd w:val="clear" w:color="auto" w:fill="D7D7D7" w:themeFill="background1" w:themeFillShade="D8"/>
            <w:vAlign w:val="center"/>
          </w:tcPr>
          <w:p w14:paraId="66E9992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777" w:type="pct"/>
            <w:vMerge w:val="continue"/>
            <w:shd w:val="clear" w:color="auto" w:fill="D7D7D7" w:themeFill="background1" w:themeFillShade="D8"/>
            <w:vAlign w:val="center"/>
          </w:tcPr>
          <w:p w14:paraId="14F08B9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4"/>
                <w:szCs w:val="24"/>
                <w:highlight w:val="none"/>
              </w:rPr>
            </w:pPr>
          </w:p>
        </w:tc>
        <w:tc>
          <w:tcPr>
            <w:tcW w:w="3884" w:type="pct"/>
            <w:shd w:val="clear" w:color="auto" w:fill="auto"/>
            <w:vAlign w:val="center"/>
          </w:tcPr>
          <w:p w14:paraId="016BBBBC">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4"/>
                <w:szCs w:val="24"/>
                <w:highlight w:val="none"/>
                <w:lang w:eastAsia="zh-CN"/>
              </w:rPr>
            </w:pPr>
            <w:r>
              <w:rPr>
                <w:rFonts w:hint="eastAsia" w:ascii="宋体" w:hAnsi="宋体" w:eastAsia="宋体" w:cs="宋体"/>
                <w:b/>
                <w:bCs w:val="0"/>
                <w:kern w:val="0"/>
                <w:sz w:val="24"/>
                <w:szCs w:val="24"/>
                <w:highlight w:val="none"/>
              </w:rPr>
              <w:t>本项目采购标的对应的中小企业划分标准所属行业：</w:t>
            </w:r>
            <w:r>
              <w:rPr>
                <w:rFonts w:hint="eastAsia" w:ascii="宋体" w:hAnsi="宋体" w:eastAsia="宋体" w:cs="宋体"/>
                <w:b/>
                <w:bCs w:val="0"/>
                <w:kern w:val="0"/>
                <w:sz w:val="24"/>
                <w:szCs w:val="24"/>
                <w:highlight w:val="none"/>
                <w:lang w:val="en-US" w:eastAsia="zh-CN"/>
              </w:rPr>
              <w:t>其他未列明行业</w:t>
            </w:r>
            <w:r>
              <w:rPr>
                <w:rFonts w:hint="eastAsia" w:ascii="宋体" w:hAnsi="宋体" w:eastAsia="宋体" w:cs="宋体"/>
                <w:b/>
                <w:bCs w:val="0"/>
                <w:kern w:val="0"/>
                <w:sz w:val="24"/>
                <w:szCs w:val="24"/>
                <w:highlight w:val="none"/>
                <w:lang w:eastAsia="zh-CN"/>
              </w:rPr>
              <w:t>。</w:t>
            </w:r>
          </w:p>
        </w:tc>
      </w:tr>
      <w:tr w14:paraId="584E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blCellSpacing w:w="7" w:type="dxa"/>
          <w:jc w:val="center"/>
        </w:trPr>
        <w:tc>
          <w:tcPr>
            <w:tcW w:w="310" w:type="pct"/>
            <w:vMerge w:val="continue"/>
            <w:shd w:val="clear" w:color="auto" w:fill="D7D7D7" w:themeFill="background1" w:themeFillShade="D8"/>
            <w:vAlign w:val="center"/>
          </w:tcPr>
          <w:p w14:paraId="14FFBFC2">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777" w:type="pct"/>
            <w:vMerge w:val="continue"/>
            <w:shd w:val="clear" w:color="auto" w:fill="D7D7D7" w:themeFill="background1" w:themeFillShade="D8"/>
            <w:vAlign w:val="center"/>
          </w:tcPr>
          <w:p w14:paraId="0241495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4"/>
                <w:szCs w:val="24"/>
                <w:highlight w:val="none"/>
              </w:rPr>
            </w:pPr>
          </w:p>
        </w:tc>
        <w:tc>
          <w:tcPr>
            <w:tcW w:w="3884" w:type="pct"/>
            <w:shd w:val="clear" w:color="auto" w:fill="auto"/>
            <w:vAlign w:val="center"/>
          </w:tcPr>
          <w:p w14:paraId="1AFC34D9">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本项目为</w:t>
            </w:r>
            <w:r>
              <w:rPr>
                <w:rFonts w:hint="eastAsia" w:ascii="宋体" w:hAnsi="宋体" w:eastAsia="宋体" w:cs="宋体"/>
                <w:b/>
                <w:bCs w:val="0"/>
                <w:kern w:val="0"/>
                <w:sz w:val="24"/>
                <w:szCs w:val="24"/>
                <w:highlight w:val="none"/>
                <w:lang w:val="en-US" w:eastAsia="zh-CN"/>
              </w:rPr>
              <w:t>服务</w:t>
            </w:r>
            <w:r>
              <w:rPr>
                <w:rFonts w:hint="eastAsia" w:ascii="宋体" w:hAnsi="宋体" w:eastAsia="宋体" w:cs="宋体"/>
                <w:b/>
                <w:bCs w:val="0"/>
                <w:kern w:val="0"/>
                <w:sz w:val="24"/>
                <w:szCs w:val="24"/>
                <w:highlight w:val="none"/>
              </w:rPr>
              <w:t>类采购项目。</w:t>
            </w:r>
          </w:p>
        </w:tc>
      </w:tr>
      <w:tr w14:paraId="3356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310" w:type="pct"/>
            <w:vMerge w:val="continue"/>
            <w:shd w:val="clear" w:color="auto" w:fill="D7D7D7" w:themeFill="background1" w:themeFillShade="D8"/>
            <w:vAlign w:val="center"/>
          </w:tcPr>
          <w:p w14:paraId="2EC8443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sz w:val="24"/>
                <w:szCs w:val="24"/>
                <w:highlight w:val="none"/>
              </w:rPr>
            </w:pPr>
          </w:p>
        </w:tc>
        <w:tc>
          <w:tcPr>
            <w:tcW w:w="777" w:type="pct"/>
            <w:vMerge w:val="continue"/>
            <w:shd w:val="clear" w:color="auto" w:fill="D7D7D7" w:themeFill="background1" w:themeFillShade="D8"/>
            <w:vAlign w:val="center"/>
          </w:tcPr>
          <w:p w14:paraId="137CD44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kern w:val="0"/>
                <w:sz w:val="24"/>
                <w:szCs w:val="24"/>
                <w:highlight w:val="none"/>
              </w:rPr>
            </w:pPr>
          </w:p>
        </w:tc>
        <w:tc>
          <w:tcPr>
            <w:tcW w:w="3884" w:type="pct"/>
            <w:shd w:val="clear" w:color="auto" w:fill="auto"/>
            <w:vAlign w:val="center"/>
          </w:tcPr>
          <w:p w14:paraId="74BF2684">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根据《政府采购促进中小企业发展管理办法》（财库[2020]46号）规定：</w:t>
            </w:r>
          </w:p>
          <w:p w14:paraId="645E293B">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7858ABA0">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符合中小企业划分标准的个体工商户，在政府采购活动中视同中小企业。</w:t>
            </w:r>
          </w:p>
          <w:p w14:paraId="0E6702C5">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2、在政府采购活动中，供应商提供的货物、工程或者服务符合下列情形的，享受本办法规定的中小企业扶持政策：</w:t>
            </w:r>
          </w:p>
          <w:p w14:paraId="48D2506D">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（1）在货物采购项目中，货物由中小企业制造，即货物由中小企业生产且使用该中小企业商号或者注册商标； </w:t>
            </w:r>
          </w:p>
          <w:p w14:paraId="4C3CE456">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（2）在工程采购项目中，工程由中小企业承建，即工程施工单位为中小企业； </w:t>
            </w:r>
          </w:p>
          <w:p w14:paraId="6566CC2D">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（3）在服务采购项目中，服务由中小企业承接，即提供服务的人员为中小企业依照《中华人民共和国劳动合同法》订立劳动合同的从业人员。 </w:t>
            </w:r>
          </w:p>
          <w:p w14:paraId="4C188CDF">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在货物采购项目中，供应商提供的货物既有中小企业制造货物，也有大型企业制造货物的，不享受本办法规定的中小企业扶持政策。</w:t>
            </w:r>
          </w:p>
          <w:p w14:paraId="4D6C02A2">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3、在政府采购活动中，监狱企业、残疾人福利性单位视同小型、微型企业，享受本办法规定的中小企业扶持政策；监狱企业、残疾人福利性单位属于小型、微型企业的，不重复享受政策。</w:t>
            </w:r>
          </w:p>
          <w:p w14:paraId="313A44CE">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本项目中小企业扶持政策：</w:t>
            </w:r>
          </w:p>
          <w:p w14:paraId="174F3BAA">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本项目专门面向中小企业采购，供应商应为中小企业（监狱企业、残疾人福利性单位视同小型、微型企业）：</w:t>
            </w:r>
          </w:p>
          <w:p w14:paraId="30D05FDE">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（1）中小企业须提供《中小企业声明函》，附在资格证明文件内，否则不享受预留份额政策；</w:t>
            </w:r>
          </w:p>
          <w:p w14:paraId="2DBA3B98">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（2）监狱企业须提供由省级以上监狱管理局、戒毒管理局（含新疆生产建设兵团）出具的属于监狱企业的证明文件，附在资格证明文件内，否则不享受预留份额政策；</w:t>
            </w:r>
          </w:p>
          <w:p w14:paraId="3FD17E7F">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（3）残疾人福利性单位须提供《残疾人福利性单位声明函》，附在资格证明文件内，否则不享受预留份额政策。</w:t>
            </w:r>
          </w:p>
        </w:tc>
      </w:tr>
    </w:tbl>
    <w:p w14:paraId="2FBBF58E">
      <w:pPr>
        <w:pageBreakBefore w:val="0"/>
        <w:kinsoku/>
        <w:wordWrap/>
        <w:overflowPunct/>
        <w:topLinePunct w:val="0"/>
        <w:bidi w:val="0"/>
        <w:snapToGrid w:val="0"/>
        <w:spacing w:line="360" w:lineRule="auto"/>
        <w:rPr>
          <w:rFonts w:hint="eastAsia" w:ascii="宋体" w:hAnsi="宋体" w:eastAsia="宋体" w:cs="宋体"/>
          <w:b/>
          <w:sz w:val="21"/>
          <w:szCs w:val="21"/>
          <w:highlight w:val="none"/>
        </w:rPr>
      </w:pPr>
    </w:p>
    <w:p w14:paraId="55FADF9A">
      <w:pPr>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3717E40D">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30" w:name="_Toc2600"/>
      <w:bookmarkStart w:id="31" w:name="_Toc4236"/>
      <w:r>
        <w:rPr>
          <w:rFonts w:hint="eastAsia" w:ascii="宋体" w:hAnsi="宋体" w:eastAsia="宋体" w:cs="宋体"/>
          <w:b/>
          <w:sz w:val="24"/>
          <w:szCs w:val="24"/>
          <w:highlight w:val="none"/>
        </w:rPr>
        <w:t>一、总  则</w:t>
      </w:r>
      <w:bookmarkEnd w:id="30"/>
      <w:bookmarkEnd w:id="31"/>
    </w:p>
    <w:p w14:paraId="79C87DDD">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32" w:name="_Toc1773"/>
      <w:bookmarkStart w:id="33" w:name="_Toc8700"/>
      <w:r>
        <w:rPr>
          <w:rFonts w:hint="eastAsia" w:ascii="宋体" w:hAnsi="宋体" w:eastAsia="宋体" w:cs="宋体"/>
          <w:b/>
          <w:sz w:val="24"/>
          <w:szCs w:val="24"/>
          <w:highlight w:val="none"/>
        </w:rPr>
        <w:t>（一）适用范围</w:t>
      </w:r>
      <w:bookmarkEnd w:id="32"/>
      <w:bookmarkEnd w:id="33"/>
    </w:p>
    <w:p w14:paraId="788DCE3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本磋商文件适用于本次项目的评标、定标、验收、合同履约、付款等（法律、法规另有规定的，从其规定）。</w:t>
      </w:r>
    </w:p>
    <w:p w14:paraId="7D2D335C">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34" w:name="_Toc6674"/>
      <w:bookmarkStart w:id="35" w:name="_Toc17854"/>
      <w:r>
        <w:rPr>
          <w:rFonts w:hint="eastAsia" w:ascii="宋体" w:hAnsi="宋体" w:eastAsia="宋体" w:cs="宋体"/>
          <w:b/>
          <w:sz w:val="24"/>
          <w:szCs w:val="24"/>
          <w:highlight w:val="none"/>
        </w:rPr>
        <w:t>（二）定义</w:t>
      </w:r>
      <w:bookmarkEnd w:id="34"/>
      <w:bookmarkEnd w:id="35"/>
    </w:p>
    <w:p w14:paraId="42A0DED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1、“采购人”系指组织本次采购的单位：</w:t>
      </w:r>
      <w:r>
        <w:rPr>
          <w:rFonts w:hint="eastAsia" w:hAnsi="宋体" w:eastAsia="宋体" w:cs="宋体"/>
          <w:sz w:val="24"/>
          <w:szCs w:val="24"/>
          <w:highlight w:val="none"/>
          <w:lang w:val="en-US" w:eastAsia="zh-CN"/>
        </w:rPr>
        <w:t>舟山市普陀区东极镇人民政府</w:t>
      </w:r>
      <w:r>
        <w:rPr>
          <w:rFonts w:hint="eastAsia" w:ascii="宋体" w:hAnsi="宋体" w:eastAsia="宋体" w:cs="宋体"/>
          <w:sz w:val="24"/>
          <w:szCs w:val="24"/>
          <w:highlight w:val="none"/>
        </w:rPr>
        <w:t>。</w:t>
      </w:r>
    </w:p>
    <w:p w14:paraId="7C6717D4">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2、“招标代理机构”系指中金招标有限责任公司。</w:t>
      </w:r>
    </w:p>
    <w:p w14:paraId="425046C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3、“响应人”系指向招标代理机构提交响应文件的供应商。</w:t>
      </w:r>
    </w:p>
    <w:p w14:paraId="1FF70D80">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4、“成交人”系指经磋商小组评定，且审查通过，并经公示无异议的合格响应人。</w:t>
      </w:r>
    </w:p>
    <w:p w14:paraId="233291B0">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5、“响应人代表”系指全权代表响应人参加本次磋商活动并签署响应文件的人，如果响应人代表不是响应人的法定代表人，须提供《法定代表人授权函》。</w:t>
      </w:r>
    </w:p>
    <w:p w14:paraId="46D4539F">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6、“产品”系指按磋商文件规定，须向采购人提供的一切产品、保险、税金、备品备件、工具、手册及其它有关技术资料和材料。</w:t>
      </w:r>
    </w:p>
    <w:p w14:paraId="44AB0B31">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7、“服务”系指磋商文件规定响应人须承担的</w:t>
      </w:r>
      <w:r>
        <w:rPr>
          <w:rFonts w:hint="eastAsia" w:ascii="宋体" w:hAnsi="宋体" w:eastAsia="宋体" w:cs="宋体"/>
          <w:sz w:val="24"/>
          <w:szCs w:val="24"/>
          <w:highlight w:val="none"/>
          <w:lang w:val="en-US" w:eastAsia="zh-CN"/>
        </w:rPr>
        <w:t>检测</w:t>
      </w:r>
      <w:r>
        <w:rPr>
          <w:rFonts w:hint="eastAsia" w:ascii="宋体" w:hAnsi="宋体" w:eastAsia="宋体" w:cs="宋体"/>
          <w:sz w:val="24"/>
          <w:szCs w:val="24"/>
          <w:highlight w:val="none"/>
        </w:rPr>
        <w:t>、技术协助、校准、培训以及其他类似的义务。</w:t>
      </w:r>
    </w:p>
    <w:p w14:paraId="70382A23">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8、“项目”系指响应人按磋商文件规定向采购人提供的产品和服务。</w:t>
      </w:r>
    </w:p>
    <w:p w14:paraId="42C734C2">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9、“书面形式”包括信函、传真、快递、电报等。</w:t>
      </w:r>
    </w:p>
    <w:p w14:paraId="289B536C">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36" w:name="_Toc11893"/>
      <w:bookmarkStart w:id="37" w:name="_Toc24113"/>
      <w:r>
        <w:rPr>
          <w:rFonts w:hint="eastAsia" w:ascii="宋体" w:hAnsi="宋体" w:eastAsia="宋体" w:cs="宋体"/>
          <w:b/>
          <w:sz w:val="24"/>
          <w:szCs w:val="24"/>
          <w:highlight w:val="none"/>
        </w:rPr>
        <w:t>（三）采购方式</w:t>
      </w:r>
      <w:bookmarkEnd w:id="36"/>
      <w:bookmarkEnd w:id="37"/>
    </w:p>
    <w:p w14:paraId="2AEE287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本次采用竞争性磋商方式进行。</w:t>
      </w:r>
    </w:p>
    <w:p w14:paraId="63A77577">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lang w:val="en-US" w:eastAsia="zh-CN"/>
        </w:rPr>
      </w:pPr>
      <w:bookmarkStart w:id="38" w:name="_Toc9693"/>
      <w:bookmarkStart w:id="39" w:name="_Toc2374"/>
      <w:r>
        <w:rPr>
          <w:rFonts w:hint="eastAsia" w:ascii="宋体" w:hAnsi="宋体" w:eastAsia="宋体" w:cs="宋体"/>
          <w:b/>
          <w:sz w:val="24"/>
          <w:szCs w:val="24"/>
          <w:highlight w:val="none"/>
        </w:rPr>
        <w:t>（四）</w:t>
      </w:r>
      <w:r>
        <w:rPr>
          <w:rFonts w:hint="eastAsia" w:ascii="宋体" w:hAnsi="宋体" w:eastAsia="宋体" w:cs="宋体"/>
          <w:b/>
          <w:sz w:val="24"/>
          <w:szCs w:val="24"/>
          <w:highlight w:val="none"/>
          <w:lang w:val="en-US" w:eastAsia="zh-CN"/>
        </w:rPr>
        <w:t>预算金额</w:t>
      </w:r>
      <w:bookmarkEnd w:id="38"/>
      <w:bookmarkEnd w:id="39"/>
    </w:p>
    <w:p w14:paraId="119D4426">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b w:val="0"/>
          <w:bCs/>
          <w:i w:val="0"/>
          <w:iCs w:val="0"/>
          <w:caps w:val="0"/>
          <w:color w:val="auto"/>
          <w:spacing w:val="0"/>
          <w:sz w:val="24"/>
          <w:szCs w:val="24"/>
          <w:highlight w:val="none"/>
          <w:lang w:val="en-US" w:eastAsia="zh-CN"/>
        </w:rPr>
      </w:pPr>
      <w:r>
        <w:rPr>
          <w:rFonts w:hint="eastAsia" w:ascii="宋体" w:hAnsi="宋体" w:cs="宋体"/>
          <w:b w:val="0"/>
          <w:bCs/>
          <w:sz w:val="24"/>
          <w:szCs w:val="24"/>
          <w:highlight w:val="none"/>
          <w:lang w:val="en-US" w:eastAsia="zh-CN"/>
        </w:rPr>
        <w:t>47.96</w:t>
      </w:r>
      <w:r>
        <w:rPr>
          <w:rFonts w:hint="eastAsia" w:ascii="宋体" w:hAnsi="宋体" w:eastAsia="宋体" w:cs="宋体"/>
          <w:b w:val="0"/>
          <w:bCs/>
          <w:sz w:val="24"/>
          <w:szCs w:val="24"/>
          <w:highlight w:val="none"/>
          <w:lang w:val="en-US" w:eastAsia="zh-CN"/>
        </w:rPr>
        <w:t>万元</w:t>
      </w:r>
      <w:r>
        <w:rPr>
          <w:rFonts w:hint="eastAsia" w:ascii="宋体" w:hAnsi="宋体" w:eastAsia="宋体" w:cs="宋体"/>
          <w:b w:val="0"/>
          <w:bCs/>
          <w:sz w:val="24"/>
          <w:szCs w:val="24"/>
          <w:highlight w:val="none"/>
        </w:rPr>
        <w:t>，超过作投标无效处理</w:t>
      </w:r>
      <w:r>
        <w:rPr>
          <w:rFonts w:hint="eastAsia" w:ascii="宋体" w:hAnsi="宋体" w:eastAsia="宋体" w:cs="宋体"/>
          <w:b w:val="0"/>
          <w:bCs/>
          <w:i w:val="0"/>
          <w:iCs w:val="0"/>
          <w:caps w:val="0"/>
          <w:color w:val="auto"/>
          <w:spacing w:val="0"/>
          <w:sz w:val="24"/>
          <w:szCs w:val="24"/>
          <w:highlight w:val="none"/>
          <w:lang w:val="en-US" w:eastAsia="zh-CN"/>
        </w:rPr>
        <w:t>。</w:t>
      </w:r>
    </w:p>
    <w:p w14:paraId="4BD2DC80">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40" w:name="_Toc27795"/>
      <w:bookmarkStart w:id="41" w:name="_Toc1854"/>
      <w:r>
        <w:rPr>
          <w:rFonts w:hint="eastAsia" w:ascii="宋体" w:hAnsi="宋体" w:eastAsia="宋体" w:cs="宋体"/>
          <w:b/>
          <w:sz w:val="24"/>
          <w:szCs w:val="24"/>
          <w:highlight w:val="none"/>
        </w:rPr>
        <w:t>（五）联合体投标</w:t>
      </w:r>
      <w:bookmarkEnd w:id="40"/>
      <w:bookmarkEnd w:id="41"/>
    </w:p>
    <w:p w14:paraId="0503872A">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不接受联合体投标。</w:t>
      </w:r>
    </w:p>
    <w:p w14:paraId="7EAF547C">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lang w:val="en-US" w:eastAsia="zh-CN"/>
        </w:rPr>
      </w:pPr>
      <w:bookmarkStart w:id="42" w:name="_Toc29793"/>
      <w:bookmarkStart w:id="43" w:name="_Toc14240"/>
      <w:r>
        <w:rPr>
          <w:rFonts w:hint="eastAsia" w:ascii="宋体" w:hAnsi="宋体" w:eastAsia="宋体" w:cs="宋体"/>
          <w:b/>
          <w:sz w:val="24"/>
          <w:szCs w:val="24"/>
          <w:highlight w:val="none"/>
        </w:rPr>
        <w:t>（六）转包</w:t>
      </w:r>
      <w:r>
        <w:rPr>
          <w:rFonts w:hint="eastAsia" w:ascii="宋体" w:hAnsi="宋体" w:eastAsia="宋体" w:cs="宋体"/>
          <w:b/>
          <w:sz w:val="24"/>
          <w:szCs w:val="24"/>
          <w:highlight w:val="none"/>
          <w:lang w:val="en-US" w:eastAsia="zh-CN"/>
        </w:rPr>
        <w:t>与分包</w:t>
      </w:r>
      <w:bookmarkEnd w:id="42"/>
      <w:bookmarkEnd w:id="43"/>
    </w:p>
    <w:p w14:paraId="43D797EF">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本项目不允许转包。</w:t>
      </w:r>
    </w:p>
    <w:p w14:paraId="7EC2AA3B">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本项目不允许分包。</w:t>
      </w:r>
    </w:p>
    <w:p w14:paraId="06B23B75">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44" w:name="_Toc28635"/>
      <w:bookmarkStart w:id="45" w:name="_Toc24842"/>
      <w:r>
        <w:rPr>
          <w:rFonts w:hint="eastAsia" w:ascii="宋体" w:hAnsi="宋体" w:eastAsia="宋体" w:cs="宋体"/>
          <w:b/>
          <w:sz w:val="24"/>
          <w:szCs w:val="24"/>
          <w:highlight w:val="none"/>
        </w:rPr>
        <w:t>（七）磋商相关费用</w:t>
      </w:r>
      <w:bookmarkEnd w:id="44"/>
      <w:bookmarkEnd w:id="45"/>
    </w:p>
    <w:p w14:paraId="27A1C0FA">
      <w:pPr>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不论竞争性磋商结果如何，响应人均应自行承担所有与磋商响应有关的全部费用。</w:t>
      </w:r>
    </w:p>
    <w:p w14:paraId="4BF90743">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kern w:val="0"/>
          <w:sz w:val="24"/>
          <w:szCs w:val="24"/>
          <w:highlight w:val="none"/>
        </w:rPr>
      </w:pPr>
      <w:bookmarkStart w:id="46" w:name="_Toc22070"/>
      <w:bookmarkStart w:id="47" w:name="_Toc840"/>
      <w:r>
        <w:rPr>
          <w:rFonts w:hint="eastAsia" w:ascii="宋体" w:hAnsi="宋体" w:eastAsia="宋体" w:cs="宋体"/>
          <w:b/>
          <w:kern w:val="0"/>
          <w:sz w:val="24"/>
          <w:szCs w:val="24"/>
          <w:highlight w:val="none"/>
        </w:rPr>
        <w:t>（八）答疑与澄清</w:t>
      </w:r>
      <w:bookmarkEnd w:id="46"/>
      <w:bookmarkEnd w:id="47"/>
    </w:p>
    <w:p w14:paraId="2F5FE8B8">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响应人如认为磋商文件表述不清晰、存在歧视性、排他性或者其他违法内容的，应当于202</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年</w:t>
      </w:r>
      <w:r>
        <w:rPr>
          <w:rFonts w:hint="eastAsia"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月</w:t>
      </w:r>
      <w:r>
        <w:rPr>
          <w:rFonts w:hint="eastAsia"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日17：00前，以书面形式要求采购人作出书面解释、澄清或者向采购人提出一次性书面质疑；采购人将组织答疑；答疑内容是磋商文件的组成部份，并将以书面形式送达所有已依法获取采购文件的响应人。</w:t>
      </w:r>
    </w:p>
    <w:p w14:paraId="1C94137A">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1、根据《中华人民共和国政府采购法实施条例》第五十三条：政府采购法第五十二条规定的供应商应知其权益受到损害之日，是指：</w:t>
      </w:r>
    </w:p>
    <w:p w14:paraId="042A3020">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①对可以质疑的采购文件提出质疑的，为收到采购文件之日或者采购文件公告期限届满之日；</w:t>
      </w:r>
    </w:p>
    <w:p w14:paraId="616F31F3">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②对采购过程提出质疑的，为各采购程序环节结束之日；</w:t>
      </w:r>
    </w:p>
    <w:p w14:paraId="349BDEC8">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③对中标或者成交结果提出质疑的，为中标或者成交结果公告期限届满之日。</w:t>
      </w:r>
    </w:p>
    <w:p w14:paraId="19F5F2FC">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2、质疑书应包括下列主要内容：</w:t>
      </w:r>
    </w:p>
    <w:p w14:paraId="5D4645B5">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①质疑人的名称、地址、邮政编码、联系人、联系电话，以及被质疑人名称及联系方式；</w:t>
      </w:r>
    </w:p>
    <w:p w14:paraId="13D3B470">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②被质疑采购项目名称、编号及采购内容；</w:t>
      </w:r>
    </w:p>
    <w:p w14:paraId="3803C772">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③具体的质疑事项及事实依据；</w:t>
      </w:r>
    </w:p>
    <w:p w14:paraId="20E890D6">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④认为自己合法权益受到损害或可能受到损害的相关证据材料；</w:t>
      </w:r>
    </w:p>
    <w:p w14:paraId="56953113">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⑤提出质疑的日期。</w:t>
      </w:r>
    </w:p>
    <w:p w14:paraId="51B899E9">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采购人或者招标代理机构应当在3个工作日内对供应商依法提出的询问作出答复。采购人或者招标代理机构应当在7个工作日内对供应商依法提出的质疑作出答复。供应商提出的询问或者质疑超出采购人对招标代理机构委托授权范围的，招标代理机构应当告知供应商向采购人提出。政府采购评审专家应当配合采购人或者招标代理机构答复供应商的询问和质疑。</w:t>
      </w:r>
    </w:p>
    <w:p w14:paraId="23413FD9">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4、质疑供应商对采购人、招标代理机构的答复不满意或者采购人、招标代理机构未在规定的时间内作出答复的，可以在答复期满后</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个工作日内向同级政府采购监督管理部门投诉。</w:t>
      </w:r>
    </w:p>
    <w:p w14:paraId="589ED994">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070F77C1">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48" w:name="_Toc29806"/>
      <w:bookmarkStart w:id="49" w:name="_Toc18067"/>
      <w:r>
        <w:rPr>
          <w:rFonts w:hint="eastAsia" w:ascii="宋体" w:hAnsi="宋体" w:eastAsia="宋体" w:cs="宋体"/>
          <w:b/>
          <w:sz w:val="24"/>
          <w:szCs w:val="24"/>
          <w:highlight w:val="none"/>
        </w:rPr>
        <w:t>（九）信用记录</w:t>
      </w:r>
      <w:bookmarkEnd w:id="48"/>
      <w:bookmarkEnd w:id="49"/>
    </w:p>
    <w:p w14:paraId="5CBA4731">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根据财库[2016]125号《关于在政府采购活动中查询及使用信用记录有关问题的通知》要求，招标代理机构会对供应商信用记录进行查询并甄别。</w:t>
      </w:r>
    </w:p>
    <w:p w14:paraId="1B7A9AA1">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1、信用信息查询的截止时点：投标截止时间前查询；</w:t>
      </w:r>
    </w:p>
    <w:p w14:paraId="05661D37">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2、查询渠道：</w:t>
      </w:r>
    </w:p>
    <w:p w14:paraId="15DB9C0B">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信用中国（www.creditchina.gov.cn）；</w:t>
      </w:r>
    </w:p>
    <w:p w14:paraId="29EC0A66">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中国政府采购网（www.ccgp.gov.cn）；</w:t>
      </w:r>
    </w:p>
    <w:p w14:paraId="295A1415">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3、信用信息查询记录和证据留存具体方式：招标代理机构经办人和监督人员将查询网页打印、签字与其他采购文件一并保存；</w:t>
      </w:r>
    </w:p>
    <w:p w14:paraId="726D140C">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4、信用信息的使用规则：响应人存在不良信用记录的，其投标将被作为无效响应被拒绝。</w:t>
      </w:r>
    </w:p>
    <w:p w14:paraId="7AA41CB4">
      <w:pPr>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不良信用记录指：被列入失信被执行人、重大税收违法案件当事人名单、政府采购严重违法失信行为记录名单。</w:t>
      </w:r>
    </w:p>
    <w:p w14:paraId="02C1ACE5">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bCs/>
          <w:sz w:val="24"/>
          <w:szCs w:val="24"/>
          <w:highlight w:val="none"/>
        </w:rPr>
      </w:pPr>
      <w:bookmarkStart w:id="50" w:name="_Toc5777"/>
      <w:bookmarkStart w:id="51" w:name="_Toc27289"/>
      <w:r>
        <w:rPr>
          <w:rFonts w:hint="eastAsia" w:ascii="宋体" w:hAnsi="宋体" w:eastAsia="宋体" w:cs="宋体"/>
          <w:b/>
          <w:bCs/>
          <w:sz w:val="24"/>
          <w:szCs w:val="24"/>
          <w:highlight w:val="none"/>
        </w:rPr>
        <w:t>（十）信贷政策</w:t>
      </w:r>
      <w:bookmarkEnd w:id="50"/>
      <w:bookmarkEnd w:id="51"/>
    </w:p>
    <w:p w14:paraId="6A48B560">
      <w:pPr>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213"/>
        <w:gridCol w:w="2352"/>
        <w:gridCol w:w="2028"/>
      </w:tblGrid>
      <w:tr w14:paraId="1E25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138" w:type="dxa"/>
            <w:gridSpan w:val="4"/>
            <w:noWrap w:val="0"/>
            <w:vAlign w:val="center"/>
          </w:tcPr>
          <w:p w14:paraId="3A9371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舟山市政府采购信用融资合作银行</w:t>
            </w:r>
          </w:p>
        </w:tc>
      </w:tr>
      <w:tr w14:paraId="32B1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5" w:type="dxa"/>
            <w:noWrap w:val="0"/>
            <w:vAlign w:val="center"/>
          </w:tcPr>
          <w:p w14:paraId="6115C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银行名称</w:t>
            </w:r>
          </w:p>
        </w:tc>
        <w:tc>
          <w:tcPr>
            <w:tcW w:w="4213" w:type="dxa"/>
            <w:noWrap w:val="0"/>
            <w:vAlign w:val="center"/>
          </w:tcPr>
          <w:p w14:paraId="063EE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各银行介绍的</w:t>
            </w:r>
            <w:r>
              <w:rPr>
                <w:rFonts w:hint="eastAsia" w:ascii="宋体" w:hAnsi="宋体" w:eastAsia="宋体" w:cs="宋体"/>
                <w:color w:val="000000"/>
                <w:sz w:val="24"/>
                <w:szCs w:val="24"/>
                <w:highlight w:val="none"/>
              </w:rPr>
              <w:t>产品特点</w:t>
            </w:r>
          </w:p>
        </w:tc>
        <w:tc>
          <w:tcPr>
            <w:tcW w:w="2352" w:type="dxa"/>
            <w:noWrap w:val="0"/>
            <w:vAlign w:val="center"/>
          </w:tcPr>
          <w:p w14:paraId="6E5DDE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经办人</w:t>
            </w:r>
          </w:p>
        </w:tc>
        <w:tc>
          <w:tcPr>
            <w:tcW w:w="2028" w:type="dxa"/>
            <w:noWrap w:val="0"/>
            <w:vAlign w:val="center"/>
          </w:tcPr>
          <w:p w14:paraId="01A34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w:t>
            </w:r>
          </w:p>
        </w:tc>
      </w:tr>
      <w:tr w14:paraId="4607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14:paraId="4681C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中国工商银行股份有限公司舟山分行</w:t>
            </w:r>
          </w:p>
        </w:tc>
        <w:tc>
          <w:tcPr>
            <w:tcW w:w="4213" w:type="dxa"/>
            <w:noWrap w:val="0"/>
            <w:vAlign w:val="center"/>
          </w:tcPr>
          <w:p w14:paraId="306471C6">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融资额度高，融资金额最高可至订单金额70%，线上申请，随借随还。</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融资利率低，最低可至当期LPR利率。</w:t>
            </w:r>
          </w:p>
          <w:p w14:paraId="654BF1E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担保方式灵活，以政府采购合同进行融资，无需另外抵押。</w:t>
            </w:r>
          </w:p>
        </w:tc>
        <w:tc>
          <w:tcPr>
            <w:tcW w:w="2352" w:type="dxa"/>
            <w:noWrap w:val="0"/>
            <w:vAlign w:val="center"/>
          </w:tcPr>
          <w:p w14:paraId="2A54A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柳超颖</w:t>
            </w:r>
          </w:p>
        </w:tc>
        <w:tc>
          <w:tcPr>
            <w:tcW w:w="2028" w:type="dxa"/>
            <w:noWrap w:val="0"/>
            <w:vAlign w:val="center"/>
          </w:tcPr>
          <w:p w14:paraId="6D62D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0580-2166242, </w:t>
            </w:r>
            <w:r>
              <w:rPr>
                <w:rFonts w:hint="eastAsia" w:ascii="宋体" w:hAnsi="宋体" w:eastAsia="宋体" w:cs="宋体"/>
                <w:color w:val="000000"/>
                <w:sz w:val="24"/>
                <w:szCs w:val="24"/>
                <w:highlight w:val="none"/>
              </w:rPr>
              <w:t>15858076468</w:t>
            </w:r>
          </w:p>
        </w:tc>
      </w:tr>
      <w:tr w14:paraId="128D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45" w:type="dxa"/>
            <w:noWrap w:val="0"/>
            <w:vAlign w:val="center"/>
          </w:tcPr>
          <w:p w14:paraId="7D5969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中国建设银行股份有限公司舟山分行</w:t>
            </w:r>
          </w:p>
        </w:tc>
        <w:tc>
          <w:tcPr>
            <w:tcW w:w="4213" w:type="dxa"/>
            <w:noWrap w:val="0"/>
            <w:vAlign w:val="center"/>
          </w:tcPr>
          <w:p w14:paraId="5AA6AA80">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快速便捷：全流程线上操作，通过浙江省政府采购网数据审核信用额度，建行供应链平台快速放款。</w:t>
            </w:r>
          </w:p>
          <w:p w14:paraId="6E789367">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申请额度高：单笔融资额度最高可达政府采购合同金额的90%，单户额度最高可达3000万。</w:t>
            </w:r>
          </w:p>
          <w:p w14:paraId="2691BEAB">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无需额外抵押：以浙江省政府采购网备案公示的政府采购合同进行融资，无需额外抵押担保。</w:t>
            </w:r>
          </w:p>
          <w:p w14:paraId="1041BF4D">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利率优惠：给予流动资金贷款最优惠利率。</w:t>
            </w:r>
          </w:p>
        </w:tc>
        <w:tc>
          <w:tcPr>
            <w:tcW w:w="2352" w:type="dxa"/>
            <w:noWrap w:val="0"/>
            <w:vAlign w:val="center"/>
          </w:tcPr>
          <w:p w14:paraId="0AD91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普陀片区：蔡妮妮</w:t>
            </w:r>
          </w:p>
          <w:p w14:paraId="51BB3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定海片区：杨莹</w:t>
            </w:r>
          </w:p>
          <w:p w14:paraId="0D7CC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自贸区片区：</w:t>
            </w:r>
            <w:r>
              <w:rPr>
                <w:rFonts w:hint="eastAsia" w:ascii="宋体" w:hAnsi="宋体" w:eastAsia="宋体" w:cs="宋体"/>
                <w:color w:val="000000"/>
                <w:sz w:val="24"/>
                <w:szCs w:val="24"/>
                <w:highlight w:val="none"/>
                <w:lang w:eastAsia="zh-CN"/>
              </w:rPr>
              <w:t>方晓</w:t>
            </w:r>
          </w:p>
        </w:tc>
        <w:tc>
          <w:tcPr>
            <w:tcW w:w="2028" w:type="dxa"/>
            <w:noWrap w:val="0"/>
            <w:vAlign w:val="center"/>
          </w:tcPr>
          <w:p w14:paraId="4C2C0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普陀片区：13957201791</w:t>
            </w:r>
          </w:p>
          <w:p w14:paraId="515C9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定海片区：13655803997</w:t>
            </w:r>
          </w:p>
          <w:p w14:paraId="30845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自贸区片区：</w:t>
            </w:r>
            <w:r>
              <w:rPr>
                <w:rFonts w:hint="eastAsia" w:ascii="宋体" w:hAnsi="宋体" w:eastAsia="宋体" w:cs="宋体"/>
                <w:color w:val="000000"/>
                <w:sz w:val="24"/>
                <w:szCs w:val="24"/>
                <w:highlight w:val="none"/>
                <w:lang w:val="en-US" w:eastAsia="zh-CN"/>
              </w:rPr>
              <w:t>13587086324</w:t>
            </w:r>
          </w:p>
        </w:tc>
      </w:tr>
      <w:tr w14:paraId="68BF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14:paraId="018B63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杭州银行股份有限公司舟山市分行</w:t>
            </w:r>
          </w:p>
        </w:tc>
        <w:tc>
          <w:tcPr>
            <w:tcW w:w="4213" w:type="dxa"/>
            <w:noWrap w:val="0"/>
            <w:vAlign w:val="center"/>
          </w:tcPr>
          <w:p w14:paraId="3FA4A7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352" w:type="dxa"/>
            <w:noWrap w:val="0"/>
            <w:vAlign w:val="center"/>
          </w:tcPr>
          <w:p w14:paraId="59A8E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方经理</w:t>
            </w:r>
          </w:p>
        </w:tc>
        <w:tc>
          <w:tcPr>
            <w:tcW w:w="2028" w:type="dxa"/>
            <w:noWrap w:val="0"/>
            <w:vAlign w:val="center"/>
          </w:tcPr>
          <w:p w14:paraId="10DBF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0580-2185201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18205800451</w:t>
            </w:r>
          </w:p>
        </w:tc>
      </w:tr>
      <w:tr w14:paraId="5AE2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14:paraId="75BE7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招商银行股份有限公司浙江自贸试验区舟山分行</w:t>
            </w:r>
          </w:p>
        </w:tc>
        <w:tc>
          <w:tcPr>
            <w:tcW w:w="4213" w:type="dxa"/>
            <w:noWrap w:val="0"/>
            <w:vAlign w:val="center"/>
          </w:tcPr>
          <w:p w14:paraId="39CB8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352" w:type="dxa"/>
            <w:noWrap w:val="0"/>
            <w:vAlign w:val="center"/>
          </w:tcPr>
          <w:p w14:paraId="58B6A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李玲</w:t>
            </w:r>
          </w:p>
        </w:tc>
        <w:tc>
          <w:tcPr>
            <w:tcW w:w="2028" w:type="dxa"/>
            <w:noWrap w:val="0"/>
            <w:vAlign w:val="center"/>
          </w:tcPr>
          <w:p w14:paraId="3543B1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0580-2061710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13957227971</w:t>
            </w:r>
          </w:p>
        </w:tc>
      </w:tr>
      <w:tr w14:paraId="1724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45" w:type="dxa"/>
            <w:noWrap w:val="0"/>
            <w:vAlign w:val="center"/>
          </w:tcPr>
          <w:p w14:paraId="56A57E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温州银行股份有限公司舟山市分行</w:t>
            </w:r>
          </w:p>
        </w:tc>
        <w:tc>
          <w:tcPr>
            <w:tcW w:w="4213" w:type="dxa"/>
            <w:noWrap w:val="0"/>
            <w:vAlign w:val="center"/>
          </w:tcPr>
          <w:p w14:paraId="1F7D96F8">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单</w:t>
            </w:r>
            <w:r>
              <w:rPr>
                <w:rFonts w:hint="eastAsia" w:ascii="宋体" w:hAnsi="宋体" w:eastAsia="宋体" w:cs="宋体"/>
                <w:color w:val="000000"/>
                <w:sz w:val="24"/>
                <w:szCs w:val="24"/>
                <w:highlight w:val="none"/>
              </w:rPr>
              <w:t>户授信敞口最高不超过1000万元，且最高额度核定一般不超过借款人（含实际控制人控制的其他经营实体）最近13个月合计有效中标合同金额的70%</w:t>
            </w:r>
            <w:r>
              <w:rPr>
                <w:rFonts w:hint="eastAsia" w:ascii="宋体" w:hAnsi="宋体" w:eastAsia="宋体" w:cs="宋体"/>
                <w:color w:val="000000"/>
                <w:sz w:val="24"/>
                <w:szCs w:val="24"/>
                <w:highlight w:val="none"/>
                <w:lang w:eastAsia="zh-CN"/>
              </w:rPr>
              <w:t>。</w:t>
            </w:r>
          </w:p>
          <w:p w14:paraId="7D547A91">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单笔借款额度最高不超过1000万元，单笔业务授信额度不超过“政采云平台”提供的中标通知书承载的中标金额或本次申请授信提供的采购合同金额的80%，且用信金额不超过采购合同未付金额的80%</w:t>
            </w:r>
            <w:r>
              <w:rPr>
                <w:rFonts w:hint="eastAsia" w:ascii="宋体" w:hAnsi="宋体" w:eastAsia="宋体" w:cs="宋体"/>
                <w:color w:val="000000"/>
                <w:sz w:val="24"/>
                <w:szCs w:val="24"/>
                <w:highlight w:val="none"/>
                <w:lang w:eastAsia="zh-CN"/>
              </w:rPr>
              <w:t>。</w:t>
            </w:r>
          </w:p>
          <w:p w14:paraId="1C858A11">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借款人中标采购人自行采购项目并向我行发起授信申请的，单笔业务授信敞口不超500万元，且不超过借款人中标通知书承载的中标金额或本次申请授信提供的采购合同的80%。</w:t>
            </w:r>
          </w:p>
          <w:p w14:paraId="467A517F">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符合我行采购人资质的，且负债率不超75%，配合应收账款质押登记确认的，并可出具确认函，单笔借款额度可按不超过采购合同的90%办理。</w:t>
            </w:r>
          </w:p>
        </w:tc>
        <w:tc>
          <w:tcPr>
            <w:tcW w:w="2352" w:type="dxa"/>
            <w:noWrap w:val="0"/>
            <w:vAlign w:val="center"/>
          </w:tcPr>
          <w:p w14:paraId="49F9EE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郑贤栋</w:t>
            </w:r>
          </w:p>
        </w:tc>
        <w:tc>
          <w:tcPr>
            <w:tcW w:w="2028" w:type="dxa"/>
            <w:noWrap w:val="0"/>
            <w:vAlign w:val="center"/>
          </w:tcPr>
          <w:p w14:paraId="3292FE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058—8866086</w:t>
            </w:r>
          </w:p>
        </w:tc>
      </w:tr>
      <w:tr w14:paraId="3701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14:paraId="5BB1A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交通银行股份有限公司舟山分行</w:t>
            </w:r>
          </w:p>
        </w:tc>
        <w:tc>
          <w:tcPr>
            <w:tcW w:w="4213" w:type="dxa"/>
            <w:noWrap w:val="0"/>
            <w:vAlign w:val="center"/>
          </w:tcPr>
          <w:p w14:paraId="2FA7CD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352" w:type="dxa"/>
            <w:noWrap w:val="0"/>
            <w:vAlign w:val="center"/>
          </w:tcPr>
          <w:p w14:paraId="1D3BE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赵争艳</w:t>
            </w:r>
          </w:p>
        </w:tc>
        <w:tc>
          <w:tcPr>
            <w:tcW w:w="2028" w:type="dxa"/>
            <w:noWrap w:val="0"/>
            <w:vAlign w:val="center"/>
          </w:tcPr>
          <w:p w14:paraId="510AF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0580-2260728</w:t>
            </w:r>
          </w:p>
          <w:p w14:paraId="084CF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13758007280</w:t>
            </w:r>
          </w:p>
        </w:tc>
      </w:tr>
      <w:tr w14:paraId="1B77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5" w:type="dxa"/>
            <w:noWrap w:val="0"/>
            <w:vAlign w:val="center"/>
          </w:tcPr>
          <w:p w14:paraId="36A64F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中信银行股份有限公司舟山分行</w:t>
            </w:r>
          </w:p>
        </w:tc>
        <w:tc>
          <w:tcPr>
            <w:tcW w:w="4213" w:type="dxa"/>
            <w:noWrap w:val="0"/>
            <w:vAlign w:val="center"/>
          </w:tcPr>
          <w:p w14:paraId="4F446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352" w:type="dxa"/>
            <w:noWrap w:val="0"/>
            <w:vAlign w:val="center"/>
          </w:tcPr>
          <w:p w14:paraId="3DCF0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rPr>
              <w:t>黄丽</w:t>
            </w:r>
          </w:p>
        </w:tc>
        <w:tc>
          <w:tcPr>
            <w:tcW w:w="2028" w:type="dxa"/>
            <w:noWrap w:val="0"/>
            <w:vAlign w:val="center"/>
          </w:tcPr>
          <w:p w14:paraId="44124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rPr>
              <w:t>13905808032</w:t>
            </w:r>
          </w:p>
        </w:tc>
      </w:tr>
      <w:tr w14:paraId="5086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5" w:type="dxa"/>
            <w:noWrap w:val="0"/>
            <w:vAlign w:val="center"/>
          </w:tcPr>
          <w:p w14:paraId="1667B4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泰隆银行舟山市分行</w:t>
            </w:r>
          </w:p>
        </w:tc>
        <w:tc>
          <w:tcPr>
            <w:tcW w:w="4213" w:type="dxa"/>
            <w:noWrap w:val="0"/>
            <w:vAlign w:val="center"/>
          </w:tcPr>
          <w:p w14:paraId="6E39B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352" w:type="dxa"/>
            <w:noWrap w:val="0"/>
            <w:vAlign w:val="center"/>
          </w:tcPr>
          <w:p w14:paraId="4D6A36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胡亢宇</w:t>
            </w:r>
          </w:p>
        </w:tc>
        <w:tc>
          <w:tcPr>
            <w:tcW w:w="2028" w:type="dxa"/>
            <w:noWrap w:val="0"/>
            <w:vAlign w:val="center"/>
          </w:tcPr>
          <w:p w14:paraId="2F3C3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17605868703</w:t>
            </w:r>
          </w:p>
        </w:tc>
      </w:tr>
      <w:tr w14:paraId="324D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5" w:type="dxa"/>
            <w:noWrap w:val="0"/>
            <w:vAlign w:val="center"/>
          </w:tcPr>
          <w:p w14:paraId="54B31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中国农业银行股份有限公司舟山分行</w:t>
            </w:r>
          </w:p>
        </w:tc>
        <w:tc>
          <w:tcPr>
            <w:tcW w:w="4213" w:type="dxa"/>
            <w:noWrap w:val="0"/>
            <w:vAlign w:val="center"/>
          </w:tcPr>
          <w:p w14:paraId="7BE8C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eastAsia="zh-CN"/>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352" w:type="dxa"/>
            <w:noWrap w:val="0"/>
            <w:vAlign w:val="center"/>
          </w:tcPr>
          <w:p w14:paraId="122C7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苏华瞻</w:t>
            </w:r>
          </w:p>
        </w:tc>
        <w:tc>
          <w:tcPr>
            <w:tcW w:w="2028" w:type="dxa"/>
            <w:noWrap w:val="0"/>
            <w:vAlign w:val="center"/>
          </w:tcPr>
          <w:p w14:paraId="47D94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13967228926</w:t>
            </w:r>
          </w:p>
        </w:tc>
      </w:tr>
      <w:tr w14:paraId="20EB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45" w:type="dxa"/>
            <w:noWrap w:val="0"/>
            <w:vAlign w:val="center"/>
          </w:tcPr>
          <w:p w14:paraId="398285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中国邮政储蓄银行股份有限公司舟山市分行</w:t>
            </w:r>
          </w:p>
        </w:tc>
        <w:tc>
          <w:tcPr>
            <w:tcW w:w="4213" w:type="dxa"/>
            <w:noWrap w:val="0"/>
            <w:vAlign w:val="center"/>
          </w:tcPr>
          <w:p w14:paraId="15C5C677">
            <w:pPr>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符合我行基本准入，</w:t>
            </w:r>
            <w:r>
              <w:rPr>
                <w:rFonts w:hint="eastAsia" w:ascii="宋体" w:hAnsi="宋体" w:eastAsia="宋体" w:cs="宋体"/>
                <w:color w:val="000000"/>
                <w:sz w:val="24"/>
                <w:szCs w:val="24"/>
                <w:highlight w:val="none"/>
                <w:lang w:val="en-US" w:eastAsia="zh-CN"/>
              </w:rPr>
              <w:t>授信额度使用期最高为2年</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单户授信最高为500万</w:t>
            </w:r>
            <w:r>
              <w:rPr>
                <w:rFonts w:hint="eastAsia" w:ascii="宋体" w:hAnsi="宋体" w:eastAsia="宋体" w:cs="宋体"/>
                <w:color w:val="000000"/>
                <w:sz w:val="24"/>
                <w:szCs w:val="24"/>
                <w:highlight w:val="none"/>
              </w:rPr>
              <w:t>，担保方式享受信用贷款执行，利率最低可至当期LPR ，</w:t>
            </w:r>
            <w:r>
              <w:rPr>
                <w:rFonts w:hint="eastAsia" w:ascii="宋体" w:hAnsi="宋体" w:eastAsia="宋体" w:cs="宋体"/>
                <w:color w:val="000000"/>
                <w:sz w:val="24"/>
                <w:szCs w:val="24"/>
                <w:highlight w:val="none"/>
                <w:lang w:val="en-US" w:eastAsia="zh-CN"/>
              </w:rPr>
              <w:t>有无还本续贷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12月份线上产品可以自主自贷。</w:t>
            </w:r>
          </w:p>
        </w:tc>
        <w:tc>
          <w:tcPr>
            <w:tcW w:w="2352" w:type="dxa"/>
            <w:noWrap w:val="0"/>
            <w:vAlign w:val="center"/>
          </w:tcPr>
          <w:p w14:paraId="7DBE7D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蒋志燕</w:t>
            </w:r>
          </w:p>
        </w:tc>
        <w:tc>
          <w:tcPr>
            <w:tcW w:w="2028" w:type="dxa"/>
            <w:noWrap w:val="0"/>
            <w:vAlign w:val="center"/>
          </w:tcPr>
          <w:p w14:paraId="5E20D7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contextualSpacing/>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13732527321</w:t>
            </w:r>
          </w:p>
        </w:tc>
      </w:tr>
    </w:tbl>
    <w:p w14:paraId="507C1D4C">
      <w:pPr>
        <w:pageBreakBefore w:val="0"/>
        <w:kinsoku/>
        <w:wordWrap/>
        <w:overflowPunct/>
        <w:topLinePunct w:val="0"/>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2、一般步骤</w:t>
      </w:r>
    </w:p>
    <w:p w14:paraId="370DC69F">
      <w:pPr>
        <w:pageBreakBefore w:val="0"/>
        <w:kinsoku/>
        <w:wordWrap/>
        <w:overflowPunct/>
        <w:topLinePunct w:val="0"/>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（1）供应商先与银行对接，办理融资前期手续；</w:t>
      </w:r>
    </w:p>
    <w:p w14:paraId="2B8BDA3A">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（2）供应商中标后，凭中标通知书等材料，向相关合作银行发出融资申请；</w:t>
      </w:r>
    </w:p>
    <w:p w14:paraId="16242E7E">
      <w:pPr>
        <w:pageBreakBefore w:val="0"/>
        <w:kinsoku/>
        <w:wordWrap/>
        <w:overflowPunct/>
        <w:topLinePunct w:val="0"/>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（3）银行、供应商线下办理审批、放贷事宜。</w:t>
      </w:r>
    </w:p>
    <w:p w14:paraId="479845AB">
      <w:pPr>
        <w:pageBreakBefore w:val="0"/>
        <w:kinsoku/>
        <w:wordWrap/>
        <w:overflowPunct/>
        <w:topLinePunct w:val="0"/>
        <w:bidi w:val="0"/>
        <w:spacing w:line="360" w:lineRule="auto"/>
        <w:ind w:firstLine="480" w:firstLineChars="20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3、注意事项</w:t>
      </w:r>
    </w:p>
    <w:p w14:paraId="19ED7F3A">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eastAsia="zh-CN"/>
        </w:rPr>
        <w:t>中标人</w:t>
      </w:r>
      <w:r>
        <w:rPr>
          <w:rFonts w:hint="eastAsia" w:ascii="宋体" w:hAnsi="宋体" w:eastAsia="宋体" w:cs="宋体"/>
          <w:bCs/>
          <w:sz w:val="24"/>
          <w:szCs w:val="24"/>
          <w:highlight w:val="none"/>
        </w:rPr>
        <w:t>需确保政府采购合同的收款账户与融资银行开户账户一致。</w:t>
      </w:r>
    </w:p>
    <w:p w14:paraId="5FCB366E">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（2）用于政府采购信用融资的政府采购合同，应当包含如下条款：“第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条：政府采购合同贷款</w:t>
      </w:r>
    </w:p>
    <w:p w14:paraId="68DFA020">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本合同同时用于乙方向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银行（金融机构）申请政府采购信用贷款。</w:t>
      </w:r>
    </w:p>
    <w:p w14:paraId="46A41AFB">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本合同一经签订，原则上不得更改乙方收款账户信息。确须更改的，乙方应取得原合同收款账户开户银行书面同意，否则修改后的合同不予备案，采购资金不予支付。”</w:t>
      </w:r>
    </w:p>
    <w:p w14:paraId="40AF35CA">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52" w:name="_Toc20775"/>
      <w:bookmarkStart w:id="53" w:name="_Toc1933"/>
      <w:r>
        <w:rPr>
          <w:rFonts w:hint="eastAsia" w:ascii="宋体" w:hAnsi="宋体" w:eastAsia="宋体" w:cs="宋体"/>
          <w:b/>
          <w:sz w:val="24"/>
          <w:szCs w:val="24"/>
          <w:highlight w:val="none"/>
        </w:rPr>
        <w:t>（十一）中金招标有限责任公司拥有本磋商文件最终解释权。</w:t>
      </w:r>
      <w:bookmarkEnd w:id="52"/>
      <w:bookmarkEnd w:id="53"/>
    </w:p>
    <w:p w14:paraId="37984937">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p>
    <w:p w14:paraId="026774C3">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54" w:name="_Toc31016"/>
      <w:bookmarkStart w:id="55" w:name="_Toc7299"/>
      <w:r>
        <w:rPr>
          <w:rFonts w:hint="eastAsia" w:ascii="宋体" w:hAnsi="宋体" w:eastAsia="宋体" w:cs="宋体"/>
          <w:b/>
          <w:sz w:val="24"/>
          <w:szCs w:val="24"/>
          <w:highlight w:val="none"/>
        </w:rPr>
        <w:t>二、磋商文件</w:t>
      </w:r>
      <w:bookmarkEnd w:id="54"/>
      <w:bookmarkEnd w:id="55"/>
    </w:p>
    <w:p w14:paraId="03364428">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56" w:name="_Toc13196"/>
      <w:bookmarkStart w:id="57" w:name="_Toc7071"/>
      <w:r>
        <w:rPr>
          <w:rFonts w:hint="eastAsia" w:ascii="宋体" w:hAnsi="宋体" w:eastAsia="宋体" w:cs="宋体"/>
          <w:b/>
          <w:sz w:val="24"/>
          <w:szCs w:val="24"/>
          <w:highlight w:val="none"/>
        </w:rPr>
        <w:t>（一）磋商文件的构成</w:t>
      </w:r>
      <w:bookmarkEnd w:id="56"/>
      <w:bookmarkEnd w:id="57"/>
    </w:p>
    <w:p w14:paraId="67F7B414">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第一章  竞争性磋商公告</w:t>
      </w:r>
    </w:p>
    <w:p w14:paraId="2EB35CD2">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第二章  采购需求</w:t>
      </w:r>
    </w:p>
    <w:p w14:paraId="5CF5210B">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第三章  响应人须知</w:t>
      </w:r>
    </w:p>
    <w:p w14:paraId="6D1449A3">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第四章  评标办法及标准</w:t>
      </w:r>
    </w:p>
    <w:p w14:paraId="07BBD26E">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第五章  合同主要条款</w:t>
      </w:r>
    </w:p>
    <w:p w14:paraId="33D9104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第六章  响应文件组成</w:t>
      </w:r>
    </w:p>
    <w:p w14:paraId="741193DD">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其他有关补充文件</w:t>
      </w:r>
    </w:p>
    <w:p w14:paraId="35FBC2E9">
      <w:pPr>
        <w:pStyle w:val="5"/>
        <w:pageBreakBefore w:val="0"/>
        <w:widowControl w:val="0"/>
        <w:kinsoku/>
        <w:wordWrap/>
        <w:overflowPunct/>
        <w:topLinePunct w:val="0"/>
        <w:bidi w:val="0"/>
        <w:snapToGrid w:val="0"/>
        <w:spacing w:after="0" w:afterLines="0" w:line="360" w:lineRule="auto"/>
        <w:ind w:left="0" w:firstLine="482" w:firstLineChars="200"/>
        <w:jc w:val="both"/>
        <w:outlineLvl w:val="1"/>
        <w:rPr>
          <w:rFonts w:hint="eastAsia" w:ascii="宋体" w:hAnsi="宋体" w:eastAsia="宋体" w:cs="宋体"/>
          <w:b/>
          <w:kern w:val="2"/>
          <w:sz w:val="24"/>
          <w:szCs w:val="24"/>
          <w:highlight w:val="none"/>
        </w:rPr>
      </w:pPr>
      <w:bookmarkStart w:id="58" w:name="_Toc23"/>
      <w:bookmarkStart w:id="59" w:name="_Toc8201"/>
      <w:r>
        <w:rPr>
          <w:rFonts w:hint="eastAsia" w:ascii="宋体" w:hAnsi="宋体" w:eastAsia="宋体" w:cs="宋体"/>
          <w:b/>
          <w:sz w:val="24"/>
          <w:szCs w:val="24"/>
          <w:highlight w:val="none"/>
        </w:rPr>
        <w:t>（</w:t>
      </w:r>
      <w:r>
        <w:rPr>
          <w:rFonts w:hint="eastAsia" w:ascii="宋体" w:hAnsi="宋体" w:eastAsia="宋体" w:cs="宋体"/>
          <w:b/>
          <w:kern w:val="2"/>
          <w:sz w:val="24"/>
          <w:szCs w:val="24"/>
          <w:highlight w:val="none"/>
        </w:rPr>
        <w:t>二）磋商文件的澄清与修改</w:t>
      </w:r>
      <w:bookmarkEnd w:id="58"/>
      <w:bookmarkEnd w:id="59"/>
      <w:r>
        <w:rPr>
          <w:rFonts w:hint="eastAsia" w:ascii="宋体" w:hAnsi="宋体" w:eastAsia="宋体" w:cs="宋体"/>
          <w:b/>
          <w:kern w:val="2"/>
          <w:sz w:val="24"/>
          <w:szCs w:val="24"/>
          <w:highlight w:val="none"/>
        </w:rPr>
        <w:t xml:space="preserve"> </w:t>
      </w:r>
    </w:p>
    <w:p w14:paraId="6C22133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人应认真阅读本磋商文件，发现其中有误或有要求不合理的，响应人必须在投标截止前5天内以书面形式要求采购人澄清。响应人对已发出的磋商文件进行必要澄清、答复、修改或补充的，应当在磋商文件要求提交响应文件截止时间5天前，在相关的采购信息发布媒体上发布更正公告，并通知所有已购买磋商文件的潜在响应人。</w:t>
      </w:r>
    </w:p>
    <w:p w14:paraId="657D777A">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2、采购人以书面形式答复响应人要求澄清的问题，并将不包含问题来源的答复书面通知所有购买磋商文件的潜在响应人；除书面答复以外的其他澄清方式及澄清内容均无效。</w:t>
      </w:r>
    </w:p>
    <w:p w14:paraId="70AE7634">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文件的答复、澄清、修改、补充通知实质上改变采购需求相关内容，且自磋商文件的答复、澄清、修改、补充通知发出之日起至投标截止时间止不足5天的，采购人可视情况推迟投标截止时间和开标时间，按规定在相关的采购信息发布媒体上发布变更公告，并将变更后的时间通知所有已购买磋商文件的潜在响应人。</w:t>
      </w:r>
    </w:p>
    <w:p w14:paraId="01AF0C4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4、磋商文件澄清、答复、修改、补充的内容为磋商文件的组成部分。当磋商文件与磋商文件的答复、澄清、修改、补充通知就同一内容的表述不一致时，以最后发出的书面文件为准。</w:t>
      </w:r>
    </w:p>
    <w:p w14:paraId="08F20553">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5、磋商文件的澄清、答复、修改或补充都应该通过本招标代理机构以法定形式发布，采购人非通过本招标代理机构的，不得擅自澄清、答复、修改或补充磋商文件。</w:t>
      </w:r>
    </w:p>
    <w:p w14:paraId="1A35AB78">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60" w:name="_Toc11904"/>
      <w:bookmarkStart w:id="61" w:name="_Toc6782"/>
      <w:r>
        <w:rPr>
          <w:rFonts w:hint="eastAsia" w:ascii="宋体" w:hAnsi="宋体" w:eastAsia="宋体" w:cs="宋体"/>
          <w:b/>
          <w:sz w:val="24"/>
          <w:szCs w:val="24"/>
          <w:highlight w:val="none"/>
        </w:rPr>
        <w:t>三、响应文件的编制</w:t>
      </w:r>
      <w:bookmarkEnd w:id="60"/>
      <w:bookmarkEnd w:id="61"/>
    </w:p>
    <w:p w14:paraId="0ABFC24F">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color w:val="000000"/>
          <w:sz w:val="24"/>
          <w:szCs w:val="24"/>
          <w:highlight w:val="none"/>
        </w:rPr>
      </w:pPr>
      <w:bookmarkStart w:id="62" w:name="_Toc11569"/>
      <w:bookmarkStart w:id="63" w:name="_Toc4509"/>
      <w:r>
        <w:rPr>
          <w:rFonts w:hint="eastAsia" w:ascii="宋体" w:hAnsi="宋体" w:eastAsia="宋体" w:cs="宋体"/>
          <w:b/>
          <w:color w:val="000000"/>
          <w:sz w:val="24"/>
          <w:szCs w:val="24"/>
          <w:highlight w:val="none"/>
        </w:rPr>
        <w:t>（一）响应文件的形式和效力</w:t>
      </w:r>
      <w:bookmarkEnd w:id="62"/>
      <w:bookmarkEnd w:id="63"/>
    </w:p>
    <w:p w14:paraId="37D912C4">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响应文件分为电子投标文件以及备份投标文件，备份投标文件为以介质存储的数据电文形式的投标文件。</w:t>
      </w:r>
    </w:p>
    <w:p w14:paraId="62E7848D">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1、电子投标文件，按“政采云供应商项目采购-电子招投标操作指南”及本采购文件要求制作、加密并递交。</w:t>
      </w:r>
    </w:p>
    <w:p w14:paraId="4F62AE3E">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2、以介质存储的数据电文形式的备份投标文件，按政采云供应商项目采购-电子招投标操作指南中制作的电子投标文件。</w:t>
      </w:r>
    </w:p>
    <w:p w14:paraId="65F7B11A">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投标文件的启用，按先后顺位分别为电子投标文件、以介质存储的数据电文形式的备份投标文件。在下一顺位的投标文件启用时，前一顺位的投标文件自动失效。</w:t>
      </w:r>
    </w:p>
    <w:p w14:paraId="52C98685">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color w:val="000000"/>
          <w:sz w:val="24"/>
          <w:szCs w:val="24"/>
          <w:highlight w:val="none"/>
        </w:rPr>
      </w:pPr>
      <w:bookmarkStart w:id="64" w:name="_Toc24044"/>
      <w:bookmarkStart w:id="65" w:name="_Toc25426"/>
      <w:r>
        <w:rPr>
          <w:rFonts w:hint="eastAsia" w:ascii="宋体" w:hAnsi="宋体" w:eastAsia="宋体" w:cs="宋体"/>
          <w:b/>
          <w:color w:val="000000"/>
          <w:sz w:val="24"/>
          <w:szCs w:val="24"/>
          <w:highlight w:val="none"/>
        </w:rPr>
        <w:t>（二）响应文件的组成</w:t>
      </w:r>
      <w:bookmarkEnd w:id="64"/>
      <w:bookmarkEnd w:id="65"/>
    </w:p>
    <w:p w14:paraId="21BEFC27">
      <w:pPr>
        <w:pageBreakBefore w:val="0"/>
        <w:kinsoku/>
        <w:wordWrap/>
        <w:overflowPunct/>
        <w:topLinePunct w:val="0"/>
        <w:bidi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响应文件由磋商报价文件、资格证明文件、商务文件、技术文件组成。</w:t>
      </w:r>
      <w:r>
        <w:rPr>
          <w:rFonts w:hint="eastAsia" w:ascii="宋体" w:hAnsi="宋体" w:eastAsia="宋体" w:cs="宋体"/>
          <w:color w:val="000000"/>
          <w:sz w:val="24"/>
          <w:szCs w:val="24"/>
          <w:highlight w:val="none"/>
        </w:rPr>
        <w:t>电子投标文件中所须加盖公章部分均采用CA签章。（具体要求详见第六章 响应文件组成）</w:t>
      </w:r>
    </w:p>
    <w:p w14:paraId="3ECB6EBB">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66" w:name="_Toc5628"/>
      <w:bookmarkStart w:id="67" w:name="_Toc22771"/>
      <w:r>
        <w:rPr>
          <w:rFonts w:hint="eastAsia" w:ascii="宋体" w:hAnsi="宋体" w:eastAsia="宋体" w:cs="宋体"/>
          <w:b/>
          <w:sz w:val="24"/>
          <w:szCs w:val="24"/>
          <w:highlight w:val="none"/>
        </w:rPr>
        <w:t>（三）响应文件的语言及计量</w:t>
      </w:r>
      <w:bookmarkEnd w:id="66"/>
      <w:bookmarkEnd w:id="67"/>
    </w:p>
    <w:p w14:paraId="76A006DA">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1、响应文件以及响应人与招标代理机构就有关投标事宜的所有来往函电，均应以中文汉语书写。除签名、盖章、专用名称、特殊证明材料等情形外，以中文汉语以外的文字表述的响应文件视同未提供。</w:t>
      </w:r>
    </w:p>
    <w:p w14:paraId="2106845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2、投标计量单位，应采用中华人民共和国法定计量单位（货币单位：人民币元），否则视同未响应。</w:t>
      </w:r>
    </w:p>
    <w:p w14:paraId="643FF882">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68" w:name="_Toc18416"/>
      <w:bookmarkStart w:id="69" w:name="_Toc23816"/>
      <w:r>
        <w:rPr>
          <w:rFonts w:hint="eastAsia" w:ascii="宋体" w:hAnsi="宋体" w:eastAsia="宋体" w:cs="宋体"/>
          <w:b/>
          <w:sz w:val="24"/>
          <w:szCs w:val="24"/>
          <w:highlight w:val="none"/>
        </w:rPr>
        <w:t>（四）磋商报价与相关费用</w:t>
      </w:r>
      <w:bookmarkEnd w:id="68"/>
      <w:bookmarkEnd w:id="69"/>
    </w:p>
    <w:p w14:paraId="456F99E0">
      <w:pPr>
        <w:pStyle w:val="14"/>
        <w:pageBreakBefore w:val="0"/>
        <w:kinsoku/>
        <w:wordWrap/>
        <w:overflowPunct/>
        <w:topLinePunct w:val="0"/>
        <w:bidi w:val="0"/>
        <w:snapToGrid w:val="0"/>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详见《响应人须知前附表》</w:t>
      </w:r>
    </w:p>
    <w:p w14:paraId="22185D50">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70" w:name="_Toc904"/>
      <w:bookmarkStart w:id="71" w:name="_Toc10141"/>
      <w:r>
        <w:rPr>
          <w:rFonts w:hint="eastAsia" w:ascii="宋体" w:hAnsi="宋体" w:eastAsia="宋体" w:cs="宋体"/>
          <w:b/>
          <w:sz w:val="24"/>
          <w:szCs w:val="24"/>
          <w:highlight w:val="none"/>
        </w:rPr>
        <w:t>（五）响应文件的有效期</w:t>
      </w:r>
      <w:bookmarkEnd w:id="70"/>
      <w:bookmarkEnd w:id="71"/>
    </w:p>
    <w:p w14:paraId="6F9F2F4E">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1、自投标截止日起90天响应文件应保持有效。有效期不足的响应文件将被拒绝。</w:t>
      </w:r>
    </w:p>
    <w:p w14:paraId="6E91F2E3">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2、在特殊情况下，采购人可与响应人协商延长响应文件的有效期，这种要求和答复均以书面形式进行。</w:t>
      </w:r>
    </w:p>
    <w:p w14:paraId="47032A4D">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3、成交人的响应文件自开标之日起至合同履行完毕止均应保持有效。</w:t>
      </w:r>
    </w:p>
    <w:p w14:paraId="54AE4A0A">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72" w:name="_Toc24672"/>
      <w:bookmarkStart w:id="73" w:name="_Toc3716"/>
      <w:r>
        <w:rPr>
          <w:rFonts w:hint="eastAsia" w:ascii="宋体" w:hAnsi="宋体" w:eastAsia="宋体" w:cs="宋体"/>
          <w:b/>
          <w:sz w:val="24"/>
          <w:szCs w:val="24"/>
          <w:highlight w:val="none"/>
        </w:rPr>
        <w:t>（六）响应文件的签署和编制</w:t>
      </w:r>
      <w:bookmarkEnd w:id="72"/>
      <w:bookmarkEnd w:id="73"/>
    </w:p>
    <w:p w14:paraId="5E102DFE">
      <w:pPr>
        <w:pageBreakBefore w:val="0"/>
        <w:kinsoku/>
        <w:wordWrap/>
        <w:overflowPunct/>
        <w:topLinePunct w:val="0"/>
        <w:bidi w:val="0"/>
        <w:adjustRightInd w:val="0"/>
        <w:snapToGrid w:val="0"/>
        <w:spacing w:line="360" w:lineRule="auto"/>
        <w:ind w:firstLine="482" w:firstLineChars="200"/>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1、电子投标文件部分：</w:t>
      </w:r>
    </w:p>
    <w:p w14:paraId="289C97FD">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投标人应根据“政采云供应商项目采购-电子招投标操作指南”及本采购文件规定的格式和顺序编制电子投标文件并进行关联定位。</w:t>
      </w:r>
    </w:p>
    <w:p w14:paraId="1E62A56C">
      <w:pPr>
        <w:pageBreakBefore w:val="0"/>
        <w:kinsoku/>
        <w:wordWrap/>
        <w:overflowPunct/>
        <w:topLinePunct w:val="0"/>
        <w:bidi w:val="0"/>
        <w:adjustRightInd w:val="0"/>
        <w:snapToGrid w:val="0"/>
        <w:spacing w:line="360" w:lineRule="auto"/>
        <w:ind w:firstLine="482" w:firstLineChars="200"/>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2、以介质存储的数据电文形式的备份投标文件部分：</w:t>
      </w:r>
    </w:p>
    <w:p w14:paraId="39BEA93B">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备份电子投标文件，以DVD光盘、U盘形式存储。</w:t>
      </w:r>
    </w:p>
    <w:p w14:paraId="24F7BCB0">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color w:val="000000"/>
          <w:sz w:val="24"/>
          <w:szCs w:val="24"/>
          <w:highlight w:val="none"/>
        </w:rPr>
      </w:pPr>
      <w:bookmarkStart w:id="74" w:name="_Toc17795"/>
      <w:bookmarkStart w:id="75" w:name="_Toc28151"/>
      <w:r>
        <w:rPr>
          <w:rFonts w:hint="eastAsia" w:ascii="宋体" w:hAnsi="宋体" w:eastAsia="宋体" w:cs="宋体"/>
          <w:b/>
          <w:color w:val="000000"/>
          <w:sz w:val="24"/>
          <w:szCs w:val="24"/>
          <w:highlight w:val="none"/>
        </w:rPr>
        <w:t>（七）备份投标文件的修改和撤回</w:t>
      </w:r>
      <w:bookmarkEnd w:id="74"/>
      <w:bookmarkEnd w:id="75"/>
    </w:p>
    <w:p w14:paraId="148079F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响应人在投标截止时间之前，可以对已提交的响应文件进行修改或撤回，并书面形式（响应人代表签字）通知招标代理机构；投标截止时间后，响应人不得撤回、修改响应文件。修改后重新递交的响应文件应当按本磋商文件的要求密封和签字。</w:t>
      </w:r>
    </w:p>
    <w:p w14:paraId="68E878D7">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76" w:name="_Toc7432"/>
      <w:bookmarkStart w:id="77" w:name="_Toc24920"/>
      <w:r>
        <w:rPr>
          <w:rFonts w:hint="eastAsia" w:ascii="宋体" w:hAnsi="宋体" w:eastAsia="宋体" w:cs="宋体"/>
          <w:b/>
          <w:sz w:val="24"/>
          <w:szCs w:val="24"/>
          <w:highlight w:val="none"/>
        </w:rPr>
        <w:t>（八）响应无效的情形</w:t>
      </w:r>
      <w:bookmarkEnd w:id="76"/>
      <w:bookmarkEnd w:id="77"/>
    </w:p>
    <w:p w14:paraId="7806C99B">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投标将被视为无效投标。响应人不得通过修正或撤消不合要求的偏离或保留从而使其投标成为实质上响应的投标。经磋商小组认定属于响应人笔误所造成的差错，应当允许其在评标结束之前进行修改或者补正（可以是复印件、传真件等）。修改或者补正响应文件必须以书面形式进行，并应在中标结果公告之前查核原件。限期内不补正或经补正后仍不符合磋商文件要求的，应认定其投标无效。投标人修改、补正响应文件后，不影响磋商小组对其响应文件所作的评价和评分结果。</w:t>
      </w:r>
    </w:p>
    <w:p w14:paraId="52DC4FE6">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1、在符合性审查和商务评审时，如发现下列情形之一的，响应文件将被视为无效响应：</w:t>
      </w:r>
    </w:p>
    <w:p w14:paraId="0052B0D0">
      <w:pPr>
        <w:pageBreakBefore w:val="0"/>
        <w:kinsoku/>
        <w:wordWrap/>
        <w:overflowPunct/>
        <w:topLinePunct w:val="0"/>
        <w:bidi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1.1电子投标文件解密失败的，且未在规定时间内提交有效备份投标文件的；</w:t>
      </w:r>
    </w:p>
    <w:p w14:paraId="479C0558">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1.2未按磋商文件要求密封、签字、盖章的；</w:t>
      </w:r>
    </w:p>
    <w:p w14:paraId="6BB856C5">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1.3资格证明文件不全的，或者不符合磋商文件标明的资格要求的；</w:t>
      </w:r>
    </w:p>
    <w:p w14:paraId="6FF45F08">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1.4响应文件组成不全的；</w:t>
      </w:r>
    </w:p>
    <w:p w14:paraId="4F6842F5">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1.5响应文件的实质性内容未使用中文表述、意思表述不明确、前后矛盾或者使用计量单位不符合磋商文件要求的；（经磋商小组认定允许其当场更正的笔误除外）</w:t>
      </w:r>
    </w:p>
    <w:p w14:paraId="31314689">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1.6响应文件的关键内容字迹模糊、无法辨认的，或者响应文件中经修正的内容字迹模糊难以</w:t>
      </w:r>
      <w:r>
        <w:rPr>
          <w:rFonts w:hint="eastAsia" w:ascii="宋体" w:hAnsi="宋体" w:eastAsia="宋体" w:cs="宋体"/>
          <w:sz w:val="24"/>
          <w:szCs w:val="24"/>
          <w:highlight w:val="none"/>
          <w:lang w:eastAsia="zh-CN"/>
        </w:rPr>
        <w:t>辨</w:t>
      </w:r>
      <w:r>
        <w:rPr>
          <w:rFonts w:hint="eastAsia" w:ascii="宋体" w:hAnsi="宋体" w:eastAsia="宋体" w:cs="宋体"/>
          <w:sz w:val="24"/>
          <w:szCs w:val="24"/>
          <w:highlight w:val="none"/>
        </w:rPr>
        <w:t>认或者修改处未按规定签名盖章的；</w:t>
      </w:r>
    </w:p>
    <w:p w14:paraId="396616DA">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1.7实质性条款不能满足磋商文件要求的；</w:t>
      </w:r>
    </w:p>
    <w:p w14:paraId="6188CB54">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1.8不响应磋商文件要求或者响应文件有采购人不能接受的附加条件的；</w:t>
      </w:r>
    </w:p>
    <w:p w14:paraId="13A851CE">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 响应文件没有按磋商文件要求提供有标“▲”的条款的资料和材料的；</w:t>
      </w:r>
    </w:p>
    <w:p w14:paraId="221D140C">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1.10响应文件资格证明、商务、技术部分中出现磋商报价信息的。</w:t>
      </w:r>
    </w:p>
    <w:p w14:paraId="739B9BDE">
      <w:pPr>
        <w:pStyle w:val="25"/>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rPr>
          <w:rFonts w:hint="eastAsia" w:ascii="宋体" w:hAnsi="宋体" w:eastAsia="宋体" w:cs="宋体"/>
          <w:b/>
          <w:bCs w:val="0"/>
          <w:kern w:val="2"/>
          <w:sz w:val="24"/>
          <w:szCs w:val="24"/>
          <w:highlight w:val="none"/>
          <w:lang w:val="en-US" w:eastAsia="zh-CN" w:bidi="ar"/>
        </w:rPr>
      </w:pPr>
      <w:r>
        <w:rPr>
          <w:rFonts w:hint="eastAsia" w:ascii="宋体" w:hAnsi="宋体" w:eastAsia="宋体" w:cs="宋体"/>
          <w:b/>
          <w:bCs w:val="0"/>
          <w:sz w:val="24"/>
          <w:szCs w:val="24"/>
          <w:highlight w:val="none"/>
          <w:lang w:val="en-US" w:eastAsia="zh-CN"/>
        </w:rPr>
        <w:t>2、</w:t>
      </w:r>
      <w:r>
        <w:rPr>
          <w:rFonts w:hint="eastAsia" w:ascii="宋体" w:hAnsi="宋体" w:eastAsia="宋体" w:cs="宋体"/>
          <w:b/>
          <w:bCs w:val="0"/>
          <w:kern w:val="2"/>
          <w:sz w:val="24"/>
          <w:szCs w:val="24"/>
          <w:highlight w:val="none"/>
          <w:lang w:val="en-US" w:eastAsia="zh-CN" w:bidi="ar"/>
        </w:rPr>
        <w:t>在不影响公平竞争的前提下，采购文件中参与同一标段（包）的供应商存在以下情形之一的且无法合理解释的，其投标（响应）文件无效：</w:t>
      </w:r>
    </w:p>
    <w:p w14:paraId="62211398">
      <w:pPr>
        <w:pStyle w:val="14"/>
        <w:pageBreakBefore w:val="0"/>
        <w:kinsoku/>
        <w:wordWrap/>
        <w:overflowPunct/>
        <w:topLinePunct w:val="0"/>
        <w:bidi w:val="0"/>
        <w:snapToGrid w:val="0"/>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2.1不同供应商的电子投标(响应)文件上传计算机的网卡MAC地址或硬盘序列号等硬件信息相同的；</w:t>
      </w:r>
    </w:p>
    <w:p w14:paraId="2CD5CC08">
      <w:pPr>
        <w:pStyle w:val="14"/>
        <w:pageBreakBefore w:val="0"/>
        <w:kinsoku/>
        <w:wordWrap/>
        <w:overflowPunct/>
        <w:topLinePunct w:val="0"/>
        <w:bidi w:val="0"/>
        <w:snapToGrid w:val="0"/>
        <w:spacing w:line="360" w:lineRule="auto"/>
        <w:ind w:firstLine="480" w:firstLineChars="200"/>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2.2上传的电子投标(响应)文件若出现使用本项目其他投标(响应)供应商的数字证书加密的，或者加盖本项目其他投标(响应)供应商的电子印章的；</w:t>
      </w:r>
    </w:p>
    <w:p w14:paraId="4809C0DD">
      <w:pPr>
        <w:pStyle w:val="14"/>
        <w:pageBreakBefore w:val="0"/>
        <w:kinsoku/>
        <w:wordWrap/>
        <w:overflowPunct/>
        <w:topLinePunct w:val="0"/>
        <w:bidi w:val="0"/>
        <w:snapToGrid w:val="0"/>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2.3 不同供应商的投标(响应)文件的内容存在3处（含）以上错误一致的；</w:t>
      </w:r>
    </w:p>
    <w:p w14:paraId="159FBC3F">
      <w:pPr>
        <w:pStyle w:val="14"/>
        <w:pageBreakBefore w:val="0"/>
        <w:kinsoku/>
        <w:wordWrap/>
        <w:overflowPunct/>
        <w:topLinePunct w:val="0"/>
        <w:bidi w:val="0"/>
        <w:snapToGrid w:val="0"/>
        <w:spacing w:line="360" w:lineRule="auto"/>
        <w:ind w:firstLine="480" w:firstLineChars="200"/>
        <w:rPr>
          <w:rFonts w:hint="default"/>
          <w:highlight w:val="none"/>
          <w:lang w:val="en-US" w:eastAsia="zh-CN"/>
        </w:rPr>
      </w:pPr>
      <w:r>
        <w:rPr>
          <w:rFonts w:hint="eastAsia" w:ascii="宋体" w:hAnsi="宋体" w:eastAsia="宋体" w:cs="宋体"/>
          <w:b w:val="0"/>
          <w:bCs/>
          <w:sz w:val="24"/>
          <w:szCs w:val="24"/>
          <w:highlight w:val="none"/>
          <w:lang w:val="en-US" w:eastAsia="zh-CN"/>
        </w:rPr>
        <w:t>2.4不同供应商联系人为同一人或不同联系人的联系电话一致的。</w:t>
      </w:r>
    </w:p>
    <w:p w14:paraId="76B35146">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、在技术评审时，如发现下列情形之一的，响应文件将被视为无效响应标：</w:t>
      </w:r>
    </w:p>
    <w:p w14:paraId="774C6AAC">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.1响应文件标明的响应或偏离与事实不符或虚假响应的；</w:t>
      </w:r>
    </w:p>
    <w:p w14:paraId="6D58819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.2明显不符合磋商文件中标“▲”的技术指标、主要功能项目发生实质性偏离的；</w:t>
      </w:r>
    </w:p>
    <w:p w14:paraId="0E47927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.3响应技术方案不明确，存在一个或一个以上备选（替代）响应的；</w:t>
      </w:r>
    </w:p>
    <w:p w14:paraId="025BA7B5">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、在磋商报价文件评审时，如发现下列情形之一的，投标文件将被视为无效响应：</w:t>
      </w:r>
    </w:p>
    <w:p w14:paraId="744EFB4D">
      <w:pPr>
        <w:pStyle w:val="14"/>
        <w:pageBreakBefore w:val="0"/>
        <w:tabs>
          <w:tab w:val="left" w:pos="1680"/>
        </w:tabs>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.1超过项目的</w:t>
      </w:r>
      <w:r>
        <w:rPr>
          <w:rFonts w:hint="eastAsia" w:ascii="宋体" w:hAnsi="宋体" w:eastAsia="宋体" w:cs="宋体"/>
          <w:b/>
          <w:sz w:val="24"/>
          <w:szCs w:val="24"/>
          <w:highlight w:val="none"/>
          <w:lang w:val="en-US" w:eastAsia="zh-CN"/>
        </w:rPr>
        <w:t>预算金额</w:t>
      </w:r>
      <w:r>
        <w:rPr>
          <w:rFonts w:hint="eastAsia" w:ascii="宋体" w:hAnsi="宋体" w:eastAsia="宋体" w:cs="宋体"/>
          <w:b/>
          <w:sz w:val="24"/>
          <w:szCs w:val="24"/>
          <w:highlight w:val="none"/>
        </w:rPr>
        <w:t>的；</w:t>
      </w:r>
    </w:p>
    <w:p w14:paraId="7A6A5684">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.2有选择或有条件的报价的；</w:t>
      </w:r>
    </w:p>
    <w:p w14:paraId="45C125CA">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.3 报价文件中缺失报价的。</w:t>
      </w:r>
    </w:p>
    <w:p w14:paraId="1D07D674">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color w:val="000000"/>
          <w:sz w:val="24"/>
          <w:szCs w:val="24"/>
          <w:highlight w:val="none"/>
        </w:rPr>
      </w:pPr>
      <w:bookmarkStart w:id="78" w:name="_Toc22843"/>
      <w:bookmarkStart w:id="79" w:name="_Toc8736"/>
      <w:r>
        <w:rPr>
          <w:rFonts w:hint="eastAsia" w:ascii="宋体" w:hAnsi="宋体" w:eastAsia="宋体" w:cs="宋体"/>
          <w:b/>
          <w:color w:val="000000"/>
          <w:sz w:val="24"/>
          <w:szCs w:val="24"/>
          <w:highlight w:val="none"/>
        </w:rPr>
        <w:t>（九）出现以下情形，导致电子交易平台无法正常运行，或者无法保证电子交易的公平、公正和安全时，中止电子交易活动：</w:t>
      </w:r>
      <w:bookmarkEnd w:id="78"/>
      <w:bookmarkEnd w:id="79"/>
    </w:p>
    <w:p w14:paraId="07883D5F">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1、电子交易平台发生故障而无法登录访问的；</w:t>
      </w:r>
    </w:p>
    <w:p w14:paraId="1F52E0CF">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2、电子交易平台应用或数据库出现错误，不能进行正常操作的；</w:t>
      </w:r>
    </w:p>
    <w:p w14:paraId="04796627">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3、电子交易平台发现严重安全漏洞，有潜在泄密危险的；</w:t>
      </w:r>
    </w:p>
    <w:p w14:paraId="65AAC858">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4、病毒发作导致不能进行正常操作的；</w:t>
      </w:r>
    </w:p>
    <w:p w14:paraId="5FF697E6">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5、其他无法保证电子交易的公平、公正和安全的情况。</w:t>
      </w:r>
    </w:p>
    <w:p w14:paraId="5615023D">
      <w:pPr>
        <w:pageBreakBefore w:val="0"/>
        <w:kinsoku/>
        <w:wordWrap/>
        <w:overflowPunct/>
        <w:topLinePunct w:val="0"/>
        <w:bidi w:val="0"/>
        <w:snapToGrid w:val="0"/>
        <w:spacing w:line="360" w:lineRule="auto"/>
        <w:ind w:firstLine="480" w:firstLineChars="200"/>
        <w:rPr>
          <w:rFonts w:hint="eastAsia" w:ascii="宋体" w:hAnsi="宋体" w:eastAsia="宋体" w:cs="宋体"/>
          <w:bCs/>
          <w:color w:val="00B050"/>
          <w:sz w:val="24"/>
          <w:szCs w:val="24"/>
          <w:highlight w:val="none"/>
        </w:rPr>
      </w:pPr>
      <w:r>
        <w:rPr>
          <w:rFonts w:hint="eastAsia" w:ascii="宋体" w:hAnsi="宋体" w:eastAsia="宋体" w:cs="宋体"/>
          <w:bCs/>
          <w:color w:val="000000"/>
          <w:sz w:val="24"/>
          <w:szCs w:val="24"/>
          <w:highlight w:val="none"/>
        </w:rPr>
        <w:t>出现前款规定情形，不影响采购公平、公正性的，招标代理机构可以待上述情形消除后继续组织电子交易活动，也可以决定某些环节以纸质形式进行；影响或可能影响采购公平、公正性的，重新采购。</w:t>
      </w:r>
    </w:p>
    <w:p w14:paraId="32643272">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p>
    <w:p w14:paraId="1C0CC61E">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80" w:name="_Toc20111"/>
      <w:bookmarkStart w:id="81" w:name="_Toc25472"/>
      <w:r>
        <w:rPr>
          <w:rFonts w:hint="eastAsia" w:ascii="宋体" w:hAnsi="宋体" w:eastAsia="宋体" w:cs="宋体"/>
          <w:b/>
          <w:sz w:val="24"/>
          <w:szCs w:val="24"/>
          <w:highlight w:val="none"/>
        </w:rPr>
        <w:t>四、开标</w:t>
      </w:r>
      <w:bookmarkEnd w:id="80"/>
      <w:bookmarkEnd w:id="81"/>
    </w:p>
    <w:p w14:paraId="038E5EA9">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82" w:name="_Toc15807"/>
      <w:bookmarkStart w:id="83" w:name="_Toc14860"/>
      <w:r>
        <w:rPr>
          <w:rFonts w:hint="eastAsia" w:ascii="宋体" w:hAnsi="宋体" w:eastAsia="宋体" w:cs="宋体"/>
          <w:b/>
          <w:sz w:val="24"/>
          <w:szCs w:val="24"/>
          <w:highlight w:val="none"/>
        </w:rPr>
        <w:t>（一）开标准备</w:t>
      </w:r>
      <w:bookmarkEnd w:id="82"/>
      <w:bookmarkEnd w:id="83"/>
    </w:p>
    <w:p w14:paraId="6C730EBD">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招标代理机构将在规定的时间和地点进行开标。本项目不要求响应人授权代表参加现场开标、开启响应文件活动。</w:t>
      </w:r>
    </w:p>
    <w:p w14:paraId="2D6F4590">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84" w:name="_Toc31086"/>
      <w:bookmarkStart w:id="85" w:name="_Toc15421"/>
      <w:r>
        <w:rPr>
          <w:rFonts w:hint="eastAsia" w:ascii="宋体" w:hAnsi="宋体" w:eastAsia="宋体" w:cs="宋体"/>
          <w:b/>
          <w:sz w:val="24"/>
          <w:szCs w:val="24"/>
          <w:highlight w:val="none"/>
        </w:rPr>
        <w:t>（二）开标程序</w:t>
      </w:r>
      <w:bookmarkEnd w:id="84"/>
      <w:bookmarkEnd w:id="85"/>
    </w:p>
    <w:p w14:paraId="73DABB1F">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1、开标会由招标代理机构相关工作人员主持，主持人宣布开标会议开始。</w:t>
      </w:r>
    </w:p>
    <w:p w14:paraId="1BECA2D2">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2、介绍参加开标会的人员名单。</w:t>
      </w:r>
    </w:p>
    <w:p w14:paraId="71C6C23C">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3、宣布开标纪律和有关事项，告知应当回避的情形，提请有关人员回避。</w:t>
      </w:r>
    </w:p>
    <w:p w14:paraId="497D436E">
      <w:pPr>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4、电子招投标开标及评审程序</w:t>
      </w:r>
    </w:p>
    <w:p w14:paraId="36186F40">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4.1投标截止时间后，投标人登录政采云平台，用“项目采购-开标评标”功能对电子投标文件进行在线解密。</w:t>
      </w:r>
    </w:p>
    <w:p w14:paraId="5DF19CA6">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4.2磋商小组对资格进行评审；</w:t>
      </w:r>
    </w:p>
    <w:p w14:paraId="3FAF414C">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4.3公布资格评审结果；</w:t>
      </w:r>
    </w:p>
    <w:p w14:paraId="04188907">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4.4磋商小组就价格、服务等认为需要磋商的内容分别与各响应人进行磋商。</w:t>
      </w:r>
    </w:p>
    <w:p w14:paraId="7860E871">
      <w:pPr>
        <w:pageBreakBefore w:val="0"/>
        <w:kinsoku/>
        <w:wordWrap/>
        <w:overflowPunct/>
        <w:topLinePunct w:val="0"/>
        <w:bidi w:val="0"/>
        <w:spacing w:line="360" w:lineRule="auto"/>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4.5磋商小组对商务技术响应文件进行评审；</w:t>
      </w:r>
    </w:p>
    <w:p w14:paraId="7CA4C057">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4.6各响应人在规定时间内于系统上提交最终报价，最终报价不得超过自身的初次报价。</w:t>
      </w:r>
    </w:p>
    <w:p w14:paraId="4B29C5DA">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4.7公布商务技术评审结果；</w:t>
      </w:r>
    </w:p>
    <w:p w14:paraId="32BBA357">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4.8公布报价开标情况；</w:t>
      </w:r>
    </w:p>
    <w:p w14:paraId="4848E3AD">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4.9磋商小组对报价情况进行评审；</w:t>
      </w:r>
    </w:p>
    <w:p w14:paraId="7E0DE238">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4.10公布评审结果。</w:t>
      </w:r>
    </w:p>
    <w:p w14:paraId="708FA711">
      <w:pPr>
        <w:pageBreakBefore w:val="0"/>
        <w:kinsoku/>
        <w:wordWrap/>
        <w:overflowPunct/>
        <w:topLinePunct w:val="0"/>
        <w:bidi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特别说明：政采云公司如对电子化开标及评审程序有调整的，按调整后的程序操作。</w:t>
      </w:r>
    </w:p>
    <w:p w14:paraId="5A777C34">
      <w:pPr>
        <w:pageBreakBefore w:val="0"/>
        <w:kinsoku/>
        <w:wordWrap/>
        <w:overflowPunct/>
        <w:topLinePunct w:val="0"/>
        <w:bidi w:val="0"/>
        <w:spacing w:line="360" w:lineRule="auto"/>
        <w:ind w:firstLine="482" w:firstLineChars="200"/>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5、如遇电子招投标系统故障的，启用备份投标文件</w:t>
      </w:r>
    </w:p>
    <w:p w14:paraId="0E9CE13E">
      <w:pPr>
        <w:pageBreakBefore w:val="0"/>
        <w:kinsoku/>
        <w:wordWrap/>
        <w:overflowPunct/>
        <w:topLinePunct w:val="0"/>
        <w:bidi w:val="0"/>
        <w:snapToGrid w:val="0"/>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6、本项目原则上采用政采云电子招投标开标及评审程序，但若响应人在规定时间内无法解密或解密失败，招标代理机构将开启未能在规定时间内解密的响应人递交的备份投标文件。</w:t>
      </w:r>
    </w:p>
    <w:p w14:paraId="41920CC0">
      <w:pPr>
        <w:pageBreakBefore w:val="0"/>
        <w:kinsoku/>
        <w:wordWrap/>
        <w:overflowPunct/>
        <w:topLinePunct w:val="0"/>
        <w:bidi w:val="0"/>
        <w:snapToGrid w:val="0"/>
        <w:spacing w:line="360" w:lineRule="auto"/>
        <w:ind w:firstLine="482" w:firstLineChars="200"/>
        <w:jc w:val="center"/>
        <w:rPr>
          <w:rFonts w:hint="eastAsia" w:ascii="宋体" w:hAnsi="宋体" w:eastAsia="宋体" w:cs="宋体"/>
          <w:b/>
          <w:sz w:val="24"/>
          <w:szCs w:val="24"/>
          <w:highlight w:val="none"/>
        </w:rPr>
      </w:pPr>
    </w:p>
    <w:p w14:paraId="619F2120">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86" w:name="_Toc13831"/>
      <w:bookmarkStart w:id="87" w:name="_Toc1662"/>
      <w:r>
        <w:rPr>
          <w:rFonts w:hint="eastAsia" w:ascii="宋体" w:hAnsi="宋体" w:eastAsia="宋体" w:cs="宋体"/>
          <w:b/>
          <w:sz w:val="24"/>
          <w:szCs w:val="24"/>
          <w:highlight w:val="none"/>
        </w:rPr>
        <w:t>五、评标</w:t>
      </w:r>
      <w:bookmarkEnd w:id="86"/>
      <w:bookmarkEnd w:id="87"/>
    </w:p>
    <w:p w14:paraId="5D7AE72F">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88" w:name="_Toc20030"/>
      <w:bookmarkStart w:id="89" w:name="_Toc10808"/>
      <w:r>
        <w:rPr>
          <w:rFonts w:hint="eastAsia" w:ascii="宋体" w:hAnsi="宋体" w:eastAsia="宋体" w:cs="宋体"/>
          <w:b/>
          <w:sz w:val="24"/>
          <w:szCs w:val="24"/>
          <w:highlight w:val="none"/>
        </w:rPr>
        <w:t>（一）组建磋商小组</w:t>
      </w:r>
      <w:bookmarkEnd w:id="88"/>
      <w:bookmarkEnd w:id="89"/>
    </w:p>
    <w:p w14:paraId="2370DB4A">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磋商小组由采购人代表和评审专家共3人以上单数组成，其中评审专家人数不得少于磋商小组成员总数的2/3。</w:t>
      </w:r>
    </w:p>
    <w:p w14:paraId="0056F338">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sz w:val="24"/>
          <w:szCs w:val="24"/>
          <w:highlight w:val="none"/>
        </w:rPr>
      </w:pPr>
      <w:bookmarkStart w:id="90" w:name="_Toc23656"/>
      <w:bookmarkStart w:id="91" w:name="_Toc28776"/>
      <w:r>
        <w:rPr>
          <w:rFonts w:hint="eastAsia" w:ascii="宋体" w:hAnsi="宋体" w:eastAsia="宋体" w:cs="宋体"/>
          <w:b/>
          <w:sz w:val="24"/>
          <w:szCs w:val="24"/>
          <w:highlight w:val="none"/>
        </w:rPr>
        <w:t>（二）评标程序</w:t>
      </w:r>
      <w:bookmarkEnd w:id="90"/>
      <w:bookmarkEnd w:id="91"/>
    </w:p>
    <w:p w14:paraId="1296AF6C">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1、资格审查</w:t>
      </w:r>
    </w:p>
    <w:p w14:paraId="6B6C94C9">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磋商小组对响应人的资格进行审查。</w:t>
      </w:r>
    </w:p>
    <w:p w14:paraId="41CC2531">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2、实质审查与比较</w:t>
      </w:r>
    </w:p>
    <w:p w14:paraId="48F0E79B">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2.1磋商小组审查响应文件的实质性内容是否符合磋商文件的实质性要求。</w:t>
      </w:r>
    </w:p>
    <w:p w14:paraId="59D84092">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2.2磋商小组将根据响应人的响应文件进行审查、核对，如有疑问，将对响应人进行询标，响应人要向磋商小组澄清有关问题，并最终以书面形式进行答复。</w:t>
      </w:r>
    </w:p>
    <w:p w14:paraId="2F2EFD9F">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2.3响应人代表未到场或者拒绝澄清或者澄清的内容改变了响应文件的实质性内容的，磋商小组有权对该响应文件作出不利于响应人的评判。</w:t>
      </w:r>
    </w:p>
    <w:p w14:paraId="0724EC3E">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2.4各响应人的商务技术得分由指定专人进行计算复核。</w:t>
      </w:r>
    </w:p>
    <w:p w14:paraId="26B3F808">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2.5各响应人报价得分根据评分标准计算。</w:t>
      </w:r>
    </w:p>
    <w:p w14:paraId="2452B91F">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2.6磋商小组完成评标后，对各部分得分汇总，得出本项目最终得分，磋商小组按评标原则推荐成交候选人同时起草评审报告。</w:t>
      </w:r>
    </w:p>
    <w:p w14:paraId="756DCBAD">
      <w:pPr>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92" w:name="_Toc14039"/>
      <w:bookmarkStart w:id="93" w:name="_Toc3070"/>
      <w:r>
        <w:rPr>
          <w:rFonts w:hint="eastAsia" w:ascii="宋体" w:hAnsi="宋体" w:eastAsia="宋体" w:cs="宋体"/>
          <w:b/>
          <w:sz w:val="24"/>
          <w:szCs w:val="24"/>
          <w:highlight w:val="none"/>
        </w:rPr>
        <w:t>（三）澄清问题的形式</w:t>
      </w:r>
      <w:bookmarkEnd w:id="92"/>
      <w:bookmarkEnd w:id="93"/>
    </w:p>
    <w:p w14:paraId="723EDCFC">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对响应文件中含义不明确、同类问题表述不一致或者有明显文字和计算错误的内容，磋商小组可要求响应人作出必要的澄清、说明或者纠正。响应人的澄清、说明或者补正应当采用书面形式，由其全权代表签字或盖章确认，并不得超出响应文件的范围或者改变响应文件的实质性内容。</w:t>
      </w:r>
    </w:p>
    <w:p w14:paraId="5E566570">
      <w:pPr>
        <w:pageBreakBefore w:val="0"/>
        <w:kinsoku/>
        <w:wordWrap/>
        <w:overflowPunct/>
        <w:topLinePunct w:val="0"/>
        <w:bidi w:val="0"/>
        <w:spacing w:line="360" w:lineRule="auto"/>
        <w:ind w:firstLine="482" w:firstLineChars="200"/>
        <w:outlineLvl w:val="1"/>
        <w:rPr>
          <w:rFonts w:hint="eastAsia" w:ascii="宋体" w:hAnsi="宋体" w:eastAsia="宋体" w:cs="宋体"/>
          <w:b/>
          <w:bCs/>
          <w:color w:val="000000"/>
          <w:sz w:val="24"/>
          <w:szCs w:val="24"/>
          <w:highlight w:val="none"/>
        </w:rPr>
      </w:pPr>
      <w:bookmarkStart w:id="94" w:name="_Toc11127"/>
      <w:bookmarkStart w:id="95" w:name="_Toc14643"/>
      <w:r>
        <w:rPr>
          <w:rFonts w:hint="eastAsia" w:ascii="宋体" w:hAnsi="宋体" w:eastAsia="宋体" w:cs="宋体"/>
          <w:b/>
          <w:bCs/>
          <w:color w:val="000000"/>
          <w:sz w:val="24"/>
          <w:szCs w:val="24"/>
          <w:highlight w:val="none"/>
        </w:rPr>
        <w:t>（四）报价错误修正</w:t>
      </w:r>
      <w:bookmarkEnd w:id="94"/>
      <w:bookmarkEnd w:id="95"/>
    </w:p>
    <w:p w14:paraId="2B33B7D2">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评标委员会对确定响应文件为实质上响应磋商文件要求的，磋商文件报价出现前后不一致的，按照下列规定修正：</w:t>
      </w:r>
    </w:p>
    <w:p w14:paraId="59175E0E">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color w:val="000000"/>
          <w:sz w:val="24"/>
          <w:szCs w:val="24"/>
          <w:highlight w:val="none"/>
          <w:shd w:val="clear" w:color="auto" w:fill="FFFFFF"/>
        </w:rPr>
        <w:t>响应文件开标一览表（报价表）内容与响应文件中相应内容不一致的，以开标一览表（报价表）为准；</w:t>
      </w:r>
    </w:p>
    <w:p w14:paraId="7B06AB39">
      <w:pPr>
        <w:pageBreakBefore w:val="0"/>
        <w:kinsoku/>
        <w:wordWrap/>
        <w:overflowPunct/>
        <w:topLinePunct w:val="0"/>
        <w:bidi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2、大写金额和小写金额不一致的，以大写金额为准；</w:t>
      </w:r>
    </w:p>
    <w:p w14:paraId="2D0ECFCD">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3、单价金额小数点或者百分比有明显错位的，以开标一览表的总价为准，并修改单价；</w:t>
      </w:r>
    </w:p>
    <w:p w14:paraId="3616FF32">
      <w:pPr>
        <w:pageBreakBefore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000000"/>
          <w:sz w:val="24"/>
          <w:szCs w:val="24"/>
          <w:highlight w:val="none"/>
          <w:shd w:val="clear" w:color="auto" w:fill="FFFFFF"/>
        </w:rPr>
        <w:t>4、总价金额与按单价汇总金额不一致的，以单价金额计算结果为准。</w:t>
      </w:r>
    </w:p>
    <w:p w14:paraId="246276EB">
      <w:pPr>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shd w:val="clear" w:color="auto" w:fill="FFFFFF"/>
        </w:rPr>
        <w:t>5、</w:t>
      </w:r>
      <w:r>
        <w:rPr>
          <w:rFonts w:hint="eastAsia" w:ascii="宋体" w:hAnsi="宋体" w:eastAsia="宋体" w:cs="宋体"/>
          <w:sz w:val="24"/>
          <w:szCs w:val="24"/>
          <w:highlight w:val="none"/>
        </w:rPr>
        <w:t>电子交易平台客户端里开标一览表录入的信息与投标文件不一致的，以投标文件为准；</w:t>
      </w:r>
    </w:p>
    <w:p w14:paraId="3F3148F1">
      <w:pPr>
        <w:pStyle w:val="14"/>
        <w:pageBreakBefore w:val="0"/>
        <w:kinsoku/>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同时出现两种以上不一致的，按上述顺序修正；按上述修正错误的原则及方法调整或修正响应文件的磋商报价，响应人同意并签字确认后，调整后的磋商报价对响应人具有约束作用。如果响应人不接受修正后的报价，则其投标将作为无效投标处理。</w:t>
      </w:r>
    </w:p>
    <w:p w14:paraId="428BFDBC">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96" w:name="_Toc78"/>
      <w:bookmarkStart w:id="97" w:name="_Toc23511"/>
      <w:r>
        <w:rPr>
          <w:rFonts w:hint="eastAsia" w:ascii="宋体" w:hAnsi="宋体" w:eastAsia="宋体" w:cs="宋体"/>
          <w:b/>
          <w:sz w:val="24"/>
          <w:szCs w:val="24"/>
          <w:highlight w:val="none"/>
        </w:rPr>
        <w:t>（五）评标原则和评标办法</w:t>
      </w:r>
      <w:bookmarkEnd w:id="96"/>
      <w:bookmarkEnd w:id="97"/>
    </w:p>
    <w:p w14:paraId="4499057D">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1、磋商小组必须公平、公正、客观，不带任何倾向性和启发性；不得向外界透露任何与评标有关的内容；任何单位和个人不得干扰、影响评标的正常进行；磋商小组及有关工作人员不得私下与响应人接触。</w:t>
      </w:r>
    </w:p>
    <w:p w14:paraId="645180CC">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2、评标办法。本项目评标办法是</w:t>
      </w:r>
      <w:r>
        <w:rPr>
          <w:rFonts w:hint="eastAsia" w:ascii="宋体" w:hAnsi="宋体" w:eastAsia="宋体" w:cs="宋体"/>
          <w:sz w:val="24"/>
          <w:szCs w:val="24"/>
          <w:highlight w:val="none"/>
          <w:u w:val="single"/>
        </w:rPr>
        <w:t>综合评分法</w:t>
      </w:r>
      <w:r>
        <w:rPr>
          <w:rFonts w:hint="eastAsia" w:ascii="宋体" w:hAnsi="宋体" w:eastAsia="宋体" w:cs="宋体"/>
          <w:sz w:val="24"/>
          <w:szCs w:val="24"/>
          <w:highlight w:val="none"/>
        </w:rPr>
        <w:t>，具体评标内容及评分标准等详见《第四章：评标办法及评分标准》。</w:t>
      </w:r>
    </w:p>
    <w:p w14:paraId="03237243">
      <w:pPr>
        <w:pStyle w:val="14"/>
        <w:pageBreakBefore w:val="0"/>
        <w:kinsoku/>
        <w:wordWrap/>
        <w:overflowPunct/>
        <w:topLinePunct w:val="0"/>
        <w:bidi w:val="0"/>
        <w:snapToGrid w:val="0"/>
        <w:spacing w:line="360" w:lineRule="auto"/>
        <w:ind w:firstLine="482" w:firstLineChars="200"/>
        <w:outlineLvl w:val="1"/>
        <w:rPr>
          <w:rFonts w:hint="eastAsia" w:ascii="宋体" w:hAnsi="宋体" w:eastAsia="宋体" w:cs="宋体"/>
          <w:b/>
          <w:sz w:val="24"/>
          <w:szCs w:val="24"/>
          <w:highlight w:val="none"/>
        </w:rPr>
      </w:pPr>
      <w:bookmarkStart w:id="98" w:name="_Toc6835"/>
      <w:bookmarkStart w:id="99" w:name="_Toc2610"/>
      <w:r>
        <w:rPr>
          <w:rFonts w:hint="eastAsia" w:ascii="宋体" w:hAnsi="宋体" w:eastAsia="宋体" w:cs="宋体"/>
          <w:b/>
          <w:sz w:val="24"/>
          <w:szCs w:val="24"/>
          <w:highlight w:val="none"/>
        </w:rPr>
        <w:t>（六）磋商过程的监控</w:t>
      </w:r>
      <w:bookmarkEnd w:id="98"/>
      <w:bookmarkEnd w:id="99"/>
    </w:p>
    <w:p w14:paraId="35179698">
      <w:pPr>
        <w:pStyle w:val="14"/>
        <w:pageBreakBefore w:val="0"/>
        <w:kinsoku/>
        <w:wordWrap/>
        <w:overflowPunct/>
        <w:topLinePunct w:val="0"/>
        <w:bidi w:val="0"/>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本项目磋商过程实行全程录音、录像监控，响应人在磋商过程中所进行的试图影响评标结果的不公正活动，可能导致其响应被拒绝。</w:t>
      </w:r>
    </w:p>
    <w:p w14:paraId="083DB2A8">
      <w:pPr>
        <w:pageBreakBefore w:val="0"/>
        <w:kinsoku/>
        <w:wordWrap/>
        <w:overflowPunct/>
        <w:topLinePunct w:val="0"/>
        <w:bidi w:val="0"/>
        <w:snapToGrid w:val="0"/>
        <w:spacing w:line="360" w:lineRule="auto"/>
        <w:jc w:val="center"/>
        <w:rPr>
          <w:rFonts w:hint="eastAsia" w:ascii="宋体" w:hAnsi="宋体" w:eastAsia="宋体" w:cs="宋体"/>
          <w:b/>
          <w:sz w:val="24"/>
          <w:szCs w:val="24"/>
          <w:highlight w:val="none"/>
        </w:rPr>
      </w:pPr>
    </w:p>
    <w:p w14:paraId="056E597C">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100" w:name="_Toc15864"/>
      <w:bookmarkStart w:id="101" w:name="_Toc11454"/>
      <w:r>
        <w:rPr>
          <w:rFonts w:hint="eastAsia" w:ascii="宋体" w:hAnsi="宋体" w:eastAsia="宋体" w:cs="宋体"/>
          <w:b/>
          <w:sz w:val="24"/>
          <w:szCs w:val="24"/>
          <w:highlight w:val="none"/>
        </w:rPr>
        <w:t>六、废标</w:t>
      </w:r>
      <w:bookmarkEnd w:id="100"/>
      <w:bookmarkEnd w:id="101"/>
    </w:p>
    <w:p w14:paraId="28C029B6">
      <w:pPr>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根据《财政部关于政府采购竞争性磋商管理暂行办法有关问题的补充通知》：</w:t>
      </w:r>
    </w:p>
    <w:p w14:paraId="2C890410">
      <w:pPr>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用竞争性磋商采购政府购买服务项目（含政府和社会资本合作项目），在采购过程中符合要求的供应商（社会资本）只有2家的，竞争性磋商采购活动可以继续进行。采购过程中符合要求的供应商（社会资本）只有1家的，采购人（项目实施机构）或者招标代理机构应当终止竞争性磋商采购活动，发布项目终止公告并说明原因，重新开展采购活动。</w:t>
      </w:r>
    </w:p>
    <w:p w14:paraId="4BAE4626">
      <w:pPr>
        <w:pageBreakBefore w:val="0"/>
        <w:kinsoku/>
        <w:wordWrap/>
        <w:overflowPunct/>
        <w:topLinePunct w:val="0"/>
        <w:bidi w:val="0"/>
        <w:snapToGrid w:val="0"/>
        <w:spacing w:line="360" w:lineRule="auto"/>
        <w:rPr>
          <w:rFonts w:hint="eastAsia" w:ascii="宋体" w:hAnsi="宋体" w:eastAsia="宋体" w:cs="宋体"/>
          <w:b/>
          <w:sz w:val="24"/>
          <w:szCs w:val="24"/>
          <w:highlight w:val="none"/>
        </w:rPr>
      </w:pPr>
    </w:p>
    <w:p w14:paraId="5BDBB93F">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102" w:name="_Toc30732"/>
      <w:bookmarkStart w:id="103" w:name="_Toc14368"/>
      <w:r>
        <w:rPr>
          <w:rFonts w:hint="eastAsia" w:ascii="宋体" w:hAnsi="宋体" w:eastAsia="宋体" w:cs="宋体"/>
          <w:b/>
          <w:sz w:val="24"/>
          <w:szCs w:val="24"/>
          <w:highlight w:val="none"/>
        </w:rPr>
        <w:t>七、定标</w:t>
      </w:r>
      <w:bookmarkEnd w:id="102"/>
      <w:bookmarkEnd w:id="103"/>
    </w:p>
    <w:p w14:paraId="142152EC">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（一）确定成交人。本项目由采购人事先授权磋商小组确定成交候选人3名。推荐第一名成交候选人为成交人，经采购人确认后，确定项目成交人，同时发布采购结果公告，发出成交通知书。</w:t>
      </w:r>
    </w:p>
    <w:p w14:paraId="3A9034A2">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1、招标代理机构在评标结束后在2个工作日内将评审报告交采购人确认。</w:t>
      </w:r>
    </w:p>
    <w:p w14:paraId="62594202">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2、采购人应当自收到评审报告之日起5个工作日内在评审报告推荐的中标或者成交候选人中按顺序确定中标或者成交供应商。</w:t>
      </w:r>
    </w:p>
    <w:p w14:paraId="420985FE">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采购人或者招标代理机构应当自成交人确定之日起2个工作日内，在省级以上财政部门指定的媒体上公告中标结果，采购文件应当随中标结果同时公告。在公告中标结果的同时，采购人或者招标代理机构应当向成交人发出成交通知书。</w:t>
      </w:r>
    </w:p>
    <w:p w14:paraId="510E0AEE">
      <w:pPr>
        <w:pStyle w:val="14"/>
        <w:pageBreakBefore w:val="0"/>
        <w:kinsoku/>
        <w:wordWrap/>
        <w:overflowPunct/>
        <w:topLinePunct w:val="0"/>
        <w:bidi w:val="0"/>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二）成交人因自身原因放弃中标或因不可抗力不能履行合同的；经质疑，招标代理机构审查确认因成交人在本次采购活动中存在违法违规行为或其他原因使质疑成立的，如发生上述两种情况的，采购人可以与排位在成交人之后第一位的成交候选人签订采购合同，以此类推。</w:t>
      </w:r>
    </w:p>
    <w:p w14:paraId="4069DF55">
      <w:pPr>
        <w:pageBreakBefore w:val="0"/>
        <w:kinsoku/>
        <w:wordWrap/>
        <w:overflowPunct/>
        <w:topLinePunct w:val="0"/>
        <w:bidi w:val="0"/>
        <w:snapToGrid w:val="0"/>
        <w:spacing w:line="360" w:lineRule="auto"/>
        <w:jc w:val="center"/>
        <w:outlineLvl w:val="9"/>
        <w:rPr>
          <w:rFonts w:hint="eastAsia" w:ascii="宋体" w:hAnsi="宋体" w:eastAsia="宋体" w:cs="宋体"/>
          <w:b/>
          <w:sz w:val="24"/>
          <w:szCs w:val="24"/>
          <w:highlight w:val="none"/>
        </w:rPr>
      </w:pPr>
    </w:p>
    <w:p w14:paraId="1994B4D5">
      <w:pPr>
        <w:pageBreakBefore w:val="0"/>
        <w:kinsoku/>
        <w:wordWrap/>
        <w:overflowPunct/>
        <w:topLinePunct w:val="0"/>
        <w:bidi w:val="0"/>
        <w:snapToGrid w:val="0"/>
        <w:spacing w:line="360" w:lineRule="auto"/>
        <w:jc w:val="center"/>
        <w:outlineLvl w:val="1"/>
        <w:rPr>
          <w:rFonts w:hint="eastAsia" w:ascii="宋体" w:hAnsi="宋体" w:eastAsia="宋体" w:cs="宋体"/>
          <w:b/>
          <w:sz w:val="24"/>
          <w:szCs w:val="24"/>
          <w:highlight w:val="none"/>
        </w:rPr>
      </w:pPr>
      <w:bookmarkStart w:id="104" w:name="_Toc21465"/>
      <w:bookmarkStart w:id="105" w:name="_Toc25053"/>
      <w:r>
        <w:rPr>
          <w:rFonts w:hint="eastAsia" w:ascii="宋体" w:hAnsi="宋体" w:eastAsia="宋体" w:cs="宋体"/>
          <w:b/>
          <w:sz w:val="24"/>
          <w:szCs w:val="24"/>
          <w:highlight w:val="none"/>
        </w:rPr>
        <w:t>八、合同授予</w:t>
      </w:r>
      <w:bookmarkEnd w:id="104"/>
      <w:bookmarkEnd w:id="105"/>
    </w:p>
    <w:p w14:paraId="3F96871C">
      <w:pPr>
        <w:pStyle w:val="14"/>
        <w:pageBreakBefore w:val="0"/>
        <w:kinsoku/>
        <w:wordWrap/>
        <w:overflowPunct/>
        <w:topLinePunct w:val="0"/>
        <w:bidi w:val="0"/>
        <w:snapToGrid w:val="0"/>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（一）签订合同</w:t>
      </w:r>
    </w:p>
    <w:p w14:paraId="7922243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i w:val="0"/>
          <w:iCs w:val="0"/>
          <w:sz w:val="24"/>
          <w:szCs w:val="24"/>
          <w:highlight w:val="none"/>
        </w:rPr>
        <w:t>成交人应在成交通知书发出之日起30日内与采购人签订合同。同时，招标代理机构对合同内容进行</w:t>
      </w:r>
      <w:r>
        <w:rPr>
          <w:rFonts w:hint="eastAsia" w:ascii="宋体" w:hAnsi="宋体" w:eastAsia="宋体" w:cs="宋体"/>
          <w:sz w:val="24"/>
          <w:szCs w:val="24"/>
          <w:highlight w:val="none"/>
        </w:rPr>
        <w:t>审查，如发现与采购结果和响应承诺内容不一致的，应予以纠正。</w:t>
      </w:r>
    </w:p>
    <w:p w14:paraId="18648A7B">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2、成交人拖延、拒签合同的，将被取消中标资格。</w:t>
      </w:r>
    </w:p>
    <w:p w14:paraId="6A47D5F6">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3、成交人和采购人签订合同，按合同约定执行。</w:t>
      </w:r>
    </w:p>
    <w:p w14:paraId="6B99A8D4">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095B29A9">
      <w:pPr>
        <w:pStyle w:val="14"/>
        <w:pageBreakBefore w:val="0"/>
        <w:kinsoku/>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74686BE8">
      <w:pPr>
        <w:pStyle w:val="14"/>
        <w:keepNext w:val="0"/>
        <w:keepLines w:val="0"/>
        <w:pageBreakBefore w:val="0"/>
        <w:kinsoku/>
        <w:wordWrap/>
        <w:overflowPunct/>
        <w:topLinePunct w:val="0"/>
        <w:bidi w:val="0"/>
        <w:snapToGrid w:val="0"/>
        <w:spacing w:before="120" w:after="120" w:line="360" w:lineRule="auto"/>
        <w:jc w:val="center"/>
        <w:textAlignment w:val="auto"/>
        <w:outlineLvl w:val="0"/>
        <w:rPr>
          <w:rFonts w:hint="eastAsia" w:ascii="宋体" w:hAnsi="宋体" w:eastAsia="宋体" w:cs="宋体"/>
          <w:b/>
          <w:sz w:val="21"/>
          <w:szCs w:val="21"/>
          <w:highlight w:val="none"/>
        </w:rPr>
      </w:pPr>
      <w:r>
        <w:rPr>
          <w:rFonts w:hint="eastAsia" w:hAnsi="宋体" w:eastAsia="宋体" w:cs="宋体"/>
          <w:b/>
          <w:sz w:val="28"/>
          <w:szCs w:val="28"/>
          <w:highlight w:val="none"/>
        </w:rPr>
        <w:br w:type="page"/>
      </w:r>
      <w:bookmarkStart w:id="106" w:name="_Toc4773"/>
      <w:bookmarkStart w:id="107" w:name="_Toc21037"/>
      <w:bookmarkStart w:id="108" w:name="_Toc321"/>
      <w:r>
        <w:rPr>
          <w:rFonts w:hint="eastAsia" w:ascii="宋体" w:hAnsi="宋体" w:eastAsia="宋体" w:cs="宋体"/>
          <w:b/>
          <w:sz w:val="28"/>
          <w:szCs w:val="28"/>
          <w:highlight w:val="none"/>
        </w:rPr>
        <w:t>第四章  评标办法及标准</w:t>
      </w:r>
      <w:bookmarkEnd w:id="106"/>
      <w:bookmarkEnd w:id="107"/>
      <w:bookmarkEnd w:id="108"/>
    </w:p>
    <w:p w14:paraId="3432DCE5">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为公正、公平、科学地选择成交人，根据《中华人民共和国政府采购法》等有关法律法规的规定，并结合本项目的实际，制定本办法，本办法适用本项目的评标。</w:t>
      </w:r>
    </w:p>
    <w:p w14:paraId="572103AF">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4"/>
          <w:szCs w:val="24"/>
          <w:highlight w:val="none"/>
        </w:rPr>
      </w:pPr>
      <w:bookmarkStart w:id="109" w:name="_Toc22988"/>
      <w:bookmarkStart w:id="110" w:name="_Toc1301"/>
      <w:r>
        <w:rPr>
          <w:rFonts w:hint="eastAsia" w:ascii="宋体" w:hAnsi="宋体" w:eastAsia="宋体" w:cs="宋体"/>
          <w:b/>
          <w:sz w:val="24"/>
          <w:szCs w:val="24"/>
          <w:highlight w:val="none"/>
        </w:rPr>
        <w:t>一、资格审查</w:t>
      </w:r>
      <w:bookmarkEnd w:id="109"/>
      <w:bookmarkEnd w:id="110"/>
    </w:p>
    <w:p w14:paraId="3CAE4E64">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1、由</w:t>
      </w:r>
      <w:r>
        <w:rPr>
          <w:rFonts w:hint="eastAsia" w:ascii="宋体" w:hAnsi="宋体" w:eastAsia="宋体" w:cs="宋体"/>
          <w:sz w:val="24"/>
          <w:szCs w:val="24"/>
          <w:highlight w:val="none"/>
        </w:rPr>
        <w:t>磋商小组</w:t>
      </w:r>
      <w:r>
        <w:rPr>
          <w:rFonts w:hint="eastAsia" w:ascii="宋体" w:hAnsi="宋体" w:eastAsia="宋体" w:cs="宋体"/>
          <w:sz w:val="24"/>
          <w:szCs w:val="24"/>
          <w:highlight w:val="none"/>
          <w:lang w:val="zh-CN"/>
        </w:rPr>
        <w:t>对</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人的资格进行审查。</w:t>
      </w:r>
    </w:p>
    <w:p w14:paraId="08A74C0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2、按以下内容审核</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文件是否符合</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文件的资格文件要求。</w:t>
      </w:r>
    </w:p>
    <w:tbl>
      <w:tblPr>
        <w:tblStyle w:val="28"/>
        <w:tblpPr w:leftFromText="180" w:rightFromText="180" w:vertAnchor="text" w:tblpXSpec="center" w:tblpY="1"/>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6675"/>
        <w:gridCol w:w="2004"/>
      </w:tblGrid>
      <w:tr w14:paraId="02D7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96" w:type="dxa"/>
            <w:vAlign w:val="center"/>
          </w:tcPr>
          <w:p w14:paraId="25B679F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6675" w:type="dxa"/>
            <w:tcBorders>
              <w:tl2br w:val="single" w:color="auto" w:sz="4" w:space="0"/>
            </w:tcBorders>
          </w:tcPr>
          <w:p w14:paraId="52A0653D">
            <w:pPr>
              <w:keepNext w:val="0"/>
              <w:keepLines w:val="0"/>
              <w:pageBreakBefore w:val="0"/>
              <w:suppressLineNumbers w:val="0"/>
              <w:kinsoku/>
              <w:wordWrap/>
              <w:overflowPunct/>
              <w:topLinePunct w:val="0"/>
              <w:bidi w:val="0"/>
              <w:spacing w:before="0" w:beforeAutospacing="0" w:after="0" w:afterAutospacing="0" w:line="360" w:lineRule="auto"/>
              <w:ind w:left="0" w:right="0"/>
              <w:jc w:val="righ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响应人</w:t>
            </w:r>
          </w:p>
          <w:p w14:paraId="7A9549E9">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内容</w:t>
            </w:r>
          </w:p>
        </w:tc>
        <w:tc>
          <w:tcPr>
            <w:tcW w:w="2004" w:type="dxa"/>
            <w:vAlign w:val="center"/>
          </w:tcPr>
          <w:p w14:paraId="0E3065D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审核标准</w:t>
            </w:r>
          </w:p>
        </w:tc>
      </w:tr>
      <w:tr w14:paraId="592B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19F9FAAD">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6675" w:type="dxa"/>
            <w:vAlign w:val="center"/>
          </w:tcPr>
          <w:p w14:paraId="32D1DC86">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享受中小企业预留份额政策相关证明文件</w:t>
            </w:r>
          </w:p>
        </w:tc>
        <w:tc>
          <w:tcPr>
            <w:tcW w:w="2004" w:type="dxa"/>
            <w:vAlign w:val="center"/>
          </w:tcPr>
          <w:p w14:paraId="005B696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4980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284E1420">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6675" w:type="dxa"/>
            <w:vAlign w:val="center"/>
          </w:tcPr>
          <w:p w14:paraId="5DA0093C">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具有独立承担民事责任的能力证明资料</w:t>
            </w:r>
          </w:p>
        </w:tc>
        <w:tc>
          <w:tcPr>
            <w:tcW w:w="2004" w:type="dxa"/>
            <w:vAlign w:val="center"/>
          </w:tcPr>
          <w:p w14:paraId="5FF3D44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1657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196" w:type="dxa"/>
            <w:vAlign w:val="center"/>
          </w:tcPr>
          <w:p w14:paraId="3CE92910">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6675" w:type="dxa"/>
            <w:vAlign w:val="center"/>
          </w:tcPr>
          <w:p w14:paraId="3B96BA14">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人法定代表人身份证复印件</w:t>
            </w:r>
          </w:p>
        </w:tc>
        <w:tc>
          <w:tcPr>
            <w:tcW w:w="2004" w:type="dxa"/>
            <w:vAlign w:val="center"/>
          </w:tcPr>
          <w:p w14:paraId="16AB2E7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6F78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96" w:type="dxa"/>
            <w:vAlign w:val="center"/>
          </w:tcPr>
          <w:p w14:paraId="19F5CF37">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6675" w:type="dxa"/>
            <w:vAlign w:val="center"/>
          </w:tcPr>
          <w:p w14:paraId="20E2C046">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2004" w:type="dxa"/>
            <w:vAlign w:val="center"/>
          </w:tcPr>
          <w:p w14:paraId="3E133420">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3733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1DC73845">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6675" w:type="dxa"/>
            <w:vAlign w:val="center"/>
          </w:tcPr>
          <w:p w14:paraId="649B8B3C">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法定代表人授权函，非法定代表人参加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时提供</w:t>
            </w:r>
          </w:p>
        </w:tc>
        <w:tc>
          <w:tcPr>
            <w:tcW w:w="2004" w:type="dxa"/>
            <w:vAlign w:val="center"/>
          </w:tcPr>
          <w:p w14:paraId="09D1F4D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7E0E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96" w:type="dxa"/>
            <w:vAlign w:val="center"/>
          </w:tcPr>
          <w:p w14:paraId="037BAC6B">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6675" w:type="dxa"/>
            <w:vAlign w:val="center"/>
          </w:tcPr>
          <w:p w14:paraId="7C007C93">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人代表身份证复印件，非法定代表人参加</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时提供</w:t>
            </w:r>
          </w:p>
        </w:tc>
        <w:tc>
          <w:tcPr>
            <w:tcW w:w="2004" w:type="dxa"/>
            <w:vAlign w:val="center"/>
          </w:tcPr>
          <w:p w14:paraId="7EF4F6F9">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p>
        </w:tc>
      </w:tr>
      <w:tr w14:paraId="1AB0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871" w:type="dxa"/>
            <w:gridSpan w:val="2"/>
          </w:tcPr>
          <w:p w14:paraId="6394BE2B">
            <w:pPr>
              <w:pStyle w:val="17"/>
              <w:keepNext w:val="0"/>
              <w:keepLines w:val="0"/>
              <w:pageBreakBefore w:val="0"/>
              <w:suppressLineNumbers w:val="0"/>
              <w:kinsoku/>
              <w:wordWrap/>
              <w:overflowPunct/>
              <w:topLinePunct w:val="0"/>
              <w:bidi w:val="0"/>
              <w:spacing w:before="0" w:beforeAutospacing="0" w:after="0" w:afterAutospacing="0" w:line="360" w:lineRule="auto"/>
              <w:ind w:left="0" w:right="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结   论</w:t>
            </w:r>
          </w:p>
        </w:tc>
        <w:tc>
          <w:tcPr>
            <w:tcW w:w="2004" w:type="dxa"/>
            <w:vAlign w:val="center"/>
          </w:tcPr>
          <w:p w14:paraId="24DC31E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b/>
                <w:sz w:val="24"/>
                <w:szCs w:val="24"/>
                <w:highlight w:val="none"/>
              </w:rPr>
            </w:pPr>
          </w:p>
        </w:tc>
      </w:tr>
    </w:tbl>
    <w:p w14:paraId="484EDB0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注：1、表中只需填写“√”或“×”；</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2、在结论栏中填写“合格”或“不合格”。</w:t>
      </w:r>
    </w:p>
    <w:p w14:paraId="4A43A137">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4"/>
          <w:szCs w:val="24"/>
          <w:highlight w:val="none"/>
        </w:rPr>
      </w:pPr>
      <w:bookmarkStart w:id="111" w:name="_Toc1109"/>
      <w:bookmarkStart w:id="112" w:name="_Toc15238"/>
      <w:r>
        <w:rPr>
          <w:rFonts w:hint="eastAsia" w:ascii="宋体" w:hAnsi="宋体" w:eastAsia="宋体" w:cs="宋体"/>
          <w:b/>
          <w:sz w:val="24"/>
          <w:szCs w:val="24"/>
          <w:highlight w:val="none"/>
        </w:rPr>
        <w:t>二、成交候选人的选取</w:t>
      </w:r>
      <w:bookmarkEnd w:id="111"/>
      <w:bookmarkEnd w:id="112"/>
    </w:p>
    <w:p w14:paraId="3B1722D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lang w:val="zh-CN"/>
        </w:rPr>
      </w:pPr>
      <w:r>
        <w:rPr>
          <w:rFonts w:hint="eastAsia" w:ascii="宋体" w:hAnsi="宋体" w:eastAsia="宋体" w:cs="宋体"/>
          <w:sz w:val="24"/>
          <w:szCs w:val="24"/>
          <w:highlight w:val="none"/>
        </w:rPr>
        <w:t>将综合评估分从高到低排序，得出响应人名次,按照综合评估分名次推荐成交候选人3名。综合评估分相同时，按磋商报价由低到高顺序排列，综合评估分且磋商报价相同的，抽签决定排序（弃权视为自动放弃中标资格）。</w:t>
      </w:r>
    </w:p>
    <w:p w14:paraId="531EEFF5">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sz w:val="24"/>
          <w:szCs w:val="24"/>
          <w:highlight w:val="none"/>
        </w:rPr>
      </w:pPr>
      <w:bookmarkStart w:id="113" w:name="_Toc23203"/>
      <w:bookmarkStart w:id="114" w:name="_Toc9460"/>
      <w:r>
        <w:rPr>
          <w:rFonts w:hint="eastAsia" w:ascii="宋体" w:hAnsi="宋体" w:eastAsia="宋体" w:cs="宋体"/>
          <w:b/>
          <w:sz w:val="24"/>
          <w:szCs w:val="24"/>
          <w:highlight w:val="none"/>
        </w:rPr>
        <w:t>三、成交人选取依据</w:t>
      </w:r>
      <w:bookmarkEnd w:id="113"/>
      <w:bookmarkEnd w:id="114"/>
    </w:p>
    <w:p w14:paraId="4395870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磋商小组根据综合评估分得分排序，推荐第一名成交候选人为成交人，经采购人确认后，确定项目成交人，同时发布采购结果公告，发出成交通知书。 </w:t>
      </w:r>
    </w:p>
    <w:p w14:paraId="79BE960A">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sz w:val="24"/>
          <w:szCs w:val="24"/>
          <w:highlight w:val="none"/>
        </w:rPr>
      </w:pPr>
      <w:bookmarkStart w:id="115" w:name="_Toc27737"/>
      <w:bookmarkStart w:id="116" w:name="_Toc26160"/>
      <w:r>
        <w:rPr>
          <w:rFonts w:hint="eastAsia" w:ascii="宋体" w:hAnsi="宋体" w:eastAsia="宋体" w:cs="宋体"/>
          <w:b/>
          <w:sz w:val="24"/>
          <w:szCs w:val="24"/>
          <w:highlight w:val="none"/>
        </w:rPr>
        <w:t>四、综合评估分计分方法</w:t>
      </w:r>
      <w:bookmarkEnd w:id="115"/>
      <w:bookmarkEnd w:id="116"/>
    </w:p>
    <w:p w14:paraId="3EB5D9ED">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满足</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文件要求且</w:t>
      </w:r>
      <w:r>
        <w:rPr>
          <w:rFonts w:hint="eastAsia" w:ascii="宋体" w:hAnsi="宋体" w:eastAsia="宋体" w:cs="宋体"/>
          <w:sz w:val="24"/>
          <w:szCs w:val="24"/>
          <w:highlight w:val="none"/>
        </w:rPr>
        <w:t>最后报价最低的供应商的价格为磋商基准价</w:t>
      </w:r>
      <w:r>
        <w:rPr>
          <w:rFonts w:hint="eastAsia" w:ascii="宋体" w:hAnsi="宋体" w:eastAsia="宋体" w:cs="宋体"/>
          <w:sz w:val="24"/>
          <w:szCs w:val="24"/>
          <w:highlight w:val="none"/>
          <w:lang w:val="zh-CN"/>
        </w:rPr>
        <w:t>，其价格分为满分。其他</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的价格分</w:t>
      </w:r>
      <w:r>
        <w:rPr>
          <w:rFonts w:hint="eastAsia" w:ascii="宋体" w:hAnsi="宋体" w:eastAsia="宋体" w:cs="宋体"/>
          <w:sz w:val="24"/>
          <w:szCs w:val="24"/>
          <w:highlight w:val="none"/>
        </w:rPr>
        <w:t>统一按照下</w:t>
      </w:r>
      <w:r>
        <w:rPr>
          <w:rFonts w:hint="eastAsia" w:ascii="宋体" w:hAnsi="宋体" w:eastAsia="宋体" w:cs="宋体"/>
          <w:sz w:val="24"/>
          <w:szCs w:val="24"/>
          <w:highlight w:val="none"/>
          <w:lang w:val="zh-CN"/>
        </w:rPr>
        <w:t>列公式计算：</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报价得分＝（</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基准价/</w:t>
      </w:r>
      <w:r>
        <w:rPr>
          <w:rFonts w:hint="eastAsia" w:ascii="宋体" w:hAnsi="宋体" w:eastAsia="宋体" w:cs="宋体"/>
          <w:sz w:val="24"/>
          <w:szCs w:val="24"/>
          <w:highlight w:val="none"/>
          <w:lang w:val="en-US" w:eastAsia="zh-CN"/>
        </w:rPr>
        <w:t>最后</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报价）×价格权重×100。</w:t>
      </w:r>
    </w:p>
    <w:p w14:paraId="61A79452">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相关法律法规</w:t>
      </w:r>
      <w:r>
        <w:rPr>
          <w:rFonts w:hint="eastAsia" w:ascii="宋体" w:hAnsi="宋体" w:eastAsia="宋体" w:cs="宋体"/>
          <w:sz w:val="24"/>
          <w:szCs w:val="24"/>
          <w:highlight w:val="none"/>
        </w:rPr>
        <w:t>：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5C27984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在评分时，各响应人磋商报价得分保留小数点后二位，第三位四舍五入。评审专家打分准确到小数点后一位，综合评估分=商务技术部分得分＋投标报价得分，商务技术部分得分为所有评委评分的算术平均值，得分保留小数点后二位。</w:t>
      </w:r>
    </w:p>
    <w:p w14:paraId="258EFC2D">
      <w:pPr>
        <w:keepNext w:val="0"/>
        <w:keepLines w:val="0"/>
        <w:pageBreakBefore w:val="0"/>
        <w:kinsoku/>
        <w:wordWrap/>
        <w:overflowPunct/>
        <w:topLinePunct w:val="0"/>
        <w:autoSpaceDE w:val="0"/>
        <w:autoSpaceDN w:val="0"/>
        <w:bidi w:val="0"/>
        <w:adjustRightInd w:val="0"/>
        <w:spacing w:line="360" w:lineRule="auto"/>
        <w:textAlignment w:val="auto"/>
        <w:outlineLvl w:val="1"/>
        <w:rPr>
          <w:rFonts w:hint="eastAsia" w:ascii="宋体" w:hAnsi="宋体" w:eastAsia="宋体" w:cs="宋体"/>
          <w:b/>
          <w:sz w:val="24"/>
          <w:szCs w:val="24"/>
          <w:highlight w:val="none"/>
          <w:lang w:val="zh-CN"/>
        </w:rPr>
      </w:pPr>
      <w:bookmarkStart w:id="117" w:name="_Toc14410"/>
      <w:bookmarkStart w:id="118" w:name="_Toc15503"/>
      <w:r>
        <w:rPr>
          <w:rFonts w:hint="eastAsia" w:ascii="宋体" w:hAnsi="宋体" w:eastAsia="宋体" w:cs="宋体"/>
          <w:b/>
          <w:sz w:val="24"/>
          <w:szCs w:val="24"/>
          <w:highlight w:val="none"/>
        </w:rPr>
        <w:t>五、</w:t>
      </w:r>
      <w:r>
        <w:rPr>
          <w:rFonts w:hint="eastAsia" w:ascii="宋体" w:hAnsi="宋体" w:eastAsia="宋体" w:cs="宋体"/>
          <w:b/>
          <w:sz w:val="24"/>
          <w:szCs w:val="24"/>
          <w:highlight w:val="none"/>
          <w:lang w:val="zh-CN"/>
        </w:rPr>
        <w:t>评分表</w:t>
      </w:r>
      <w:bookmarkEnd w:id="117"/>
      <w:bookmarkEnd w:id="118"/>
    </w:p>
    <w:tbl>
      <w:tblPr>
        <w:tblStyle w:val="2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534"/>
        <w:gridCol w:w="2534"/>
        <w:gridCol w:w="2534"/>
      </w:tblGrid>
      <w:tr w14:paraId="616E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4" w:type="dxa"/>
            <w:vAlign w:val="center"/>
          </w:tcPr>
          <w:p w14:paraId="0C80B50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评标指标</w:t>
            </w:r>
          </w:p>
        </w:tc>
        <w:tc>
          <w:tcPr>
            <w:tcW w:w="2534" w:type="dxa"/>
            <w:vAlign w:val="center"/>
          </w:tcPr>
          <w:p w14:paraId="1E14779B">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w:t>
            </w:r>
          </w:p>
        </w:tc>
        <w:tc>
          <w:tcPr>
            <w:tcW w:w="2534" w:type="dxa"/>
            <w:vAlign w:val="center"/>
          </w:tcPr>
          <w:p w14:paraId="38E776F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商务技术部分</w:t>
            </w:r>
          </w:p>
        </w:tc>
        <w:tc>
          <w:tcPr>
            <w:tcW w:w="2534" w:type="dxa"/>
            <w:vAlign w:val="center"/>
          </w:tcPr>
          <w:p w14:paraId="1813E89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r>
      <w:tr w14:paraId="61BB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34" w:type="dxa"/>
            <w:vAlign w:val="center"/>
          </w:tcPr>
          <w:p w14:paraId="59F17CDE">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权重（%）</w:t>
            </w:r>
          </w:p>
        </w:tc>
        <w:tc>
          <w:tcPr>
            <w:tcW w:w="2534" w:type="dxa"/>
            <w:vAlign w:val="center"/>
          </w:tcPr>
          <w:p w14:paraId="78E163A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34" w:type="dxa"/>
            <w:vAlign w:val="center"/>
          </w:tcPr>
          <w:p w14:paraId="5ABDE6F7">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w:t>
            </w:r>
          </w:p>
        </w:tc>
        <w:tc>
          <w:tcPr>
            <w:tcW w:w="2534" w:type="dxa"/>
            <w:vAlign w:val="center"/>
          </w:tcPr>
          <w:p w14:paraId="0A75454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bl>
    <w:p w14:paraId="3F598C7C">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sz w:val="24"/>
          <w:szCs w:val="24"/>
          <w:highlight w:val="none"/>
          <w:lang w:val="en-US" w:eastAsia="zh-CN"/>
        </w:rPr>
      </w:pPr>
    </w:p>
    <w:p w14:paraId="4BC8CF8B">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 w:val="24"/>
          <w:szCs w:val="24"/>
          <w:highlight w:val="none"/>
          <w:lang w:val="en-US"/>
        </w:rPr>
      </w:pPr>
      <w:bookmarkStart w:id="119" w:name="_Toc3136"/>
      <w:r>
        <w:rPr>
          <w:rFonts w:hint="eastAsia" w:ascii="宋体" w:hAnsi="宋体" w:cs="宋体"/>
          <w:b/>
          <w:bCs/>
          <w:color w:val="auto"/>
          <w:sz w:val="24"/>
          <w:szCs w:val="24"/>
          <w:highlight w:val="none"/>
          <w:lang w:val="en-US" w:eastAsia="zh-CN"/>
        </w:rPr>
        <w:t>2025年安全生产社会化服务项目</w:t>
      </w:r>
      <w:r>
        <w:rPr>
          <w:rFonts w:hint="eastAsia" w:ascii="宋体" w:hAnsi="宋体" w:eastAsia="宋体" w:cs="宋体"/>
          <w:b/>
          <w:bCs/>
          <w:color w:val="auto"/>
          <w:sz w:val="24"/>
          <w:szCs w:val="24"/>
          <w:highlight w:val="none"/>
          <w:lang w:val="en-US" w:eastAsia="zh-CN"/>
        </w:rPr>
        <w:t>的商务技术评分表</w:t>
      </w:r>
      <w:bookmarkEnd w:id="119"/>
    </w:p>
    <w:tbl>
      <w:tblPr>
        <w:tblStyle w:val="2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966"/>
        <w:gridCol w:w="7089"/>
        <w:gridCol w:w="799"/>
      </w:tblGrid>
      <w:tr w14:paraId="17EE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1679E474">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评审</w:t>
            </w:r>
          </w:p>
          <w:p w14:paraId="200D6315">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内容</w:t>
            </w:r>
          </w:p>
        </w:tc>
        <w:tc>
          <w:tcPr>
            <w:tcW w:w="966" w:type="dxa"/>
            <w:noWrap w:val="0"/>
            <w:vAlign w:val="center"/>
          </w:tcPr>
          <w:p w14:paraId="65C154EC">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评分</w:t>
            </w:r>
          </w:p>
          <w:p w14:paraId="7C170A40">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类别</w:t>
            </w:r>
          </w:p>
        </w:tc>
        <w:tc>
          <w:tcPr>
            <w:tcW w:w="7089" w:type="dxa"/>
            <w:noWrap w:val="0"/>
            <w:vAlign w:val="center"/>
          </w:tcPr>
          <w:p w14:paraId="0908C030">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评分细则</w:t>
            </w:r>
          </w:p>
        </w:tc>
        <w:tc>
          <w:tcPr>
            <w:tcW w:w="799" w:type="dxa"/>
            <w:noWrap w:val="0"/>
            <w:vAlign w:val="center"/>
          </w:tcPr>
          <w:p w14:paraId="1C231A8C">
            <w:pPr>
              <w:autoSpaceDE w:val="0"/>
              <w:autoSpaceDN w:val="0"/>
              <w:adjustRightInd w:val="0"/>
              <w:spacing w:line="360" w:lineRule="auto"/>
              <w:jc w:val="center"/>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分值</w:t>
            </w:r>
          </w:p>
        </w:tc>
      </w:tr>
      <w:tr w14:paraId="53BE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2155EDE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同类项目业绩情况</w:t>
            </w:r>
          </w:p>
        </w:tc>
        <w:tc>
          <w:tcPr>
            <w:tcW w:w="966" w:type="dxa"/>
            <w:noWrap w:val="0"/>
            <w:vAlign w:val="center"/>
          </w:tcPr>
          <w:p w14:paraId="44EFD098">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客观</w:t>
            </w:r>
          </w:p>
        </w:tc>
        <w:tc>
          <w:tcPr>
            <w:tcW w:w="7089" w:type="dxa"/>
            <w:noWrap w:val="0"/>
            <w:vAlign w:val="center"/>
          </w:tcPr>
          <w:p w14:paraId="5F5F759B">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根据投标人202</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年</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月1日以来（以中标通知书签发日期或合同签订时间为准），承担过船舶隐患排查相关项目，每个项目得0.2分，最高得1分。</w:t>
            </w:r>
          </w:p>
          <w:p w14:paraId="3CE6D91E">
            <w:pPr>
              <w:autoSpaceDE w:val="0"/>
              <w:autoSpaceDN w:val="0"/>
              <w:adjustRightInd w:val="0"/>
              <w:spacing w:line="360" w:lineRule="auto"/>
              <w:rPr>
                <w:rFonts w:hint="eastAsia" w:ascii="宋体" w:hAnsi="宋体" w:eastAsia="宋体" w:cs="宋体"/>
                <w:spacing w:val="6"/>
                <w:sz w:val="24"/>
                <w:szCs w:val="24"/>
                <w:highlight w:val="none"/>
              </w:rPr>
            </w:pPr>
            <w:r>
              <w:rPr>
                <w:rFonts w:hint="eastAsia" w:ascii="宋体" w:hAnsi="宋体" w:eastAsia="宋体" w:cs="宋体"/>
                <w:b/>
                <w:bCs/>
                <w:spacing w:val="6"/>
                <w:sz w:val="24"/>
                <w:szCs w:val="24"/>
                <w:highlight w:val="none"/>
              </w:rPr>
              <w:t>注：提供</w:t>
            </w:r>
            <w:r>
              <w:rPr>
                <w:rFonts w:hint="eastAsia" w:ascii="宋体" w:hAnsi="宋体" w:cs="宋体"/>
                <w:b/>
                <w:bCs/>
                <w:spacing w:val="6"/>
                <w:sz w:val="24"/>
                <w:szCs w:val="24"/>
                <w:highlight w:val="none"/>
                <w:lang w:val="en-US" w:eastAsia="zh-CN"/>
              </w:rPr>
              <w:t>相关证明材料</w:t>
            </w:r>
            <w:r>
              <w:rPr>
                <w:rFonts w:hint="eastAsia" w:ascii="宋体" w:hAnsi="宋体" w:eastAsia="宋体" w:cs="宋体"/>
                <w:b/>
                <w:bCs/>
                <w:spacing w:val="6"/>
                <w:sz w:val="24"/>
                <w:szCs w:val="24"/>
                <w:highlight w:val="none"/>
              </w:rPr>
              <w:t>复印件，</w:t>
            </w:r>
            <w:r>
              <w:rPr>
                <w:rFonts w:hint="eastAsia" w:ascii="宋体" w:hAnsi="宋体" w:cs="宋体"/>
                <w:b/>
                <w:bCs/>
                <w:spacing w:val="6"/>
                <w:sz w:val="24"/>
                <w:szCs w:val="24"/>
                <w:highlight w:val="none"/>
                <w:lang w:val="en-US" w:eastAsia="zh-CN"/>
              </w:rPr>
              <w:t>不提供</w:t>
            </w:r>
            <w:r>
              <w:rPr>
                <w:rFonts w:hint="eastAsia" w:ascii="宋体" w:hAnsi="宋体" w:eastAsia="宋体" w:cs="宋体"/>
                <w:b/>
                <w:bCs/>
                <w:spacing w:val="6"/>
                <w:sz w:val="24"/>
                <w:szCs w:val="24"/>
                <w:highlight w:val="none"/>
              </w:rPr>
              <w:t>不得分。</w:t>
            </w:r>
          </w:p>
        </w:tc>
        <w:tc>
          <w:tcPr>
            <w:tcW w:w="799" w:type="dxa"/>
            <w:noWrap w:val="0"/>
            <w:vAlign w:val="center"/>
          </w:tcPr>
          <w:p w14:paraId="153E98DA">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p>
        </w:tc>
      </w:tr>
      <w:tr w14:paraId="1C80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vMerge w:val="restart"/>
            <w:noWrap w:val="0"/>
            <w:vAlign w:val="center"/>
          </w:tcPr>
          <w:p w14:paraId="57C1C24C">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拟投入本项目实施技术人员情况</w:t>
            </w:r>
          </w:p>
        </w:tc>
        <w:tc>
          <w:tcPr>
            <w:tcW w:w="966" w:type="dxa"/>
            <w:noWrap w:val="0"/>
            <w:vAlign w:val="center"/>
          </w:tcPr>
          <w:p w14:paraId="0FB79CE0">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客观</w:t>
            </w:r>
          </w:p>
        </w:tc>
        <w:tc>
          <w:tcPr>
            <w:tcW w:w="7089" w:type="dxa"/>
            <w:noWrap w:val="0"/>
            <w:vAlign w:val="center"/>
          </w:tcPr>
          <w:p w14:paraId="7D2DA783">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项目负责人（1名）：</w:t>
            </w:r>
          </w:p>
          <w:p w14:paraId="0032CE77">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1、持有交通运输部海事局签发的《注册验船师资格证书》B级及以上且具有适用于本项目相关专业的高级职称及以上，得6分；</w:t>
            </w:r>
          </w:p>
          <w:p w14:paraId="56EA91F8">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2、持有交通运输部海事局签发的《注册验船师资格证书》B级及以上且具有适用于本项目相关专业中级职称，得3分；</w:t>
            </w:r>
          </w:p>
          <w:p w14:paraId="4192FE3D">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3、持有交通运输部海事局签发的《注册验船师资格证书》B级及以上且具有适用于本项目相关专业中级职称以下，得1分；</w:t>
            </w:r>
          </w:p>
          <w:p w14:paraId="61423EF8">
            <w:pPr>
              <w:autoSpaceDE w:val="0"/>
              <w:autoSpaceDN w:val="0"/>
              <w:adjustRightInd w:val="0"/>
              <w:spacing w:line="360" w:lineRule="auto"/>
              <w:rPr>
                <w:rFonts w:hint="eastAsia" w:ascii="宋体" w:hAnsi="宋体" w:eastAsia="宋体" w:cs="宋体"/>
                <w:spacing w:val="6"/>
                <w:sz w:val="24"/>
                <w:szCs w:val="24"/>
                <w:highlight w:val="none"/>
                <w:lang w:val="en-US" w:eastAsia="zh-CN"/>
              </w:rPr>
            </w:pPr>
            <w:r>
              <w:rPr>
                <w:rFonts w:hint="eastAsia" w:ascii="宋体" w:hAnsi="宋体" w:eastAsia="宋体" w:cs="宋体"/>
                <w:b/>
                <w:bCs/>
                <w:spacing w:val="6"/>
                <w:sz w:val="24"/>
                <w:szCs w:val="24"/>
                <w:highlight w:val="none"/>
              </w:rPr>
              <w:t>注：</w:t>
            </w:r>
            <w:r>
              <w:rPr>
                <w:rFonts w:hint="eastAsia" w:ascii="宋体" w:hAnsi="宋体" w:eastAsia="宋体" w:cs="宋体"/>
                <w:b/>
                <w:bCs/>
                <w:spacing w:val="6"/>
                <w:sz w:val="24"/>
                <w:szCs w:val="24"/>
                <w:highlight w:val="none"/>
                <w:lang w:val="en-US" w:eastAsia="zh-CN"/>
              </w:rPr>
              <w:t>提供项目负责人相关证书及投标人为其缴纳的近三个月</w:t>
            </w:r>
            <w:r>
              <w:rPr>
                <w:rFonts w:hint="eastAsia" w:ascii="宋体" w:hAnsi="宋体" w:cs="宋体"/>
                <w:b/>
                <w:bCs/>
                <w:spacing w:val="6"/>
                <w:sz w:val="24"/>
                <w:szCs w:val="24"/>
                <w:highlight w:val="none"/>
                <w:lang w:val="en-US" w:eastAsia="zh-CN"/>
              </w:rPr>
              <w:t>内</w:t>
            </w:r>
            <w:r>
              <w:rPr>
                <w:rFonts w:hint="eastAsia" w:ascii="宋体" w:hAnsi="宋体" w:eastAsia="宋体" w:cs="宋体"/>
                <w:b/>
                <w:bCs/>
                <w:spacing w:val="6"/>
                <w:sz w:val="24"/>
                <w:szCs w:val="24"/>
                <w:highlight w:val="none"/>
                <w:lang w:val="en-US" w:eastAsia="zh-CN"/>
              </w:rPr>
              <w:t>任意一个月社保证明</w:t>
            </w:r>
            <w:r>
              <w:rPr>
                <w:rFonts w:hint="eastAsia" w:ascii="宋体" w:hAnsi="宋体" w:eastAsia="宋体" w:cs="宋体"/>
                <w:b/>
                <w:bCs/>
                <w:spacing w:val="6"/>
                <w:sz w:val="24"/>
                <w:szCs w:val="24"/>
                <w:highlight w:val="none"/>
              </w:rPr>
              <w:t>，</w:t>
            </w:r>
            <w:r>
              <w:rPr>
                <w:rFonts w:hint="eastAsia" w:ascii="宋体" w:hAnsi="宋体" w:cs="宋体"/>
                <w:b/>
                <w:bCs/>
                <w:spacing w:val="6"/>
                <w:sz w:val="24"/>
                <w:szCs w:val="24"/>
                <w:highlight w:val="none"/>
                <w:lang w:val="en-US" w:eastAsia="zh-CN"/>
              </w:rPr>
              <w:t>不提供</w:t>
            </w:r>
            <w:r>
              <w:rPr>
                <w:rFonts w:hint="eastAsia" w:ascii="宋体" w:hAnsi="宋体" w:eastAsia="宋体" w:cs="宋体"/>
                <w:b/>
                <w:bCs/>
                <w:spacing w:val="6"/>
                <w:sz w:val="24"/>
                <w:szCs w:val="24"/>
                <w:highlight w:val="none"/>
              </w:rPr>
              <w:t>不得分</w:t>
            </w:r>
            <w:r>
              <w:rPr>
                <w:rFonts w:hint="eastAsia" w:ascii="宋体" w:hAnsi="宋体" w:eastAsia="宋体" w:cs="宋体"/>
                <w:b/>
                <w:bCs/>
                <w:spacing w:val="6"/>
                <w:sz w:val="24"/>
                <w:szCs w:val="24"/>
                <w:highlight w:val="none"/>
                <w:lang w:val="en-US" w:eastAsia="zh-CN"/>
              </w:rPr>
              <w:t>。</w:t>
            </w:r>
          </w:p>
        </w:tc>
        <w:tc>
          <w:tcPr>
            <w:tcW w:w="799" w:type="dxa"/>
            <w:noWrap w:val="0"/>
            <w:vAlign w:val="center"/>
          </w:tcPr>
          <w:p w14:paraId="1EC383C7">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6</w:t>
            </w:r>
          </w:p>
        </w:tc>
      </w:tr>
      <w:tr w14:paraId="5087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vMerge w:val="continue"/>
            <w:noWrap w:val="0"/>
            <w:vAlign w:val="center"/>
          </w:tcPr>
          <w:p w14:paraId="3CD331A5">
            <w:pPr>
              <w:autoSpaceDE w:val="0"/>
              <w:autoSpaceDN w:val="0"/>
              <w:adjustRightInd w:val="0"/>
              <w:spacing w:line="360" w:lineRule="auto"/>
              <w:jc w:val="center"/>
              <w:rPr>
                <w:rFonts w:hint="eastAsia" w:ascii="宋体" w:hAnsi="宋体" w:eastAsia="宋体" w:cs="宋体"/>
                <w:spacing w:val="6"/>
                <w:sz w:val="24"/>
                <w:szCs w:val="24"/>
                <w:highlight w:val="none"/>
              </w:rPr>
            </w:pPr>
          </w:p>
        </w:tc>
        <w:tc>
          <w:tcPr>
            <w:tcW w:w="966" w:type="dxa"/>
            <w:noWrap w:val="0"/>
            <w:vAlign w:val="center"/>
          </w:tcPr>
          <w:p w14:paraId="1ED3554B">
            <w:pPr>
              <w:autoSpaceDE w:val="0"/>
              <w:autoSpaceDN w:val="0"/>
              <w:adjustRightInd w:val="0"/>
              <w:spacing w:line="360" w:lineRule="auto"/>
              <w:jc w:val="center"/>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rPr>
              <w:t>主观</w:t>
            </w:r>
          </w:p>
        </w:tc>
        <w:tc>
          <w:tcPr>
            <w:tcW w:w="7089" w:type="dxa"/>
            <w:noWrap w:val="0"/>
            <w:vAlign w:val="center"/>
          </w:tcPr>
          <w:p w14:paraId="3281699C">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根据项目组成员工作年限、职称情况、专业程度、岗位配置合理性进行综合评分：</w:t>
            </w:r>
          </w:p>
          <w:p w14:paraId="02029E40">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1、人员配置合理、专业程度高，得5分；</w:t>
            </w:r>
          </w:p>
          <w:p w14:paraId="27040AA3">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2、人员配置较为合理、专业程度较高，得3分；</w:t>
            </w:r>
          </w:p>
          <w:p w14:paraId="2F6CDC01">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3、人员配置一般、专业程度一般，得1分；</w:t>
            </w:r>
          </w:p>
          <w:p w14:paraId="4BE63741">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4、人员配置不合理，专业程度差不得分。</w:t>
            </w:r>
          </w:p>
          <w:p w14:paraId="5068E558">
            <w:pPr>
              <w:autoSpaceDE w:val="0"/>
              <w:autoSpaceDN w:val="0"/>
              <w:adjustRightInd w:val="0"/>
              <w:spacing w:line="360" w:lineRule="auto"/>
              <w:rPr>
                <w:rFonts w:hint="default" w:ascii="宋体" w:hAnsi="宋体" w:eastAsia="宋体" w:cs="宋体"/>
                <w:spacing w:val="6"/>
                <w:sz w:val="24"/>
                <w:szCs w:val="24"/>
                <w:highlight w:val="none"/>
                <w:lang w:val="en-US"/>
              </w:rPr>
            </w:pPr>
            <w:r>
              <w:rPr>
                <w:rFonts w:hint="eastAsia" w:ascii="宋体" w:hAnsi="宋体" w:eastAsia="宋体" w:cs="宋体"/>
                <w:b/>
                <w:bCs/>
                <w:spacing w:val="6"/>
                <w:sz w:val="24"/>
                <w:szCs w:val="24"/>
                <w:highlight w:val="none"/>
              </w:rPr>
              <w:t>注：</w:t>
            </w:r>
            <w:r>
              <w:rPr>
                <w:rFonts w:hint="eastAsia" w:ascii="宋体" w:hAnsi="宋体" w:eastAsia="宋体" w:cs="宋体"/>
                <w:b/>
                <w:bCs/>
                <w:spacing w:val="6"/>
                <w:sz w:val="24"/>
                <w:szCs w:val="24"/>
                <w:highlight w:val="none"/>
                <w:lang w:val="en-US" w:eastAsia="zh-CN"/>
              </w:rPr>
              <w:t>提供项目组</w:t>
            </w:r>
            <w:r>
              <w:rPr>
                <w:rFonts w:hint="eastAsia" w:ascii="宋体" w:hAnsi="宋体" w:cs="宋体"/>
                <w:b/>
                <w:bCs/>
                <w:spacing w:val="6"/>
                <w:sz w:val="24"/>
                <w:szCs w:val="24"/>
                <w:highlight w:val="none"/>
                <w:lang w:val="en-US" w:eastAsia="zh-CN"/>
              </w:rPr>
              <w:t>成员</w:t>
            </w:r>
            <w:r>
              <w:rPr>
                <w:rFonts w:hint="eastAsia" w:ascii="宋体" w:hAnsi="宋体" w:eastAsia="宋体" w:cs="宋体"/>
                <w:b/>
                <w:bCs/>
                <w:spacing w:val="6"/>
                <w:sz w:val="24"/>
                <w:szCs w:val="24"/>
                <w:highlight w:val="none"/>
                <w:lang w:val="en-US" w:eastAsia="zh-CN"/>
              </w:rPr>
              <w:t>相关证书及投标人为其缴纳的近三个月</w:t>
            </w:r>
            <w:r>
              <w:rPr>
                <w:rFonts w:hint="eastAsia" w:ascii="宋体" w:hAnsi="宋体" w:cs="宋体"/>
                <w:b/>
                <w:bCs/>
                <w:spacing w:val="6"/>
                <w:sz w:val="24"/>
                <w:szCs w:val="24"/>
                <w:highlight w:val="none"/>
                <w:lang w:val="en-US" w:eastAsia="zh-CN"/>
              </w:rPr>
              <w:t>内</w:t>
            </w:r>
            <w:r>
              <w:rPr>
                <w:rFonts w:hint="eastAsia" w:ascii="宋体" w:hAnsi="宋体" w:eastAsia="宋体" w:cs="宋体"/>
                <w:b/>
                <w:bCs/>
                <w:spacing w:val="6"/>
                <w:sz w:val="24"/>
                <w:szCs w:val="24"/>
                <w:highlight w:val="none"/>
                <w:lang w:val="en-US" w:eastAsia="zh-CN"/>
              </w:rPr>
              <w:t>任意一个月社保证明</w:t>
            </w:r>
            <w:r>
              <w:rPr>
                <w:rFonts w:hint="eastAsia" w:ascii="宋体" w:hAnsi="宋体" w:cs="宋体"/>
                <w:b/>
                <w:bCs/>
                <w:spacing w:val="6"/>
                <w:sz w:val="24"/>
                <w:szCs w:val="24"/>
                <w:highlight w:val="none"/>
                <w:lang w:val="en-US" w:eastAsia="zh-CN"/>
              </w:rPr>
              <w:t>材料复印件</w:t>
            </w:r>
            <w:r>
              <w:rPr>
                <w:rFonts w:hint="eastAsia" w:ascii="宋体" w:hAnsi="宋体" w:eastAsia="宋体" w:cs="宋体"/>
                <w:b/>
                <w:bCs/>
                <w:spacing w:val="6"/>
                <w:sz w:val="24"/>
                <w:szCs w:val="24"/>
                <w:highlight w:val="none"/>
              </w:rPr>
              <w:t>，</w:t>
            </w:r>
            <w:r>
              <w:rPr>
                <w:rFonts w:hint="eastAsia" w:ascii="宋体" w:hAnsi="宋体" w:cs="宋体"/>
                <w:b/>
                <w:bCs/>
                <w:spacing w:val="6"/>
                <w:sz w:val="24"/>
                <w:szCs w:val="24"/>
                <w:highlight w:val="none"/>
                <w:lang w:val="en-US" w:eastAsia="zh-CN"/>
              </w:rPr>
              <w:t>不提供</w:t>
            </w:r>
            <w:r>
              <w:rPr>
                <w:rFonts w:hint="eastAsia" w:ascii="宋体" w:hAnsi="宋体" w:eastAsia="宋体" w:cs="宋体"/>
                <w:b/>
                <w:bCs/>
                <w:spacing w:val="6"/>
                <w:sz w:val="24"/>
                <w:szCs w:val="24"/>
                <w:highlight w:val="none"/>
              </w:rPr>
              <w:t>不得分</w:t>
            </w:r>
            <w:r>
              <w:rPr>
                <w:rFonts w:hint="eastAsia" w:ascii="宋体" w:hAnsi="宋体" w:cs="宋体"/>
                <w:b/>
                <w:bCs/>
                <w:spacing w:val="6"/>
                <w:sz w:val="24"/>
                <w:szCs w:val="24"/>
                <w:highlight w:val="none"/>
                <w:lang w:val="en-US" w:eastAsia="zh-CN"/>
              </w:rPr>
              <w:t>。</w:t>
            </w:r>
          </w:p>
        </w:tc>
        <w:tc>
          <w:tcPr>
            <w:tcW w:w="799" w:type="dxa"/>
            <w:noWrap w:val="0"/>
            <w:vAlign w:val="center"/>
          </w:tcPr>
          <w:p w14:paraId="4BA09615">
            <w:pPr>
              <w:autoSpaceDE w:val="0"/>
              <w:autoSpaceDN w:val="0"/>
              <w:adjustRightInd w:val="0"/>
              <w:spacing w:line="36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5</w:t>
            </w:r>
          </w:p>
        </w:tc>
      </w:tr>
      <w:tr w14:paraId="5F04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69DA397E">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技术方案</w:t>
            </w:r>
          </w:p>
        </w:tc>
        <w:tc>
          <w:tcPr>
            <w:tcW w:w="966" w:type="dxa"/>
            <w:tcBorders>
              <w:bottom w:val="single" w:color="auto" w:sz="4" w:space="0"/>
            </w:tcBorders>
            <w:noWrap w:val="0"/>
            <w:vAlign w:val="center"/>
          </w:tcPr>
          <w:p w14:paraId="08103B3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tcBorders>
              <w:bottom w:val="single" w:color="auto" w:sz="4" w:space="0"/>
            </w:tcBorders>
            <w:noWrap w:val="0"/>
            <w:vAlign w:val="center"/>
          </w:tcPr>
          <w:p w14:paraId="6858DA4F">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根据技术方案总体理解（①技术方案总体思路、②船体结构部分技术方案、③轮机设备部分技术方案、④电气设施部分技术方案、⑤消防、救生部分技术方案、⑥安全、信号部分技术方案）进行综合评分：</w:t>
            </w:r>
          </w:p>
          <w:p w14:paraId="2DD58AED">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1、每项分析全面、完善、清晰且合理的，得4分；</w:t>
            </w:r>
          </w:p>
          <w:p w14:paraId="0A5B670F">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2、每项分析内容较全面、较完善、较清晰且合理的，得2分；</w:t>
            </w:r>
          </w:p>
          <w:p w14:paraId="1359168E">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3、每项分析内容不明确、有部分不足的，得1分。</w:t>
            </w:r>
          </w:p>
          <w:p w14:paraId="359443AF">
            <w:pPr>
              <w:widowControl w:val="0"/>
              <w:autoSpaceDE w:val="0"/>
              <w:autoSpaceDN w:val="0"/>
              <w:adjustRightInd w:val="0"/>
              <w:spacing w:line="360" w:lineRule="auto"/>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p w14:paraId="3E7F563E">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注：以上①—⑥项内容为专门针对本项目编制，每一小项最高得4分。</w:t>
            </w:r>
          </w:p>
        </w:tc>
        <w:tc>
          <w:tcPr>
            <w:tcW w:w="799" w:type="dxa"/>
            <w:noWrap w:val="0"/>
            <w:vAlign w:val="center"/>
          </w:tcPr>
          <w:p w14:paraId="405CFA59">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24</w:t>
            </w:r>
          </w:p>
        </w:tc>
      </w:tr>
      <w:tr w14:paraId="341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3C11529E">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重难点分析及合理化建议</w:t>
            </w:r>
          </w:p>
        </w:tc>
        <w:tc>
          <w:tcPr>
            <w:tcW w:w="966" w:type="dxa"/>
            <w:noWrap w:val="0"/>
            <w:vAlign w:val="center"/>
          </w:tcPr>
          <w:p w14:paraId="6091CB5B">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272E3643">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根据投标人提供的针对本项目的重难点分析及解决方案的科学性、合理性、全面性等情况，进行综合评分：</w:t>
            </w:r>
          </w:p>
          <w:p w14:paraId="4C07D127">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1、分析到位及解决方案完全合理，得10分；</w:t>
            </w:r>
          </w:p>
          <w:p w14:paraId="4991D0A0">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2、分析基本到位及解决方案基本合理，得7分；</w:t>
            </w:r>
          </w:p>
          <w:p w14:paraId="2BBDC67A">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3、分析有偏差及解决方案欠佳，得4分；</w:t>
            </w:r>
          </w:p>
          <w:p w14:paraId="71B693A2">
            <w:pPr>
              <w:widowControl w:val="0"/>
              <w:autoSpaceDE w:val="0"/>
              <w:autoSpaceDN w:val="0"/>
              <w:adjustRightInd w:val="0"/>
              <w:spacing w:line="360" w:lineRule="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4、分析偏差大、解决方案基本无可行性，得1分</w:t>
            </w:r>
            <w:r>
              <w:rPr>
                <w:rFonts w:hint="eastAsia" w:ascii="宋体" w:hAnsi="宋体" w:cs="宋体"/>
                <w:color w:val="auto"/>
                <w:sz w:val="24"/>
                <w:szCs w:val="24"/>
                <w:highlight w:val="none"/>
                <w:lang w:val="en-US" w:eastAsia="zh-CN" w:bidi="ar-SA"/>
              </w:rPr>
              <w:t>。</w:t>
            </w:r>
          </w:p>
          <w:p w14:paraId="354B05FE">
            <w:pPr>
              <w:widowControl w:val="0"/>
              <w:autoSpaceDE w:val="0"/>
              <w:autoSpaceDN w:val="0"/>
              <w:adjustRightInd w:val="0"/>
              <w:spacing w:line="360" w:lineRule="auto"/>
              <w:rPr>
                <w:rFonts w:hint="default" w:ascii="宋体" w:hAnsi="宋体" w:eastAsia="宋体" w:cs="宋体"/>
                <w:color w:val="000000"/>
                <w:spacing w:val="6"/>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72073EF8">
            <w:pPr>
              <w:autoSpaceDE w:val="0"/>
              <w:autoSpaceDN w:val="0"/>
              <w:adjustRightInd w:val="0"/>
              <w:spacing w:line="360" w:lineRule="auto"/>
              <w:jc w:val="center"/>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10</w:t>
            </w:r>
          </w:p>
        </w:tc>
      </w:tr>
      <w:tr w14:paraId="01C8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787E888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质量控制方案</w:t>
            </w:r>
          </w:p>
        </w:tc>
        <w:tc>
          <w:tcPr>
            <w:tcW w:w="966" w:type="dxa"/>
            <w:noWrap w:val="0"/>
            <w:vAlign w:val="center"/>
          </w:tcPr>
          <w:p w14:paraId="128545D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083B82C1">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根据投标人提供的质量控制方案，进行综合评分：</w:t>
            </w:r>
          </w:p>
          <w:p w14:paraId="204E09D2">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1、方案完善，可行性高的，得10分；</w:t>
            </w:r>
          </w:p>
          <w:p w14:paraId="467FD3CD">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2、方案基本到位及解决方案基本合理，得7分；</w:t>
            </w:r>
          </w:p>
          <w:p w14:paraId="6B5B20AE">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3、方案欠佳、可行性有待提高的，得4分；</w:t>
            </w:r>
          </w:p>
          <w:p w14:paraId="793E1E74">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4、方案粗糙、基本无可行性的，得1分</w:t>
            </w:r>
            <w:r>
              <w:rPr>
                <w:rFonts w:hint="eastAsia" w:ascii="宋体" w:hAnsi="宋体" w:cs="宋体"/>
                <w:color w:val="auto"/>
                <w:sz w:val="24"/>
                <w:szCs w:val="24"/>
                <w:highlight w:val="none"/>
                <w:lang w:val="en-US" w:eastAsia="zh-CN" w:bidi="ar-SA"/>
              </w:rPr>
              <w:t>。</w:t>
            </w:r>
          </w:p>
          <w:p w14:paraId="499409E3">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4688121A">
            <w:pPr>
              <w:autoSpaceDE w:val="0"/>
              <w:autoSpaceDN w:val="0"/>
              <w:adjustRightInd w:val="0"/>
              <w:spacing w:line="360" w:lineRule="auto"/>
              <w:jc w:val="center"/>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10</w:t>
            </w:r>
          </w:p>
        </w:tc>
      </w:tr>
      <w:tr w14:paraId="15F6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1B3DE6FF">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进度控制</w:t>
            </w:r>
          </w:p>
        </w:tc>
        <w:tc>
          <w:tcPr>
            <w:tcW w:w="966" w:type="dxa"/>
            <w:noWrap w:val="0"/>
            <w:vAlign w:val="center"/>
          </w:tcPr>
          <w:p w14:paraId="1755B1AF">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3D757A0F">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根据投标人提供的项目进度控制计划，进行综合评分：</w:t>
            </w:r>
          </w:p>
          <w:p w14:paraId="4AA8B565">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bidi="ar-SA"/>
              </w:rPr>
              <w:t>总体项目实施计划完善可行性高，进度控制合理的，得6分；</w:t>
            </w:r>
          </w:p>
          <w:p w14:paraId="5FB1A348">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bidi="ar-SA"/>
              </w:rPr>
              <w:t>总体项目实施计划较完善可行性较高，进度控制较合理，得4分；</w:t>
            </w:r>
          </w:p>
          <w:p w14:paraId="247666AA">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3、总体项目实施计划较粗糙、可行性有待提高，进度安排欠妥的，得2分</w:t>
            </w:r>
            <w:r>
              <w:rPr>
                <w:rFonts w:hint="eastAsia" w:ascii="宋体" w:hAnsi="宋体" w:cs="宋体"/>
                <w:color w:val="auto"/>
                <w:sz w:val="24"/>
                <w:szCs w:val="24"/>
                <w:highlight w:val="none"/>
                <w:lang w:val="en-US" w:eastAsia="zh-CN" w:bidi="ar-SA"/>
              </w:rPr>
              <w:t>。</w:t>
            </w:r>
          </w:p>
          <w:p w14:paraId="3815ECAE">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2FA6D730">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6</w:t>
            </w:r>
          </w:p>
        </w:tc>
      </w:tr>
      <w:tr w14:paraId="2FAC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0CE990A5">
            <w:pPr>
              <w:autoSpaceDE w:val="0"/>
              <w:autoSpaceDN w:val="0"/>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安全、廉洁、文明保障措施</w:t>
            </w:r>
          </w:p>
        </w:tc>
        <w:tc>
          <w:tcPr>
            <w:tcW w:w="966" w:type="dxa"/>
            <w:noWrap w:val="0"/>
            <w:vAlign w:val="center"/>
          </w:tcPr>
          <w:p w14:paraId="44A2578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1461C35C">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根据投标人提供的对于安全、文明保障措施，进行综合评分：</w:t>
            </w:r>
          </w:p>
          <w:p w14:paraId="66DBE1A3">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1、安全、廉洁、文明保障措施充分完善，得6分；</w:t>
            </w:r>
          </w:p>
          <w:p w14:paraId="1AFF7B70">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2、安全、廉洁、文明保障措施较合理，得4分；</w:t>
            </w:r>
          </w:p>
          <w:p w14:paraId="7AE1F327">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3、安全、廉洁、文明保障措施较粗糙，得2分</w:t>
            </w:r>
            <w:r>
              <w:rPr>
                <w:rFonts w:hint="eastAsia" w:ascii="宋体" w:hAnsi="宋体" w:cs="宋体"/>
                <w:color w:val="auto"/>
                <w:sz w:val="24"/>
                <w:szCs w:val="24"/>
                <w:highlight w:val="none"/>
                <w:lang w:val="en-US" w:eastAsia="zh-CN" w:bidi="ar-SA"/>
              </w:rPr>
              <w:t>。</w:t>
            </w:r>
          </w:p>
          <w:p w14:paraId="35A32B94">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5320FD97">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6</w:t>
            </w:r>
          </w:p>
        </w:tc>
      </w:tr>
      <w:tr w14:paraId="0A5D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82" w:type="dxa"/>
            <w:noWrap w:val="0"/>
            <w:vAlign w:val="center"/>
          </w:tcPr>
          <w:p w14:paraId="51136E22">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bCs/>
                <w:sz w:val="24"/>
                <w:szCs w:val="24"/>
                <w:highlight w:val="none"/>
              </w:rPr>
              <w:t>应急保障措施</w:t>
            </w:r>
          </w:p>
        </w:tc>
        <w:tc>
          <w:tcPr>
            <w:tcW w:w="966" w:type="dxa"/>
            <w:noWrap w:val="0"/>
            <w:vAlign w:val="center"/>
          </w:tcPr>
          <w:p w14:paraId="41AED4EE">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591F00BF">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根据投标人提供的对于突发事件的应急预案及相关应急措施，进行综合评分：</w:t>
            </w:r>
          </w:p>
          <w:p w14:paraId="2556F9E4">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1、突发事件应急预案及措施制作充分完善，得6分；</w:t>
            </w:r>
          </w:p>
          <w:p w14:paraId="41479220">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2、突发事件应急预案及措施制作较合理，得4分；</w:t>
            </w:r>
          </w:p>
          <w:p w14:paraId="2628D10D">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3、突发事件应急预案及措施制作较粗糙，得2分</w:t>
            </w:r>
            <w:r>
              <w:rPr>
                <w:rFonts w:hint="eastAsia" w:ascii="宋体" w:hAnsi="宋体" w:cs="宋体"/>
                <w:color w:val="auto"/>
                <w:sz w:val="24"/>
                <w:szCs w:val="24"/>
                <w:highlight w:val="none"/>
                <w:lang w:val="en-US" w:eastAsia="zh-CN" w:bidi="ar-SA"/>
              </w:rPr>
              <w:t>。</w:t>
            </w:r>
          </w:p>
          <w:p w14:paraId="29113D68">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77076D32">
            <w:pPr>
              <w:autoSpaceDE w:val="0"/>
              <w:autoSpaceDN w:val="0"/>
              <w:adjustRightInd w:val="0"/>
              <w:spacing w:line="360" w:lineRule="auto"/>
              <w:jc w:val="center"/>
              <w:rPr>
                <w:rFonts w:hint="eastAsia"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val="en-US" w:eastAsia="zh-CN"/>
              </w:rPr>
              <w:t>6</w:t>
            </w:r>
          </w:p>
        </w:tc>
      </w:tr>
      <w:tr w14:paraId="1536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0AFAD000">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服务</w:t>
            </w:r>
          </w:p>
          <w:p w14:paraId="365F2A17">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能力</w:t>
            </w:r>
          </w:p>
        </w:tc>
        <w:tc>
          <w:tcPr>
            <w:tcW w:w="966" w:type="dxa"/>
            <w:noWrap w:val="0"/>
            <w:vAlign w:val="center"/>
          </w:tcPr>
          <w:p w14:paraId="23ED79DB">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344EC3FA">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根据投标人提供的服务网点、服务响应时间等情况，结合本项目船舶分布情况，进行综合评分：</w:t>
            </w:r>
          </w:p>
          <w:p w14:paraId="7D499F00">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bidi="ar-SA"/>
              </w:rPr>
              <w:t>服务网点配备合理，便于提供本项目船舶检验服务的，得</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w:t>
            </w:r>
          </w:p>
          <w:p w14:paraId="55765B39">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bidi="ar-SA"/>
              </w:rPr>
              <w:t>服务网点配备较合理，能较为便利提供本项目船舶检验服务，得</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分；</w:t>
            </w:r>
          </w:p>
          <w:p w14:paraId="616DA476">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3、服务网点配备不足，提供检验服务便利性不足的，得1分</w:t>
            </w:r>
            <w:r>
              <w:rPr>
                <w:rFonts w:hint="eastAsia" w:ascii="宋体" w:hAnsi="宋体" w:cs="宋体"/>
                <w:color w:val="auto"/>
                <w:sz w:val="24"/>
                <w:szCs w:val="24"/>
                <w:highlight w:val="none"/>
                <w:lang w:val="en-US" w:eastAsia="zh-CN" w:bidi="ar-SA"/>
              </w:rPr>
              <w:t>。</w:t>
            </w:r>
          </w:p>
          <w:p w14:paraId="09D09FAD">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638D955A">
            <w:pPr>
              <w:autoSpaceDE w:val="0"/>
              <w:autoSpaceDN w:val="0"/>
              <w:adjustRightInd w:val="0"/>
              <w:spacing w:line="360" w:lineRule="auto"/>
              <w:jc w:val="center"/>
              <w:rPr>
                <w:rFonts w:hint="eastAsia" w:ascii="宋体" w:hAnsi="宋体" w:eastAsia="宋体" w:cs="宋体"/>
                <w:spacing w:val="6"/>
                <w:sz w:val="24"/>
                <w:szCs w:val="24"/>
                <w:highlight w:val="none"/>
                <w:lang w:eastAsia="zh-CN"/>
              </w:rPr>
            </w:pPr>
            <w:r>
              <w:rPr>
                <w:rFonts w:hint="eastAsia" w:ascii="宋体" w:hAnsi="宋体" w:cs="宋体"/>
                <w:spacing w:val="6"/>
                <w:sz w:val="24"/>
                <w:szCs w:val="24"/>
                <w:highlight w:val="none"/>
                <w:lang w:val="en-US" w:eastAsia="zh-CN"/>
              </w:rPr>
              <w:t>5</w:t>
            </w:r>
          </w:p>
        </w:tc>
      </w:tr>
      <w:tr w14:paraId="0F50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212BDD9E">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拟投入仪器设备情况</w:t>
            </w:r>
          </w:p>
        </w:tc>
        <w:tc>
          <w:tcPr>
            <w:tcW w:w="966" w:type="dxa"/>
            <w:noWrap w:val="0"/>
            <w:vAlign w:val="center"/>
          </w:tcPr>
          <w:p w14:paraId="5F7C36F4">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40041108">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根据项目拟定投入的设备工具（器具），列出详细的设备数量、品牌型号、用途，进行综合评分：</w:t>
            </w:r>
          </w:p>
          <w:p w14:paraId="22FDF2F1">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bidi="ar-SA"/>
              </w:rPr>
              <w:t>设备配备充足、合理并满足项目需求，得</w:t>
            </w:r>
            <w:r>
              <w:rPr>
                <w:rFonts w:hint="eastAsia" w:ascii="宋体" w:hAnsi="宋体" w:cs="宋体"/>
                <w:color w:val="auto"/>
                <w:sz w:val="24"/>
                <w:szCs w:val="24"/>
                <w:highlight w:val="none"/>
                <w:lang w:val="en-US" w:eastAsia="zh-CN" w:bidi="ar-SA"/>
              </w:rPr>
              <w:t>1</w:t>
            </w:r>
            <w:r>
              <w:rPr>
                <w:rFonts w:hint="eastAsia" w:ascii="宋体" w:hAnsi="宋体" w:eastAsia="宋体" w:cs="宋体"/>
                <w:color w:val="auto"/>
                <w:sz w:val="24"/>
                <w:szCs w:val="24"/>
                <w:highlight w:val="none"/>
                <w:lang w:val="en-US" w:eastAsia="zh-CN" w:bidi="ar-SA"/>
              </w:rPr>
              <w:t>分；</w:t>
            </w:r>
          </w:p>
          <w:p w14:paraId="4C99BF43">
            <w:pPr>
              <w:widowControl w:val="0"/>
              <w:numPr>
                <w:ilvl w:val="0"/>
                <w:numId w:val="0"/>
              </w:numPr>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bidi="ar-SA"/>
              </w:rPr>
              <w:t>设备配备较充足、合理并能基本满足项目需求，得</w:t>
            </w:r>
            <w:r>
              <w:rPr>
                <w:rFonts w:hint="eastAsia" w:ascii="宋体" w:hAnsi="宋体" w:cs="宋体"/>
                <w:color w:val="auto"/>
                <w:sz w:val="24"/>
                <w:szCs w:val="24"/>
                <w:highlight w:val="none"/>
                <w:lang w:val="en-US" w:eastAsia="zh-CN" w:bidi="ar-SA"/>
              </w:rPr>
              <w:t>0.5</w:t>
            </w:r>
            <w:r>
              <w:rPr>
                <w:rFonts w:hint="eastAsia" w:ascii="宋体" w:hAnsi="宋体" w:eastAsia="宋体" w:cs="宋体"/>
                <w:color w:val="auto"/>
                <w:sz w:val="24"/>
                <w:szCs w:val="24"/>
                <w:highlight w:val="none"/>
                <w:lang w:val="en-US" w:eastAsia="zh-CN" w:bidi="ar-SA"/>
              </w:rPr>
              <w:t>分；</w:t>
            </w:r>
          </w:p>
          <w:p w14:paraId="24126206">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3、设备配备无法满足项目需求不得分。</w:t>
            </w:r>
          </w:p>
        </w:tc>
        <w:tc>
          <w:tcPr>
            <w:tcW w:w="799" w:type="dxa"/>
            <w:noWrap w:val="0"/>
            <w:vAlign w:val="center"/>
          </w:tcPr>
          <w:p w14:paraId="10EB97D3">
            <w:pPr>
              <w:autoSpaceDE w:val="0"/>
              <w:autoSpaceDN w:val="0"/>
              <w:adjustRightInd w:val="0"/>
              <w:spacing w:line="360" w:lineRule="auto"/>
              <w:jc w:val="center"/>
              <w:rPr>
                <w:rFonts w:hint="eastAsia" w:ascii="宋体" w:hAnsi="宋体" w:eastAsia="宋体" w:cs="宋体"/>
                <w:spacing w:val="6"/>
                <w:sz w:val="24"/>
                <w:szCs w:val="24"/>
                <w:highlight w:val="none"/>
                <w:lang w:eastAsia="zh-CN"/>
              </w:rPr>
            </w:pPr>
            <w:r>
              <w:rPr>
                <w:rFonts w:hint="eastAsia" w:ascii="宋体" w:hAnsi="宋体" w:cs="宋体"/>
                <w:spacing w:val="6"/>
                <w:sz w:val="24"/>
                <w:szCs w:val="24"/>
                <w:highlight w:val="none"/>
                <w:lang w:val="en-US" w:eastAsia="zh-CN"/>
              </w:rPr>
              <w:t>1</w:t>
            </w:r>
          </w:p>
        </w:tc>
      </w:tr>
      <w:tr w14:paraId="0C21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2" w:type="dxa"/>
            <w:noWrap w:val="0"/>
            <w:vAlign w:val="center"/>
          </w:tcPr>
          <w:p w14:paraId="3ED1B70F">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企业综合实力</w:t>
            </w:r>
          </w:p>
        </w:tc>
        <w:tc>
          <w:tcPr>
            <w:tcW w:w="966" w:type="dxa"/>
            <w:noWrap w:val="0"/>
            <w:vAlign w:val="center"/>
          </w:tcPr>
          <w:p w14:paraId="43174775">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主观</w:t>
            </w:r>
          </w:p>
        </w:tc>
        <w:tc>
          <w:tcPr>
            <w:tcW w:w="7089" w:type="dxa"/>
            <w:noWrap w:val="0"/>
            <w:vAlign w:val="center"/>
          </w:tcPr>
          <w:p w14:paraId="1FE49087">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根据投标人企业综合实力，包括在渔船检验检测</w:t>
            </w:r>
            <w:r>
              <w:rPr>
                <w:rFonts w:hint="eastAsia" w:ascii="宋体" w:hAnsi="宋体" w:cs="宋体"/>
                <w:color w:val="auto"/>
                <w:sz w:val="24"/>
                <w:szCs w:val="24"/>
                <w:highlight w:val="none"/>
                <w:lang w:val="en-US" w:eastAsia="zh-CN" w:bidi="ar-SA"/>
              </w:rPr>
              <w:t>、隐患排查</w:t>
            </w:r>
            <w:r>
              <w:rPr>
                <w:rFonts w:hint="eastAsia" w:ascii="宋体" w:hAnsi="宋体" w:eastAsia="宋体" w:cs="宋体"/>
                <w:color w:val="auto"/>
                <w:sz w:val="24"/>
                <w:szCs w:val="24"/>
                <w:highlight w:val="none"/>
                <w:lang w:val="en-US" w:eastAsia="zh-CN" w:bidi="ar-SA"/>
              </w:rPr>
              <w:t>方面的专业能力，管理制度，以往履约诚信情况等，进行综合评分：</w:t>
            </w:r>
          </w:p>
          <w:p w14:paraId="29E7610B">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1、投标人综合能力强，能很好得实施本项目，得10分；</w:t>
            </w:r>
          </w:p>
          <w:p w14:paraId="3AEACDF9">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2、投标人综合能力能满足本项目实施需要，得6分；</w:t>
            </w:r>
          </w:p>
          <w:p w14:paraId="0E73A30F">
            <w:pPr>
              <w:widowControl w:val="0"/>
              <w:autoSpaceDE w:val="0"/>
              <w:autoSpaceDN w:val="0"/>
              <w:adjustRightInd w:val="0"/>
              <w:spacing w:line="360"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3、投标人综合能力欠佳，无法完全满足本项目实施需要，得2分</w:t>
            </w:r>
            <w:r>
              <w:rPr>
                <w:rFonts w:hint="eastAsia" w:ascii="宋体" w:hAnsi="宋体" w:cs="宋体"/>
                <w:color w:val="auto"/>
                <w:sz w:val="24"/>
                <w:szCs w:val="24"/>
                <w:highlight w:val="none"/>
                <w:lang w:val="en-US" w:eastAsia="zh-CN" w:bidi="ar-SA"/>
              </w:rPr>
              <w:t>。</w:t>
            </w:r>
          </w:p>
          <w:p w14:paraId="0AA53067">
            <w:pPr>
              <w:widowControl w:val="0"/>
              <w:autoSpaceDE w:val="0"/>
              <w:autoSpaceDN w:val="0"/>
              <w:adjustRightInd w:val="0"/>
              <w:spacing w:line="360" w:lineRule="auto"/>
              <w:rPr>
                <w:rFonts w:hint="eastAsia" w:ascii="宋体" w:hAnsi="宋体" w:eastAsia="宋体" w:cs="宋体"/>
                <w:color w:val="000000"/>
                <w:sz w:val="24"/>
                <w:szCs w:val="24"/>
                <w:highlight w:val="none"/>
                <w:lang w:val="en-US" w:eastAsia="zh-CN" w:bidi="ar-SA"/>
              </w:rPr>
            </w:pPr>
            <w:r>
              <w:rPr>
                <w:rFonts w:hint="eastAsia" w:ascii="宋体" w:hAnsi="宋体" w:cs="宋体"/>
                <w:color w:val="auto"/>
                <w:sz w:val="24"/>
                <w:szCs w:val="24"/>
                <w:highlight w:val="none"/>
                <w:lang w:val="en-US" w:eastAsia="zh-CN" w:bidi="ar-SA"/>
              </w:rPr>
              <w:t>未提及此项不得分。</w:t>
            </w:r>
          </w:p>
        </w:tc>
        <w:tc>
          <w:tcPr>
            <w:tcW w:w="799" w:type="dxa"/>
            <w:noWrap w:val="0"/>
            <w:vAlign w:val="center"/>
          </w:tcPr>
          <w:p w14:paraId="11101960">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10</w:t>
            </w:r>
          </w:p>
        </w:tc>
      </w:tr>
      <w:tr w14:paraId="44A0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337" w:type="dxa"/>
            <w:gridSpan w:val="3"/>
            <w:noWrap w:val="0"/>
            <w:vAlign w:val="center"/>
          </w:tcPr>
          <w:p w14:paraId="33113E88">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总计</w:t>
            </w:r>
          </w:p>
        </w:tc>
        <w:tc>
          <w:tcPr>
            <w:tcW w:w="799" w:type="dxa"/>
            <w:noWrap w:val="0"/>
            <w:vAlign w:val="center"/>
          </w:tcPr>
          <w:p w14:paraId="114E1311">
            <w:pPr>
              <w:autoSpaceDE w:val="0"/>
              <w:autoSpaceDN w:val="0"/>
              <w:adjustRightInd w:val="0"/>
              <w:spacing w:line="360" w:lineRule="auto"/>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90</w:t>
            </w:r>
          </w:p>
        </w:tc>
      </w:tr>
    </w:tbl>
    <w:p w14:paraId="1BDD427F">
      <w:pPr>
        <w:autoSpaceDE w:val="0"/>
        <w:autoSpaceDN w:val="0"/>
        <w:adjustRightInd w:val="0"/>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注：合同签订前，供应商须提供在投标（响应）文件中涉及客观分评审内容的业绩合同、认证证书等资料给采购代理机构进行原件核对，无法提供或提供的资料与投标文件不符的，采购人可拒绝签订合同。采购人可以按照评审报告推荐的中标或者成交候选人名单排序，确定下一候选人为中标或者成交供应商，也可以重新开展政府采购活动。</w:t>
      </w:r>
    </w:p>
    <w:p w14:paraId="39752A0A">
      <w:pPr>
        <w:pageBreakBefore w:val="0"/>
        <w:kinsoku/>
        <w:wordWrap/>
        <w:overflowPunct/>
        <w:topLinePunct w:val="0"/>
        <w:bidi w:val="0"/>
        <w:spacing w:line="360" w:lineRule="auto"/>
        <w:rPr>
          <w:rFonts w:hint="eastAsia" w:ascii="宋体" w:hAnsi="宋体" w:cs="宋体"/>
          <w:b/>
          <w:sz w:val="28"/>
          <w:szCs w:val="28"/>
          <w:highlight w:val="none"/>
        </w:rPr>
      </w:pPr>
      <w:r>
        <w:rPr>
          <w:rFonts w:hint="eastAsia" w:ascii="宋体" w:hAnsi="宋体" w:cs="宋体"/>
          <w:b/>
          <w:sz w:val="28"/>
          <w:szCs w:val="28"/>
          <w:highlight w:val="none"/>
        </w:rPr>
        <w:br w:type="page"/>
      </w:r>
    </w:p>
    <w:p w14:paraId="7896152C">
      <w:pPr>
        <w:pageBreakBefore w:val="0"/>
        <w:kinsoku/>
        <w:wordWrap/>
        <w:overflowPunct/>
        <w:topLinePunct w:val="0"/>
        <w:bidi w:val="0"/>
        <w:spacing w:line="360" w:lineRule="auto"/>
        <w:jc w:val="center"/>
        <w:outlineLvl w:val="0"/>
        <w:rPr>
          <w:rFonts w:ascii="宋体" w:hAnsi="宋体" w:cs="宋体"/>
          <w:b/>
          <w:sz w:val="28"/>
          <w:szCs w:val="28"/>
          <w:highlight w:val="none"/>
        </w:rPr>
      </w:pPr>
      <w:bookmarkStart w:id="120" w:name="_Toc26647"/>
      <w:bookmarkStart w:id="121" w:name="_Toc12839"/>
      <w:bookmarkStart w:id="122" w:name="_Toc5483"/>
      <w:r>
        <w:rPr>
          <w:rFonts w:hint="eastAsia" w:ascii="宋体" w:hAnsi="宋体" w:cs="宋体"/>
          <w:b/>
          <w:sz w:val="28"/>
          <w:szCs w:val="28"/>
          <w:highlight w:val="none"/>
        </w:rPr>
        <w:t>第五章  合同主要条款</w:t>
      </w:r>
      <w:bookmarkEnd w:id="120"/>
      <w:bookmarkEnd w:id="121"/>
      <w:bookmarkEnd w:id="122"/>
    </w:p>
    <w:p w14:paraId="0C3C534C">
      <w:pPr>
        <w:pageBreakBefore w:val="0"/>
        <w:kinsoku/>
        <w:wordWrap/>
        <w:overflowPunct/>
        <w:topLinePunct w:val="0"/>
        <w:bidi w:val="0"/>
        <w:snapToGrid w:val="0"/>
        <w:spacing w:before="156" w:beforeLines="50" w:after="156" w:afterLines="50" w:line="360" w:lineRule="auto"/>
        <w:jc w:val="center"/>
        <w:outlineLvl w:val="1"/>
        <w:rPr>
          <w:sz w:val="28"/>
          <w:szCs w:val="28"/>
          <w:highlight w:val="none"/>
        </w:rPr>
      </w:pPr>
      <w:bookmarkStart w:id="123" w:name="_Toc21094"/>
      <w:bookmarkStart w:id="124" w:name="_Toc11950"/>
      <w:r>
        <w:rPr>
          <w:rFonts w:hint="eastAsia" w:ascii="宋体" w:hAnsi="宋体" w:cs="宋体"/>
          <w:b/>
          <w:sz w:val="28"/>
          <w:szCs w:val="28"/>
          <w:highlight w:val="none"/>
        </w:rPr>
        <w:t>（具体条款以甲方</w:t>
      </w:r>
      <w:r>
        <w:rPr>
          <w:rFonts w:hint="eastAsia" w:ascii="宋体" w:hAnsi="宋体" w:cs="宋体"/>
          <w:b/>
          <w:sz w:val="28"/>
          <w:szCs w:val="28"/>
          <w:highlight w:val="none"/>
          <w:lang w:val="en-US" w:eastAsia="zh-CN"/>
        </w:rPr>
        <w:t>为主</w:t>
      </w:r>
      <w:r>
        <w:rPr>
          <w:rFonts w:hint="eastAsia" w:ascii="宋体" w:hAnsi="宋体" w:cs="宋体"/>
          <w:b/>
          <w:sz w:val="28"/>
          <w:szCs w:val="28"/>
          <w:highlight w:val="none"/>
        </w:rPr>
        <w:t>协商确定）</w:t>
      </w:r>
      <w:bookmarkEnd w:id="123"/>
      <w:bookmarkEnd w:id="124"/>
    </w:p>
    <w:p w14:paraId="6452DEB4">
      <w:pPr>
        <w:pageBreakBefore w:val="0"/>
        <w:kinsoku/>
        <w:wordWrap/>
        <w:overflowPunct/>
        <w:topLinePunct w:val="0"/>
        <w:bidi w:val="0"/>
        <w:snapToGrid w:val="0"/>
        <w:spacing w:line="360" w:lineRule="auto"/>
        <w:rPr>
          <w:rFonts w:ascii="宋体" w:hAnsi="宋体" w:cs="宋体"/>
          <w:szCs w:val="21"/>
          <w:highlight w:val="none"/>
        </w:rPr>
      </w:pPr>
    </w:p>
    <w:p w14:paraId="5C0A0D25">
      <w:pPr>
        <w:pageBreakBefore w:val="0"/>
        <w:kinsoku/>
        <w:wordWrap/>
        <w:overflowPunct/>
        <w:topLinePunct w:val="0"/>
        <w:bidi w:val="0"/>
        <w:spacing w:line="360" w:lineRule="auto"/>
        <w:jc w:val="center"/>
        <w:rPr>
          <w:rFonts w:ascii="宋体" w:hAnsi="宋体" w:eastAsia="宋体" w:cs="Arial"/>
          <w:b/>
          <w:bCs/>
          <w:sz w:val="44"/>
          <w:szCs w:val="44"/>
          <w:highlight w:val="none"/>
        </w:rPr>
      </w:pPr>
      <w:r>
        <w:rPr>
          <w:rFonts w:ascii="宋体" w:hAnsi="宋体" w:eastAsia="宋体" w:cs="Arial"/>
          <w:b/>
          <w:bCs/>
          <w:sz w:val="44"/>
          <w:szCs w:val="44"/>
          <w:highlight w:val="none"/>
        </w:rPr>
        <w:t>采 购 合 同</w:t>
      </w:r>
    </w:p>
    <w:p w14:paraId="1DDD3E39">
      <w:pPr>
        <w:snapToGrid w:val="0"/>
        <w:spacing w:line="360" w:lineRule="auto"/>
        <w:rPr>
          <w:rFonts w:ascii="宋体" w:hAnsi="宋体" w:eastAsia="宋体" w:cs="Arial"/>
          <w:b/>
          <w:sz w:val="24"/>
          <w:szCs w:val="24"/>
          <w:highlight w:val="none"/>
        </w:rPr>
      </w:pPr>
      <w:r>
        <w:rPr>
          <w:rFonts w:ascii="宋体" w:hAnsi="宋体" w:eastAsia="宋体" w:cs="Arial"/>
          <w:b/>
          <w:sz w:val="24"/>
          <w:szCs w:val="24"/>
          <w:highlight w:val="none"/>
        </w:rPr>
        <w:t xml:space="preserve">               </w:t>
      </w:r>
    </w:p>
    <w:p w14:paraId="40A1B43E">
      <w:pPr>
        <w:spacing w:after="120"/>
        <w:ind w:left="420" w:leftChars="200" w:firstLine="420" w:firstLineChars="200"/>
        <w:rPr>
          <w:rFonts w:ascii="宋体" w:hAnsi="宋体" w:eastAsia="宋体" w:cs="Times New Roman"/>
          <w:szCs w:val="24"/>
          <w:highlight w:val="none"/>
        </w:rPr>
      </w:pPr>
    </w:p>
    <w:p w14:paraId="2F1E59AE">
      <w:pPr>
        <w:spacing w:after="120"/>
        <w:ind w:left="420" w:leftChars="200" w:firstLine="420" w:firstLineChars="200"/>
        <w:rPr>
          <w:rFonts w:ascii="宋体" w:hAnsi="宋体" w:eastAsia="宋体" w:cs="Times New Roman"/>
          <w:szCs w:val="24"/>
          <w:highlight w:val="none"/>
        </w:rPr>
      </w:pPr>
    </w:p>
    <w:p w14:paraId="35129DAA">
      <w:pPr>
        <w:snapToGrid w:val="0"/>
        <w:spacing w:line="360" w:lineRule="auto"/>
        <w:ind w:firstLine="3253" w:firstLineChars="1350"/>
        <w:rPr>
          <w:rFonts w:ascii="宋体" w:hAnsi="宋体" w:eastAsia="宋体" w:cs="Arial"/>
          <w:sz w:val="24"/>
          <w:szCs w:val="24"/>
          <w:highlight w:val="none"/>
        </w:rPr>
      </w:pPr>
      <w:r>
        <w:rPr>
          <w:rFonts w:ascii="宋体" w:hAnsi="宋体" w:eastAsia="宋体" w:cs="Arial"/>
          <w:b/>
          <w:sz w:val="24"/>
          <w:szCs w:val="24"/>
          <w:highlight w:val="none"/>
        </w:rPr>
        <w:t>合同编号：</w:t>
      </w:r>
      <w:r>
        <w:rPr>
          <w:rFonts w:ascii="宋体" w:hAnsi="宋体" w:eastAsia="宋体" w:cs="Arial"/>
          <w:b/>
          <w:sz w:val="24"/>
          <w:szCs w:val="24"/>
          <w:highlight w:val="none"/>
          <w:u w:val="single"/>
        </w:rPr>
        <w:t xml:space="preserve">                </w:t>
      </w:r>
    </w:p>
    <w:p w14:paraId="1D71C666">
      <w:pPr>
        <w:snapToGrid w:val="0"/>
        <w:spacing w:line="360" w:lineRule="auto"/>
        <w:rPr>
          <w:rFonts w:ascii="宋体" w:hAnsi="宋体" w:eastAsia="宋体" w:cs="Arial"/>
          <w:sz w:val="24"/>
          <w:szCs w:val="24"/>
          <w:highlight w:val="none"/>
        </w:rPr>
      </w:pPr>
    </w:p>
    <w:p w14:paraId="3BB1612E">
      <w:pPr>
        <w:snapToGrid w:val="0"/>
        <w:spacing w:line="360" w:lineRule="auto"/>
        <w:rPr>
          <w:rFonts w:ascii="宋体" w:hAnsi="宋体" w:eastAsia="宋体" w:cs="Arial"/>
          <w:sz w:val="24"/>
          <w:szCs w:val="24"/>
          <w:highlight w:val="none"/>
        </w:rPr>
      </w:pPr>
    </w:p>
    <w:p w14:paraId="5A50EED5">
      <w:pPr>
        <w:snapToGrid w:val="0"/>
        <w:spacing w:line="360" w:lineRule="auto"/>
        <w:rPr>
          <w:rFonts w:ascii="宋体" w:hAnsi="宋体" w:eastAsia="宋体" w:cs="Arial"/>
          <w:sz w:val="24"/>
          <w:szCs w:val="24"/>
          <w:highlight w:val="none"/>
        </w:rPr>
      </w:pPr>
    </w:p>
    <w:p w14:paraId="41091325">
      <w:pPr>
        <w:snapToGrid w:val="0"/>
        <w:spacing w:line="360" w:lineRule="auto"/>
        <w:ind w:firstLine="1200" w:firstLineChars="500"/>
        <w:rPr>
          <w:rFonts w:ascii="宋体" w:hAnsi="宋体" w:eastAsia="宋体" w:cs="Arial"/>
          <w:sz w:val="24"/>
          <w:szCs w:val="24"/>
          <w:highlight w:val="none"/>
          <w:u w:val="single"/>
        </w:rPr>
      </w:pPr>
      <w:r>
        <w:rPr>
          <w:rFonts w:ascii="宋体" w:hAnsi="宋体" w:eastAsia="宋体" w:cs="Arial"/>
          <w:sz w:val="24"/>
          <w:szCs w:val="24"/>
          <w:highlight w:val="none"/>
        </w:rPr>
        <w:t>项目名称：</w:t>
      </w:r>
      <w:r>
        <w:rPr>
          <w:rFonts w:ascii="宋体" w:hAnsi="宋体" w:eastAsia="宋体" w:cs="Arial"/>
          <w:sz w:val="24"/>
          <w:szCs w:val="24"/>
          <w:highlight w:val="none"/>
          <w:u w:val="single"/>
        </w:rPr>
        <w:t xml:space="preserve">                                         </w:t>
      </w:r>
    </w:p>
    <w:p w14:paraId="6ADA0A1C">
      <w:pPr>
        <w:snapToGrid w:val="0"/>
        <w:spacing w:line="360" w:lineRule="auto"/>
        <w:ind w:firstLine="1200" w:firstLineChars="500"/>
        <w:rPr>
          <w:rFonts w:ascii="宋体" w:hAnsi="宋体" w:eastAsia="宋体" w:cs="Arial"/>
          <w:sz w:val="24"/>
          <w:szCs w:val="24"/>
          <w:highlight w:val="none"/>
          <w:u w:val="single"/>
        </w:rPr>
      </w:pPr>
    </w:p>
    <w:p w14:paraId="5B0BA430">
      <w:pPr>
        <w:snapToGrid w:val="0"/>
        <w:spacing w:line="360" w:lineRule="auto"/>
        <w:ind w:firstLine="1200" w:firstLineChars="500"/>
        <w:rPr>
          <w:rFonts w:ascii="宋体" w:hAnsi="宋体" w:eastAsia="宋体" w:cs="Arial"/>
          <w:sz w:val="24"/>
          <w:szCs w:val="24"/>
          <w:highlight w:val="none"/>
        </w:rPr>
      </w:pPr>
      <w:r>
        <w:rPr>
          <w:rFonts w:hint="eastAsia" w:ascii="宋体" w:hAnsi="宋体" w:eastAsia="宋体" w:cs="Arial"/>
          <w:sz w:val="24"/>
          <w:szCs w:val="24"/>
          <w:highlight w:val="none"/>
        </w:rPr>
        <w:t>项目编号</w:t>
      </w:r>
      <w:r>
        <w:rPr>
          <w:rFonts w:ascii="宋体" w:hAnsi="宋体" w:eastAsia="宋体" w:cs="Arial"/>
          <w:sz w:val="24"/>
          <w:szCs w:val="24"/>
          <w:highlight w:val="none"/>
        </w:rPr>
        <w:t>：</w:t>
      </w:r>
      <w:r>
        <w:rPr>
          <w:rFonts w:ascii="宋体" w:hAnsi="宋体" w:eastAsia="宋体" w:cs="Arial"/>
          <w:sz w:val="24"/>
          <w:szCs w:val="24"/>
          <w:highlight w:val="none"/>
          <w:u w:val="single"/>
        </w:rPr>
        <w:t xml:space="preserve">                                         </w:t>
      </w:r>
    </w:p>
    <w:p w14:paraId="34EE2415">
      <w:pPr>
        <w:snapToGrid w:val="0"/>
        <w:spacing w:line="360" w:lineRule="auto"/>
        <w:rPr>
          <w:rFonts w:ascii="宋体" w:hAnsi="宋体" w:eastAsia="宋体" w:cs="Arial"/>
          <w:sz w:val="24"/>
          <w:szCs w:val="24"/>
          <w:highlight w:val="none"/>
        </w:rPr>
      </w:pPr>
    </w:p>
    <w:p w14:paraId="00EBE566">
      <w:pPr>
        <w:snapToGrid w:val="0"/>
        <w:spacing w:line="360" w:lineRule="auto"/>
        <w:rPr>
          <w:rFonts w:ascii="宋体" w:hAnsi="宋体" w:eastAsia="宋体" w:cs="Arial"/>
          <w:sz w:val="24"/>
          <w:szCs w:val="24"/>
          <w:highlight w:val="none"/>
        </w:rPr>
      </w:pPr>
    </w:p>
    <w:p w14:paraId="27A90232">
      <w:pPr>
        <w:snapToGrid w:val="0"/>
        <w:spacing w:line="360" w:lineRule="auto"/>
        <w:ind w:firstLine="1200" w:firstLineChars="500"/>
        <w:rPr>
          <w:rFonts w:ascii="宋体" w:hAnsi="宋体" w:eastAsia="宋体" w:cs="Arial"/>
          <w:sz w:val="24"/>
          <w:szCs w:val="24"/>
          <w:highlight w:val="none"/>
        </w:rPr>
      </w:pPr>
      <w:r>
        <w:rPr>
          <w:rFonts w:ascii="宋体" w:hAnsi="宋体" w:eastAsia="宋体" w:cs="Arial"/>
          <w:sz w:val="24"/>
          <w:szCs w:val="24"/>
          <w:highlight w:val="none"/>
        </w:rPr>
        <w:t>甲方</w:t>
      </w:r>
      <w:r>
        <w:rPr>
          <w:rFonts w:hint="eastAsia" w:ascii="宋体" w:hAnsi="宋体" w:eastAsia="宋体" w:cs="Arial"/>
          <w:sz w:val="24"/>
          <w:szCs w:val="24"/>
          <w:highlight w:val="none"/>
        </w:rPr>
        <w:t>（</w:t>
      </w:r>
      <w:r>
        <w:rPr>
          <w:rFonts w:hint="eastAsia" w:ascii="宋体" w:hAnsi="宋体" w:eastAsia="宋体" w:cs="Arial"/>
          <w:sz w:val="24"/>
          <w:szCs w:val="24"/>
          <w:highlight w:val="none"/>
          <w:lang w:val="en-US" w:eastAsia="zh-CN"/>
        </w:rPr>
        <w:t>采购人</w:t>
      </w:r>
      <w:r>
        <w:rPr>
          <w:rFonts w:hint="eastAsia" w:ascii="宋体" w:hAnsi="宋体" w:eastAsia="宋体" w:cs="Arial"/>
          <w:sz w:val="24"/>
          <w:szCs w:val="24"/>
          <w:highlight w:val="none"/>
        </w:rPr>
        <w:t>）</w:t>
      </w:r>
      <w:r>
        <w:rPr>
          <w:rFonts w:ascii="宋体" w:hAnsi="宋体" w:eastAsia="宋体" w:cs="Arial"/>
          <w:sz w:val="24"/>
          <w:szCs w:val="24"/>
          <w:highlight w:val="none"/>
        </w:rPr>
        <w:t>：</w:t>
      </w:r>
      <w:r>
        <w:rPr>
          <w:rFonts w:ascii="宋体" w:hAnsi="宋体" w:eastAsia="宋体" w:cs="Arial"/>
          <w:sz w:val="24"/>
          <w:szCs w:val="24"/>
          <w:highlight w:val="none"/>
          <w:u w:val="single"/>
        </w:rPr>
        <w:t xml:space="preserve">                                </w:t>
      </w:r>
    </w:p>
    <w:p w14:paraId="603293A2">
      <w:pPr>
        <w:snapToGrid w:val="0"/>
        <w:spacing w:line="360" w:lineRule="auto"/>
        <w:ind w:firstLine="1252" w:firstLineChars="522"/>
        <w:rPr>
          <w:rFonts w:ascii="宋体" w:hAnsi="宋体" w:eastAsia="宋体" w:cs="Arial"/>
          <w:sz w:val="24"/>
          <w:szCs w:val="24"/>
          <w:highlight w:val="none"/>
        </w:rPr>
      </w:pPr>
    </w:p>
    <w:p w14:paraId="13ED248F">
      <w:pPr>
        <w:snapToGrid w:val="0"/>
        <w:spacing w:line="360" w:lineRule="auto"/>
        <w:ind w:firstLine="1200" w:firstLineChars="500"/>
        <w:rPr>
          <w:rFonts w:hint="default" w:ascii="宋体" w:hAnsi="宋体" w:eastAsia="宋体" w:cs="Arial"/>
          <w:sz w:val="24"/>
          <w:szCs w:val="24"/>
          <w:highlight w:val="none"/>
          <w:u w:val="single"/>
          <w:lang w:val="en-US" w:eastAsia="zh-CN"/>
        </w:rPr>
      </w:pPr>
      <w:r>
        <w:rPr>
          <w:rFonts w:ascii="宋体" w:hAnsi="宋体" w:eastAsia="宋体" w:cs="Arial"/>
          <w:sz w:val="24"/>
          <w:szCs w:val="24"/>
          <w:highlight w:val="none"/>
        </w:rPr>
        <w:t>乙方</w:t>
      </w:r>
      <w:r>
        <w:rPr>
          <w:rFonts w:hint="eastAsia" w:ascii="宋体" w:hAnsi="宋体" w:eastAsia="宋体" w:cs="Arial"/>
          <w:sz w:val="24"/>
          <w:szCs w:val="24"/>
          <w:highlight w:val="none"/>
        </w:rPr>
        <w:t>（成交</w:t>
      </w:r>
      <w:r>
        <w:rPr>
          <w:rFonts w:hint="eastAsia" w:ascii="宋体" w:hAnsi="宋体" w:eastAsia="宋体" w:cs="Arial"/>
          <w:sz w:val="24"/>
          <w:szCs w:val="24"/>
          <w:highlight w:val="none"/>
          <w:lang w:val="en-US" w:eastAsia="zh-CN"/>
        </w:rPr>
        <w:t>人</w:t>
      </w:r>
      <w:r>
        <w:rPr>
          <w:rFonts w:hint="eastAsia" w:ascii="宋体" w:hAnsi="宋体" w:eastAsia="宋体" w:cs="Arial"/>
          <w:sz w:val="24"/>
          <w:szCs w:val="24"/>
          <w:highlight w:val="none"/>
        </w:rPr>
        <w:t>）</w:t>
      </w:r>
      <w:r>
        <w:rPr>
          <w:rFonts w:ascii="宋体" w:hAnsi="宋体" w:eastAsia="宋体" w:cs="Arial"/>
          <w:sz w:val="24"/>
          <w:szCs w:val="24"/>
          <w:highlight w:val="none"/>
        </w:rPr>
        <w:t>：</w:t>
      </w:r>
      <w:r>
        <w:rPr>
          <w:rFonts w:ascii="宋体" w:hAnsi="宋体" w:eastAsia="宋体" w:cs="Arial"/>
          <w:sz w:val="24"/>
          <w:szCs w:val="24"/>
          <w:highlight w:val="none"/>
          <w:u w:val="single"/>
        </w:rPr>
        <w:t xml:space="preserve">                              </w:t>
      </w:r>
      <w:r>
        <w:rPr>
          <w:rFonts w:hint="eastAsia" w:ascii="宋体" w:hAnsi="宋体" w:eastAsia="宋体" w:cs="Arial"/>
          <w:sz w:val="24"/>
          <w:szCs w:val="24"/>
          <w:highlight w:val="none"/>
          <w:u w:val="single"/>
          <w:lang w:val="en-US" w:eastAsia="zh-CN"/>
        </w:rPr>
        <w:t xml:space="preserve">  </w:t>
      </w:r>
    </w:p>
    <w:p w14:paraId="5E14A75E">
      <w:pPr>
        <w:snapToGrid w:val="0"/>
        <w:spacing w:line="360" w:lineRule="auto"/>
        <w:ind w:firstLine="1252" w:firstLineChars="522"/>
        <w:rPr>
          <w:rFonts w:ascii="宋体" w:hAnsi="宋体" w:eastAsia="宋体" w:cs="Arial"/>
          <w:sz w:val="24"/>
          <w:szCs w:val="24"/>
          <w:highlight w:val="none"/>
          <w:u w:val="single"/>
        </w:rPr>
      </w:pPr>
    </w:p>
    <w:p w14:paraId="052FBB67">
      <w:pPr>
        <w:snapToGrid w:val="0"/>
        <w:spacing w:line="360" w:lineRule="auto"/>
        <w:ind w:firstLine="1252" w:firstLineChars="522"/>
        <w:rPr>
          <w:rFonts w:ascii="宋体" w:hAnsi="宋体" w:eastAsia="宋体" w:cs="Arial"/>
          <w:sz w:val="24"/>
          <w:szCs w:val="24"/>
          <w:highlight w:val="none"/>
          <w:u w:val="single"/>
        </w:rPr>
      </w:pPr>
    </w:p>
    <w:p w14:paraId="0D6ECD8A">
      <w:pPr>
        <w:snapToGrid w:val="0"/>
        <w:spacing w:line="360" w:lineRule="auto"/>
        <w:ind w:firstLine="1252" w:firstLineChars="522"/>
        <w:rPr>
          <w:rFonts w:ascii="宋体" w:hAnsi="宋体" w:eastAsia="宋体" w:cs="Arial"/>
          <w:sz w:val="24"/>
          <w:szCs w:val="24"/>
          <w:highlight w:val="none"/>
          <w:u w:val="single"/>
        </w:rPr>
      </w:pPr>
    </w:p>
    <w:p w14:paraId="1908CC79">
      <w:pPr>
        <w:snapToGrid w:val="0"/>
        <w:spacing w:line="360" w:lineRule="auto"/>
        <w:ind w:firstLine="1200" w:firstLineChars="500"/>
        <w:rPr>
          <w:rFonts w:ascii="宋体" w:hAnsi="宋体" w:eastAsia="宋体" w:cs="Arial"/>
          <w:sz w:val="24"/>
          <w:szCs w:val="24"/>
          <w:highlight w:val="none"/>
        </w:rPr>
      </w:pPr>
      <w:r>
        <w:rPr>
          <w:rFonts w:ascii="宋体" w:hAnsi="宋体" w:eastAsia="宋体" w:cs="Arial"/>
          <w:sz w:val="24"/>
          <w:szCs w:val="24"/>
          <w:highlight w:val="none"/>
        </w:rPr>
        <w:t>签署日期：</w:t>
      </w:r>
      <w:r>
        <w:rPr>
          <w:rFonts w:ascii="宋体" w:hAnsi="宋体" w:eastAsia="宋体" w:cs="Arial"/>
          <w:sz w:val="24"/>
          <w:szCs w:val="24"/>
          <w:highlight w:val="none"/>
          <w:u w:val="single"/>
        </w:rPr>
        <w:t xml:space="preserve">                                       </w:t>
      </w:r>
      <w:r>
        <w:rPr>
          <w:rFonts w:ascii="宋体" w:hAnsi="宋体" w:eastAsia="宋体" w:cs="Arial"/>
          <w:sz w:val="24"/>
          <w:szCs w:val="24"/>
          <w:highlight w:val="none"/>
        </w:rPr>
        <w:t xml:space="preserve">  </w:t>
      </w:r>
    </w:p>
    <w:p w14:paraId="7AEC4253">
      <w:pPr>
        <w:snapToGrid w:val="0"/>
        <w:spacing w:line="360" w:lineRule="auto"/>
        <w:ind w:firstLine="1200" w:firstLineChars="500"/>
        <w:rPr>
          <w:rFonts w:ascii="宋体" w:hAnsi="宋体" w:eastAsia="宋体" w:cs="Arial"/>
          <w:sz w:val="24"/>
          <w:szCs w:val="24"/>
          <w:highlight w:val="none"/>
        </w:rPr>
      </w:pPr>
      <w:r>
        <w:rPr>
          <w:rFonts w:ascii="宋体" w:hAnsi="宋体" w:eastAsia="宋体" w:cs="Arial"/>
          <w:sz w:val="24"/>
          <w:szCs w:val="24"/>
          <w:highlight w:val="none"/>
        </w:rPr>
        <w:t xml:space="preserve">          </w:t>
      </w:r>
    </w:p>
    <w:p w14:paraId="37E7883D">
      <w:pPr>
        <w:snapToGrid w:val="0"/>
        <w:spacing w:line="360" w:lineRule="auto"/>
        <w:ind w:firstLine="1200" w:firstLineChars="500"/>
        <w:rPr>
          <w:rFonts w:ascii="Arial" w:hAnsi="Arial" w:eastAsia="宋体" w:cs="Arial"/>
          <w:sz w:val="24"/>
          <w:szCs w:val="24"/>
          <w:highlight w:val="none"/>
        </w:rPr>
      </w:pPr>
      <w:r>
        <w:rPr>
          <w:rFonts w:hint="eastAsia" w:ascii="宋体" w:hAnsi="宋体" w:eastAsia="宋体" w:cs="Arial"/>
          <w:sz w:val="24"/>
          <w:szCs w:val="24"/>
          <w:highlight w:val="none"/>
        </w:rPr>
        <w:t>合同</w:t>
      </w:r>
      <w:r>
        <w:rPr>
          <w:rFonts w:hint="eastAsia" w:ascii="宋体" w:hAnsi="宋体" w:eastAsia="宋体" w:cs="Arial"/>
          <w:sz w:val="24"/>
          <w:szCs w:val="24"/>
          <w:highlight w:val="none"/>
          <w:lang w:val="en-US" w:eastAsia="zh-CN"/>
        </w:rPr>
        <w:t>签订</w:t>
      </w:r>
      <w:r>
        <w:rPr>
          <w:rFonts w:hint="eastAsia" w:ascii="宋体" w:hAnsi="宋体" w:eastAsia="宋体" w:cs="Arial"/>
          <w:sz w:val="24"/>
          <w:szCs w:val="24"/>
          <w:highlight w:val="none"/>
        </w:rPr>
        <w:t>地点：</w:t>
      </w:r>
      <w:r>
        <w:rPr>
          <w:rFonts w:hint="eastAsia" w:ascii="宋体" w:hAnsi="宋体" w:eastAsia="宋体" w:cs="Arial"/>
          <w:sz w:val="24"/>
          <w:szCs w:val="24"/>
          <w:highlight w:val="none"/>
          <w:u w:val="single"/>
        </w:rPr>
        <w:t xml:space="preserve">                 </w:t>
      </w:r>
      <w:r>
        <w:rPr>
          <w:rFonts w:hint="eastAsia" w:ascii="宋体" w:hAnsi="宋体" w:eastAsia="宋体" w:cs="Arial"/>
          <w:sz w:val="24"/>
          <w:szCs w:val="24"/>
          <w:highlight w:val="none"/>
          <w:u w:val="single"/>
          <w:lang w:val="en-US" w:eastAsia="zh-CN"/>
        </w:rPr>
        <w:t xml:space="preserve"> </w:t>
      </w:r>
      <w:r>
        <w:rPr>
          <w:rFonts w:hint="eastAsia" w:ascii="宋体" w:hAnsi="宋体" w:eastAsia="宋体" w:cs="Arial"/>
          <w:sz w:val="24"/>
          <w:szCs w:val="24"/>
          <w:highlight w:val="none"/>
          <w:u w:val="single"/>
        </w:rPr>
        <w:t xml:space="preserve">   </w:t>
      </w:r>
      <w:r>
        <w:rPr>
          <w:rFonts w:ascii="宋体" w:hAnsi="宋体" w:eastAsia="宋体" w:cs="Arial"/>
          <w:sz w:val="24"/>
          <w:szCs w:val="24"/>
          <w:highlight w:val="none"/>
          <w:u w:val="single"/>
        </w:rPr>
        <w:t xml:space="preserve">              </w:t>
      </w:r>
      <w:r>
        <w:rPr>
          <w:rFonts w:ascii="宋体" w:hAnsi="宋体" w:eastAsia="宋体" w:cs="Arial"/>
          <w:sz w:val="24"/>
          <w:szCs w:val="24"/>
          <w:highlight w:val="none"/>
        </w:rPr>
        <w:t xml:space="preserve">     </w:t>
      </w:r>
      <w:r>
        <w:rPr>
          <w:rFonts w:ascii="Arial" w:hAnsi="Arial" w:eastAsia="宋体" w:cs="Arial"/>
          <w:sz w:val="24"/>
          <w:szCs w:val="24"/>
          <w:highlight w:val="none"/>
        </w:rPr>
        <w:t xml:space="preserve">          </w:t>
      </w:r>
    </w:p>
    <w:p w14:paraId="0A6DBCC2">
      <w:pPr>
        <w:rPr>
          <w:rFonts w:ascii="Arial" w:hAnsi="Arial" w:eastAsia="宋体" w:cs="Arial"/>
          <w:sz w:val="24"/>
          <w:szCs w:val="24"/>
          <w:highlight w:val="none"/>
        </w:rPr>
      </w:pPr>
    </w:p>
    <w:p w14:paraId="5BCFBB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highlight w:val="none"/>
        </w:rPr>
      </w:pPr>
      <w:r>
        <w:rPr>
          <w:rFonts w:ascii="Arial" w:hAnsi="Arial" w:eastAsia="宋体" w:cs="Arial"/>
          <w:sz w:val="24"/>
          <w:szCs w:val="24"/>
          <w:highlight w:val="none"/>
        </w:rPr>
        <w:br w:type="page"/>
      </w:r>
    </w:p>
    <w:p w14:paraId="57200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sz w:val="24"/>
          <w:szCs w:val="24"/>
          <w:highlight w:val="none"/>
        </w:rPr>
      </w:pPr>
      <w:r>
        <w:rPr>
          <w:rFonts w:hint="eastAsia" w:ascii="宋体" w:hAnsi="宋体" w:eastAsia="宋体" w:cs="Times New Roman"/>
          <w:sz w:val="24"/>
          <w:szCs w:val="24"/>
          <w:highlight w:val="none"/>
        </w:rPr>
        <w:t>根据</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日关于</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项目采购的结果，甲、乙双方同意签署本合同。</w:t>
      </w:r>
    </w:p>
    <w:p w14:paraId="2728E8F8">
      <w:pPr>
        <w:spacing w:line="360" w:lineRule="auto"/>
        <w:ind w:firstLine="482" w:firstLineChars="200"/>
        <w:outlineLvl w:val="1"/>
        <w:rPr>
          <w:rFonts w:ascii="宋体" w:hAnsi="宋体" w:eastAsia="宋体" w:cs="Times New Roman"/>
          <w:b/>
          <w:bCs/>
          <w:sz w:val="24"/>
          <w:szCs w:val="24"/>
          <w:highlight w:val="none"/>
        </w:rPr>
      </w:pPr>
      <w:bookmarkStart w:id="125" w:name="_Toc5003"/>
      <w:bookmarkStart w:id="126" w:name="_Toc4130"/>
      <w:r>
        <w:rPr>
          <w:rFonts w:hint="eastAsia" w:ascii="宋体" w:hAnsi="宋体" w:eastAsia="宋体" w:cs="Times New Roman"/>
          <w:b/>
          <w:bCs/>
          <w:sz w:val="24"/>
          <w:szCs w:val="24"/>
          <w:highlight w:val="none"/>
        </w:rPr>
        <w:t>1.  合同内容</w:t>
      </w:r>
      <w:bookmarkEnd w:id="125"/>
      <w:bookmarkEnd w:id="126"/>
    </w:p>
    <w:p w14:paraId="6487E844">
      <w:pPr>
        <w:tabs>
          <w:tab w:val="left" w:pos="5220"/>
        </w:tabs>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1.1 服务名称：</w:t>
      </w:r>
      <w:r>
        <w:rPr>
          <w:rFonts w:hint="eastAsia" w:ascii="宋体" w:hAnsi="宋体" w:eastAsia="宋体" w:cs="Times New Roman"/>
          <w:sz w:val="24"/>
          <w:szCs w:val="24"/>
          <w:highlight w:val="none"/>
          <w:u w:val="single"/>
        </w:rPr>
        <w:t xml:space="preserve">                        </w:t>
      </w:r>
    </w:p>
    <w:p w14:paraId="2E323A37">
      <w:pPr>
        <w:tabs>
          <w:tab w:val="left" w:pos="522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1.2 服务内容：</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 xml:space="preserve">  </w:t>
      </w:r>
    </w:p>
    <w:p w14:paraId="499B99CE">
      <w:pPr>
        <w:tabs>
          <w:tab w:val="left" w:pos="5220"/>
        </w:tabs>
        <w:spacing w:line="360" w:lineRule="auto"/>
        <w:ind w:firstLine="480" w:firstLineChars="200"/>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1.3 服务要求：</w:t>
      </w:r>
      <w:r>
        <w:rPr>
          <w:rFonts w:hint="eastAsia" w:ascii="宋体" w:hAnsi="宋体" w:eastAsia="宋体" w:cs="Times New Roman"/>
          <w:sz w:val="24"/>
          <w:szCs w:val="24"/>
          <w:highlight w:val="none"/>
          <w:u w:val="single"/>
        </w:rPr>
        <w:t xml:space="preserve">                        </w:t>
      </w:r>
    </w:p>
    <w:p w14:paraId="7F4F3E69">
      <w:pPr>
        <w:tabs>
          <w:tab w:val="left" w:pos="522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1.4 服务期限：</w:t>
      </w:r>
      <w:r>
        <w:rPr>
          <w:rFonts w:hint="eastAsia" w:ascii="宋体" w:hAnsi="宋体" w:eastAsia="宋体" w:cs="Times New Roman"/>
          <w:sz w:val="24"/>
          <w:szCs w:val="24"/>
          <w:highlight w:val="none"/>
          <w:u w:val="single"/>
        </w:rPr>
        <w:t xml:space="preserve">                        </w:t>
      </w:r>
    </w:p>
    <w:p w14:paraId="2F14A59F">
      <w:pPr>
        <w:spacing w:line="360" w:lineRule="auto"/>
        <w:ind w:firstLine="482" w:firstLineChars="200"/>
        <w:outlineLvl w:val="1"/>
        <w:rPr>
          <w:rFonts w:ascii="宋体" w:hAnsi="宋体" w:eastAsia="宋体" w:cs="Times New Roman"/>
          <w:b/>
          <w:bCs/>
          <w:sz w:val="24"/>
          <w:szCs w:val="24"/>
          <w:highlight w:val="none"/>
        </w:rPr>
      </w:pPr>
      <w:bookmarkStart w:id="127" w:name="_Toc15268"/>
      <w:bookmarkStart w:id="128" w:name="_Toc26235"/>
      <w:r>
        <w:rPr>
          <w:rFonts w:hint="eastAsia" w:ascii="宋体" w:hAnsi="宋体" w:eastAsia="宋体" w:cs="Times New Roman"/>
          <w:b/>
          <w:bCs/>
          <w:sz w:val="24"/>
          <w:szCs w:val="24"/>
          <w:highlight w:val="none"/>
        </w:rPr>
        <w:t>2.  合同金额</w:t>
      </w:r>
      <w:bookmarkEnd w:id="127"/>
      <w:bookmarkEnd w:id="128"/>
    </w:p>
    <w:p w14:paraId="3DB7093B">
      <w:pPr>
        <w:tabs>
          <w:tab w:val="left" w:pos="5220"/>
        </w:tabs>
        <w:spacing w:line="360" w:lineRule="auto"/>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1.1 合同金额：</w:t>
      </w:r>
      <w:r>
        <w:rPr>
          <w:rFonts w:hint="eastAsia" w:ascii="宋体" w:hAnsi="宋体" w:eastAsia="宋体" w:cs="Times New Roman"/>
          <w:sz w:val="24"/>
          <w:szCs w:val="24"/>
          <w:highlight w:val="none"/>
          <w:u w:val="single"/>
        </w:rPr>
        <w:t xml:space="preserve">                        </w:t>
      </w:r>
    </w:p>
    <w:p w14:paraId="68405F75">
      <w:pPr>
        <w:tabs>
          <w:tab w:val="left" w:pos="522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1.2 </w:t>
      </w:r>
      <w:r>
        <w:rPr>
          <w:rFonts w:hint="eastAsia" w:ascii="宋体" w:hAnsi="宋体" w:eastAsia="宋体" w:cs="Times New Roman"/>
          <w:sz w:val="24"/>
          <w:szCs w:val="24"/>
          <w:highlight w:val="none"/>
          <w:lang w:val="en-US" w:eastAsia="zh-CN"/>
        </w:rPr>
        <w:t>金额明细</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u w:val="single"/>
        </w:rPr>
        <w:t xml:space="preserve">                      </w:t>
      </w:r>
      <w:r>
        <w:rPr>
          <w:rFonts w:ascii="宋体" w:hAnsi="宋体" w:eastAsia="宋体" w:cs="Times New Roman"/>
          <w:sz w:val="24"/>
          <w:szCs w:val="24"/>
          <w:highlight w:val="none"/>
          <w:u w:val="single"/>
        </w:rPr>
        <w:t xml:space="preserve">  </w:t>
      </w:r>
    </w:p>
    <w:p w14:paraId="4C65B6C4">
      <w:pPr>
        <w:tabs>
          <w:tab w:val="left" w:pos="5220"/>
        </w:tabs>
        <w:spacing w:line="360" w:lineRule="auto"/>
        <w:ind w:firstLine="480" w:firstLineChars="200"/>
        <w:rPr>
          <w:rFonts w:hint="eastAsia" w:ascii="宋体" w:hAnsi="宋体" w:eastAsia="宋体" w:cs="Times New Roman"/>
          <w:sz w:val="24"/>
          <w:szCs w:val="24"/>
          <w:highlight w:val="none"/>
          <w:u w:val="single"/>
        </w:rPr>
      </w:pPr>
      <w:r>
        <w:rPr>
          <w:rFonts w:hint="eastAsia" w:ascii="宋体" w:hAnsi="宋体" w:eastAsia="宋体" w:cs="Times New Roman"/>
          <w:sz w:val="24"/>
          <w:szCs w:val="24"/>
          <w:highlight w:val="none"/>
        </w:rPr>
        <w:t>1.3 结算方式：</w:t>
      </w:r>
      <w:r>
        <w:rPr>
          <w:rFonts w:hint="eastAsia" w:ascii="宋体" w:hAnsi="宋体" w:eastAsia="宋体" w:cs="Times New Roman"/>
          <w:sz w:val="24"/>
          <w:szCs w:val="24"/>
          <w:highlight w:val="none"/>
          <w:u w:val="single"/>
        </w:rPr>
        <w:t xml:space="preserve">                        </w:t>
      </w:r>
    </w:p>
    <w:p w14:paraId="2C839ED1">
      <w:pPr>
        <w:tabs>
          <w:tab w:val="left" w:pos="522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1.4 支付方式：</w:t>
      </w:r>
      <w:r>
        <w:rPr>
          <w:rFonts w:hint="eastAsia" w:ascii="宋体" w:hAnsi="宋体" w:eastAsia="宋体" w:cs="Times New Roman"/>
          <w:sz w:val="24"/>
          <w:szCs w:val="24"/>
          <w:highlight w:val="none"/>
          <w:u w:val="single"/>
        </w:rPr>
        <w:t xml:space="preserve">                        </w:t>
      </w:r>
    </w:p>
    <w:p w14:paraId="09FF9232">
      <w:pPr>
        <w:spacing w:line="360" w:lineRule="auto"/>
        <w:ind w:firstLine="482" w:firstLineChars="200"/>
        <w:outlineLvl w:val="1"/>
        <w:rPr>
          <w:rFonts w:ascii="宋体" w:hAnsi="宋体" w:eastAsia="宋体" w:cs="Times New Roman"/>
          <w:b/>
          <w:bCs/>
          <w:sz w:val="24"/>
          <w:szCs w:val="24"/>
          <w:highlight w:val="none"/>
        </w:rPr>
      </w:pPr>
      <w:bookmarkStart w:id="129" w:name="_Toc11261"/>
      <w:bookmarkStart w:id="130" w:name="_Toc19760"/>
      <w:r>
        <w:rPr>
          <w:rFonts w:hint="eastAsia" w:ascii="宋体" w:hAnsi="宋体" w:eastAsia="宋体" w:cs="Times New Roman"/>
          <w:b/>
          <w:bCs/>
          <w:sz w:val="24"/>
          <w:szCs w:val="24"/>
          <w:highlight w:val="none"/>
        </w:rPr>
        <w:t>3.  产权</w:t>
      </w:r>
      <w:bookmarkEnd w:id="129"/>
      <w:bookmarkEnd w:id="130"/>
    </w:p>
    <w:p w14:paraId="7B64EDE5">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3.1 乙方应保证所提供的服务或其任何一部分均不会侵犯任何第三方的专利权、商标权或著作权</w:t>
      </w:r>
      <w:r>
        <w:rPr>
          <w:rFonts w:hint="eastAsia" w:ascii="宋体" w:hAnsi="宋体" w:eastAsia="宋体" w:cs="Times New Roman"/>
          <w:bCs/>
          <w:sz w:val="24"/>
          <w:szCs w:val="24"/>
          <w:highlight w:val="none"/>
        </w:rPr>
        <w:t>。</w:t>
      </w:r>
    </w:p>
    <w:p w14:paraId="14C518E9">
      <w:pPr>
        <w:spacing w:line="360" w:lineRule="auto"/>
        <w:ind w:firstLine="480" w:firstLineChars="200"/>
        <w:rPr>
          <w:rFonts w:ascii="宋体" w:hAnsi="宋体" w:eastAsia="宋体" w:cs="Times New Roman"/>
          <w:b/>
          <w:sz w:val="24"/>
          <w:szCs w:val="24"/>
          <w:highlight w:val="none"/>
        </w:rPr>
      </w:pPr>
      <w:r>
        <w:rPr>
          <w:rFonts w:hint="eastAsia" w:ascii="宋体" w:hAnsi="宋体" w:eastAsia="宋体" w:cs="Times New Roman"/>
          <w:sz w:val="24"/>
          <w:szCs w:val="24"/>
          <w:highlight w:val="none"/>
        </w:rPr>
        <w:t>3.2 乙方保证所交付服务的所有权完全属于乙方且无任何抵押、查封等产权瑕疵。如乙方所交付服务有产权瑕疵的，视为乙方违约，按照本合同第</w:t>
      </w:r>
      <w:r>
        <w:rPr>
          <w:rFonts w:hint="eastAsia" w:ascii="宋体" w:hAnsi="宋体" w:eastAsia="宋体" w:cs="Times New Roman"/>
          <w:sz w:val="24"/>
          <w:szCs w:val="24"/>
          <w:highlight w:val="none"/>
          <w:u w:val="single"/>
        </w:rPr>
        <w:t>5</w:t>
      </w:r>
      <w:r>
        <w:rPr>
          <w:rFonts w:hint="eastAsia" w:ascii="宋体" w:hAnsi="宋体" w:eastAsia="宋体" w:cs="Times New Roman"/>
          <w:sz w:val="24"/>
          <w:szCs w:val="24"/>
          <w:highlight w:val="none"/>
        </w:rPr>
        <w:t>项的约定处理。但在已经全部支付完合同款后才发现有产权瑕疵的，乙方除了支付违约金还应负担甲方由此产生的一切损失。</w:t>
      </w:r>
    </w:p>
    <w:p w14:paraId="5FAC2993">
      <w:pPr>
        <w:spacing w:line="360" w:lineRule="auto"/>
        <w:ind w:firstLine="482" w:firstLineChars="200"/>
        <w:outlineLvl w:val="1"/>
        <w:rPr>
          <w:rFonts w:ascii="宋体" w:hAnsi="宋体" w:eastAsia="宋体" w:cs="Times New Roman"/>
          <w:b/>
          <w:bCs/>
          <w:sz w:val="24"/>
          <w:szCs w:val="24"/>
          <w:highlight w:val="none"/>
        </w:rPr>
      </w:pPr>
      <w:bookmarkStart w:id="131" w:name="_Toc6081"/>
      <w:bookmarkStart w:id="132" w:name="_Toc21942"/>
      <w:r>
        <w:rPr>
          <w:rFonts w:hint="eastAsia" w:ascii="宋体" w:hAnsi="宋体" w:eastAsia="宋体" w:cs="Times New Roman"/>
          <w:b/>
          <w:bCs/>
          <w:sz w:val="24"/>
          <w:szCs w:val="24"/>
          <w:highlight w:val="none"/>
        </w:rPr>
        <w:t>4.  技术资料</w:t>
      </w:r>
      <w:bookmarkEnd w:id="131"/>
      <w:bookmarkEnd w:id="132"/>
    </w:p>
    <w:p w14:paraId="5CE0719F">
      <w:pPr>
        <w:tabs>
          <w:tab w:val="left" w:pos="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4.1 甲方应向乙方提供提交服务成果所必需的有关数据、资料等。</w:t>
      </w:r>
    </w:p>
    <w:p w14:paraId="4F662923">
      <w:pPr>
        <w:tabs>
          <w:tab w:val="left" w:pos="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577F42">
      <w:pPr>
        <w:spacing w:line="360" w:lineRule="auto"/>
        <w:ind w:firstLine="482" w:firstLineChars="200"/>
        <w:outlineLvl w:val="1"/>
        <w:rPr>
          <w:rFonts w:ascii="宋体" w:hAnsi="宋体" w:eastAsia="宋体" w:cs="Times New Roman"/>
          <w:b/>
          <w:bCs/>
          <w:sz w:val="24"/>
          <w:szCs w:val="24"/>
          <w:highlight w:val="none"/>
        </w:rPr>
      </w:pPr>
      <w:bookmarkStart w:id="133" w:name="_Toc13459"/>
      <w:bookmarkStart w:id="134" w:name="_Toc7625"/>
      <w:r>
        <w:rPr>
          <w:rFonts w:hint="eastAsia" w:ascii="宋体" w:hAnsi="宋体" w:eastAsia="宋体" w:cs="Times New Roman"/>
          <w:b/>
          <w:bCs/>
          <w:sz w:val="24"/>
          <w:szCs w:val="24"/>
          <w:highlight w:val="none"/>
        </w:rPr>
        <w:t>5.  违约责任</w:t>
      </w:r>
      <w:bookmarkEnd w:id="133"/>
      <w:bookmarkEnd w:id="134"/>
    </w:p>
    <w:p w14:paraId="3276B256">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5.1 乙方逾期交付服务的，乙方应按逾期提供服务总额每日千分之六向甲方支付违约金，由甲方从待付服务费或履约保证金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2769466D">
      <w:pPr>
        <w:spacing w:line="360" w:lineRule="auto"/>
        <w:ind w:firstLine="482" w:firstLineChars="200"/>
        <w:outlineLvl w:val="1"/>
        <w:rPr>
          <w:rFonts w:ascii="宋体" w:hAnsi="宋体" w:eastAsia="宋体" w:cs="Times New Roman"/>
          <w:b/>
          <w:bCs/>
          <w:sz w:val="24"/>
          <w:szCs w:val="24"/>
          <w:highlight w:val="none"/>
        </w:rPr>
      </w:pPr>
      <w:bookmarkStart w:id="135" w:name="_Toc24289"/>
      <w:bookmarkStart w:id="136" w:name="_Toc29994"/>
      <w:r>
        <w:rPr>
          <w:rFonts w:hint="eastAsia" w:ascii="宋体" w:hAnsi="宋体" w:eastAsia="宋体" w:cs="Times New Roman"/>
          <w:b/>
          <w:bCs/>
          <w:sz w:val="24"/>
          <w:szCs w:val="24"/>
          <w:highlight w:val="none"/>
        </w:rPr>
        <w:t>6.  不可抗力事件处理</w:t>
      </w:r>
      <w:bookmarkEnd w:id="135"/>
      <w:bookmarkEnd w:id="136"/>
    </w:p>
    <w:p w14:paraId="4D670C9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6.1 在合同有效期内，任何一方因不可抗力事件导致不能履行合同，则合同履行期可延长，其延长期与不可抗力影响期相同。</w:t>
      </w:r>
    </w:p>
    <w:p w14:paraId="728B0B4B">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6.2 不可抗力事件发生后，应立即通知对方，并寄送有关权威机构出具的证明。</w:t>
      </w:r>
    </w:p>
    <w:p w14:paraId="4D115347">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6.3 不可抗力事件延续120天以上，双方应通过友好协商，确定是否继续履行合同。</w:t>
      </w:r>
    </w:p>
    <w:p w14:paraId="23B2F822">
      <w:pPr>
        <w:spacing w:line="360" w:lineRule="auto"/>
        <w:ind w:firstLine="482" w:firstLineChars="200"/>
        <w:outlineLvl w:val="1"/>
        <w:rPr>
          <w:rFonts w:ascii="宋体" w:hAnsi="宋体" w:eastAsia="宋体" w:cs="Times New Roman"/>
          <w:b/>
          <w:bCs/>
          <w:sz w:val="24"/>
          <w:szCs w:val="24"/>
          <w:highlight w:val="none"/>
        </w:rPr>
      </w:pPr>
      <w:bookmarkStart w:id="137" w:name="_Toc8783"/>
      <w:bookmarkStart w:id="138" w:name="_Toc15030"/>
      <w:r>
        <w:rPr>
          <w:rFonts w:hint="eastAsia" w:ascii="宋体" w:hAnsi="宋体" w:eastAsia="宋体" w:cs="Times New Roman"/>
          <w:b/>
          <w:bCs/>
          <w:sz w:val="24"/>
          <w:szCs w:val="24"/>
          <w:highlight w:val="none"/>
        </w:rPr>
        <w:t>7.  诉讼</w:t>
      </w:r>
      <w:bookmarkEnd w:id="137"/>
      <w:bookmarkEnd w:id="138"/>
    </w:p>
    <w:p w14:paraId="5574D597">
      <w:pPr>
        <w:tabs>
          <w:tab w:val="left" w:pos="0"/>
        </w:tabs>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7.1 双方在执行合同中所发生的一切争议，应通过协商解决。如协商不成，可向合同签订地法院起诉，合同签订地在此约定为浙江舟山市。</w:t>
      </w:r>
    </w:p>
    <w:p w14:paraId="094F3DBE">
      <w:pPr>
        <w:spacing w:line="360" w:lineRule="auto"/>
        <w:ind w:firstLine="482" w:firstLineChars="200"/>
        <w:outlineLvl w:val="1"/>
        <w:rPr>
          <w:rFonts w:ascii="宋体" w:hAnsi="宋体" w:eastAsia="宋体" w:cs="Times New Roman"/>
          <w:b/>
          <w:bCs/>
          <w:sz w:val="24"/>
          <w:szCs w:val="24"/>
          <w:highlight w:val="none"/>
        </w:rPr>
      </w:pPr>
      <w:bookmarkStart w:id="139" w:name="_Toc29177"/>
      <w:bookmarkStart w:id="140" w:name="_Toc18597"/>
      <w:r>
        <w:rPr>
          <w:rFonts w:hint="eastAsia" w:ascii="宋体" w:hAnsi="宋体" w:eastAsia="宋体" w:cs="Times New Roman"/>
          <w:b/>
          <w:bCs/>
          <w:sz w:val="24"/>
          <w:szCs w:val="24"/>
          <w:highlight w:val="none"/>
        </w:rPr>
        <w:t>8.  合同生效及其它</w:t>
      </w:r>
      <w:bookmarkEnd w:id="139"/>
      <w:bookmarkEnd w:id="140"/>
    </w:p>
    <w:p w14:paraId="7765E4E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8.1 合同经双方法定代表人或授权委托代理人签字并加盖单位公章后生效。</w:t>
      </w:r>
    </w:p>
    <w:p w14:paraId="65788A5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8.2 合同执行中涉及采购资金和采购内容修改或补充的，经双方协商后确定，如有必要可签订补充协议。</w:t>
      </w:r>
    </w:p>
    <w:p w14:paraId="20B5F8CF">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8.3 下述合同附件为本合同不可分割的部分并与本合同具有同等效力：</w:t>
      </w:r>
    </w:p>
    <w:p w14:paraId="70D3C4D4">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（1）成交通知书</w:t>
      </w:r>
    </w:p>
    <w:p w14:paraId="7F0AEB9A">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（2）磋商文件</w:t>
      </w:r>
    </w:p>
    <w:p w14:paraId="20BDB582">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（3）磋商文件的澄清和修改</w:t>
      </w:r>
    </w:p>
    <w:p w14:paraId="7480FC6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（4）响应文件</w:t>
      </w:r>
    </w:p>
    <w:p w14:paraId="4C87F7C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（5）成交</w:t>
      </w:r>
      <w:r>
        <w:rPr>
          <w:rFonts w:hint="eastAsia" w:ascii="宋体" w:hAnsi="宋体" w:eastAsia="宋体" w:cs="Times New Roman"/>
          <w:sz w:val="24"/>
          <w:szCs w:val="24"/>
          <w:highlight w:val="none"/>
          <w:lang w:val="en-US" w:eastAsia="zh-CN"/>
        </w:rPr>
        <w:t>人</w:t>
      </w:r>
      <w:r>
        <w:rPr>
          <w:rFonts w:hint="eastAsia" w:ascii="宋体" w:hAnsi="宋体" w:eastAsia="宋体" w:cs="Times New Roman"/>
          <w:sz w:val="24"/>
          <w:szCs w:val="24"/>
          <w:highlight w:val="none"/>
        </w:rPr>
        <w:t>澄清函</w:t>
      </w:r>
    </w:p>
    <w:p w14:paraId="12D7D68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（6）其他与本合同相关的资料</w:t>
      </w:r>
    </w:p>
    <w:p w14:paraId="4F89E4F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8.4 本合同未尽事宜，遵照《中华人民共和国民法典》有关条文执行。</w:t>
      </w:r>
    </w:p>
    <w:p w14:paraId="76984EB9">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8.5本合同一式</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份，具有同等法律效力，甲乙双方各执</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份，</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代理机构执壹份。</w:t>
      </w:r>
    </w:p>
    <w:p w14:paraId="233200BE">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本合同</w:t>
      </w:r>
      <w:r>
        <w:rPr>
          <w:rFonts w:hint="eastAsia" w:ascii="宋体" w:hAnsi="宋体" w:eastAsia="宋体" w:cs="Times New Roman"/>
          <w:sz w:val="24"/>
          <w:szCs w:val="24"/>
          <w:highlight w:val="none"/>
          <w:lang w:val="en-US" w:eastAsia="zh-CN"/>
        </w:rPr>
        <w:t>为中小企业预留合同</w:t>
      </w:r>
      <w:r>
        <w:rPr>
          <w:rFonts w:hint="eastAsia" w:ascii="宋体" w:hAnsi="宋体" w:eastAsia="宋体" w:cs="Times New Roman"/>
          <w:sz w:val="24"/>
          <w:szCs w:val="24"/>
          <w:highlight w:val="none"/>
        </w:rPr>
        <w:t>。</w:t>
      </w:r>
    </w:p>
    <w:p w14:paraId="223789C4">
      <w:pPr>
        <w:spacing w:line="360" w:lineRule="auto"/>
        <w:ind w:firstLine="480" w:firstLineChars="200"/>
        <w:rPr>
          <w:rFonts w:hint="eastAsia" w:ascii="宋体" w:hAnsi="宋体" w:eastAsia="宋体" w:cs="Times New Roman"/>
          <w:sz w:val="24"/>
          <w:szCs w:val="24"/>
          <w:highlight w:val="none"/>
        </w:rPr>
      </w:pPr>
    </w:p>
    <w:p w14:paraId="63392208">
      <w:pPr>
        <w:spacing w:line="360" w:lineRule="auto"/>
        <w:ind w:firstLine="480" w:firstLineChars="200"/>
        <w:rPr>
          <w:rFonts w:hint="eastAsia" w:ascii="宋体" w:hAnsi="宋体" w:eastAsia="宋体" w:cs="Times New Roman"/>
          <w:sz w:val="24"/>
          <w:szCs w:val="24"/>
          <w:highlight w:val="none"/>
        </w:rPr>
      </w:pPr>
    </w:p>
    <w:p w14:paraId="5C27EC40">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甲方：                                   乙方： </w:t>
      </w:r>
    </w:p>
    <w:p w14:paraId="6AD1F29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地址：                                   地址： </w:t>
      </w:r>
    </w:p>
    <w:p w14:paraId="21319A83">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法定（授权）代表人：                     法定（授权）代表人：</w:t>
      </w:r>
    </w:p>
    <w:p w14:paraId="59CBB228">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日期：      年    月   日                日期：      年    月   日</w:t>
      </w:r>
    </w:p>
    <w:p w14:paraId="242EBC1B">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36662829">
      <w:pPr>
        <w:spacing w:line="30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银行账号：                               银行账号：</w:t>
      </w:r>
    </w:p>
    <w:p w14:paraId="73F359CC">
      <w:pPr>
        <w:spacing w:line="300" w:lineRule="auto"/>
        <w:ind w:firstLine="480" w:firstLineChars="200"/>
        <w:rPr>
          <w:rFonts w:hint="eastAsia" w:ascii="宋体" w:hAnsi="宋体" w:eastAsia="宋体" w:cs="宋体"/>
          <w:sz w:val="24"/>
          <w:szCs w:val="24"/>
          <w:highlight w:val="none"/>
        </w:rPr>
      </w:pPr>
    </w:p>
    <w:p w14:paraId="4A1F11F7">
      <w:pPr>
        <w:spacing w:line="300" w:lineRule="auto"/>
        <w:ind w:firstLine="480" w:firstLineChars="200"/>
        <w:rPr>
          <w:rFonts w:hint="eastAsia" w:ascii="宋体" w:hAnsi="宋体" w:eastAsia="宋体" w:cs="宋体"/>
          <w:sz w:val="24"/>
          <w:szCs w:val="24"/>
          <w:highlight w:val="none"/>
        </w:rPr>
      </w:pPr>
    </w:p>
    <w:p w14:paraId="1E4123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鉴证方：</w:t>
      </w:r>
    </w:p>
    <w:p w14:paraId="041D41DC">
      <w:pPr>
        <w:snapToGrid w:val="0"/>
        <w:spacing w:line="420" w:lineRule="atLeast"/>
        <w:rPr>
          <w:rFonts w:hint="eastAsia" w:ascii="宋体" w:hAnsi="宋体" w:eastAsia="宋体" w:cs="宋体"/>
          <w:color w:val="000000"/>
          <w:sz w:val="24"/>
          <w:szCs w:val="24"/>
          <w:highlight w:val="none"/>
        </w:rPr>
      </w:pPr>
    </w:p>
    <w:p w14:paraId="560E8A39">
      <w:pPr>
        <w:snapToGrid w:val="0"/>
        <w:spacing w:line="360" w:lineRule="auto"/>
        <w:rPr>
          <w:rFonts w:hint="eastAsia" w:ascii="宋体" w:hAnsi="宋体" w:eastAsia="宋体" w:cs="宋体"/>
          <w:color w:val="000000"/>
          <w:sz w:val="24"/>
          <w:szCs w:val="24"/>
          <w:highlight w:val="none"/>
        </w:rPr>
      </w:pPr>
    </w:p>
    <w:p w14:paraId="25924099">
      <w:p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注意事项：</w:t>
      </w:r>
    </w:p>
    <w:p w14:paraId="56F9E8B6">
      <w:pPr>
        <w:snapToGrid w:val="0"/>
        <w:spacing w:line="360" w:lineRule="auto"/>
        <w:ind w:firstLine="480" w:firstLineChars="200"/>
        <w:outlineLvl w:val="1"/>
        <w:rPr>
          <w:rFonts w:hint="eastAsia" w:ascii="宋体" w:hAnsi="宋体" w:eastAsia="宋体" w:cs="宋体"/>
          <w:color w:val="000000"/>
          <w:sz w:val="24"/>
          <w:szCs w:val="24"/>
          <w:highlight w:val="none"/>
        </w:rPr>
      </w:pPr>
      <w:bookmarkStart w:id="141" w:name="_Toc25984"/>
      <w:bookmarkStart w:id="142" w:name="_Toc27357"/>
      <w:r>
        <w:rPr>
          <w:rFonts w:hint="eastAsia" w:ascii="宋体" w:hAnsi="宋体" w:eastAsia="宋体" w:cs="宋体"/>
          <w:color w:val="000000"/>
          <w:sz w:val="24"/>
          <w:szCs w:val="24"/>
          <w:highlight w:val="none"/>
        </w:rPr>
        <w:t>1.用于政府采购信用融资的政府采购合同：</w:t>
      </w:r>
      <w:bookmarkEnd w:id="141"/>
      <w:bookmarkEnd w:id="142"/>
    </w:p>
    <w:p w14:paraId="132A02A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（1）应当包含如下条款：</w:t>
      </w:r>
    </w:p>
    <w:p w14:paraId="32D1A99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条：政府采购合同贷款</w:t>
      </w:r>
    </w:p>
    <w:p w14:paraId="74B3D67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本合同同时用于乙方向</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银行（金融机构）申请政府采购信用贷款。</w:t>
      </w:r>
    </w:p>
    <w:p w14:paraId="388455DC">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本合同一经签订，原则上不得更改乙方收款账户信息。确须更改的，乙方应取得原合同收款账户开户银行书面同意，否则修改后的合同不予备案，采购资金不予支付。”</w:t>
      </w:r>
    </w:p>
    <w:p w14:paraId="7A892016">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）乙方需确保政府采购合同的收款账户与融资银行开户账户一致。</w:t>
      </w:r>
    </w:p>
    <w:p w14:paraId="28B5B6F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br w:type="page"/>
      </w:r>
    </w:p>
    <w:p w14:paraId="7AD5D9AE">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cs="宋体"/>
          <w:b/>
          <w:sz w:val="28"/>
          <w:szCs w:val="28"/>
          <w:highlight w:val="none"/>
        </w:rPr>
      </w:pPr>
      <w:bookmarkStart w:id="143" w:name="_Toc16632"/>
      <w:bookmarkStart w:id="144" w:name="_Toc31562"/>
      <w:bookmarkStart w:id="145" w:name="_Toc31278"/>
      <w:r>
        <w:rPr>
          <w:rFonts w:hint="eastAsia" w:ascii="宋体" w:hAnsi="宋体" w:cs="宋体"/>
          <w:b/>
          <w:sz w:val="28"/>
          <w:szCs w:val="28"/>
          <w:highlight w:val="none"/>
        </w:rPr>
        <w:t xml:space="preserve">第六章  </w:t>
      </w:r>
      <w:r>
        <w:rPr>
          <w:rFonts w:hint="eastAsia" w:ascii="宋体" w:hAnsi="宋体" w:cs="宋体"/>
          <w:b/>
          <w:sz w:val="28"/>
          <w:szCs w:val="28"/>
          <w:highlight w:val="none"/>
          <w:lang w:val="en-US" w:eastAsia="zh-CN"/>
        </w:rPr>
        <w:t>响应</w:t>
      </w:r>
      <w:r>
        <w:rPr>
          <w:rFonts w:hint="eastAsia" w:ascii="宋体" w:hAnsi="宋体" w:cs="宋体"/>
          <w:b/>
          <w:sz w:val="28"/>
          <w:szCs w:val="28"/>
          <w:highlight w:val="none"/>
        </w:rPr>
        <w:t>文件组成</w:t>
      </w:r>
      <w:bookmarkEnd w:id="143"/>
      <w:bookmarkEnd w:id="144"/>
      <w:bookmarkEnd w:id="145"/>
    </w:p>
    <w:p w14:paraId="4A31B5AD">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outlineLvl w:val="9"/>
        <w:rPr>
          <w:rFonts w:hint="eastAsia" w:ascii="宋体" w:hAnsi="宋体" w:eastAsia="宋体" w:cs="宋体"/>
          <w:b/>
          <w:sz w:val="24"/>
          <w:szCs w:val="24"/>
          <w:highlight w:val="none"/>
        </w:rPr>
      </w:pPr>
      <w:r>
        <w:rPr>
          <w:rFonts w:hint="eastAsia" w:ascii="宋体" w:hAnsi="宋体" w:cs="宋体"/>
          <w:b/>
          <w:sz w:val="24"/>
          <w:szCs w:val="24"/>
          <w:highlight w:val="none"/>
        </w:rPr>
        <w:t>响应文件由磋商报价文件、资格证明文件、</w:t>
      </w:r>
      <w:r>
        <w:rPr>
          <w:rFonts w:hint="eastAsia" w:ascii="宋体" w:hAnsi="宋体" w:eastAsia="宋体" w:cs="宋体"/>
          <w:b/>
          <w:sz w:val="24"/>
          <w:szCs w:val="24"/>
          <w:highlight w:val="none"/>
        </w:rPr>
        <w:t>商务文件、技术文件组成。响应文件中涉及的有关内容均须提供合法有效的证明材料复印件。（复印件未加盖公章作无效处理，特别注明的除外，有▲标识的条款为必须提交的资料）</w:t>
      </w:r>
    </w:p>
    <w:p w14:paraId="58316365">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1"/>
        <w:rPr>
          <w:rFonts w:hint="eastAsia" w:ascii="宋体" w:hAnsi="宋体" w:eastAsia="宋体" w:cs="宋体"/>
          <w:b/>
          <w:sz w:val="24"/>
          <w:szCs w:val="24"/>
          <w:highlight w:val="none"/>
        </w:rPr>
      </w:pPr>
      <w:bookmarkStart w:id="146" w:name="_Toc31962"/>
      <w:bookmarkStart w:id="147" w:name="_Toc21254"/>
      <w:r>
        <w:rPr>
          <w:rFonts w:hint="eastAsia" w:ascii="宋体" w:hAnsi="宋体" w:eastAsia="宋体" w:cs="宋体"/>
          <w:b/>
          <w:sz w:val="24"/>
          <w:szCs w:val="24"/>
          <w:highlight w:val="none"/>
        </w:rPr>
        <w:t>▲1、磋商报价文件部分</w:t>
      </w:r>
      <w:bookmarkEnd w:id="146"/>
      <w:bookmarkEnd w:id="147"/>
    </w:p>
    <w:p w14:paraId="0CE59CD7">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（磋商报价信息不得出现在资格证明、商务、技术文件中，否则将导致投标无效。）</w:t>
      </w:r>
    </w:p>
    <w:p w14:paraId="638D9EEF">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1.1开标一览表；（格式一）</w:t>
      </w:r>
    </w:p>
    <w:p w14:paraId="4BEEA48B">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2报价明细</w:t>
      </w:r>
      <w:r>
        <w:rPr>
          <w:rFonts w:hint="eastAsia" w:ascii="宋体" w:hAnsi="宋体" w:eastAsia="宋体" w:cs="宋体"/>
          <w:b/>
          <w:sz w:val="24"/>
          <w:szCs w:val="24"/>
          <w:highlight w:val="none"/>
        </w:rPr>
        <w:t>表；（格式</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rPr>
        <w:t>）</w:t>
      </w:r>
    </w:p>
    <w:p w14:paraId="3EE259FA">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1"/>
        <w:rPr>
          <w:rFonts w:hint="eastAsia" w:ascii="宋体" w:hAnsi="宋体" w:eastAsia="宋体" w:cs="宋体"/>
          <w:b/>
          <w:sz w:val="24"/>
          <w:szCs w:val="24"/>
          <w:highlight w:val="none"/>
          <w:lang w:eastAsia="zh-CN"/>
        </w:rPr>
      </w:pPr>
      <w:bookmarkStart w:id="148" w:name="_Toc27490"/>
      <w:bookmarkStart w:id="149" w:name="_Toc7088"/>
      <w:r>
        <w:rPr>
          <w:rFonts w:hint="eastAsia" w:ascii="宋体" w:hAnsi="宋体" w:eastAsia="宋体" w:cs="宋体"/>
          <w:b/>
          <w:sz w:val="24"/>
          <w:szCs w:val="24"/>
          <w:highlight w:val="none"/>
        </w:rPr>
        <w:t>▲2、</w:t>
      </w:r>
      <w:r>
        <w:rPr>
          <w:rFonts w:hint="eastAsia" w:ascii="宋体" w:hAnsi="宋体" w:eastAsia="宋体" w:cs="宋体"/>
          <w:b/>
          <w:color w:val="auto"/>
          <w:sz w:val="24"/>
          <w:szCs w:val="24"/>
          <w:highlight w:val="none"/>
        </w:rPr>
        <w:t>资格证明文件部分</w:t>
      </w:r>
      <w:bookmarkEnd w:id="148"/>
      <w:bookmarkEnd w:id="149"/>
    </w:p>
    <w:p w14:paraId="56C3B75A">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2"/>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享受</w:t>
      </w:r>
      <w:r>
        <w:rPr>
          <w:rFonts w:hint="eastAsia" w:ascii="宋体" w:hAnsi="宋体" w:eastAsia="宋体" w:cs="宋体"/>
          <w:b w:val="0"/>
          <w:bCs/>
          <w:sz w:val="24"/>
          <w:szCs w:val="24"/>
          <w:highlight w:val="none"/>
          <w:lang w:val="en-US" w:eastAsia="zh-CN"/>
        </w:rPr>
        <w:t>中小企业预留份额</w:t>
      </w:r>
      <w:r>
        <w:rPr>
          <w:rFonts w:hint="eastAsia" w:ascii="宋体" w:hAnsi="宋体" w:eastAsia="宋体" w:cs="宋体"/>
          <w:b w:val="0"/>
          <w:bCs/>
          <w:sz w:val="24"/>
          <w:szCs w:val="24"/>
          <w:highlight w:val="none"/>
        </w:rPr>
        <w:t>政策相关证明文件（符合以下三个子项中的任意一项要求即可）</w:t>
      </w:r>
      <w:r>
        <w:rPr>
          <w:rFonts w:hint="eastAsia" w:ascii="宋体" w:hAnsi="宋体" w:eastAsia="宋体" w:cs="宋体"/>
          <w:b w:val="0"/>
          <w:bCs/>
          <w:sz w:val="24"/>
          <w:szCs w:val="24"/>
          <w:highlight w:val="none"/>
          <w:lang w:eastAsia="zh-CN"/>
        </w:rPr>
        <w:t>；</w:t>
      </w:r>
    </w:p>
    <w:p w14:paraId="39965E0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1"/>
        <w:rPr>
          <w:rFonts w:hint="eastAsia" w:ascii="宋体" w:hAnsi="宋体" w:eastAsia="宋体" w:cs="宋体"/>
          <w:b w:val="0"/>
          <w:bCs/>
          <w:sz w:val="24"/>
          <w:szCs w:val="24"/>
          <w:highlight w:val="none"/>
          <w:lang w:eastAsia="zh-CN"/>
        </w:rPr>
      </w:pPr>
      <w:bookmarkStart w:id="150" w:name="_Toc21013"/>
      <w:bookmarkStart w:id="151" w:name="_Toc20833"/>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.1小微企业：《中小企业声明函》</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（格式</w:t>
      </w:r>
      <w:r>
        <w:rPr>
          <w:rFonts w:hint="eastAsia" w:ascii="宋体" w:hAnsi="宋体" w:cs="宋体"/>
          <w:b w:val="0"/>
          <w:bCs/>
          <w:sz w:val="24"/>
          <w:szCs w:val="24"/>
          <w:highlight w:val="none"/>
          <w:lang w:val="en-US" w:eastAsia="zh-CN"/>
        </w:rPr>
        <w:t>三</w:t>
      </w:r>
      <w:r>
        <w:rPr>
          <w:rFonts w:hint="eastAsia" w:ascii="宋体" w:hAnsi="宋体" w:eastAsia="宋体" w:cs="宋体"/>
          <w:b w:val="0"/>
          <w:bCs/>
          <w:sz w:val="24"/>
          <w:szCs w:val="24"/>
          <w:highlight w:val="none"/>
        </w:rPr>
        <w:t>）</w:t>
      </w:r>
      <w:bookmarkEnd w:id="150"/>
      <w:bookmarkEnd w:id="151"/>
    </w:p>
    <w:p w14:paraId="46582CC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3"/>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.2监狱企业：由省级以上监狱管理局、戒毒管理局（含新疆生产建设兵团）出具的属于监狱企业的证明文件</w:t>
      </w:r>
      <w:r>
        <w:rPr>
          <w:rFonts w:hint="eastAsia" w:ascii="宋体" w:hAnsi="宋体" w:cs="宋体"/>
          <w:b w:val="0"/>
          <w:bCs/>
          <w:sz w:val="24"/>
          <w:szCs w:val="24"/>
          <w:highlight w:val="none"/>
          <w:lang w:eastAsia="zh-CN"/>
        </w:rPr>
        <w:t>；</w:t>
      </w:r>
    </w:p>
    <w:p w14:paraId="17B600D5">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9"/>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2.1</w:t>
      </w:r>
      <w:r>
        <w:rPr>
          <w:rFonts w:hint="eastAsia" w:ascii="宋体" w:hAnsi="宋体" w:eastAsia="宋体" w:cs="宋体"/>
          <w:b w:val="0"/>
          <w:bCs/>
          <w:sz w:val="24"/>
          <w:szCs w:val="24"/>
          <w:highlight w:val="none"/>
        </w:rPr>
        <w:t>.3残疾人福利性单位：《残疾人福利性单位声明函》</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rPr>
        <w:t>（格式</w:t>
      </w:r>
      <w:r>
        <w:rPr>
          <w:rFonts w:hint="eastAsia" w:ascii="宋体" w:hAnsi="宋体" w:cs="宋体"/>
          <w:b w:val="0"/>
          <w:bCs/>
          <w:sz w:val="24"/>
          <w:szCs w:val="24"/>
          <w:highlight w:val="none"/>
          <w:lang w:val="en-US" w:eastAsia="zh-CN"/>
        </w:rPr>
        <w:t>四</w:t>
      </w:r>
      <w:r>
        <w:rPr>
          <w:rFonts w:hint="eastAsia" w:ascii="宋体" w:hAnsi="宋体" w:eastAsia="宋体" w:cs="宋体"/>
          <w:b w:val="0"/>
          <w:bCs/>
          <w:sz w:val="24"/>
          <w:szCs w:val="24"/>
          <w:highlight w:val="none"/>
        </w:rPr>
        <w:t>）</w:t>
      </w:r>
    </w:p>
    <w:p w14:paraId="5BC2B076">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2响应</w:t>
      </w:r>
      <w:r>
        <w:rPr>
          <w:rFonts w:hint="eastAsia" w:ascii="宋体" w:hAnsi="宋体" w:eastAsia="宋体" w:cs="宋体"/>
          <w:b w:val="0"/>
          <w:bCs/>
          <w:sz w:val="24"/>
          <w:szCs w:val="24"/>
          <w:highlight w:val="none"/>
        </w:rPr>
        <w:t>人</w:t>
      </w:r>
      <w:r>
        <w:rPr>
          <w:rFonts w:hint="eastAsia" w:ascii="宋体" w:hAnsi="宋体" w:eastAsia="宋体" w:cs="宋体"/>
          <w:b w:val="0"/>
          <w:bCs/>
          <w:sz w:val="24"/>
          <w:szCs w:val="24"/>
          <w:highlight w:val="none"/>
          <w:lang w:val="en-US" w:eastAsia="zh-CN"/>
        </w:rPr>
        <w:t>具有独立承担民事责任的能力证明资料</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投标人须在投标文件中出具符合以下情况的证明材料复印件（五选一）</w:t>
      </w:r>
    </w:p>
    <w:p w14:paraId="6F4E8E4B">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a)如供应商是企业（包括合伙企业），提供在工商部门注册的有效“企业法人营业执照”或“营业执照”；</w:t>
      </w:r>
    </w:p>
    <w:p w14:paraId="62AE17E3">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b)如供应商是事业单位，提供有效的“事业单位法人证书”；</w:t>
      </w:r>
    </w:p>
    <w:p w14:paraId="00CA7DB4">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c)如供应商是非企业专业服务机构的，提供执业许可证等证明文件；</w:t>
      </w:r>
    </w:p>
    <w:p w14:paraId="716F33CD">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d)如供应商是个体工商户，提供有效的“个体工商户营业执照”；</w:t>
      </w:r>
    </w:p>
    <w:p w14:paraId="6DBEBB1A">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e)如供应商是自然人，提供有效的自然人身份证明（居民身份证正反面或公安机关出具的临时居民身份证正反面或港澳台胞证或证照）。</w:t>
      </w:r>
    </w:p>
    <w:p w14:paraId="414D3E6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3响应</w:t>
      </w:r>
      <w:r>
        <w:rPr>
          <w:rFonts w:hint="eastAsia" w:ascii="宋体" w:hAnsi="宋体" w:eastAsia="宋体" w:cs="宋体"/>
          <w:b w:val="0"/>
          <w:bCs/>
          <w:sz w:val="24"/>
          <w:szCs w:val="24"/>
          <w:highlight w:val="none"/>
        </w:rPr>
        <w:t>人法定代表人身份证复印件；</w:t>
      </w:r>
    </w:p>
    <w:p w14:paraId="0E760D4E">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2"/>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投标函；</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格式</w:t>
      </w:r>
      <w:r>
        <w:rPr>
          <w:rFonts w:hint="eastAsia" w:ascii="宋体" w:hAnsi="宋体" w:cs="宋体"/>
          <w:b w:val="0"/>
          <w:bCs/>
          <w:sz w:val="24"/>
          <w:szCs w:val="24"/>
          <w:highlight w:val="none"/>
          <w:lang w:val="en-US" w:eastAsia="zh-CN"/>
        </w:rPr>
        <w:t>五</w:t>
      </w:r>
      <w:r>
        <w:rPr>
          <w:rFonts w:hint="eastAsia" w:ascii="宋体" w:hAnsi="宋体" w:eastAsia="宋体" w:cs="宋体"/>
          <w:b w:val="0"/>
          <w:bCs/>
          <w:sz w:val="24"/>
          <w:szCs w:val="24"/>
          <w:highlight w:val="none"/>
          <w:lang w:eastAsia="zh-CN"/>
        </w:rPr>
        <w:t>）</w:t>
      </w:r>
    </w:p>
    <w:p w14:paraId="10B5347B">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rPr>
        <w:t>法定代表人授权函，非法定代表人参加</w:t>
      </w:r>
      <w:r>
        <w:rPr>
          <w:rFonts w:hint="eastAsia" w:ascii="宋体" w:hAnsi="宋体" w:eastAsia="宋体" w:cs="宋体"/>
          <w:b w:val="0"/>
          <w:bCs/>
          <w:sz w:val="24"/>
          <w:szCs w:val="24"/>
          <w:highlight w:val="none"/>
          <w:lang w:val="en-US" w:eastAsia="zh-CN"/>
        </w:rPr>
        <w:t>磋商</w:t>
      </w:r>
      <w:r>
        <w:rPr>
          <w:rFonts w:hint="eastAsia" w:ascii="宋体" w:hAnsi="宋体" w:eastAsia="宋体" w:cs="宋体"/>
          <w:b w:val="0"/>
          <w:bCs/>
          <w:sz w:val="24"/>
          <w:szCs w:val="24"/>
          <w:highlight w:val="none"/>
        </w:rPr>
        <w:t>时提供；</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格式</w:t>
      </w:r>
      <w:r>
        <w:rPr>
          <w:rFonts w:hint="eastAsia" w:ascii="宋体" w:hAnsi="宋体" w:cs="宋体"/>
          <w:b w:val="0"/>
          <w:bCs/>
          <w:sz w:val="24"/>
          <w:szCs w:val="24"/>
          <w:highlight w:val="none"/>
          <w:lang w:val="en-US" w:eastAsia="zh-CN"/>
        </w:rPr>
        <w:t>六</w:t>
      </w:r>
      <w:r>
        <w:rPr>
          <w:rFonts w:hint="eastAsia" w:ascii="宋体" w:hAnsi="宋体" w:eastAsia="宋体" w:cs="宋体"/>
          <w:b w:val="0"/>
          <w:bCs/>
          <w:sz w:val="24"/>
          <w:szCs w:val="24"/>
          <w:highlight w:val="none"/>
          <w:lang w:eastAsia="zh-CN"/>
        </w:rPr>
        <w:t>）</w:t>
      </w:r>
    </w:p>
    <w:p w14:paraId="04ECB16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outlineLvl w:val="2"/>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val="en-US" w:eastAsia="zh-CN"/>
        </w:rPr>
        <w:t>6响应</w:t>
      </w:r>
      <w:r>
        <w:rPr>
          <w:rFonts w:hint="eastAsia" w:ascii="宋体" w:hAnsi="宋体" w:eastAsia="宋体" w:cs="宋体"/>
          <w:b w:val="0"/>
          <w:bCs/>
          <w:sz w:val="24"/>
          <w:szCs w:val="24"/>
          <w:highlight w:val="none"/>
        </w:rPr>
        <w:t>人代表身份证复印件，非法定代表人参加</w:t>
      </w:r>
      <w:r>
        <w:rPr>
          <w:rFonts w:hint="eastAsia" w:ascii="宋体" w:hAnsi="宋体" w:eastAsia="宋体" w:cs="宋体"/>
          <w:b w:val="0"/>
          <w:bCs/>
          <w:sz w:val="24"/>
          <w:szCs w:val="24"/>
          <w:highlight w:val="none"/>
          <w:lang w:val="en-US" w:eastAsia="zh-CN"/>
        </w:rPr>
        <w:t>磋商</w:t>
      </w:r>
      <w:r>
        <w:rPr>
          <w:rFonts w:hint="eastAsia" w:ascii="宋体" w:hAnsi="宋体" w:eastAsia="宋体" w:cs="宋体"/>
          <w:b w:val="0"/>
          <w:bCs/>
          <w:sz w:val="24"/>
          <w:szCs w:val="24"/>
          <w:highlight w:val="none"/>
        </w:rPr>
        <w:t>时提供</w:t>
      </w:r>
      <w:r>
        <w:rPr>
          <w:rFonts w:hint="eastAsia" w:ascii="宋体" w:hAnsi="宋体" w:cs="宋体"/>
          <w:b w:val="0"/>
          <w:bCs/>
          <w:sz w:val="24"/>
          <w:szCs w:val="24"/>
          <w:highlight w:val="none"/>
          <w:lang w:eastAsia="zh-CN"/>
        </w:rPr>
        <w:t>。</w:t>
      </w:r>
    </w:p>
    <w:p w14:paraId="1599DA0F">
      <w:pPr>
        <w:keepNext w:val="0"/>
        <w:keepLines w:val="0"/>
        <w:pageBreakBefore w:val="0"/>
        <w:widowControl w:val="0"/>
        <w:kinsoku/>
        <w:wordWrap/>
        <w:overflowPunct/>
        <w:topLinePunct w:val="0"/>
        <w:autoSpaceDE/>
        <w:autoSpaceDN/>
        <w:bidi w:val="0"/>
        <w:adjustRightInd/>
        <w:snapToGrid w:val="0"/>
        <w:spacing w:line="420" w:lineRule="exact"/>
        <w:textAlignment w:val="auto"/>
        <w:outlineLvl w:val="1"/>
        <w:rPr>
          <w:rFonts w:hint="eastAsia" w:ascii="宋体" w:hAnsi="宋体" w:eastAsia="宋体" w:cs="宋体"/>
          <w:b/>
          <w:sz w:val="24"/>
          <w:szCs w:val="24"/>
          <w:highlight w:val="none"/>
        </w:rPr>
      </w:pPr>
      <w:bookmarkStart w:id="152" w:name="_Toc7343"/>
      <w:bookmarkStart w:id="153" w:name="_Toc1358"/>
      <w:r>
        <w:rPr>
          <w:rFonts w:hint="eastAsia" w:ascii="宋体" w:hAnsi="宋体" w:eastAsia="宋体" w:cs="宋体"/>
          <w:b/>
          <w:sz w:val="24"/>
          <w:szCs w:val="24"/>
          <w:highlight w:val="none"/>
        </w:rPr>
        <w:t>3、商务技术文件部分</w:t>
      </w:r>
      <w:bookmarkEnd w:id="152"/>
      <w:bookmarkEnd w:id="153"/>
    </w:p>
    <w:p w14:paraId="3A6876ED">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3.1评分标准页码索引；</w:t>
      </w:r>
    </w:p>
    <w:p w14:paraId="6D3AAA39">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按评分标准依序提供相关材料、方案；（格式</w:t>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rPr>
        <w:t>）</w:t>
      </w:r>
    </w:p>
    <w:p w14:paraId="2CA405B2">
      <w:pPr>
        <w:keepNext w:val="0"/>
        <w:keepLines w:val="0"/>
        <w:pageBreakBefore w:val="0"/>
        <w:widowControl w:val="0"/>
        <w:kinsoku/>
        <w:wordWrap/>
        <w:overflowPunct/>
        <w:topLinePunct w:val="0"/>
        <w:autoSpaceDE/>
        <w:autoSpaceDN/>
        <w:bidi w:val="0"/>
        <w:adjustRightInd/>
        <w:snapToGrid w:val="0"/>
        <w:spacing w:line="420" w:lineRule="exact"/>
        <w:ind w:firstLine="475" w:firstLineChars="198"/>
        <w:jc w:val="both"/>
        <w:textAlignment w:val="auto"/>
        <w:outlineLvl w:val="2"/>
        <w:rPr>
          <w:rFonts w:ascii="宋体" w:hAnsi="宋体" w:cs="宋体"/>
          <w:b/>
          <w:sz w:val="28"/>
          <w:szCs w:val="28"/>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文件要求提供的和投标人认为需要提供的其它说明和资料/文件。</w:t>
      </w:r>
      <w:r>
        <w:rPr>
          <w:rFonts w:hint="eastAsia" w:ascii="宋体" w:hAnsi="宋体" w:eastAsia="宋体" w:cs="宋体"/>
          <w:b/>
          <w:bCs/>
          <w:szCs w:val="21"/>
          <w:highlight w:val="none"/>
        </w:rPr>
        <w:br w:type="page"/>
      </w:r>
    </w:p>
    <w:p w14:paraId="739B3D2F">
      <w:pPr>
        <w:pageBreakBefore w:val="0"/>
        <w:kinsoku/>
        <w:wordWrap/>
        <w:overflowPunct/>
        <w:topLinePunct w:val="0"/>
        <w:bidi w:val="0"/>
        <w:snapToGrid w:val="0"/>
        <w:spacing w:before="50" w:after="50" w:line="360" w:lineRule="auto"/>
        <w:jc w:val="center"/>
        <w:outlineLvl w:val="1"/>
        <w:rPr>
          <w:rFonts w:hint="default" w:ascii="宋体" w:hAnsi="宋体" w:eastAsia="宋体" w:cs="宋体"/>
          <w:b/>
          <w:spacing w:val="20"/>
          <w:sz w:val="28"/>
          <w:szCs w:val="28"/>
          <w:highlight w:val="none"/>
          <w:lang w:val="en-US" w:eastAsia="zh-CN"/>
        </w:rPr>
      </w:pPr>
      <w:bookmarkStart w:id="154" w:name="_Toc25429"/>
      <w:bookmarkStart w:id="155" w:name="_Toc31514"/>
      <w:r>
        <w:rPr>
          <w:rFonts w:hint="eastAsia" w:ascii="宋体" w:hAnsi="宋体" w:cs="宋体"/>
          <w:b/>
          <w:spacing w:val="20"/>
          <w:sz w:val="28"/>
          <w:szCs w:val="28"/>
          <w:highlight w:val="none"/>
          <w:lang w:val="en-US" w:eastAsia="zh-CN"/>
        </w:rPr>
        <w:t>响应文件格式</w:t>
      </w:r>
      <w:bookmarkEnd w:id="154"/>
      <w:bookmarkEnd w:id="155"/>
    </w:p>
    <w:p w14:paraId="551BF9DC">
      <w:pPr>
        <w:pageBreakBefore w:val="0"/>
        <w:kinsoku/>
        <w:wordWrap/>
        <w:overflowPunct/>
        <w:topLinePunct w:val="0"/>
        <w:bidi w:val="0"/>
        <w:snapToGrid w:val="0"/>
        <w:spacing w:before="50" w:after="50" w:line="360" w:lineRule="auto"/>
        <w:outlineLvl w:val="9"/>
        <w:rPr>
          <w:rFonts w:hint="eastAsia" w:ascii="宋体" w:hAnsi="宋体" w:cs="宋体"/>
          <w:b/>
          <w:spacing w:val="20"/>
          <w:sz w:val="21"/>
          <w:szCs w:val="21"/>
          <w:highlight w:val="none"/>
        </w:rPr>
      </w:pPr>
    </w:p>
    <w:p w14:paraId="734C86E7">
      <w:pPr>
        <w:pageBreakBefore w:val="0"/>
        <w:kinsoku/>
        <w:wordWrap/>
        <w:overflowPunct/>
        <w:topLinePunct w:val="0"/>
        <w:bidi w:val="0"/>
        <w:snapToGrid w:val="0"/>
        <w:spacing w:before="50" w:after="50" w:line="360" w:lineRule="auto"/>
        <w:outlineLvl w:val="2"/>
        <w:rPr>
          <w:rFonts w:ascii="宋体" w:hAnsi="宋体" w:cs="宋体"/>
          <w:b/>
          <w:spacing w:val="20"/>
          <w:sz w:val="24"/>
          <w:szCs w:val="24"/>
          <w:highlight w:val="none"/>
        </w:rPr>
      </w:pPr>
      <w:r>
        <w:rPr>
          <w:rFonts w:hint="eastAsia" w:ascii="宋体" w:hAnsi="宋体" w:cs="宋体"/>
          <w:b/>
          <w:spacing w:val="20"/>
          <w:sz w:val="24"/>
          <w:szCs w:val="24"/>
          <w:highlight w:val="none"/>
        </w:rPr>
        <w:t>格式一、开标一览表</w:t>
      </w:r>
    </w:p>
    <w:tbl>
      <w:tblPr>
        <w:tblStyle w:val="28"/>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7"/>
        <w:gridCol w:w="8003"/>
      </w:tblGrid>
      <w:tr w14:paraId="7290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47" w:type="dxa"/>
            <w:vAlign w:val="center"/>
          </w:tcPr>
          <w:p w14:paraId="13036111">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cs="宋体"/>
                <w:sz w:val="24"/>
                <w:szCs w:val="24"/>
                <w:highlight w:val="none"/>
              </w:rPr>
            </w:pPr>
            <w:r>
              <w:rPr>
                <w:rFonts w:hint="eastAsia" w:ascii="宋体" w:hAnsi="宋体" w:cs="宋体"/>
                <w:sz w:val="24"/>
                <w:szCs w:val="24"/>
                <w:highlight w:val="none"/>
              </w:rPr>
              <w:t>项目名称</w:t>
            </w:r>
          </w:p>
        </w:tc>
        <w:tc>
          <w:tcPr>
            <w:tcW w:w="8003" w:type="dxa"/>
            <w:vAlign w:val="center"/>
          </w:tcPr>
          <w:p w14:paraId="3DD3414E">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eastAsia" w:ascii="宋体" w:hAnsi="宋体" w:eastAsia="宋体" w:cs="宋体"/>
                <w:b/>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eastAsia="zh-CN"/>
              </w:rPr>
              <w:t>2025年安全生产社会化服务项目</w:t>
            </w:r>
          </w:p>
        </w:tc>
      </w:tr>
      <w:tr w14:paraId="0787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47" w:type="dxa"/>
            <w:vAlign w:val="center"/>
          </w:tcPr>
          <w:p w14:paraId="40CF88F3">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项目编号</w:t>
            </w:r>
          </w:p>
        </w:tc>
        <w:tc>
          <w:tcPr>
            <w:tcW w:w="8003" w:type="dxa"/>
            <w:vAlign w:val="center"/>
          </w:tcPr>
          <w:p w14:paraId="3BA00640">
            <w:pPr>
              <w:keepNext w:val="0"/>
              <w:keepLines w:val="0"/>
              <w:pageBreakBefore w:val="0"/>
              <w:suppressLineNumbers w:val="0"/>
              <w:kinsoku/>
              <w:wordWrap/>
              <w:overflowPunct/>
              <w:topLinePunct w:val="0"/>
              <w:bidi w:val="0"/>
              <w:spacing w:before="240" w:beforeAutospacing="0" w:after="240" w:afterAutospacing="0" w:line="360" w:lineRule="auto"/>
              <w:ind w:left="0" w:right="0"/>
              <w:jc w:val="center"/>
              <w:rPr>
                <w:rFonts w:hint="default" w:ascii="宋体" w:hAnsi="宋体" w:cs="宋体"/>
                <w:sz w:val="24"/>
                <w:szCs w:val="24"/>
                <w:highlight w:val="none"/>
                <w:lang w:val="en-US"/>
              </w:rPr>
            </w:pPr>
            <w:r>
              <w:rPr>
                <w:rFonts w:hint="eastAsia" w:asciiTheme="minorEastAsia" w:hAnsiTheme="minorEastAsia" w:eastAsiaTheme="minorEastAsia" w:cstheme="minorEastAsia"/>
                <w:i w:val="0"/>
                <w:iCs w:val="0"/>
                <w:caps w:val="0"/>
                <w:color w:val="000000"/>
                <w:spacing w:val="0"/>
                <w:sz w:val="24"/>
                <w:szCs w:val="24"/>
                <w:highlight w:val="none"/>
                <w:lang w:eastAsia="zh-CN"/>
              </w:rPr>
              <w:t>0773-2541GNZSFWCS1004</w:t>
            </w:r>
          </w:p>
        </w:tc>
      </w:tr>
      <w:tr w14:paraId="38CC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947" w:type="dxa"/>
            <w:vAlign w:val="center"/>
          </w:tcPr>
          <w:p w14:paraId="5E4A4314">
            <w:pPr>
              <w:keepNext w:val="0"/>
              <w:keepLines w:val="0"/>
              <w:pageBreakBefore w:val="0"/>
              <w:kinsoku/>
              <w:wordWrap/>
              <w:overflowPunct/>
              <w:topLinePunct w:val="0"/>
              <w:bidi w:val="0"/>
              <w:spacing w:before="240" w:after="240" w:line="360" w:lineRule="auto"/>
              <w:jc w:val="center"/>
              <w:rPr>
                <w:rFonts w:hint="default" w:ascii="宋体" w:hAnsi="宋体" w:cs="宋体"/>
                <w:sz w:val="24"/>
                <w:szCs w:val="24"/>
                <w:highlight w:val="none"/>
              </w:rPr>
            </w:pPr>
            <w:r>
              <w:rPr>
                <w:rFonts w:hint="eastAsia" w:ascii="宋体" w:hAnsi="宋体" w:cs="宋体"/>
                <w:sz w:val="24"/>
                <w:szCs w:val="24"/>
                <w:highlight w:val="none"/>
                <w:lang w:val="en-US" w:eastAsia="zh-CN"/>
              </w:rPr>
              <w:t>磋商报价</w:t>
            </w:r>
            <w:r>
              <w:rPr>
                <w:rFonts w:hint="eastAsia" w:ascii="宋体" w:hAnsi="宋体" w:cs="宋体"/>
                <w:sz w:val="24"/>
                <w:szCs w:val="24"/>
                <w:highlight w:val="none"/>
              </w:rPr>
              <w:t>（</w:t>
            </w:r>
            <w:r>
              <w:rPr>
                <w:rFonts w:hint="eastAsia" w:ascii="宋体" w:hAnsi="宋体" w:cs="宋体"/>
                <w:sz w:val="24"/>
                <w:szCs w:val="24"/>
                <w:highlight w:val="none"/>
                <w:lang w:val="en-US" w:eastAsia="zh-CN"/>
              </w:rPr>
              <w:t>元</w:t>
            </w:r>
            <w:r>
              <w:rPr>
                <w:rFonts w:hint="eastAsia" w:ascii="宋体" w:hAnsi="宋体" w:cs="宋体"/>
                <w:sz w:val="24"/>
                <w:szCs w:val="24"/>
                <w:highlight w:val="none"/>
              </w:rPr>
              <w:t>）</w:t>
            </w:r>
          </w:p>
        </w:tc>
        <w:tc>
          <w:tcPr>
            <w:tcW w:w="8003" w:type="dxa"/>
            <w:vAlign w:val="center"/>
          </w:tcPr>
          <w:p w14:paraId="48BC6613">
            <w:pPr>
              <w:keepNext w:val="0"/>
              <w:keepLines w:val="0"/>
              <w:pageBreakBefore w:val="0"/>
              <w:kinsoku/>
              <w:wordWrap/>
              <w:overflowPunct/>
              <w:topLinePunct w:val="0"/>
              <w:bidi w:val="0"/>
              <w:spacing w:before="240" w:after="240"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大写：                   小写：</w:t>
            </w:r>
          </w:p>
        </w:tc>
      </w:tr>
    </w:tbl>
    <w:p w14:paraId="6F89A22D">
      <w:pPr>
        <w:pageBreakBefore w:val="0"/>
        <w:kinsoku/>
        <w:wordWrap/>
        <w:overflowPunct/>
        <w:topLinePunct w:val="0"/>
        <w:bidi w:val="0"/>
        <w:spacing w:line="360" w:lineRule="auto"/>
        <w:ind w:firstLine="588" w:firstLineChars="245"/>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14:paraId="182C2F65">
      <w:pPr>
        <w:pageBreakBefore w:val="0"/>
        <w:kinsoku/>
        <w:wordWrap/>
        <w:overflowPunct/>
        <w:topLinePunct w:val="0"/>
        <w:bidi w:val="0"/>
        <w:spacing w:line="360" w:lineRule="auto"/>
        <w:ind w:firstLine="588" w:firstLineChars="245"/>
        <w:rPr>
          <w:rFonts w:hint="eastAsia" w:ascii="宋体" w:hAnsi="宋体" w:eastAsia="宋体" w:cs="宋体"/>
          <w:bCs/>
          <w:sz w:val="24"/>
          <w:szCs w:val="24"/>
          <w:highlight w:val="none"/>
        </w:rPr>
      </w:pPr>
      <w:r>
        <w:rPr>
          <w:rFonts w:hint="eastAsia" w:ascii="宋体" w:hAnsi="宋体" w:eastAsia="宋体" w:cs="宋体"/>
          <w:sz w:val="24"/>
          <w:szCs w:val="24"/>
          <w:highlight w:val="none"/>
          <w:lang w:val="en-US" w:eastAsia="zh-CN"/>
        </w:rPr>
        <w:t xml:space="preserve">  </w:t>
      </w:r>
    </w:p>
    <w:p w14:paraId="7F5E75AE">
      <w:pPr>
        <w:pageBreakBefore w:val="0"/>
        <w:kinsoku/>
        <w:wordWrap/>
        <w:overflowPunct/>
        <w:topLinePunct w:val="0"/>
        <w:bidi w:val="0"/>
        <w:spacing w:line="360" w:lineRule="auto"/>
        <w:ind w:firstLine="371" w:firstLineChars="177"/>
        <w:rPr>
          <w:rFonts w:ascii="宋体" w:hAnsi="宋体" w:cs="宋体"/>
          <w:sz w:val="21"/>
          <w:szCs w:val="21"/>
          <w:highlight w:val="none"/>
        </w:rPr>
      </w:pPr>
    </w:p>
    <w:p w14:paraId="72C29C9E">
      <w:pPr>
        <w:pageBreakBefore w:val="0"/>
        <w:kinsoku/>
        <w:wordWrap/>
        <w:overflowPunct/>
        <w:topLinePunct w:val="0"/>
        <w:bidi w:val="0"/>
        <w:spacing w:line="360" w:lineRule="auto"/>
        <w:rPr>
          <w:rFonts w:ascii="宋体" w:hAnsi="宋体" w:cs="宋体"/>
          <w:sz w:val="21"/>
          <w:szCs w:val="21"/>
          <w:highlight w:val="none"/>
        </w:rPr>
      </w:pPr>
    </w:p>
    <w:p w14:paraId="57713F61">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响应人名称：</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（加盖公章）  </w:t>
      </w:r>
    </w:p>
    <w:p w14:paraId="3B259BB5">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响应人代表：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w:t>
      </w:r>
    </w:p>
    <w:p w14:paraId="4CFDBA1D">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6132FAB2">
      <w:pPr>
        <w:pageBreakBefore w:val="0"/>
        <w:kinsoku/>
        <w:wordWrap/>
        <w:overflowPunct/>
        <w:topLinePunct w:val="0"/>
        <w:bidi w:val="0"/>
        <w:snapToGrid w:val="0"/>
        <w:spacing w:before="50" w:after="50" w:line="360" w:lineRule="auto"/>
        <w:rPr>
          <w:rFonts w:ascii="宋体" w:hAnsi="宋体" w:cs="宋体"/>
          <w:b/>
          <w:spacing w:val="20"/>
          <w:szCs w:val="21"/>
          <w:highlight w:val="none"/>
        </w:rPr>
      </w:pPr>
    </w:p>
    <w:p w14:paraId="1E5AE293">
      <w:pPr>
        <w:pageBreakBefore w:val="0"/>
        <w:kinsoku/>
        <w:wordWrap/>
        <w:overflowPunct/>
        <w:topLinePunct w:val="0"/>
        <w:bidi w:val="0"/>
        <w:snapToGrid w:val="0"/>
        <w:spacing w:before="50" w:after="50" w:line="360" w:lineRule="auto"/>
        <w:rPr>
          <w:rFonts w:ascii="宋体" w:hAnsi="宋体" w:cs="宋体"/>
          <w:b/>
          <w:spacing w:val="20"/>
          <w:szCs w:val="21"/>
          <w:highlight w:val="none"/>
        </w:rPr>
      </w:pPr>
    </w:p>
    <w:p w14:paraId="11134157">
      <w:pPr>
        <w:pageBreakBefore w:val="0"/>
        <w:kinsoku/>
        <w:wordWrap/>
        <w:overflowPunct/>
        <w:topLinePunct w:val="0"/>
        <w:bidi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br w:type="page"/>
      </w:r>
    </w:p>
    <w:p w14:paraId="4EE10068">
      <w:pPr>
        <w:snapToGrid w:val="0"/>
        <w:spacing w:before="50" w:after="50"/>
        <w:rPr>
          <w:rFonts w:ascii="宋体" w:hAnsi="宋体" w:eastAsia="宋体" w:cs="宋体"/>
          <w:b/>
          <w:spacing w:val="20"/>
          <w:sz w:val="24"/>
          <w:szCs w:val="24"/>
          <w:highlight w:val="none"/>
        </w:rPr>
      </w:pPr>
      <w:r>
        <w:rPr>
          <w:rFonts w:hint="eastAsia" w:ascii="宋体" w:hAnsi="宋体" w:eastAsia="宋体" w:cs="宋体"/>
          <w:b/>
          <w:spacing w:val="20"/>
          <w:sz w:val="24"/>
          <w:szCs w:val="24"/>
          <w:highlight w:val="none"/>
        </w:rPr>
        <w:t>格式</w:t>
      </w:r>
      <w:r>
        <w:rPr>
          <w:rFonts w:hint="eastAsia" w:ascii="宋体" w:hAnsi="宋体" w:eastAsia="宋体" w:cs="宋体"/>
          <w:b/>
          <w:spacing w:val="20"/>
          <w:sz w:val="24"/>
          <w:szCs w:val="24"/>
          <w:highlight w:val="none"/>
          <w:lang w:val="en-US" w:eastAsia="zh-CN"/>
        </w:rPr>
        <w:t>二</w:t>
      </w:r>
      <w:r>
        <w:rPr>
          <w:rFonts w:hint="eastAsia" w:ascii="宋体" w:hAnsi="宋体" w:eastAsia="宋体" w:cs="宋体"/>
          <w:b/>
          <w:spacing w:val="20"/>
          <w:sz w:val="24"/>
          <w:szCs w:val="24"/>
          <w:highlight w:val="none"/>
        </w:rPr>
        <w:t>、</w:t>
      </w:r>
      <w:r>
        <w:rPr>
          <w:rFonts w:hint="eastAsia" w:ascii="宋体" w:hAnsi="宋体" w:eastAsia="宋体" w:cs="宋体"/>
          <w:b/>
          <w:spacing w:val="20"/>
          <w:sz w:val="24"/>
          <w:szCs w:val="24"/>
          <w:highlight w:val="none"/>
          <w:lang w:val="en-US" w:eastAsia="zh-CN"/>
        </w:rPr>
        <w:t>报价明细表</w:t>
      </w:r>
    </w:p>
    <w:p w14:paraId="5533149C">
      <w:pPr>
        <w:snapToGrid w:val="0"/>
        <w:spacing w:before="50" w:after="50"/>
        <w:rPr>
          <w:rFonts w:ascii="宋体" w:hAnsi="宋体" w:eastAsia="宋体" w:cs="宋体"/>
          <w:b/>
          <w:spacing w:val="20"/>
          <w:sz w:val="24"/>
          <w:szCs w:val="24"/>
          <w:highlight w:val="none"/>
        </w:rPr>
      </w:pPr>
    </w:p>
    <w:tbl>
      <w:tblPr>
        <w:tblStyle w:val="2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32"/>
        <w:gridCol w:w="1689"/>
        <w:gridCol w:w="1689"/>
        <w:gridCol w:w="1691"/>
        <w:gridCol w:w="1689"/>
      </w:tblGrid>
      <w:tr w14:paraId="630A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146" w:type="dxa"/>
            <w:vAlign w:val="center"/>
          </w:tcPr>
          <w:p w14:paraId="6D00A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2232" w:type="dxa"/>
            <w:vAlign w:val="center"/>
          </w:tcPr>
          <w:p w14:paraId="2B837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内容</w:t>
            </w:r>
          </w:p>
        </w:tc>
        <w:tc>
          <w:tcPr>
            <w:tcW w:w="1689" w:type="dxa"/>
            <w:vAlign w:val="center"/>
          </w:tcPr>
          <w:p w14:paraId="62DBF6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数量</w:t>
            </w:r>
          </w:p>
        </w:tc>
        <w:tc>
          <w:tcPr>
            <w:tcW w:w="1689" w:type="dxa"/>
            <w:vAlign w:val="center"/>
          </w:tcPr>
          <w:p w14:paraId="1474A7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1691" w:type="dxa"/>
            <w:vAlign w:val="center"/>
          </w:tcPr>
          <w:p w14:paraId="2DE55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单价（元）</w:t>
            </w:r>
          </w:p>
        </w:tc>
        <w:tc>
          <w:tcPr>
            <w:tcW w:w="1689" w:type="dxa"/>
            <w:vAlign w:val="center"/>
          </w:tcPr>
          <w:p w14:paraId="61D1AB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合价（元）</w:t>
            </w:r>
          </w:p>
        </w:tc>
      </w:tr>
      <w:tr w14:paraId="6493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6" w:type="dxa"/>
            <w:vAlign w:val="center"/>
          </w:tcPr>
          <w:p w14:paraId="28551F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w:t>
            </w:r>
          </w:p>
        </w:tc>
        <w:tc>
          <w:tcPr>
            <w:tcW w:w="2232" w:type="dxa"/>
            <w:vAlign w:val="center"/>
          </w:tcPr>
          <w:p w14:paraId="7D6498D9">
            <w:pPr>
              <w:keepNext w:val="0"/>
              <w:keepLines w:val="0"/>
              <w:widowControl/>
              <w:suppressLineNumbers w:val="0"/>
              <w:jc w:val="center"/>
              <w:rPr>
                <w:rFonts w:ascii="宋体" w:hAnsi="宋体" w:eastAsia="宋体" w:cs="宋体"/>
                <w:sz w:val="24"/>
                <w:szCs w:val="24"/>
                <w:highlight w:val="none"/>
                <w:vertAlign w:val="baseline"/>
              </w:rPr>
            </w:pPr>
            <w:r>
              <w:rPr>
                <w:rFonts w:hint="eastAsia" w:ascii="Times New Roman" w:hAnsi="Times New Roman" w:eastAsia="宋体" w:cs="Times New Roman"/>
                <w:sz w:val="24"/>
                <w:szCs w:val="24"/>
                <w:highlight w:val="none"/>
              </w:rPr>
              <w:t>12≤船长 L&lt;24</w:t>
            </w:r>
          </w:p>
        </w:tc>
        <w:tc>
          <w:tcPr>
            <w:tcW w:w="1689" w:type="dxa"/>
            <w:vAlign w:val="center"/>
          </w:tcPr>
          <w:p w14:paraId="6FEE298D">
            <w:pPr>
              <w:keepNext w:val="0"/>
              <w:keepLines w:val="0"/>
              <w:widowControl/>
              <w:suppressLineNumbers w:val="0"/>
              <w:jc w:val="center"/>
              <w:rPr>
                <w:rFonts w:ascii="宋体" w:hAnsi="宋体" w:eastAsia="宋体" w:cs="宋体"/>
                <w:sz w:val="24"/>
                <w:szCs w:val="24"/>
                <w:highlight w:val="none"/>
                <w:vertAlign w:val="baseline"/>
              </w:rPr>
            </w:pPr>
            <w:r>
              <w:rPr>
                <w:rFonts w:hint="eastAsia" w:ascii="宋体" w:hAnsi="宋体" w:eastAsia="宋体" w:cs="Times New Roman"/>
                <w:sz w:val="24"/>
                <w:szCs w:val="24"/>
                <w:highlight w:val="none"/>
                <w:lang w:val="en-US" w:eastAsia="zh-CN" w:bidi="zh-CN"/>
              </w:rPr>
              <w:t>26</w:t>
            </w:r>
          </w:p>
        </w:tc>
        <w:tc>
          <w:tcPr>
            <w:tcW w:w="1689" w:type="dxa"/>
            <w:vAlign w:val="center"/>
          </w:tcPr>
          <w:p w14:paraId="05E80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r>
              <w:rPr>
                <w:rFonts w:hint="eastAsia" w:ascii="Times New Roman" w:hAnsi="Times New Roman" w:eastAsia="宋体" w:cs="Times New Roman"/>
                <w:sz w:val="24"/>
                <w:szCs w:val="24"/>
                <w:highlight w:val="none"/>
                <w:lang w:val="en-US" w:eastAsia="zh-CN"/>
              </w:rPr>
              <w:t>艘</w:t>
            </w:r>
          </w:p>
        </w:tc>
        <w:tc>
          <w:tcPr>
            <w:tcW w:w="1691" w:type="dxa"/>
            <w:vAlign w:val="center"/>
          </w:tcPr>
          <w:p w14:paraId="6C3E1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p>
        </w:tc>
        <w:tc>
          <w:tcPr>
            <w:tcW w:w="1689" w:type="dxa"/>
            <w:vAlign w:val="center"/>
          </w:tcPr>
          <w:p w14:paraId="68312B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p>
        </w:tc>
      </w:tr>
      <w:tr w14:paraId="4FA9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6" w:type="dxa"/>
            <w:vAlign w:val="center"/>
          </w:tcPr>
          <w:p w14:paraId="3AA3B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w:t>
            </w:r>
          </w:p>
        </w:tc>
        <w:tc>
          <w:tcPr>
            <w:tcW w:w="2232" w:type="dxa"/>
            <w:vAlign w:val="center"/>
          </w:tcPr>
          <w:p w14:paraId="0ABE94BB">
            <w:pPr>
              <w:keepNext w:val="0"/>
              <w:keepLines w:val="0"/>
              <w:widowControl/>
              <w:suppressLineNumbers w:val="0"/>
              <w:jc w:val="center"/>
              <w:rPr>
                <w:rFonts w:ascii="宋体" w:hAnsi="宋体" w:eastAsia="宋体" w:cs="宋体"/>
                <w:sz w:val="24"/>
                <w:szCs w:val="24"/>
                <w:highlight w:val="none"/>
                <w:vertAlign w:val="baseline"/>
              </w:rPr>
            </w:pPr>
            <w:r>
              <w:rPr>
                <w:rFonts w:hint="eastAsia" w:ascii="Times New Roman" w:hAnsi="Times New Roman" w:eastAsia="宋体" w:cs="Times New Roman"/>
                <w:sz w:val="24"/>
                <w:szCs w:val="24"/>
                <w:highlight w:val="none"/>
              </w:rPr>
              <w:t>船长 L≥24</w:t>
            </w:r>
          </w:p>
        </w:tc>
        <w:tc>
          <w:tcPr>
            <w:tcW w:w="1689" w:type="dxa"/>
            <w:vAlign w:val="center"/>
          </w:tcPr>
          <w:p w14:paraId="5B47D08B">
            <w:pPr>
              <w:keepNext w:val="0"/>
              <w:keepLines w:val="0"/>
              <w:widowControl/>
              <w:suppressLineNumbers w:val="0"/>
              <w:jc w:val="center"/>
              <w:rPr>
                <w:rFonts w:ascii="宋体" w:hAnsi="宋体" w:eastAsia="宋体" w:cs="宋体"/>
                <w:sz w:val="24"/>
                <w:szCs w:val="24"/>
                <w:highlight w:val="none"/>
                <w:vertAlign w:val="baseline"/>
              </w:rPr>
            </w:pPr>
            <w:r>
              <w:rPr>
                <w:rFonts w:hint="eastAsia" w:ascii="宋体" w:hAnsi="宋体" w:eastAsia="宋体" w:cs="Times New Roman"/>
                <w:sz w:val="24"/>
                <w:szCs w:val="24"/>
                <w:highlight w:val="none"/>
                <w:lang w:val="en-US" w:eastAsia="zh-CN" w:bidi="zh-CN"/>
              </w:rPr>
              <w:t>378</w:t>
            </w:r>
          </w:p>
        </w:tc>
        <w:tc>
          <w:tcPr>
            <w:tcW w:w="1689" w:type="dxa"/>
            <w:vAlign w:val="center"/>
          </w:tcPr>
          <w:p w14:paraId="6A7C4E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r>
              <w:rPr>
                <w:rFonts w:hint="eastAsia" w:ascii="Times New Roman" w:hAnsi="Times New Roman" w:eastAsia="宋体" w:cs="Times New Roman"/>
                <w:sz w:val="24"/>
                <w:szCs w:val="24"/>
                <w:highlight w:val="none"/>
                <w:lang w:val="en-US" w:eastAsia="zh-CN"/>
              </w:rPr>
              <w:t>艘</w:t>
            </w:r>
          </w:p>
        </w:tc>
        <w:tc>
          <w:tcPr>
            <w:tcW w:w="1691" w:type="dxa"/>
            <w:vAlign w:val="center"/>
          </w:tcPr>
          <w:p w14:paraId="1D1722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p>
        </w:tc>
        <w:tc>
          <w:tcPr>
            <w:tcW w:w="1689" w:type="dxa"/>
            <w:vAlign w:val="center"/>
          </w:tcPr>
          <w:p w14:paraId="796709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p>
        </w:tc>
      </w:tr>
      <w:tr w14:paraId="441E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47" w:type="dxa"/>
            <w:gridSpan w:val="5"/>
            <w:vAlign w:val="center"/>
          </w:tcPr>
          <w:p w14:paraId="49EE41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r>
              <w:rPr>
                <w:rFonts w:hint="eastAsia" w:ascii="宋体" w:hAnsi="宋体" w:eastAsia="宋体" w:cs="宋体"/>
                <w:b/>
                <w:bCs/>
                <w:sz w:val="24"/>
                <w:szCs w:val="24"/>
                <w:highlight w:val="none"/>
                <w:vertAlign w:val="baseline"/>
              </w:rPr>
              <w:t>磋商总价（元）</w:t>
            </w:r>
          </w:p>
        </w:tc>
        <w:tc>
          <w:tcPr>
            <w:tcW w:w="1689" w:type="dxa"/>
            <w:vAlign w:val="center"/>
          </w:tcPr>
          <w:p w14:paraId="596AB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highlight w:val="none"/>
                <w:vertAlign w:val="baseline"/>
              </w:rPr>
            </w:pPr>
          </w:p>
        </w:tc>
      </w:tr>
    </w:tbl>
    <w:p w14:paraId="783629A6">
      <w:pPr>
        <w:spacing w:line="480" w:lineRule="auto"/>
        <w:rPr>
          <w:rFonts w:ascii="宋体" w:hAnsi="宋体" w:eastAsia="宋体" w:cs="宋体"/>
          <w:sz w:val="24"/>
          <w:szCs w:val="24"/>
          <w:highlight w:val="none"/>
        </w:rPr>
      </w:pPr>
    </w:p>
    <w:p w14:paraId="1A17E248">
      <w:pPr>
        <w:rPr>
          <w:rFonts w:eastAsia="宋体"/>
          <w:sz w:val="24"/>
          <w:szCs w:val="24"/>
          <w:highlight w:val="none"/>
        </w:rPr>
      </w:pPr>
    </w:p>
    <w:p w14:paraId="054C2904">
      <w:pPr>
        <w:spacing w:line="480" w:lineRule="auto"/>
        <w:rPr>
          <w:rFonts w:ascii="宋体" w:hAnsi="宋体" w:eastAsia="宋体" w:cs="宋体"/>
          <w:sz w:val="24"/>
          <w:szCs w:val="24"/>
          <w:highlight w:val="none"/>
        </w:rPr>
      </w:pPr>
      <w:r>
        <w:rPr>
          <w:rFonts w:hint="eastAsia" w:ascii="宋体" w:hAnsi="宋体" w:eastAsia="宋体" w:cs="宋体"/>
          <w:sz w:val="24"/>
          <w:szCs w:val="24"/>
          <w:highlight w:val="none"/>
        </w:rPr>
        <w:t>响应人名称：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（加盖公章）  </w:t>
      </w:r>
    </w:p>
    <w:p w14:paraId="2C2B6906">
      <w:pPr>
        <w:spacing w:line="480" w:lineRule="auto"/>
        <w:rPr>
          <w:rFonts w:ascii="宋体" w:hAnsi="宋体" w:eastAsia="宋体" w:cs="宋体"/>
          <w:sz w:val="24"/>
          <w:szCs w:val="24"/>
          <w:highlight w:val="none"/>
        </w:rPr>
      </w:pPr>
      <w:r>
        <w:rPr>
          <w:rFonts w:hint="eastAsia" w:ascii="宋体" w:hAnsi="宋体" w:eastAsia="宋体" w:cs="宋体"/>
          <w:sz w:val="24"/>
          <w:szCs w:val="24"/>
          <w:highlight w:val="none"/>
        </w:rPr>
        <w:t>响应人代表：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p>
    <w:p w14:paraId="2045A1E3">
      <w:pPr>
        <w:spacing w:line="480" w:lineRule="auto"/>
        <w:rPr>
          <w:rFonts w:ascii="宋体" w:hAnsi="宋体" w:eastAsia="宋体" w:cs="宋体"/>
          <w:szCs w:val="21"/>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6935A8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sz w:val="24"/>
          <w:szCs w:val="24"/>
          <w:highlight w:val="none"/>
        </w:rPr>
      </w:pPr>
    </w:p>
    <w:p w14:paraId="347F2E82">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sz w:val="24"/>
          <w:szCs w:val="24"/>
          <w:highlight w:val="none"/>
        </w:rPr>
      </w:pPr>
    </w:p>
    <w:p w14:paraId="2F76A440">
      <w:pPr>
        <w:pStyle w:val="11"/>
        <w:rPr>
          <w:rFonts w:hint="eastAsia" w:ascii="宋体" w:hAnsi="宋体" w:eastAsia="宋体" w:cs="宋体"/>
          <w:b/>
          <w:sz w:val="24"/>
          <w:szCs w:val="24"/>
          <w:highlight w:val="none"/>
        </w:rPr>
      </w:pPr>
    </w:p>
    <w:p w14:paraId="45CD8EF9">
      <w:pPr>
        <w:rPr>
          <w:rFonts w:hint="eastAsia" w:ascii="宋体" w:hAnsi="宋体" w:eastAsia="宋体" w:cs="宋体"/>
          <w:b/>
          <w:sz w:val="24"/>
          <w:szCs w:val="24"/>
          <w:highlight w:val="none"/>
        </w:rPr>
      </w:pPr>
    </w:p>
    <w:p w14:paraId="1B822DA0">
      <w:pPr>
        <w:pStyle w:val="11"/>
        <w:rPr>
          <w:rFonts w:hint="eastAsia" w:ascii="宋体" w:hAnsi="宋体" w:eastAsia="宋体" w:cs="宋体"/>
          <w:b/>
          <w:sz w:val="24"/>
          <w:szCs w:val="24"/>
          <w:highlight w:val="none"/>
        </w:rPr>
      </w:pPr>
    </w:p>
    <w:p w14:paraId="48D646B9">
      <w:pPr>
        <w:rPr>
          <w:rFonts w:hint="eastAsia" w:ascii="宋体" w:hAnsi="宋体" w:eastAsia="宋体" w:cs="宋体"/>
          <w:b/>
          <w:sz w:val="24"/>
          <w:szCs w:val="24"/>
          <w:highlight w:val="none"/>
        </w:rPr>
      </w:pPr>
    </w:p>
    <w:p w14:paraId="5DD5CF09">
      <w:pPr>
        <w:pStyle w:val="11"/>
        <w:rPr>
          <w:rFonts w:hint="eastAsia" w:ascii="宋体" w:hAnsi="宋体" w:eastAsia="宋体" w:cs="宋体"/>
          <w:b/>
          <w:sz w:val="24"/>
          <w:szCs w:val="24"/>
          <w:highlight w:val="none"/>
        </w:rPr>
      </w:pPr>
    </w:p>
    <w:p w14:paraId="75A1E53B">
      <w:pPr>
        <w:rPr>
          <w:rFonts w:hint="eastAsia" w:ascii="宋体" w:hAnsi="宋体" w:eastAsia="宋体" w:cs="宋体"/>
          <w:b/>
          <w:sz w:val="24"/>
          <w:szCs w:val="24"/>
          <w:highlight w:val="none"/>
        </w:rPr>
      </w:pPr>
    </w:p>
    <w:p w14:paraId="7752F61B">
      <w:pPr>
        <w:pStyle w:val="11"/>
        <w:rPr>
          <w:rFonts w:hint="eastAsia" w:ascii="宋体" w:hAnsi="宋体" w:eastAsia="宋体" w:cs="宋体"/>
          <w:b/>
          <w:sz w:val="24"/>
          <w:szCs w:val="24"/>
          <w:highlight w:val="none"/>
        </w:rPr>
      </w:pPr>
    </w:p>
    <w:p w14:paraId="4E00D99B">
      <w:pPr>
        <w:rPr>
          <w:rFonts w:hint="eastAsia" w:ascii="宋体" w:hAnsi="宋体" w:eastAsia="宋体" w:cs="宋体"/>
          <w:b/>
          <w:sz w:val="24"/>
          <w:szCs w:val="24"/>
          <w:highlight w:val="none"/>
        </w:rPr>
      </w:pPr>
    </w:p>
    <w:p w14:paraId="6344631E">
      <w:pPr>
        <w:pStyle w:val="11"/>
        <w:rPr>
          <w:rFonts w:hint="eastAsia" w:ascii="宋体" w:hAnsi="宋体" w:eastAsia="宋体" w:cs="宋体"/>
          <w:b/>
          <w:sz w:val="24"/>
          <w:szCs w:val="24"/>
          <w:highlight w:val="none"/>
        </w:rPr>
      </w:pPr>
    </w:p>
    <w:p w14:paraId="1CCE01B3">
      <w:pPr>
        <w:rPr>
          <w:rFonts w:hint="eastAsia" w:ascii="宋体" w:hAnsi="宋体" w:eastAsia="宋体" w:cs="宋体"/>
          <w:b/>
          <w:sz w:val="24"/>
          <w:szCs w:val="24"/>
          <w:highlight w:val="none"/>
        </w:rPr>
      </w:pPr>
    </w:p>
    <w:p w14:paraId="033735BC">
      <w:pPr>
        <w:pStyle w:val="11"/>
        <w:rPr>
          <w:rFonts w:hint="eastAsia" w:ascii="宋体" w:hAnsi="宋体" w:eastAsia="宋体" w:cs="宋体"/>
          <w:b/>
          <w:sz w:val="24"/>
          <w:szCs w:val="24"/>
          <w:highlight w:val="none"/>
        </w:rPr>
      </w:pPr>
    </w:p>
    <w:p w14:paraId="09858282">
      <w:pPr>
        <w:rPr>
          <w:rFonts w:hint="eastAsia" w:ascii="宋体" w:hAnsi="宋体" w:eastAsia="宋体" w:cs="宋体"/>
          <w:b/>
          <w:sz w:val="24"/>
          <w:szCs w:val="24"/>
          <w:highlight w:val="none"/>
        </w:rPr>
      </w:pPr>
    </w:p>
    <w:p w14:paraId="61392B26">
      <w:pPr>
        <w:pStyle w:val="37"/>
        <w:rPr>
          <w:rFonts w:hint="eastAsia"/>
          <w:highlight w:val="none"/>
        </w:rPr>
      </w:pPr>
    </w:p>
    <w:p w14:paraId="5080BB81">
      <w:pPr>
        <w:rPr>
          <w:rFonts w:hint="eastAsia" w:ascii="宋体" w:hAnsi="宋体" w:eastAsia="宋体" w:cs="宋体"/>
          <w:b/>
          <w:sz w:val="24"/>
          <w:szCs w:val="24"/>
          <w:highlight w:val="none"/>
        </w:rPr>
      </w:pPr>
    </w:p>
    <w:p w14:paraId="04FFFAA4">
      <w:pPr>
        <w:pStyle w:val="11"/>
        <w:rPr>
          <w:rFonts w:hint="eastAsia" w:ascii="宋体" w:hAnsi="宋体" w:eastAsia="宋体" w:cs="宋体"/>
          <w:b/>
          <w:sz w:val="24"/>
          <w:szCs w:val="24"/>
          <w:highlight w:val="none"/>
        </w:rPr>
      </w:pPr>
    </w:p>
    <w:p w14:paraId="36595446">
      <w:pPr>
        <w:rPr>
          <w:rFonts w:hint="eastAsia"/>
          <w:highlight w:val="none"/>
        </w:rPr>
      </w:pPr>
    </w:p>
    <w:p w14:paraId="25908AF6">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sz w:val="24"/>
          <w:szCs w:val="24"/>
          <w:highlight w:val="none"/>
        </w:rPr>
      </w:pPr>
    </w:p>
    <w:p w14:paraId="4C358BD5">
      <w:pPr>
        <w:keepNext w:val="0"/>
        <w:keepLines w:val="0"/>
        <w:pageBreakBefore w:val="0"/>
        <w:widowControl w:val="0"/>
        <w:kinsoku/>
        <w:wordWrap/>
        <w:overflowPunct/>
        <w:topLinePunct w:val="0"/>
        <w:autoSpaceDE/>
        <w:autoSpaceDN/>
        <w:bidi w:val="0"/>
        <w:adjustRightInd/>
        <w:snapToGrid/>
        <w:spacing w:line="480" w:lineRule="auto"/>
        <w:textAlignment w:val="auto"/>
        <w:outlineLvl w:val="2"/>
        <w:rPr>
          <w:rFonts w:hint="eastAsia" w:ascii="宋体" w:hAnsi="宋体" w:eastAsia="宋体" w:cs="宋体"/>
          <w:b/>
          <w:color w:val="000000"/>
          <w:kern w:val="0"/>
          <w:sz w:val="24"/>
          <w:szCs w:val="24"/>
          <w:highlight w:val="none"/>
          <w:lang w:bidi="ar"/>
        </w:rPr>
      </w:pPr>
      <w:r>
        <w:rPr>
          <w:rFonts w:hint="eastAsia" w:ascii="宋体" w:hAnsi="宋体" w:eastAsia="宋体" w:cs="宋体"/>
          <w:b/>
          <w:sz w:val="24"/>
          <w:szCs w:val="24"/>
          <w:highlight w:val="none"/>
        </w:rPr>
        <w:t>格式</w:t>
      </w:r>
      <w:r>
        <w:rPr>
          <w:rFonts w:hint="eastAsia" w:ascii="宋体" w:hAnsi="宋体" w:cs="宋体"/>
          <w:b/>
          <w:sz w:val="24"/>
          <w:szCs w:val="24"/>
          <w:highlight w:val="none"/>
          <w:lang w:val="en-US" w:eastAsia="zh-CN"/>
        </w:rPr>
        <w:t>三</w:t>
      </w:r>
      <w:r>
        <w:rPr>
          <w:rFonts w:hint="eastAsia" w:ascii="宋体" w:hAnsi="宋体" w:eastAsia="宋体" w:cs="宋体"/>
          <w:b/>
          <w:sz w:val="24"/>
          <w:szCs w:val="24"/>
          <w:highlight w:val="none"/>
        </w:rPr>
        <w:t>、中小企业声明函</w:t>
      </w:r>
    </w:p>
    <w:p w14:paraId="01245B12">
      <w:pPr>
        <w:keepNext w:val="0"/>
        <w:keepLines w:val="0"/>
        <w:pageBreakBefore w:val="0"/>
        <w:widowControl/>
        <w:kinsoku/>
        <w:wordWrap/>
        <w:overflowPunct/>
        <w:topLinePunct w:val="0"/>
        <w:autoSpaceDE/>
        <w:autoSpaceDN/>
        <w:bidi w:val="0"/>
        <w:adjustRightIn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lang w:bidi="ar"/>
        </w:rPr>
        <w:t>中小企业声明函（</w:t>
      </w:r>
      <w:r>
        <w:rPr>
          <w:rFonts w:hint="eastAsia" w:ascii="宋体" w:hAnsi="宋体" w:eastAsia="宋体" w:cs="宋体"/>
          <w:b/>
          <w:color w:val="000000"/>
          <w:kern w:val="0"/>
          <w:sz w:val="24"/>
          <w:szCs w:val="24"/>
          <w:highlight w:val="none"/>
          <w:lang w:val="en-US" w:eastAsia="zh-CN" w:bidi="ar"/>
        </w:rPr>
        <w:t>服务</w:t>
      </w:r>
      <w:r>
        <w:rPr>
          <w:rFonts w:hint="eastAsia" w:ascii="宋体" w:hAnsi="宋体" w:eastAsia="宋体" w:cs="宋体"/>
          <w:b/>
          <w:color w:val="000000"/>
          <w:kern w:val="0"/>
          <w:sz w:val="24"/>
          <w:szCs w:val="24"/>
          <w:highlight w:val="none"/>
          <w:lang w:bidi="ar"/>
        </w:rPr>
        <w:t>）</w:t>
      </w:r>
    </w:p>
    <w:p w14:paraId="3A729630">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本公司郑重声明，根据《政府采购促进中小企业发展管理办法》（财库﹝2020﹞46 号）的规定，本公司参加</w:t>
      </w:r>
      <w:r>
        <w:rPr>
          <w:rFonts w:hint="eastAsia" w:ascii="宋体" w:hAnsi="宋体" w:cs="宋体"/>
          <w:i w:val="0"/>
          <w:iCs w:val="0"/>
          <w:color w:val="000000"/>
          <w:kern w:val="0"/>
          <w:sz w:val="24"/>
          <w:szCs w:val="24"/>
          <w:highlight w:val="none"/>
          <w:u w:val="single"/>
          <w:lang w:bidi="ar"/>
        </w:rPr>
        <w:t>（单位名称）</w:t>
      </w:r>
      <w:r>
        <w:rPr>
          <w:rFonts w:hint="eastAsia" w:ascii="宋体" w:hAnsi="宋体" w:cs="宋体"/>
          <w:i w:val="0"/>
          <w:iCs w:val="0"/>
          <w:color w:val="000000"/>
          <w:kern w:val="0"/>
          <w:sz w:val="24"/>
          <w:szCs w:val="24"/>
          <w:highlight w:val="none"/>
          <w:lang w:bidi="ar"/>
        </w:rPr>
        <w:t>的</w:t>
      </w:r>
      <w:r>
        <w:rPr>
          <w:rFonts w:hint="eastAsia" w:ascii="宋体" w:hAnsi="宋体" w:cs="宋体"/>
          <w:i w:val="0"/>
          <w:iCs w:val="0"/>
          <w:color w:val="000000"/>
          <w:kern w:val="0"/>
          <w:sz w:val="24"/>
          <w:szCs w:val="24"/>
          <w:highlight w:val="none"/>
          <w:u w:val="single"/>
          <w:lang w:bidi="ar"/>
        </w:rPr>
        <w:t>（项目名称）</w:t>
      </w:r>
      <w:r>
        <w:rPr>
          <w:rFonts w:hint="eastAsia" w:ascii="宋体" w:hAnsi="宋体" w:cs="宋体"/>
          <w:i w:val="0"/>
          <w:iCs w:val="0"/>
          <w:color w:val="000000"/>
          <w:kern w:val="0"/>
          <w:sz w:val="24"/>
          <w:szCs w:val="24"/>
          <w:highlight w:val="none"/>
          <w:lang w:bidi="ar"/>
        </w:rPr>
        <w:t>采购活动，服务全部由符合政策要求的中小企业承接。相关企业的具体情况如下：</w:t>
      </w:r>
    </w:p>
    <w:p w14:paraId="136F09B1">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1.</w:t>
      </w:r>
      <w:r>
        <w:rPr>
          <w:rFonts w:hint="eastAsia" w:ascii="宋体" w:hAnsi="宋体" w:cs="宋体"/>
          <w:i w:val="0"/>
          <w:iCs w:val="0"/>
          <w:color w:val="000000"/>
          <w:kern w:val="0"/>
          <w:sz w:val="24"/>
          <w:szCs w:val="24"/>
          <w:highlight w:val="none"/>
          <w:u w:val="single"/>
          <w:lang w:bidi="ar"/>
        </w:rPr>
        <w:t>（标的名称）</w:t>
      </w:r>
      <w:r>
        <w:rPr>
          <w:rFonts w:hint="eastAsia" w:ascii="宋体" w:hAnsi="宋体" w:cs="宋体"/>
          <w:i w:val="0"/>
          <w:iCs w:val="0"/>
          <w:color w:val="000000"/>
          <w:kern w:val="0"/>
          <w:sz w:val="24"/>
          <w:szCs w:val="24"/>
          <w:highlight w:val="none"/>
          <w:lang w:bidi="ar"/>
        </w:rPr>
        <w:t>，属于</w:t>
      </w:r>
      <w:r>
        <w:rPr>
          <w:rFonts w:hint="eastAsia" w:ascii="宋体" w:hAnsi="宋体" w:cs="宋体"/>
          <w:i w:val="0"/>
          <w:iCs w:val="0"/>
          <w:color w:val="000000"/>
          <w:kern w:val="0"/>
          <w:sz w:val="24"/>
          <w:szCs w:val="24"/>
          <w:highlight w:val="none"/>
          <w:u w:val="single"/>
          <w:lang w:bidi="ar"/>
        </w:rPr>
        <w:t>（采购文件中明确的所属行业）</w:t>
      </w:r>
      <w:r>
        <w:rPr>
          <w:rFonts w:hint="eastAsia" w:ascii="宋体" w:hAnsi="宋体" w:cs="宋体"/>
          <w:i w:val="0"/>
          <w:iCs w:val="0"/>
          <w:color w:val="000000"/>
          <w:kern w:val="0"/>
          <w:sz w:val="24"/>
          <w:szCs w:val="24"/>
          <w:highlight w:val="none"/>
          <w:lang w:bidi="ar"/>
        </w:rPr>
        <w:t>；承接企业为</w:t>
      </w:r>
      <w:r>
        <w:rPr>
          <w:rFonts w:hint="eastAsia" w:ascii="宋体" w:hAnsi="宋体" w:cs="宋体"/>
          <w:i w:val="0"/>
          <w:iCs w:val="0"/>
          <w:color w:val="000000"/>
          <w:kern w:val="0"/>
          <w:sz w:val="24"/>
          <w:szCs w:val="24"/>
          <w:highlight w:val="none"/>
          <w:u w:val="single"/>
          <w:lang w:bidi="ar"/>
        </w:rPr>
        <w:t>（企业名称）</w:t>
      </w:r>
      <w:r>
        <w:rPr>
          <w:rFonts w:hint="eastAsia" w:ascii="宋体" w:hAnsi="宋体" w:cs="宋体"/>
          <w:i w:val="0"/>
          <w:iCs w:val="0"/>
          <w:color w:val="000000"/>
          <w:kern w:val="0"/>
          <w:sz w:val="24"/>
          <w:szCs w:val="24"/>
          <w:highlight w:val="none"/>
          <w:lang w:bidi="ar"/>
        </w:rPr>
        <w:t>，从业人员</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人，营业收入为</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万元，资产总额为</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万元，属于</w:t>
      </w:r>
      <w:r>
        <w:rPr>
          <w:rFonts w:hint="eastAsia" w:ascii="宋体" w:hAnsi="宋体" w:cs="宋体"/>
          <w:i w:val="0"/>
          <w:iCs w:val="0"/>
          <w:color w:val="000000"/>
          <w:kern w:val="0"/>
          <w:sz w:val="24"/>
          <w:szCs w:val="24"/>
          <w:highlight w:val="none"/>
          <w:u w:val="single"/>
          <w:lang w:bidi="ar"/>
        </w:rPr>
        <w:t>（中型企业、小型企业、微型企业）</w:t>
      </w:r>
      <w:r>
        <w:rPr>
          <w:rFonts w:hint="eastAsia" w:ascii="宋体" w:hAnsi="宋体" w:cs="宋体"/>
          <w:i w:val="0"/>
          <w:iCs w:val="0"/>
          <w:color w:val="000000"/>
          <w:kern w:val="0"/>
          <w:sz w:val="24"/>
          <w:szCs w:val="24"/>
          <w:highlight w:val="none"/>
          <w:lang w:bidi="ar"/>
        </w:rPr>
        <w:t xml:space="preserve">； </w:t>
      </w:r>
    </w:p>
    <w:p w14:paraId="69F8B134">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2.</w:t>
      </w:r>
      <w:r>
        <w:rPr>
          <w:rFonts w:hint="eastAsia" w:ascii="宋体" w:hAnsi="宋体" w:cs="宋体"/>
          <w:i w:val="0"/>
          <w:iCs w:val="0"/>
          <w:color w:val="000000"/>
          <w:kern w:val="0"/>
          <w:sz w:val="24"/>
          <w:szCs w:val="24"/>
          <w:highlight w:val="none"/>
          <w:u w:val="single"/>
          <w:lang w:bidi="ar"/>
        </w:rPr>
        <w:t>（标的名称）</w:t>
      </w:r>
      <w:r>
        <w:rPr>
          <w:rFonts w:hint="eastAsia" w:ascii="宋体" w:hAnsi="宋体" w:cs="宋体"/>
          <w:i w:val="0"/>
          <w:iCs w:val="0"/>
          <w:color w:val="000000"/>
          <w:kern w:val="0"/>
          <w:sz w:val="24"/>
          <w:szCs w:val="24"/>
          <w:highlight w:val="none"/>
          <w:lang w:bidi="ar"/>
        </w:rPr>
        <w:t>，属于</w:t>
      </w:r>
      <w:r>
        <w:rPr>
          <w:rFonts w:hint="eastAsia" w:ascii="宋体" w:hAnsi="宋体" w:cs="宋体"/>
          <w:i w:val="0"/>
          <w:iCs w:val="0"/>
          <w:color w:val="000000"/>
          <w:kern w:val="0"/>
          <w:sz w:val="24"/>
          <w:szCs w:val="24"/>
          <w:highlight w:val="none"/>
          <w:u w:val="single"/>
          <w:lang w:bidi="ar"/>
        </w:rPr>
        <w:t>（采购文件中明确的所属行业）</w:t>
      </w:r>
      <w:r>
        <w:rPr>
          <w:rFonts w:hint="eastAsia" w:ascii="宋体" w:hAnsi="宋体" w:cs="宋体"/>
          <w:i w:val="0"/>
          <w:iCs w:val="0"/>
          <w:color w:val="000000"/>
          <w:kern w:val="0"/>
          <w:sz w:val="24"/>
          <w:szCs w:val="24"/>
          <w:highlight w:val="none"/>
          <w:lang w:bidi="ar"/>
        </w:rPr>
        <w:t>；承接企业为</w:t>
      </w:r>
      <w:r>
        <w:rPr>
          <w:rFonts w:hint="eastAsia" w:ascii="宋体" w:hAnsi="宋体" w:cs="宋体"/>
          <w:i w:val="0"/>
          <w:iCs w:val="0"/>
          <w:color w:val="000000"/>
          <w:kern w:val="0"/>
          <w:sz w:val="24"/>
          <w:szCs w:val="24"/>
          <w:highlight w:val="none"/>
          <w:u w:val="single"/>
          <w:lang w:bidi="ar"/>
        </w:rPr>
        <w:t>（企业名称）</w:t>
      </w:r>
      <w:r>
        <w:rPr>
          <w:rFonts w:hint="eastAsia" w:ascii="宋体" w:hAnsi="宋体" w:cs="宋体"/>
          <w:i w:val="0"/>
          <w:iCs w:val="0"/>
          <w:color w:val="000000"/>
          <w:kern w:val="0"/>
          <w:sz w:val="24"/>
          <w:szCs w:val="24"/>
          <w:highlight w:val="none"/>
          <w:lang w:bidi="ar"/>
        </w:rPr>
        <w:t>，从业人员</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人，营业收入为</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万元，资产总额为</w:t>
      </w:r>
      <w:r>
        <w:rPr>
          <w:rFonts w:hint="eastAsia" w:ascii="宋体" w:hAnsi="宋体" w:cs="宋体"/>
          <w:i w:val="0"/>
          <w:iCs w:val="0"/>
          <w:color w:val="000000"/>
          <w:kern w:val="0"/>
          <w:sz w:val="24"/>
          <w:szCs w:val="24"/>
          <w:highlight w:val="none"/>
          <w:u w:val="single"/>
          <w:lang w:bidi="ar"/>
        </w:rPr>
        <w:t xml:space="preserve">    </w:t>
      </w:r>
      <w:r>
        <w:rPr>
          <w:rFonts w:hint="eastAsia" w:ascii="宋体" w:hAnsi="宋体" w:cs="宋体"/>
          <w:i w:val="0"/>
          <w:iCs w:val="0"/>
          <w:color w:val="000000"/>
          <w:kern w:val="0"/>
          <w:sz w:val="24"/>
          <w:szCs w:val="24"/>
          <w:highlight w:val="none"/>
          <w:lang w:bidi="ar"/>
        </w:rPr>
        <w:t>万元，属于</w:t>
      </w:r>
      <w:r>
        <w:rPr>
          <w:rFonts w:hint="eastAsia" w:ascii="宋体" w:hAnsi="宋体" w:cs="宋体"/>
          <w:i w:val="0"/>
          <w:iCs w:val="0"/>
          <w:color w:val="000000"/>
          <w:kern w:val="0"/>
          <w:sz w:val="24"/>
          <w:szCs w:val="24"/>
          <w:highlight w:val="none"/>
          <w:u w:val="single"/>
          <w:lang w:bidi="ar"/>
        </w:rPr>
        <w:t>（中型企业、小型企业、微型企业）</w:t>
      </w:r>
      <w:r>
        <w:rPr>
          <w:rFonts w:hint="eastAsia" w:ascii="宋体" w:hAnsi="宋体" w:cs="宋体"/>
          <w:i w:val="0"/>
          <w:iCs w:val="0"/>
          <w:color w:val="000000"/>
          <w:kern w:val="0"/>
          <w:sz w:val="24"/>
          <w:szCs w:val="24"/>
          <w:highlight w:val="none"/>
          <w:lang w:bidi="ar"/>
        </w:rPr>
        <w:t xml:space="preserve">； </w:t>
      </w:r>
    </w:p>
    <w:p w14:paraId="16ED94CB">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w:t>
      </w:r>
    </w:p>
    <w:p w14:paraId="002D31AA">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以上企业，不属于大企业的分支机构，不存在控股股东为大企业的情形，也不存在与大企业的负责人为同一人的情形。</w:t>
      </w:r>
    </w:p>
    <w:p w14:paraId="44F8F08C">
      <w:pPr>
        <w:widowControl/>
        <w:spacing w:line="360" w:lineRule="auto"/>
        <w:ind w:firstLine="480" w:firstLineChars="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 xml:space="preserve">本企业对上述声明内容的真实性负责。如有虚假，将依法承担相应责任。 </w:t>
      </w:r>
    </w:p>
    <w:p w14:paraId="3327E5D5">
      <w:pPr>
        <w:widowControl/>
        <w:spacing w:line="360" w:lineRule="auto"/>
        <w:ind w:firstLine="2880" w:firstLineChars="1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 xml:space="preserve">企业名称（盖章）： </w:t>
      </w:r>
    </w:p>
    <w:p w14:paraId="48972E82">
      <w:pPr>
        <w:widowControl/>
        <w:spacing w:line="360" w:lineRule="auto"/>
        <w:ind w:firstLine="2880" w:firstLineChars="1200"/>
        <w:rPr>
          <w:rFonts w:hint="eastAsia" w:ascii="宋体" w:hAnsi="宋体" w:cs="宋体"/>
          <w:i w:val="0"/>
          <w:iCs w:val="0"/>
          <w:sz w:val="24"/>
          <w:szCs w:val="24"/>
          <w:highlight w:val="none"/>
        </w:rPr>
      </w:pPr>
      <w:r>
        <w:rPr>
          <w:rFonts w:hint="eastAsia" w:ascii="宋体" w:hAnsi="宋体" w:cs="宋体"/>
          <w:i w:val="0"/>
          <w:iCs w:val="0"/>
          <w:color w:val="000000"/>
          <w:kern w:val="0"/>
          <w:sz w:val="24"/>
          <w:szCs w:val="24"/>
          <w:highlight w:val="none"/>
          <w:lang w:bidi="ar"/>
        </w:rPr>
        <w:t xml:space="preserve">日 期： </w:t>
      </w:r>
    </w:p>
    <w:p w14:paraId="2622C62E">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宋体" w:hAnsi="宋体" w:eastAsia="宋体" w:cs="宋体"/>
          <w:b/>
          <w:spacing w:val="20"/>
          <w:sz w:val="24"/>
          <w:szCs w:val="24"/>
          <w:highlight w:val="none"/>
        </w:rPr>
      </w:pPr>
      <w:r>
        <w:rPr>
          <w:rFonts w:hint="eastAsia" w:ascii="宋体" w:hAnsi="宋体" w:eastAsia="宋体" w:cs="宋体"/>
          <w:b/>
          <w:spacing w:val="20"/>
          <w:sz w:val="24"/>
          <w:szCs w:val="24"/>
          <w:highlight w:val="none"/>
        </w:rPr>
        <w:t>注：1.从业人员、营业收入、资产总额填报上一年度数据，无上一年度数据的新成立企业可不填报。</w:t>
      </w:r>
    </w:p>
    <w:p w14:paraId="63DFEB2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2.中标、成交供应商享受《政府采购促进中小企业发展管理办法》（财库[2020]46号）规定的中小企业扶持政策的，《中小企业声明函》随中标、成交结果公开。</w:t>
      </w:r>
    </w:p>
    <w:p w14:paraId="7C6B5C5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45422B8A">
      <w:pPr>
        <w:keepNext w:val="0"/>
        <w:keepLines w:val="0"/>
        <w:pageBreakBefore w:val="0"/>
        <w:widowControl w:val="0"/>
        <w:kinsoku/>
        <w:wordWrap/>
        <w:overflowPunct/>
        <w:topLinePunct w:val="0"/>
        <w:autoSpaceDE/>
        <w:autoSpaceDN/>
        <w:bidi w:val="0"/>
        <w:adjustRightInd/>
        <w:spacing w:line="360" w:lineRule="auto"/>
        <w:ind w:firstLine="482"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rPr>
        <w:t>本项目采购标的对应的中小企业划分标准所属行业：</w:t>
      </w:r>
      <w:r>
        <w:rPr>
          <w:rFonts w:hint="eastAsia" w:ascii="宋体" w:hAnsi="宋体" w:eastAsia="宋体" w:cs="宋体"/>
          <w:b/>
          <w:bCs/>
          <w:sz w:val="24"/>
          <w:szCs w:val="24"/>
          <w:highlight w:val="none"/>
          <w:lang w:val="en-US" w:eastAsia="zh-CN"/>
        </w:rPr>
        <w:t>其他未列明行业</w:t>
      </w:r>
      <w:r>
        <w:rPr>
          <w:rFonts w:hint="eastAsia" w:ascii="宋体" w:hAnsi="宋体" w:eastAsia="宋体" w:cs="宋体"/>
          <w:b/>
          <w:bCs/>
          <w:sz w:val="24"/>
          <w:szCs w:val="24"/>
          <w:highlight w:val="none"/>
        </w:rPr>
        <w:t>。</w:t>
      </w:r>
    </w:p>
    <w:p w14:paraId="6CC637E2">
      <w:pPr>
        <w:keepNext w:val="0"/>
        <w:keepLines w:val="0"/>
        <w:pageBreakBefore w:val="0"/>
        <w:widowControl w:val="0"/>
        <w:kinsoku/>
        <w:wordWrap/>
        <w:overflowPunct/>
        <w:topLinePunct w:val="0"/>
        <w:autoSpaceDE/>
        <w:autoSpaceDN/>
        <w:bidi w:val="0"/>
        <w:adjustRightInd/>
        <w:spacing w:line="480" w:lineRule="auto"/>
        <w:ind w:firstLine="482" w:firstLineChars="200"/>
        <w:jc w:val="both"/>
        <w:textAlignment w:val="auto"/>
        <w:outlineLvl w:val="9"/>
        <w:rPr>
          <w:rFonts w:hint="eastAsia" w:ascii="宋体" w:hAnsi="宋体" w:eastAsia="宋体" w:cs="宋体"/>
          <w:b/>
          <w:bCs/>
          <w:sz w:val="24"/>
          <w:szCs w:val="24"/>
          <w:highlight w:val="none"/>
          <w:lang w:eastAsia="zh-CN"/>
        </w:rPr>
      </w:pPr>
    </w:p>
    <w:p w14:paraId="03EF6C56">
      <w:pPr>
        <w:keepNext w:val="0"/>
        <w:keepLines w:val="0"/>
        <w:pageBreakBefore w:val="0"/>
        <w:widowControl w:val="0"/>
        <w:kinsoku/>
        <w:wordWrap/>
        <w:overflowPunct/>
        <w:topLinePunct w:val="0"/>
        <w:autoSpaceDE/>
        <w:autoSpaceDN/>
        <w:bidi w:val="0"/>
        <w:adjustRightInd/>
        <w:spacing w:line="348" w:lineRule="auto"/>
        <w:jc w:val="both"/>
        <w:textAlignment w:val="auto"/>
        <w:outlineLvl w:val="2"/>
        <w:rPr>
          <w:rFonts w:hint="eastAsia" w:ascii="宋体" w:hAnsi="宋体" w:eastAsia="宋体" w:cs="宋体"/>
          <w:b/>
          <w:sz w:val="24"/>
          <w:szCs w:val="24"/>
          <w:highlight w:val="none"/>
        </w:rPr>
      </w:pPr>
      <w:r>
        <w:rPr>
          <w:rFonts w:hint="eastAsia" w:ascii="宋体" w:hAnsi="宋体" w:eastAsia="宋体" w:cs="宋体"/>
          <w:b/>
          <w:sz w:val="21"/>
          <w:szCs w:val="21"/>
          <w:highlight w:val="none"/>
        </w:rPr>
        <w:br w:type="page"/>
      </w:r>
      <w:r>
        <w:rPr>
          <w:rFonts w:hint="eastAsia" w:ascii="宋体" w:hAnsi="宋体" w:eastAsia="宋体" w:cs="宋体"/>
          <w:b/>
          <w:sz w:val="24"/>
          <w:szCs w:val="24"/>
          <w:highlight w:val="none"/>
        </w:rPr>
        <w:t>格式</w:t>
      </w:r>
      <w:r>
        <w:rPr>
          <w:rFonts w:hint="eastAsia" w:ascii="宋体" w:hAnsi="宋体" w:cs="宋体"/>
          <w:b/>
          <w:sz w:val="24"/>
          <w:szCs w:val="24"/>
          <w:highlight w:val="none"/>
          <w:lang w:val="en-US" w:eastAsia="zh-CN"/>
        </w:rPr>
        <w:t>四</w:t>
      </w:r>
      <w:r>
        <w:rPr>
          <w:rFonts w:hint="eastAsia" w:ascii="宋体" w:hAnsi="宋体" w:eastAsia="宋体" w:cs="宋体"/>
          <w:b/>
          <w:sz w:val="24"/>
          <w:szCs w:val="24"/>
          <w:highlight w:val="none"/>
        </w:rPr>
        <w:t>、</w:t>
      </w:r>
      <w:bookmarkStart w:id="156" w:name="OLE_LINK13"/>
      <w:bookmarkStart w:id="157" w:name="OLE_LINK14"/>
      <w:r>
        <w:rPr>
          <w:rFonts w:hint="eastAsia" w:ascii="宋体" w:hAnsi="宋体" w:eastAsia="宋体" w:cs="宋体"/>
          <w:b/>
          <w:bCs/>
          <w:sz w:val="24"/>
          <w:szCs w:val="24"/>
          <w:highlight w:val="none"/>
        </w:rPr>
        <w:t>残疾人福利性单位声明函</w:t>
      </w:r>
    </w:p>
    <w:bookmarkEnd w:id="156"/>
    <w:bookmarkEnd w:id="157"/>
    <w:p w14:paraId="0EB9FDAD">
      <w:pPr>
        <w:pageBreakBefore w:val="0"/>
        <w:widowControl/>
        <w:kinsoku/>
        <w:wordWrap/>
        <w:overflowPunct/>
        <w:topLinePunct w:val="0"/>
        <w:bidi w:val="0"/>
        <w:spacing w:line="360" w:lineRule="auto"/>
        <w:jc w:val="center"/>
        <w:rPr>
          <w:rFonts w:hint="eastAsia" w:ascii="宋体" w:hAnsi="宋体" w:eastAsia="宋体" w:cs="宋体"/>
          <w:b/>
          <w:spacing w:val="6"/>
          <w:kern w:val="0"/>
          <w:sz w:val="24"/>
          <w:szCs w:val="24"/>
          <w:highlight w:val="none"/>
        </w:rPr>
      </w:pPr>
    </w:p>
    <w:p w14:paraId="5C34DE13">
      <w:pPr>
        <w:pageBreakBefore w:val="0"/>
        <w:widowControl/>
        <w:kinsoku/>
        <w:wordWrap/>
        <w:overflowPunct/>
        <w:topLinePunct w:val="0"/>
        <w:bidi w:val="0"/>
        <w:spacing w:line="360" w:lineRule="auto"/>
        <w:jc w:val="center"/>
        <w:rPr>
          <w:rFonts w:hint="eastAsia" w:ascii="宋体" w:hAnsi="宋体" w:eastAsia="宋体" w:cs="宋体"/>
          <w:b/>
          <w:spacing w:val="6"/>
          <w:kern w:val="0"/>
          <w:sz w:val="24"/>
          <w:szCs w:val="24"/>
          <w:highlight w:val="none"/>
        </w:rPr>
      </w:pPr>
      <w:r>
        <w:rPr>
          <w:rFonts w:hint="eastAsia" w:ascii="宋体" w:hAnsi="宋体" w:eastAsia="宋体" w:cs="宋体"/>
          <w:b/>
          <w:spacing w:val="6"/>
          <w:kern w:val="0"/>
          <w:sz w:val="24"/>
          <w:szCs w:val="24"/>
          <w:highlight w:val="none"/>
        </w:rPr>
        <w:t>残疾人福利性单位声明函（</w:t>
      </w:r>
      <w:r>
        <w:rPr>
          <w:rFonts w:hint="eastAsia" w:ascii="宋体" w:hAnsi="宋体" w:eastAsia="宋体" w:cs="宋体"/>
          <w:b/>
          <w:spacing w:val="6"/>
          <w:kern w:val="0"/>
          <w:sz w:val="24"/>
          <w:szCs w:val="24"/>
          <w:highlight w:val="none"/>
          <w:lang w:val="en-US" w:eastAsia="zh-CN"/>
        </w:rPr>
        <w:t>服务</w:t>
      </w:r>
      <w:r>
        <w:rPr>
          <w:rFonts w:hint="eastAsia" w:ascii="宋体" w:hAnsi="宋体" w:eastAsia="宋体" w:cs="宋体"/>
          <w:b/>
          <w:spacing w:val="6"/>
          <w:kern w:val="0"/>
          <w:sz w:val="24"/>
          <w:szCs w:val="24"/>
          <w:highlight w:val="none"/>
        </w:rPr>
        <w:t>）</w:t>
      </w:r>
    </w:p>
    <w:p w14:paraId="5B45691F">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p>
    <w:p w14:paraId="12B80AC7">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E99C823">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本单位对上述声明的真实性负责。如有虚假，将依法承担相应责任。</w:t>
      </w:r>
    </w:p>
    <w:p w14:paraId="1F1852CB">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p>
    <w:p w14:paraId="50E4DDB6">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单位名称（盖章）：</w:t>
      </w:r>
    </w:p>
    <w:p w14:paraId="488F962A">
      <w:pPr>
        <w:pageBreakBefore w:val="0"/>
        <w:widowControl/>
        <w:kinsoku/>
        <w:wordWrap/>
        <w:overflowPunct/>
        <w:topLinePunct w:val="0"/>
        <w:bidi w:val="0"/>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  期：</w:t>
      </w:r>
    </w:p>
    <w:p w14:paraId="769A706D">
      <w:pPr>
        <w:pageBreakBefore w:val="0"/>
        <w:widowControl/>
        <w:kinsoku/>
        <w:wordWrap/>
        <w:overflowPunct/>
        <w:topLinePunct w:val="0"/>
        <w:bidi w:val="0"/>
        <w:spacing w:line="360" w:lineRule="auto"/>
        <w:rPr>
          <w:rFonts w:hint="eastAsia" w:ascii="宋体" w:hAnsi="宋体" w:eastAsia="宋体" w:cs="宋体"/>
          <w:spacing w:val="6"/>
          <w:kern w:val="0"/>
          <w:sz w:val="24"/>
          <w:szCs w:val="24"/>
          <w:highlight w:val="none"/>
        </w:rPr>
      </w:pPr>
    </w:p>
    <w:p w14:paraId="0F8F6F98">
      <w:pPr>
        <w:pageBreakBefore w:val="0"/>
        <w:kinsoku/>
        <w:wordWrap/>
        <w:overflowPunct/>
        <w:topLinePunct w:val="0"/>
        <w:bidi w:val="0"/>
        <w:spacing w:before="312" w:beforeLines="100" w:line="36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kern w:val="0"/>
          <w:sz w:val="24"/>
          <w:szCs w:val="24"/>
          <w:highlight w:val="none"/>
        </w:rPr>
        <w:t xml:space="preserve">             </w:t>
      </w:r>
    </w:p>
    <w:p w14:paraId="25C5BC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spacing w:val="20"/>
          <w:sz w:val="24"/>
          <w:szCs w:val="24"/>
          <w:highlight w:val="none"/>
        </w:rPr>
      </w:pPr>
      <w:r>
        <w:rPr>
          <w:rFonts w:hint="eastAsia" w:ascii="宋体" w:hAnsi="宋体" w:eastAsia="宋体" w:cs="宋体"/>
          <w:b/>
          <w:spacing w:val="20"/>
          <w:sz w:val="24"/>
          <w:szCs w:val="24"/>
          <w:highlight w:val="none"/>
        </w:rPr>
        <w:t>注：</w:t>
      </w:r>
    </w:p>
    <w:p w14:paraId="4087BF4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1.中标、成交供应商为残疾人福利性单位的，《残疾人福利性单位声明函》随中标、成交结果同时公告，接受社会监督。</w:t>
      </w:r>
    </w:p>
    <w:p w14:paraId="00E175B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2.供应商提供的《残疾人福利性单位声明函》与事实不符的，依照《</w:t>
      </w:r>
      <w:r>
        <w:rPr>
          <w:rFonts w:hint="eastAsia" w:ascii="宋体" w:hAnsi="宋体" w:eastAsia="宋体" w:cs="宋体"/>
          <w:b/>
          <w:sz w:val="24"/>
          <w:szCs w:val="24"/>
          <w:highlight w:val="none"/>
          <w:lang w:eastAsia="zh-CN"/>
        </w:rPr>
        <w:t>中华人民共和国政府采购法</w:t>
      </w:r>
      <w:r>
        <w:rPr>
          <w:rFonts w:hint="eastAsia" w:ascii="宋体" w:hAnsi="宋体" w:eastAsia="宋体" w:cs="宋体"/>
          <w:b/>
          <w:sz w:val="24"/>
          <w:szCs w:val="24"/>
          <w:highlight w:val="none"/>
        </w:rPr>
        <w:t>》第七十七条第一款的规定追究法律责任。</w:t>
      </w:r>
    </w:p>
    <w:p w14:paraId="7DA48702">
      <w:pPr>
        <w:pageBreakBefore w:val="0"/>
        <w:kinsoku/>
        <w:wordWrap/>
        <w:overflowPunct/>
        <w:topLinePunct w:val="0"/>
        <w:bidi w:val="0"/>
        <w:spacing w:line="360" w:lineRule="auto"/>
        <w:outlineLvl w:val="2"/>
        <w:rPr>
          <w:rFonts w:hint="eastAsia" w:ascii="宋体" w:hAnsi="宋体" w:eastAsia="宋体" w:cs="宋体"/>
          <w:sz w:val="24"/>
          <w:szCs w:val="24"/>
          <w:highlight w:val="none"/>
        </w:rPr>
      </w:pPr>
      <w:r>
        <w:rPr>
          <w:rFonts w:hint="eastAsia" w:ascii="宋体" w:hAnsi="宋体" w:eastAsia="宋体" w:cs="宋体"/>
          <w:b/>
          <w:spacing w:val="20"/>
          <w:sz w:val="24"/>
          <w:szCs w:val="24"/>
          <w:highlight w:val="none"/>
        </w:rPr>
        <w:br w:type="page"/>
      </w:r>
      <w:r>
        <w:rPr>
          <w:rFonts w:hint="eastAsia" w:ascii="宋体" w:hAnsi="宋体" w:eastAsia="宋体" w:cs="宋体"/>
          <w:b/>
          <w:spacing w:val="20"/>
          <w:sz w:val="24"/>
          <w:szCs w:val="24"/>
          <w:highlight w:val="none"/>
          <w:lang w:val="en-US" w:eastAsia="zh-CN"/>
        </w:rPr>
        <w:t>格式</w:t>
      </w:r>
      <w:r>
        <w:rPr>
          <w:rFonts w:hint="eastAsia" w:ascii="宋体" w:hAnsi="宋体" w:cs="宋体"/>
          <w:b/>
          <w:spacing w:val="20"/>
          <w:sz w:val="24"/>
          <w:szCs w:val="24"/>
          <w:highlight w:val="none"/>
          <w:lang w:val="en-US" w:eastAsia="zh-CN"/>
        </w:rPr>
        <w:t>五</w:t>
      </w:r>
      <w:r>
        <w:rPr>
          <w:rFonts w:hint="eastAsia" w:ascii="宋体" w:hAnsi="宋体" w:eastAsia="宋体" w:cs="宋体"/>
          <w:b/>
          <w:spacing w:val="20"/>
          <w:sz w:val="24"/>
          <w:szCs w:val="24"/>
          <w:highlight w:val="none"/>
        </w:rPr>
        <w:t>、投标函</w:t>
      </w:r>
    </w:p>
    <w:p w14:paraId="54B8C2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致：</w:t>
      </w:r>
      <w:r>
        <w:rPr>
          <w:rFonts w:hint="eastAsia" w:ascii="宋体" w:hAnsi="宋体" w:cs="宋体"/>
          <w:color w:val="auto"/>
          <w:sz w:val="24"/>
          <w:szCs w:val="24"/>
          <w:highlight w:val="none"/>
          <w:lang w:val="en-US" w:eastAsia="zh-CN"/>
        </w:rPr>
        <w:t>舟山市普陀区东极镇人民政府</w:t>
      </w:r>
    </w:p>
    <w:p w14:paraId="3A05903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中金招标有限责任公司</w:t>
      </w:r>
    </w:p>
    <w:p w14:paraId="0046B90A">
      <w:pPr>
        <w:keepNext w:val="0"/>
        <w:keepLines w:val="0"/>
        <w:pageBreakBefore w:val="0"/>
        <w:widowControl w:val="0"/>
        <w:tabs>
          <w:tab w:val="left" w:pos="7140"/>
        </w:tabs>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w:t>
      </w:r>
      <w:r>
        <w:rPr>
          <w:rFonts w:hint="eastAsia" w:ascii="宋体" w:hAnsi="宋体" w:eastAsia="宋体" w:cs="宋体"/>
          <w:b/>
          <w:sz w:val="24"/>
          <w:szCs w:val="24"/>
          <w:highlight w:val="none"/>
          <w:u w:val="single"/>
        </w:rPr>
        <w:t>（投标人名称）</w:t>
      </w:r>
      <w:r>
        <w:rPr>
          <w:rFonts w:hint="eastAsia" w:ascii="宋体" w:hAnsi="宋体" w:eastAsia="宋体" w:cs="宋体"/>
          <w:sz w:val="24"/>
          <w:szCs w:val="24"/>
          <w:highlight w:val="none"/>
        </w:rPr>
        <w:t>已详细审查了</w:t>
      </w:r>
      <w:r>
        <w:rPr>
          <w:rFonts w:hint="eastAsia" w:ascii="宋体" w:hAnsi="宋体" w:eastAsia="宋体" w:cs="宋体"/>
          <w:b/>
          <w:sz w:val="24"/>
          <w:szCs w:val="24"/>
          <w:highlight w:val="none"/>
          <w:u w:val="single"/>
        </w:rPr>
        <w:t xml:space="preserve">（项目编号）（项目名称）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磋商文件</w:t>
      </w:r>
      <w:r>
        <w:rPr>
          <w:rFonts w:hint="eastAsia" w:ascii="宋体" w:hAnsi="宋体" w:eastAsia="宋体" w:cs="宋体"/>
          <w:sz w:val="24"/>
          <w:szCs w:val="24"/>
          <w:highlight w:val="none"/>
        </w:rPr>
        <w:t>及其相关补充文件</w:t>
      </w:r>
      <w:r>
        <w:rPr>
          <w:rFonts w:hint="eastAsia" w:ascii="宋体" w:hAnsi="宋体" w:eastAsia="宋体" w:cs="宋体"/>
          <w:b/>
          <w:sz w:val="24"/>
          <w:szCs w:val="24"/>
          <w:highlight w:val="none"/>
        </w:rPr>
        <w:t>（若有）</w:t>
      </w:r>
      <w:r>
        <w:rPr>
          <w:rFonts w:hint="eastAsia" w:ascii="宋体" w:hAnsi="宋体" w:eastAsia="宋体" w:cs="宋体"/>
          <w:sz w:val="24"/>
          <w:szCs w:val="24"/>
          <w:highlight w:val="none"/>
        </w:rPr>
        <w:t>，并正式授权我公司的</w:t>
      </w:r>
      <w:r>
        <w:rPr>
          <w:rFonts w:hint="eastAsia" w:ascii="宋体" w:hAnsi="宋体" w:eastAsia="宋体" w:cs="宋体"/>
          <w:b/>
          <w:sz w:val="24"/>
          <w:szCs w:val="24"/>
          <w:highlight w:val="none"/>
          <w:u w:val="single"/>
        </w:rPr>
        <w:t>（被授权人姓名）</w:t>
      </w:r>
      <w:r>
        <w:rPr>
          <w:rFonts w:hint="eastAsia" w:ascii="宋体" w:hAnsi="宋体" w:eastAsia="宋体" w:cs="宋体"/>
          <w:sz w:val="24"/>
          <w:szCs w:val="24"/>
          <w:highlight w:val="none"/>
        </w:rPr>
        <w:t>以本公司名义，全权代表我方自愿参加上述采购项目的投标，现就有关事项向采购代理机构郑重承诺如下：</w:t>
      </w:r>
    </w:p>
    <w:p w14:paraId="44B77F93">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1、我方已详细审查了</w:t>
      </w:r>
      <w:r>
        <w:rPr>
          <w:rFonts w:hint="eastAsia" w:ascii="宋体" w:hAnsi="宋体" w:eastAsia="宋体" w:cs="宋体"/>
          <w:sz w:val="24"/>
          <w:szCs w:val="24"/>
          <w:highlight w:val="none"/>
          <w:lang w:val="en-US" w:eastAsia="zh-CN"/>
        </w:rPr>
        <w:t>磋商文件</w:t>
      </w:r>
      <w:r>
        <w:rPr>
          <w:rFonts w:hint="eastAsia" w:ascii="宋体" w:hAnsi="宋体" w:eastAsia="宋体" w:cs="宋体"/>
          <w:sz w:val="24"/>
          <w:szCs w:val="24"/>
          <w:highlight w:val="none"/>
        </w:rPr>
        <w:t>的全部内容及其相关补充文件</w:t>
      </w:r>
      <w:r>
        <w:rPr>
          <w:rFonts w:hint="eastAsia" w:ascii="宋体" w:hAnsi="宋体" w:eastAsia="宋体" w:cs="宋体"/>
          <w:b/>
          <w:sz w:val="24"/>
          <w:szCs w:val="24"/>
          <w:highlight w:val="none"/>
        </w:rPr>
        <w:t>（若有）</w:t>
      </w:r>
      <w:r>
        <w:rPr>
          <w:rFonts w:hint="eastAsia" w:ascii="宋体" w:hAnsi="宋体" w:eastAsia="宋体" w:cs="宋体"/>
          <w:sz w:val="24"/>
          <w:szCs w:val="24"/>
          <w:highlight w:val="none"/>
        </w:rPr>
        <w:t>，并完全清晰理解全部内容及相关的补充文件</w:t>
      </w:r>
      <w:r>
        <w:rPr>
          <w:rFonts w:hint="eastAsia" w:ascii="宋体" w:hAnsi="宋体" w:eastAsia="宋体" w:cs="宋体"/>
          <w:b/>
          <w:sz w:val="24"/>
          <w:szCs w:val="24"/>
          <w:highlight w:val="none"/>
        </w:rPr>
        <w:t>（若有）</w:t>
      </w:r>
      <w:r>
        <w:rPr>
          <w:rFonts w:hint="eastAsia" w:ascii="宋体" w:hAnsi="宋体" w:eastAsia="宋体" w:cs="宋体"/>
          <w:sz w:val="24"/>
          <w:szCs w:val="24"/>
          <w:highlight w:val="none"/>
        </w:rPr>
        <w:t>，不存在任何误解之处，同意放弃提出异议和质疑的权利。</w:t>
      </w:r>
    </w:p>
    <w:p w14:paraId="6FD03DD0">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2、在项目实施过程中，我方完全响应</w:t>
      </w:r>
      <w:r>
        <w:rPr>
          <w:rFonts w:hint="eastAsia" w:ascii="宋体" w:hAnsi="宋体" w:eastAsia="宋体" w:cs="宋体"/>
          <w:spacing w:val="-4"/>
          <w:sz w:val="24"/>
          <w:szCs w:val="24"/>
          <w:highlight w:val="none"/>
          <w:lang w:val="en-US" w:eastAsia="zh-CN"/>
        </w:rPr>
        <w:t>磋商文件</w:t>
      </w:r>
      <w:r>
        <w:rPr>
          <w:rFonts w:hint="eastAsia" w:ascii="宋体" w:hAnsi="宋体" w:eastAsia="宋体" w:cs="宋体"/>
          <w:spacing w:val="-4"/>
          <w:sz w:val="24"/>
          <w:szCs w:val="24"/>
          <w:highlight w:val="none"/>
        </w:rPr>
        <w:t>的所有条款，履行合同义务。执行标准绝不低于</w:t>
      </w:r>
      <w:r>
        <w:rPr>
          <w:rFonts w:hint="eastAsia" w:ascii="宋体" w:hAnsi="宋体" w:eastAsia="宋体" w:cs="宋体"/>
          <w:spacing w:val="-4"/>
          <w:sz w:val="24"/>
          <w:szCs w:val="24"/>
          <w:highlight w:val="none"/>
          <w:lang w:eastAsia="zh-CN"/>
        </w:rPr>
        <w:t>磋商文件</w:t>
      </w:r>
      <w:r>
        <w:rPr>
          <w:rFonts w:hint="eastAsia" w:ascii="宋体" w:hAnsi="宋体" w:eastAsia="宋体" w:cs="宋体"/>
          <w:spacing w:val="-4"/>
          <w:sz w:val="24"/>
          <w:szCs w:val="24"/>
          <w:highlight w:val="none"/>
        </w:rPr>
        <w:t>的标准要求。</w:t>
      </w:r>
    </w:p>
    <w:p w14:paraId="5D8C5B8C">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3、我方遵守《中华人民共和国政府采购法》及相关法律法规的规定。同意</w:t>
      </w:r>
      <w:r>
        <w:rPr>
          <w:rFonts w:hint="eastAsia" w:ascii="宋体" w:hAnsi="宋体" w:eastAsia="宋体" w:cs="宋体"/>
          <w:spacing w:val="-4"/>
          <w:sz w:val="24"/>
          <w:szCs w:val="24"/>
          <w:highlight w:val="none"/>
          <w:lang w:eastAsia="zh-CN"/>
        </w:rPr>
        <w:t>磋商文件</w:t>
      </w:r>
      <w:r>
        <w:rPr>
          <w:rFonts w:hint="eastAsia" w:ascii="宋体" w:hAnsi="宋体" w:eastAsia="宋体" w:cs="宋体"/>
          <w:spacing w:val="-4"/>
          <w:sz w:val="24"/>
          <w:szCs w:val="24"/>
          <w:highlight w:val="none"/>
        </w:rPr>
        <w:t>中所提到的无效标条款，并服从有关开标现场的会议纪律。否则，同意被废除投标资格。</w:t>
      </w:r>
    </w:p>
    <w:p w14:paraId="7B3BD0D5">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w:t>
      </w:r>
      <w:r>
        <w:rPr>
          <w:rFonts w:hint="eastAsia" w:ascii="宋体" w:hAnsi="宋体" w:eastAsia="宋体" w:cs="宋体"/>
          <w:spacing w:val="-4"/>
          <w:sz w:val="24"/>
          <w:szCs w:val="24"/>
          <w:highlight w:val="none"/>
          <w:lang w:val="en-US" w:eastAsia="zh-CN"/>
        </w:rPr>
        <w:t>我方承诺具有良好的商业信誉和健全的财务会计制度；具备履行合同所必需的设备和专业技术能力；具</w:t>
      </w:r>
      <w:r>
        <w:rPr>
          <w:rFonts w:hint="eastAsia" w:ascii="宋体" w:hAnsi="宋体" w:eastAsia="宋体" w:cs="宋体"/>
          <w:spacing w:val="-4"/>
          <w:sz w:val="24"/>
          <w:szCs w:val="24"/>
          <w:highlight w:val="none"/>
        </w:rPr>
        <w:t>有依法缴纳税收和社会保障资金的良好记录；</w:t>
      </w:r>
      <w:r>
        <w:rPr>
          <w:rFonts w:hint="eastAsia" w:ascii="宋体" w:hAnsi="宋体" w:eastAsia="宋体" w:cs="宋体"/>
          <w:spacing w:val="-4"/>
          <w:sz w:val="24"/>
          <w:szCs w:val="24"/>
          <w:highlight w:val="none"/>
          <w:lang w:val="en-US" w:eastAsia="zh-CN"/>
        </w:rPr>
        <w:t>参加本次政府采购活动前3年内在经营活动中没有重大违法记录。</w:t>
      </w:r>
    </w:p>
    <w:p w14:paraId="1FED8DD5">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5、我方所提供的一次性投标报价具有充分的合理性和准确性，保证不存在低于成本的恶意报价行为，同时清楚理解到报价最低并非意味着必定获得合同授予资格。</w:t>
      </w:r>
    </w:p>
    <w:p w14:paraId="2ECFE81B">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6、投标有效期为自开标之日起90天内，如在投标有效期内撤回投标，我方同意被废除投标资格。</w:t>
      </w:r>
    </w:p>
    <w:p w14:paraId="18DFFC83">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eastAsia" w:ascii="宋体" w:hAnsi="宋体" w:cs="宋体"/>
          <w:spacing w:val="-4"/>
          <w:sz w:val="24"/>
          <w:szCs w:val="24"/>
          <w:highlight w:val="none"/>
          <w:lang w:eastAsia="zh-CN"/>
        </w:rPr>
      </w:pPr>
      <w:r>
        <w:rPr>
          <w:rFonts w:hint="eastAsia" w:ascii="宋体" w:hAnsi="宋体" w:eastAsia="宋体" w:cs="宋体"/>
          <w:spacing w:val="-4"/>
          <w:sz w:val="24"/>
          <w:szCs w:val="24"/>
          <w:highlight w:val="none"/>
          <w:lang w:val="en-US" w:eastAsia="zh-CN"/>
        </w:rPr>
        <w:t>7、</w:t>
      </w:r>
      <w:r>
        <w:rPr>
          <w:rFonts w:hint="eastAsia" w:ascii="宋体" w:hAnsi="宋体" w:eastAsia="宋体" w:cs="宋体"/>
          <w:spacing w:val="-4"/>
          <w:sz w:val="24"/>
          <w:szCs w:val="24"/>
          <w:highlight w:val="none"/>
        </w:rPr>
        <w:t>我方承诺所提供的一切投标文件</w:t>
      </w:r>
      <w:r>
        <w:rPr>
          <w:rFonts w:hint="eastAsia" w:ascii="宋体" w:hAnsi="宋体" w:eastAsia="宋体" w:cs="宋体"/>
          <w:spacing w:val="-4"/>
          <w:sz w:val="24"/>
          <w:szCs w:val="24"/>
          <w:highlight w:val="none"/>
          <w:lang w:val="en-US" w:eastAsia="zh-CN"/>
        </w:rPr>
        <w:t>均</w:t>
      </w:r>
      <w:r>
        <w:rPr>
          <w:rFonts w:hint="eastAsia" w:ascii="宋体" w:hAnsi="宋体" w:eastAsia="宋体" w:cs="宋体"/>
          <w:spacing w:val="-4"/>
          <w:sz w:val="24"/>
          <w:szCs w:val="24"/>
          <w:highlight w:val="none"/>
        </w:rPr>
        <w:t>已认真严格审核，内容均为全面真实、准确有效且毫无保留，绝无任何遗漏、虚假、伪造和夸大的成</w:t>
      </w:r>
      <w:r>
        <w:rPr>
          <w:rFonts w:hint="eastAsia" w:ascii="宋体" w:hAnsi="宋体" w:eastAsia="宋体" w:cs="宋体"/>
          <w:spacing w:val="-4"/>
          <w:sz w:val="24"/>
          <w:szCs w:val="24"/>
          <w:highlight w:val="none"/>
          <w:lang w:val="en-US" w:eastAsia="zh-CN"/>
        </w:rPr>
        <w:t>分</w:t>
      </w:r>
      <w:r>
        <w:rPr>
          <w:rFonts w:hint="eastAsia" w:ascii="宋体" w:hAnsi="宋体" w:eastAsia="宋体" w:cs="宋体"/>
          <w:spacing w:val="-4"/>
          <w:sz w:val="24"/>
          <w:szCs w:val="24"/>
          <w:highlight w:val="none"/>
        </w:rPr>
        <w:t>，若出现违背诚实信用和无如实告知之处，同意被废除投标资格和相关的处罚</w:t>
      </w:r>
      <w:r>
        <w:rPr>
          <w:rFonts w:hint="eastAsia" w:ascii="宋体" w:hAnsi="宋体" w:cs="宋体"/>
          <w:spacing w:val="-4"/>
          <w:sz w:val="24"/>
          <w:szCs w:val="24"/>
          <w:highlight w:val="none"/>
          <w:lang w:eastAsia="zh-CN"/>
        </w:rPr>
        <w:t>。</w:t>
      </w:r>
    </w:p>
    <w:p w14:paraId="7BE36F5D">
      <w:pPr>
        <w:keepNext w:val="0"/>
        <w:keepLines w:val="0"/>
        <w:pageBreakBefore w:val="0"/>
        <w:widowControl w:val="0"/>
        <w:kinsoku/>
        <w:wordWrap/>
        <w:overflowPunct/>
        <w:topLinePunct w:val="0"/>
        <w:autoSpaceDE/>
        <w:autoSpaceDN/>
        <w:bidi w:val="0"/>
        <w:adjustRightInd/>
        <w:snapToGrid/>
        <w:spacing w:line="400" w:lineRule="exact"/>
        <w:ind w:right="0" w:firstLine="464" w:firstLineChars="200"/>
        <w:jc w:val="left"/>
        <w:textAlignment w:val="auto"/>
        <w:rPr>
          <w:rFonts w:hint="default"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8、我方承诺在收到《中标(成交)通知书》时按本项目招标文件的规定，向贵公司一次性支付全额招标代理服务费，若中标、成交后放弃中标、成交资格导致重新采购的，承担支付代理费和专家评审费等费用在内的赔偿责任。</w:t>
      </w:r>
    </w:p>
    <w:p w14:paraId="564891D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pacing w:val="-4"/>
          <w:sz w:val="24"/>
          <w:szCs w:val="24"/>
          <w:highlight w:val="none"/>
        </w:rPr>
      </w:pPr>
    </w:p>
    <w:p w14:paraId="34007BFD">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响应人名称：</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4"/>
          <w:sz w:val="24"/>
          <w:szCs w:val="24"/>
          <w:highlight w:val="none"/>
        </w:rPr>
        <w:t xml:space="preserve">（加盖公章） </w:t>
      </w:r>
    </w:p>
    <w:p w14:paraId="5D75A8DF">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法定代表人</w:t>
      </w:r>
      <w:r>
        <w:rPr>
          <w:rFonts w:hint="eastAsia" w:ascii="宋体" w:hAnsi="宋体" w:eastAsia="宋体" w:cs="宋体"/>
          <w:sz w:val="24"/>
          <w:szCs w:val="24"/>
          <w:highlight w:val="none"/>
        </w:rPr>
        <w:t>：</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（签字或盖章）</w:t>
      </w:r>
    </w:p>
    <w:p w14:paraId="09A76E01">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响应人代表：</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4"/>
          <w:sz w:val="24"/>
          <w:szCs w:val="24"/>
          <w:highlight w:val="none"/>
        </w:rPr>
        <w:t xml:space="preserve">（签字） </w:t>
      </w:r>
    </w:p>
    <w:p w14:paraId="5EC91BEC">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spacing w:val="20"/>
          <w:sz w:val="24"/>
          <w:szCs w:val="24"/>
          <w:highlight w:val="none"/>
          <w:u w:val="single"/>
        </w:rPr>
      </w:pPr>
      <w:r>
        <w:rPr>
          <w:rFonts w:hint="eastAsia" w:ascii="宋体" w:hAnsi="宋体" w:eastAsia="宋体" w:cs="宋体"/>
          <w:spacing w:val="-4"/>
          <w:sz w:val="24"/>
          <w:szCs w:val="24"/>
          <w:highlight w:val="none"/>
        </w:rPr>
        <w:t>响应人地址：</w:t>
      </w:r>
      <w:r>
        <w:rPr>
          <w:rFonts w:hint="eastAsia" w:ascii="宋体" w:hAnsi="宋体" w:eastAsia="宋体" w:cs="宋体"/>
          <w:spacing w:val="20"/>
          <w:sz w:val="24"/>
          <w:szCs w:val="24"/>
          <w:highlight w:val="none"/>
          <w:u w:val="single"/>
        </w:rPr>
        <w:t xml:space="preserve">                  </w:t>
      </w:r>
    </w:p>
    <w:p w14:paraId="07B0DB7B">
      <w:pPr>
        <w:keepNext w:val="0"/>
        <w:keepLines w:val="0"/>
        <w:pageBreakBefore w:val="0"/>
        <w:widowControl w:val="0"/>
        <w:kinsoku/>
        <w:wordWrap/>
        <w:overflowPunct/>
        <w:topLinePunct w:val="0"/>
        <w:autoSpaceDE/>
        <w:autoSpaceDN/>
        <w:bidi w:val="0"/>
        <w:adjustRightInd/>
        <w:snapToGrid/>
        <w:spacing w:line="480" w:lineRule="auto"/>
        <w:ind w:firstLine="0" w:firstLineChars="0"/>
        <w:textAlignment w:val="auto"/>
        <w:rPr>
          <w:rFonts w:hint="eastAsia" w:ascii="宋体" w:hAnsi="宋体" w:eastAsia="宋体" w:cs="宋体"/>
          <w:b/>
          <w:spacing w:val="20"/>
          <w:sz w:val="21"/>
          <w:szCs w:val="21"/>
          <w:highlight w:val="none"/>
        </w:rPr>
      </w:pPr>
      <w:r>
        <w:rPr>
          <w:rFonts w:hint="eastAsia" w:ascii="宋体" w:hAnsi="宋体" w:eastAsia="宋体" w:cs="宋体"/>
          <w:spacing w:val="-4"/>
          <w:sz w:val="24"/>
          <w:szCs w:val="24"/>
          <w:highlight w:val="none"/>
        </w:rPr>
        <w:t>日期：</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日 </w:t>
      </w:r>
      <w:r>
        <w:rPr>
          <w:rFonts w:hint="eastAsia" w:ascii="宋体" w:hAnsi="宋体" w:eastAsia="宋体" w:cs="宋体"/>
          <w:b/>
          <w:spacing w:val="20"/>
          <w:sz w:val="21"/>
          <w:szCs w:val="21"/>
          <w:highlight w:val="none"/>
        </w:rPr>
        <w:br w:type="page"/>
      </w:r>
    </w:p>
    <w:p w14:paraId="0BB09220">
      <w:pPr>
        <w:pageBreakBefore w:val="0"/>
        <w:kinsoku/>
        <w:wordWrap/>
        <w:overflowPunct/>
        <w:topLinePunct w:val="0"/>
        <w:bidi w:val="0"/>
        <w:spacing w:line="360" w:lineRule="auto"/>
        <w:outlineLvl w:val="2"/>
        <w:rPr>
          <w:rFonts w:hint="eastAsia" w:ascii="宋体" w:hAnsi="宋体" w:eastAsia="宋体" w:cs="宋体"/>
          <w:b/>
          <w:sz w:val="24"/>
          <w:szCs w:val="24"/>
          <w:highlight w:val="none"/>
        </w:rPr>
      </w:pPr>
      <w:r>
        <w:rPr>
          <w:rFonts w:hint="eastAsia" w:ascii="宋体" w:hAnsi="宋体" w:eastAsia="宋体" w:cs="宋体"/>
          <w:b/>
          <w:spacing w:val="20"/>
          <w:sz w:val="24"/>
          <w:szCs w:val="24"/>
          <w:highlight w:val="none"/>
        </w:rPr>
        <w:t>格式</w:t>
      </w:r>
      <w:r>
        <w:rPr>
          <w:rFonts w:hint="eastAsia" w:ascii="宋体" w:hAnsi="宋体" w:cs="宋体"/>
          <w:b/>
          <w:spacing w:val="20"/>
          <w:sz w:val="24"/>
          <w:szCs w:val="24"/>
          <w:highlight w:val="none"/>
          <w:lang w:val="en-US" w:eastAsia="zh-CN"/>
        </w:rPr>
        <w:t>六</w:t>
      </w:r>
      <w:r>
        <w:rPr>
          <w:rFonts w:hint="eastAsia" w:ascii="宋体" w:hAnsi="宋体" w:eastAsia="宋体" w:cs="宋体"/>
          <w:b/>
          <w:spacing w:val="20"/>
          <w:sz w:val="24"/>
          <w:szCs w:val="24"/>
          <w:highlight w:val="none"/>
        </w:rPr>
        <w:t>、法定代表人授权函</w:t>
      </w:r>
    </w:p>
    <w:p w14:paraId="74D3443B">
      <w:pPr>
        <w:pageBreakBefore w:val="0"/>
        <w:kinsoku/>
        <w:wordWrap/>
        <w:overflowPunct/>
        <w:topLinePunct w:val="0"/>
        <w:bidi w:val="0"/>
        <w:spacing w:line="360" w:lineRule="auto"/>
        <w:jc w:val="left"/>
        <w:rPr>
          <w:rFonts w:hint="eastAsia" w:ascii="宋体" w:hAnsi="宋体" w:eastAsia="宋体" w:cs="宋体"/>
          <w:spacing w:val="-4"/>
          <w:sz w:val="24"/>
          <w:szCs w:val="24"/>
          <w:highlight w:val="none"/>
          <w:lang w:val="en-US"/>
        </w:rPr>
      </w:pPr>
      <w:r>
        <w:rPr>
          <w:rFonts w:hint="eastAsia" w:ascii="宋体" w:hAnsi="宋体" w:eastAsia="宋体" w:cs="宋体"/>
          <w:spacing w:val="-4"/>
          <w:sz w:val="24"/>
          <w:szCs w:val="24"/>
          <w:highlight w:val="none"/>
        </w:rPr>
        <w:t>致：</w:t>
      </w:r>
      <w:r>
        <w:rPr>
          <w:rFonts w:hint="eastAsia" w:ascii="宋体" w:hAnsi="宋体" w:cs="宋体"/>
          <w:color w:val="auto"/>
          <w:sz w:val="24"/>
          <w:szCs w:val="24"/>
          <w:highlight w:val="none"/>
          <w:lang w:val="en-US" w:eastAsia="zh-CN"/>
        </w:rPr>
        <w:t>舟山市普陀区东极镇人民政府</w:t>
      </w:r>
    </w:p>
    <w:p w14:paraId="510977C9">
      <w:pPr>
        <w:pageBreakBefore w:val="0"/>
        <w:kinsoku/>
        <w:wordWrap/>
        <w:overflowPunct/>
        <w:topLinePunct w:val="0"/>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中金招标有限责任公司</w:t>
      </w:r>
    </w:p>
    <w:p w14:paraId="26A60B24">
      <w:pPr>
        <w:pageBreakBefore w:val="0"/>
        <w:kinsoku/>
        <w:wordWrap/>
        <w:overflowPunct/>
        <w:topLinePunct w:val="0"/>
        <w:bidi w:val="0"/>
        <w:spacing w:line="360" w:lineRule="auto"/>
        <w:ind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（姓名）系</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（投标人名称）的法定代表人，现授权委托本单位在职职工</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（姓名）(身份证号码：</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)以我方的名义参加</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（项目名称）（项目编号）的投标活动，并代表我方全权办理针对上述项目的投标、开标、评标、签约等具体事务和签署相关文件。</w:t>
      </w:r>
    </w:p>
    <w:p w14:paraId="03862589">
      <w:pPr>
        <w:pageBreakBefore w:val="0"/>
        <w:kinsoku/>
        <w:wordWrap/>
        <w:overflowPunct/>
        <w:topLinePunct w:val="0"/>
        <w:bidi w:val="0"/>
        <w:spacing w:line="360" w:lineRule="auto"/>
        <w:ind w:right="-89"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我方对被授权人的签名负全部责任。</w:t>
      </w:r>
    </w:p>
    <w:p w14:paraId="56338C7B">
      <w:pPr>
        <w:pageBreakBefore w:val="0"/>
        <w:kinsoku/>
        <w:wordWrap/>
        <w:overflowPunct/>
        <w:topLinePunct w:val="0"/>
        <w:bidi w:val="0"/>
        <w:spacing w:line="360" w:lineRule="auto"/>
        <w:ind w:right="-89"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在撤销授权的书面通知以前，本授权函一直有效。被授权人在授权函有效期内签署的所有文件不因授权的撤销而失效。</w:t>
      </w:r>
    </w:p>
    <w:p w14:paraId="693DB4D0">
      <w:pPr>
        <w:pageBreakBefore w:val="0"/>
        <w:kinsoku/>
        <w:wordWrap/>
        <w:overflowPunct/>
        <w:topLinePunct w:val="0"/>
        <w:bidi w:val="0"/>
        <w:spacing w:line="360" w:lineRule="auto"/>
        <w:ind w:right="-89"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被授权人无转委托权，特此委托。</w:t>
      </w:r>
    </w:p>
    <w:p w14:paraId="7DFB77A8">
      <w:pPr>
        <w:pageBreakBefore w:val="0"/>
        <w:kinsoku/>
        <w:wordWrap/>
        <w:overflowPunct/>
        <w:topLinePunct w:val="0"/>
        <w:bidi w:val="0"/>
        <w:spacing w:line="360" w:lineRule="auto"/>
        <w:ind w:right="-89"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被授权人（签字）：                           法定代表人（签字或盖章）：          </w:t>
      </w:r>
    </w:p>
    <w:p w14:paraId="31117AB3">
      <w:pPr>
        <w:pageBreakBefore w:val="0"/>
        <w:kinsoku/>
        <w:wordWrap/>
        <w:overflowPunct/>
        <w:topLinePunct w:val="0"/>
        <w:bidi w:val="0"/>
        <w:spacing w:line="360" w:lineRule="auto"/>
        <w:ind w:right="-89" w:firstLine="464" w:firstLineChars="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被授权人联系电话：                           法定代表人联系电话：</w:t>
      </w:r>
    </w:p>
    <w:p w14:paraId="2390C113">
      <w:pPr>
        <w:pageBreakBefore w:val="0"/>
        <w:kinsoku/>
        <w:wordWrap/>
        <w:overflowPunct/>
        <w:topLinePunct w:val="0"/>
        <w:bidi w:val="0"/>
        <w:spacing w:line="360" w:lineRule="auto"/>
        <w:ind w:right="-89" w:firstLine="5104" w:firstLineChars="2200"/>
        <w:jc w:val="left"/>
        <w:rPr>
          <w:rFonts w:hint="eastAsia" w:ascii="宋体" w:hAnsi="宋体" w:eastAsia="宋体" w:cs="宋体"/>
          <w:spacing w:val="-4"/>
          <w:sz w:val="24"/>
          <w:szCs w:val="24"/>
          <w:highlight w:val="none"/>
        </w:rPr>
      </w:pPr>
    </w:p>
    <w:p w14:paraId="6A6425F1">
      <w:pPr>
        <w:pageBreakBefore w:val="0"/>
        <w:kinsoku/>
        <w:wordWrap/>
        <w:overflowPunct/>
        <w:topLinePunct w:val="0"/>
        <w:bidi w:val="0"/>
        <w:spacing w:line="360" w:lineRule="auto"/>
        <w:ind w:right="-89" w:firstLine="5104" w:firstLineChars="2200"/>
        <w:jc w:val="left"/>
        <w:rPr>
          <w:rFonts w:hint="eastAsia" w:ascii="宋体" w:hAnsi="宋体" w:eastAsia="宋体" w:cs="宋体"/>
          <w:spacing w:val="-4"/>
          <w:sz w:val="24"/>
          <w:szCs w:val="24"/>
          <w:highlight w:val="none"/>
        </w:rPr>
      </w:pPr>
    </w:p>
    <w:p w14:paraId="0DBD0DBF">
      <w:pPr>
        <w:pageBreakBefore w:val="0"/>
        <w:kinsoku/>
        <w:wordWrap/>
        <w:overflowPunct/>
        <w:topLinePunct w:val="0"/>
        <w:bidi w:val="0"/>
        <w:spacing w:line="360" w:lineRule="auto"/>
        <w:ind w:right="-89" w:firstLine="5104" w:firstLineChars="2200"/>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                      响应人公章：</w:t>
      </w:r>
    </w:p>
    <w:p w14:paraId="498C97B5">
      <w:pPr>
        <w:pageBreakBefore w:val="0"/>
        <w:kinsoku/>
        <w:wordWrap/>
        <w:overflowPunct/>
        <w:topLinePunct w:val="0"/>
        <w:bidi w:val="0"/>
        <w:spacing w:line="360" w:lineRule="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 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w:t>
      </w:r>
    </w:p>
    <w:p w14:paraId="6110CA91">
      <w:pPr>
        <w:pageBreakBefore w:val="0"/>
        <w:kinsoku/>
        <w:wordWrap/>
        <w:overflowPunct/>
        <w:topLinePunct w:val="0"/>
        <w:bidi w:val="0"/>
        <w:spacing w:line="360" w:lineRule="auto"/>
        <w:rPr>
          <w:rFonts w:hint="eastAsia" w:ascii="宋体" w:hAnsi="宋体" w:eastAsia="宋体" w:cs="宋体"/>
          <w:spacing w:val="-4"/>
          <w:sz w:val="21"/>
          <w:szCs w:val="21"/>
          <w:highlight w:val="none"/>
        </w:rPr>
      </w:pPr>
    </w:p>
    <w:p w14:paraId="761FC21D">
      <w:pPr>
        <w:pageBreakBefore w:val="0"/>
        <w:kinsoku/>
        <w:wordWrap/>
        <w:overflowPunct/>
        <w:topLinePunct w:val="0"/>
        <w:bidi w:val="0"/>
        <w:adjustRightInd w:val="0"/>
        <w:spacing w:line="360" w:lineRule="auto"/>
        <w:textAlignment w:val="baseline"/>
        <w:rPr>
          <w:rFonts w:hint="eastAsia" w:ascii="宋体" w:hAnsi="宋体" w:eastAsia="宋体" w:cs="宋体"/>
          <w:b/>
          <w:spacing w:val="20"/>
          <w:sz w:val="21"/>
          <w:szCs w:val="21"/>
          <w:highlight w:val="none"/>
        </w:rPr>
      </w:pPr>
    </w:p>
    <w:p w14:paraId="4A7CFEFC">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305D2757">
      <w:pPr>
        <w:pageBreakBefore w:val="0"/>
        <w:kinsoku/>
        <w:wordWrap/>
        <w:overflowPunct/>
        <w:topLinePunct w:val="0"/>
        <w:bidi w:val="0"/>
        <w:snapToGrid w:val="0"/>
        <w:spacing w:line="360" w:lineRule="auto"/>
        <w:ind w:firstLine="415" w:firstLineChars="198"/>
        <w:rPr>
          <w:rFonts w:hint="eastAsia" w:ascii="宋体" w:hAnsi="宋体" w:eastAsia="宋体" w:cs="宋体"/>
          <w:sz w:val="21"/>
          <w:szCs w:val="21"/>
          <w:highlight w:val="none"/>
        </w:rPr>
      </w:pPr>
    </w:p>
    <w:p w14:paraId="5B28C95D">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3CFF980A">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3448D5AF">
      <w:pPr>
        <w:pageBreakBefore w:val="0"/>
        <w:kinsoku/>
        <w:wordWrap/>
        <w:overflowPunct/>
        <w:topLinePunct w:val="0"/>
        <w:bidi w:val="0"/>
        <w:adjustRightInd w:val="0"/>
        <w:spacing w:line="360" w:lineRule="auto"/>
        <w:textAlignment w:val="baseline"/>
        <w:rPr>
          <w:rFonts w:hint="eastAsia" w:ascii="宋体" w:hAnsi="宋体" w:eastAsia="宋体" w:cs="宋体"/>
          <w:b/>
          <w:spacing w:val="20"/>
          <w:kern w:val="0"/>
          <w:sz w:val="21"/>
          <w:szCs w:val="21"/>
          <w:highlight w:val="none"/>
        </w:rPr>
      </w:pPr>
    </w:p>
    <w:p w14:paraId="2C3A5C25">
      <w:pPr>
        <w:pageBreakBefore w:val="0"/>
        <w:kinsoku/>
        <w:wordWrap/>
        <w:overflowPunct/>
        <w:topLinePunct w:val="0"/>
        <w:bidi w:val="0"/>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br w:type="page"/>
      </w:r>
    </w:p>
    <w:p w14:paraId="0B1D21CE">
      <w:pPr>
        <w:pageBreakBefore w:val="0"/>
        <w:kinsoku/>
        <w:wordWrap/>
        <w:overflowPunct/>
        <w:topLinePunct w:val="0"/>
        <w:bidi w:val="0"/>
        <w:snapToGrid w:val="0"/>
        <w:spacing w:before="50" w:after="156" w:afterLines="50" w:line="360" w:lineRule="auto"/>
        <w:outlineLvl w:val="2"/>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格式</w:t>
      </w:r>
      <w:r>
        <w:rPr>
          <w:rFonts w:hint="eastAsia" w:ascii="宋体" w:hAnsi="宋体" w:cs="宋体"/>
          <w:b/>
          <w:sz w:val="24"/>
          <w:szCs w:val="24"/>
          <w:highlight w:val="none"/>
          <w:lang w:val="en-US" w:eastAsia="zh-CN"/>
        </w:rPr>
        <w:t>七</w:t>
      </w:r>
      <w:r>
        <w:rPr>
          <w:rFonts w:hint="eastAsia" w:ascii="宋体" w:hAnsi="宋体" w:eastAsia="宋体" w:cs="宋体"/>
          <w:b/>
          <w:sz w:val="24"/>
          <w:szCs w:val="24"/>
          <w:highlight w:val="none"/>
        </w:rPr>
        <w:t>、项目实施人员一览表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3424"/>
        <w:gridCol w:w="812"/>
        <w:gridCol w:w="945"/>
        <w:gridCol w:w="945"/>
        <w:gridCol w:w="945"/>
        <w:gridCol w:w="1060"/>
        <w:gridCol w:w="832"/>
      </w:tblGrid>
      <w:tr w14:paraId="2D03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171" w:type="dxa"/>
            <w:noWrap w:val="0"/>
            <w:vAlign w:val="center"/>
          </w:tcPr>
          <w:p w14:paraId="47325B89">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序号</w:t>
            </w:r>
          </w:p>
        </w:tc>
        <w:tc>
          <w:tcPr>
            <w:tcW w:w="3424" w:type="dxa"/>
            <w:noWrap w:val="0"/>
            <w:vAlign w:val="center"/>
          </w:tcPr>
          <w:p w14:paraId="272888B7">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bidi="ar"/>
              </w:rPr>
              <w:t>岗位</w:t>
            </w:r>
          </w:p>
        </w:tc>
        <w:tc>
          <w:tcPr>
            <w:tcW w:w="812" w:type="dxa"/>
            <w:noWrap/>
            <w:vAlign w:val="center"/>
          </w:tcPr>
          <w:p w14:paraId="37B653B1">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姓名</w:t>
            </w:r>
          </w:p>
        </w:tc>
        <w:tc>
          <w:tcPr>
            <w:tcW w:w="945" w:type="dxa"/>
            <w:noWrap w:val="0"/>
            <w:vAlign w:val="center"/>
          </w:tcPr>
          <w:p w14:paraId="0BB49EC8">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性别</w:t>
            </w:r>
          </w:p>
        </w:tc>
        <w:tc>
          <w:tcPr>
            <w:tcW w:w="945" w:type="dxa"/>
            <w:noWrap/>
            <w:vAlign w:val="center"/>
          </w:tcPr>
          <w:p w14:paraId="2F31D9D2">
            <w:pPr>
              <w:widowControl/>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年龄</w:t>
            </w:r>
          </w:p>
        </w:tc>
        <w:tc>
          <w:tcPr>
            <w:tcW w:w="945" w:type="dxa"/>
            <w:noWrap/>
            <w:vAlign w:val="center"/>
          </w:tcPr>
          <w:p w14:paraId="2B39E76B">
            <w:pPr>
              <w:widowControl/>
              <w:jc w:val="center"/>
              <w:textAlignment w:val="center"/>
              <w:rPr>
                <w:rFonts w:hint="eastAsia" w:ascii="宋体" w:hAnsi="宋体" w:eastAsia="宋体" w:cs="宋体"/>
                <w:b/>
                <w:bCs/>
                <w:color w:val="000000"/>
                <w:sz w:val="24"/>
                <w:szCs w:val="24"/>
                <w:highlight w:val="none"/>
                <w:lang w:bidi="ar"/>
              </w:rPr>
            </w:pPr>
            <w:r>
              <w:rPr>
                <w:rFonts w:hint="eastAsia" w:ascii="宋体" w:hAnsi="宋体" w:eastAsia="宋体" w:cs="宋体"/>
                <w:b/>
                <w:bCs/>
                <w:color w:val="000000"/>
                <w:sz w:val="24"/>
                <w:szCs w:val="24"/>
                <w:highlight w:val="none"/>
                <w:lang w:bidi="ar"/>
              </w:rPr>
              <w:t>学历</w:t>
            </w:r>
          </w:p>
        </w:tc>
        <w:tc>
          <w:tcPr>
            <w:tcW w:w="1060" w:type="dxa"/>
            <w:noWrap/>
            <w:vAlign w:val="center"/>
          </w:tcPr>
          <w:p w14:paraId="2AECA11A">
            <w:pPr>
              <w:widowControl/>
              <w:jc w:val="center"/>
              <w:textAlignment w:val="center"/>
              <w:rPr>
                <w:rFonts w:hint="eastAsia"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相关资质</w:t>
            </w:r>
          </w:p>
        </w:tc>
        <w:tc>
          <w:tcPr>
            <w:tcW w:w="832" w:type="dxa"/>
            <w:noWrap/>
            <w:vAlign w:val="center"/>
          </w:tcPr>
          <w:p w14:paraId="00634146">
            <w:pPr>
              <w:widowControl/>
              <w:jc w:val="center"/>
              <w:textAlignment w:val="center"/>
              <w:rPr>
                <w:rFonts w:hint="eastAsia" w:ascii="宋体" w:hAnsi="宋体" w:eastAsia="宋体" w:cs="宋体"/>
                <w:b/>
                <w:bCs/>
                <w:color w:val="000000"/>
                <w:sz w:val="24"/>
                <w:szCs w:val="24"/>
                <w:highlight w:val="none"/>
                <w:lang w:eastAsia="zh-CN" w:bidi="ar"/>
              </w:rPr>
            </w:pPr>
            <w:r>
              <w:rPr>
                <w:rFonts w:hint="eastAsia" w:ascii="宋体" w:hAnsi="宋体" w:eastAsia="宋体" w:cs="宋体"/>
                <w:b/>
                <w:bCs/>
                <w:color w:val="000000"/>
                <w:sz w:val="24"/>
                <w:szCs w:val="24"/>
                <w:highlight w:val="none"/>
                <w:lang w:val="en-US" w:eastAsia="zh-CN" w:bidi="ar"/>
              </w:rPr>
              <w:t>职称</w:t>
            </w:r>
          </w:p>
        </w:tc>
      </w:tr>
      <w:tr w14:paraId="59EB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4F03828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424" w:type="dxa"/>
            <w:noWrap w:val="0"/>
            <w:vAlign w:val="center"/>
          </w:tcPr>
          <w:p w14:paraId="3B22FA7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
              </w:rPr>
              <w:t>项目负责人</w:t>
            </w:r>
          </w:p>
        </w:tc>
        <w:tc>
          <w:tcPr>
            <w:tcW w:w="812" w:type="dxa"/>
            <w:noWrap/>
            <w:vAlign w:val="center"/>
          </w:tcPr>
          <w:p w14:paraId="11D04303">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29FEAF0B">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044CF0A5">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347397F4">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780FBD8A">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45727193">
            <w:pPr>
              <w:widowControl/>
              <w:jc w:val="center"/>
              <w:textAlignment w:val="center"/>
              <w:rPr>
                <w:rFonts w:hint="eastAsia" w:ascii="宋体" w:hAnsi="宋体" w:eastAsia="宋体" w:cs="宋体"/>
                <w:color w:val="000000"/>
                <w:sz w:val="24"/>
                <w:szCs w:val="24"/>
                <w:highlight w:val="none"/>
                <w:lang w:bidi="ar"/>
              </w:rPr>
            </w:pPr>
          </w:p>
        </w:tc>
      </w:tr>
      <w:tr w14:paraId="61B5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0554600E">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424" w:type="dxa"/>
            <w:noWrap w:val="0"/>
            <w:vAlign w:val="center"/>
          </w:tcPr>
          <w:p w14:paraId="191C74E5">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ar"/>
              </w:rPr>
              <w:t>......</w:t>
            </w:r>
          </w:p>
        </w:tc>
        <w:tc>
          <w:tcPr>
            <w:tcW w:w="812" w:type="dxa"/>
            <w:noWrap/>
            <w:vAlign w:val="center"/>
          </w:tcPr>
          <w:p w14:paraId="38DA83B8">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264D1C99">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75C09BA8">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231A7E0">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54314E36">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211BA533">
            <w:pPr>
              <w:widowControl/>
              <w:jc w:val="center"/>
              <w:textAlignment w:val="center"/>
              <w:rPr>
                <w:rFonts w:hint="eastAsia" w:ascii="宋体" w:hAnsi="宋体" w:eastAsia="宋体" w:cs="宋体"/>
                <w:color w:val="000000"/>
                <w:sz w:val="24"/>
                <w:szCs w:val="24"/>
                <w:highlight w:val="none"/>
                <w:lang w:bidi="ar"/>
              </w:rPr>
            </w:pPr>
          </w:p>
        </w:tc>
      </w:tr>
      <w:tr w14:paraId="3000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3868E7FB">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3424" w:type="dxa"/>
            <w:noWrap/>
            <w:vAlign w:val="center"/>
          </w:tcPr>
          <w:p w14:paraId="52B8BAAA">
            <w:pPr>
              <w:widowControl/>
              <w:jc w:val="center"/>
              <w:textAlignment w:val="center"/>
              <w:rPr>
                <w:rFonts w:hint="eastAsia" w:ascii="宋体" w:hAnsi="宋体" w:eastAsia="宋体" w:cs="宋体"/>
                <w:color w:val="000000"/>
                <w:sz w:val="24"/>
                <w:szCs w:val="24"/>
                <w:highlight w:val="none"/>
                <w:lang w:val="en-US" w:eastAsia="zh-CN"/>
              </w:rPr>
            </w:pPr>
          </w:p>
        </w:tc>
        <w:tc>
          <w:tcPr>
            <w:tcW w:w="812" w:type="dxa"/>
            <w:noWrap/>
            <w:vAlign w:val="center"/>
          </w:tcPr>
          <w:p w14:paraId="352FFD38">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3DEBF6A8">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282186F4">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65D99E07">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6B841C9E">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1E6CBD63">
            <w:pPr>
              <w:widowControl/>
              <w:jc w:val="center"/>
              <w:textAlignment w:val="center"/>
              <w:rPr>
                <w:rFonts w:hint="eastAsia" w:ascii="宋体" w:hAnsi="宋体" w:eastAsia="宋体" w:cs="宋体"/>
                <w:color w:val="000000"/>
                <w:sz w:val="24"/>
                <w:szCs w:val="24"/>
                <w:highlight w:val="none"/>
                <w:lang w:bidi="ar"/>
              </w:rPr>
            </w:pPr>
          </w:p>
        </w:tc>
      </w:tr>
      <w:tr w14:paraId="1393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6D770845">
            <w:pPr>
              <w:widowControl/>
              <w:jc w:val="center"/>
              <w:textAlignment w:val="center"/>
              <w:rPr>
                <w:rFonts w:hint="eastAsia" w:ascii="宋体" w:hAnsi="宋体" w:eastAsia="宋体" w:cs="宋体"/>
                <w:color w:val="000000"/>
                <w:sz w:val="24"/>
                <w:szCs w:val="24"/>
                <w:highlight w:val="none"/>
                <w:lang w:val="en-US" w:eastAsia="zh-CN"/>
              </w:rPr>
            </w:pPr>
          </w:p>
        </w:tc>
        <w:tc>
          <w:tcPr>
            <w:tcW w:w="3424" w:type="dxa"/>
            <w:noWrap w:val="0"/>
            <w:vAlign w:val="center"/>
          </w:tcPr>
          <w:p w14:paraId="7C414831">
            <w:pPr>
              <w:widowControl/>
              <w:jc w:val="center"/>
              <w:textAlignment w:val="center"/>
              <w:rPr>
                <w:rFonts w:hint="eastAsia" w:ascii="宋体" w:hAnsi="宋体" w:eastAsia="宋体" w:cs="宋体"/>
                <w:color w:val="000000"/>
                <w:sz w:val="24"/>
                <w:szCs w:val="24"/>
                <w:highlight w:val="none"/>
              </w:rPr>
            </w:pPr>
          </w:p>
        </w:tc>
        <w:tc>
          <w:tcPr>
            <w:tcW w:w="812" w:type="dxa"/>
            <w:noWrap w:val="0"/>
            <w:vAlign w:val="center"/>
          </w:tcPr>
          <w:p w14:paraId="0517133A">
            <w:pPr>
              <w:widowControl/>
              <w:jc w:val="center"/>
              <w:textAlignment w:val="center"/>
              <w:rPr>
                <w:rFonts w:hint="eastAsia" w:ascii="宋体" w:hAnsi="宋体" w:eastAsia="宋体" w:cs="宋体"/>
                <w:color w:val="000000"/>
                <w:sz w:val="24"/>
                <w:szCs w:val="24"/>
                <w:highlight w:val="none"/>
              </w:rPr>
            </w:pPr>
          </w:p>
        </w:tc>
        <w:tc>
          <w:tcPr>
            <w:tcW w:w="945" w:type="dxa"/>
            <w:noWrap w:val="0"/>
            <w:vAlign w:val="center"/>
          </w:tcPr>
          <w:p w14:paraId="7B289B43">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5AFBAF8A">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14245B1B">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3C689811">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60F8D7AC">
            <w:pPr>
              <w:widowControl/>
              <w:jc w:val="center"/>
              <w:textAlignment w:val="center"/>
              <w:rPr>
                <w:rFonts w:hint="eastAsia" w:ascii="宋体" w:hAnsi="宋体" w:eastAsia="宋体" w:cs="宋体"/>
                <w:color w:val="000000"/>
                <w:sz w:val="24"/>
                <w:szCs w:val="24"/>
                <w:highlight w:val="none"/>
                <w:lang w:bidi="ar"/>
              </w:rPr>
            </w:pPr>
          </w:p>
        </w:tc>
      </w:tr>
      <w:tr w14:paraId="18E9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2B201452">
            <w:pPr>
              <w:widowControl/>
              <w:jc w:val="center"/>
              <w:textAlignment w:val="center"/>
              <w:rPr>
                <w:rFonts w:hint="eastAsia" w:ascii="宋体" w:hAnsi="宋体" w:eastAsia="宋体" w:cs="宋体"/>
                <w:color w:val="000000"/>
                <w:sz w:val="24"/>
                <w:szCs w:val="24"/>
                <w:highlight w:val="none"/>
                <w:lang w:val="en-US" w:eastAsia="zh-CN"/>
              </w:rPr>
            </w:pPr>
          </w:p>
        </w:tc>
        <w:tc>
          <w:tcPr>
            <w:tcW w:w="3424" w:type="dxa"/>
            <w:noWrap w:val="0"/>
            <w:vAlign w:val="center"/>
          </w:tcPr>
          <w:p w14:paraId="252A786B">
            <w:pPr>
              <w:widowControl/>
              <w:jc w:val="center"/>
              <w:textAlignment w:val="center"/>
              <w:rPr>
                <w:rFonts w:hint="eastAsia" w:ascii="宋体" w:hAnsi="宋体" w:eastAsia="宋体" w:cs="宋体"/>
                <w:color w:val="000000"/>
                <w:sz w:val="24"/>
                <w:szCs w:val="24"/>
                <w:highlight w:val="none"/>
              </w:rPr>
            </w:pPr>
          </w:p>
        </w:tc>
        <w:tc>
          <w:tcPr>
            <w:tcW w:w="812" w:type="dxa"/>
            <w:noWrap/>
            <w:vAlign w:val="center"/>
          </w:tcPr>
          <w:p w14:paraId="36A21B36">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3772AC34">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5F64D6D">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54B4298D">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2EC2E069">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2F004D04">
            <w:pPr>
              <w:widowControl/>
              <w:jc w:val="center"/>
              <w:textAlignment w:val="center"/>
              <w:rPr>
                <w:rFonts w:hint="eastAsia" w:ascii="宋体" w:hAnsi="宋体" w:eastAsia="宋体" w:cs="宋体"/>
                <w:color w:val="000000"/>
                <w:sz w:val="24"/>
                <w:szCs w:val="24"/>
                <w:highlight w:val="none"/>
                <w:lang w:bidi="ar"/>
              </w:rPr>
            </w:pPr>
          </w:p>
        </w:tc>
      </w:tr>
      <w:tr w14:paraId="3769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5B692B5E">
            <w:pPr>
              <w:widowControl/>
              <w:jc w:val="center"/>
              <w:textAlignment w:val="center"/>
              <w:rPr>
                <w:rFonts w:hint="eastAsia" w:ascii="宋体" w:hAnsi="宋体" w:eastAsia="宋体" w:cs="宋体"/>
                <w:color w:val="000000"/>
                <w:sz w:val="24"/>
                <w:szCs w:val="24"/>
                <w:highlight w:val="none"/>
              </w:rPr>
            </w:pPr>
          </w:p>
        </w:tc>
        <w:tc>
          <w:tcPr>
            <w:tcW w:w="3424" w:type="dxa"/>
            <w:noWrap w:val="0"/>
            <w:vAlign w:val="center"/>
          </w:tcPr>
          <w:p w14:paraId="25D2B0ED">
            <w:pPr>
              <w:widowControl/>
              <w:jc w:val="center"/>
              <w:textAlignment w:val="center"/>
              <w:rPr>
                <w:rFonts w:hint="eastAsia" w:ascii="宋体" w:hAnsi="宋体" w:eastAsia="宋体" w:cs="宋体"/>
                <w:color w:val="000000"/>
                <w:sz w:val="24"/>
                <w:szCs w:val="24"/>
                <w:highlight w:val="none"/>
              </w:rPr>
            </w:pPr>
          </w:p>
        </w:tc>
        <w:tc>
          <w:tcPr>
            <w:tcW w:w="812" w:type="dxa"/>
            <w:noWrap/>
            <w:vAlign w:val="center"/>
          </w:tcPr>
          <w:p w14:paraId="00198AE7">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2E0F8C5B">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CF32A76">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03E3F2B">
            <w:pPr>
              <w:widowControl/>
              <w:jc w:val="center"/>
              <w:textAlignment w:val="center"/>
              <w:rPr>
                <w:rFonts w:hint="eastAsia" w:ascii="宋体" w:hAnsi="宋体" w:eastAsia="宋体" w:cs="宋体"/>
                <w:color w:val="000000"/>
                <w:sz w:val="24"/>
                <w:szCs w:val="24"/>
                <w:highlight w:val="none"/>
                <w:lang w:bidi="ar"/>
              </w:rPr>
            </w:pPr>
          </w:p>
        </w:tc>
        <w:tc>
          <w:tcPr>
            <w:tcW w:w="1060" w:type="dxa"/>
            <w:noWrap/>
            <w:vAlign w:val="center"/>
          </w:tcPr>
          <w:p w14:paraId="385A24D6">
            <w:pPr>
              <w:widowControl/>
              <w:jc w:val="center"/>
              <w:textAlignment w:val="center"/>
              <w:rPr>
                <w:rFonts w:hint="eastAsia" w:ascii="宋体" w:hAnsi="宋体" w:eastAsia="宋体" w:cs="宋体"/>
                <w:color w:val="000000"/>
                <w:sz w:val="24"/>
                <w:szCs w:val="24"/>
                <w:highlight w:val="none"/>
                <w:lang w:bidi="ar"/>
              </w:rPr>
            </w:pPr>
          </w:p>
        </w:tc>
        <w:tc>
          <w:tcPr>
            <w:tcW w:w="832" w:type="dxa"/>
            <w:noWrap/>
            <w:vAlign w:val="center"/>
          </w:tcPr>
          <w:p w14:paraId="25A0B7E3">
            <w:pPr>
              <w:widowControl/>
              <w:jc w:val="center"/>
              <w:textAlignment w:val="center"/>
              <w:rPr>
                <w:rFonts w:hint="eastAsia" w:ascii="宋体" w:hAnsi="宋体" w:eastAsia="宋体" w:cs="宋体"/>
                <w:color w:val="000000"/>
                <w:sz w:val="24"/>
                <w:szCs w:val="24"/>
                <w:highlight w:val="none"/>
                <w:lang w:bidi="ar"/>
              </w:rPr>
            </w:pPr>
          </w:p>
        </w:tc>
      </w:tr>
      <w:tr w14:paraId="14A3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6B48250B">
            <w:pPr>
              <w:widowControl/>
              <w:jc w:val="center"/>
              <w:textAlignment w:val="center"/>
              <w:rPr>
                <w:rFonts w:hint="eastAsia" w:ascii="宋体" w:hAnsi="宋体" w:eastAsia="宋体" w:cs="宋体"/>
                <w:color w:val="000000"/>
                <w:sz w:val="24"/>
                <w:szCs w:val="24"/>
                <w:highlight w:val="none"/>
              </w:rPr>
            </w:pPr>
          </w:p>
        </w:tc>
        <w:tc>
          <w:tcPr>
            <w:tcW w:w="3424" w:type="dxa"/>
            <w:noWrap w:val="0"/>
            <w:vAlign w:val="center"/>
          </w:tcPr>
          <w:p w14:paraId="7CA3A541">
            <w:pPr>
              <w:widowControl/>
              <w:jc w:val="center"/>
              <w:textAlignment w:val="center"/>
              <w:rPr>
                <w:rFonts w:hint="eastAsia" w:ascii="宋体" w:hAnsi="宋体" w:eastAsia="宋体" w:cs="宋体"/>
                <w:color w:val="000000"/>
                <w:sz w:val="24"/>
                <w:szCs w:val="24"/>
                <w:highlight w:val="none"/>
              </w:rPr>
            </w:pPr>
          </w:p>
        </w:tc>
        <w:tc>
          <w:tcPr>
            <w:tcW w:w="812" w:type="dxa"/>
            <w:noWrap/>
            <w:vAlign w:val="center"/>
          </w:tcPr>
          <w:p w14:paraId="3362506F">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CED428B">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1E213C55">
            <w:pPr>
              <w:jc w:val="center"/>
              <w:rPr>
                <w:rFonts w:hint="eastAsia" w:ascii="宋体" w:hAnsi="宋体" w:eastAsia="宋体" w:cs="宋体"/>
                <w:color w:val="000000"/>
                <w:sz w:val="24"/>
                <w:szCs w:val="24"/>
                <w:highlight w:val="none"/>
              </w:rPr>
            </w:pPr>
          </w:p>
        </w:tc>
        <w:tc>
          <w:tcPr>
            <w:tcW w:w="945" w:type="dxa"/>
            <w:noWrap/>
            <w:vAlign w:val="center"/>
          </w:tcPr>
          <w:p w14:paraId="4C60EF6F">
            <w:pPr>
              <w:jc w:val="center"/>
              <w:rPr>
                <w:rFonts w:hint="eastAsia" w:ascii="宋体" w:hAnsi="宋体" w:eastAsia="宋体" w:cs="宋体"/>
                <w:color w:val="000000"/>
                <w:sz w:val="24"/>
                <w:szCs w:val="24"/>
                <w:highlight w:val="none"/>
              </w:rPr>
            </w:pPr>
          </w:p>
        </w:tc>
        <w:tc>
          <w:tcPr>
            <w:tcW w:w="1060" w:type="dxa"/>
            <w:noWrap/>
            <w:vAlign w:val="center"/>
          </w:tcPr>
          <w:p w14:paraId="2BE02C11">
            <w:pPr>
              <w:jc w:val="center"/>
              <w:rPr>
                <w:rFonts w:hint="eastAsia" w:ascii="宋体" w:hAnsi="宋体" w:eastAsia="宋体" w:cs="宋体"/>
                <w:color w:val="000000"/>
                <w:sz w:val="24"/>
                <w:szCs w:val="24"/>
                <w:highlight w:val="none"/>
              </w:rPr>
            </w:pPr>
          </w:p>
        </w:tc>
        <w:tc>
          <w:tcPr>
            <w:tcW w:w="832" w:type="dxa"/>
            <w:noWrap/>
            <w:vAlign w:val="center"/>
          </w:tcPr>
          <w:p w14:paraId="796732BD">
            <w:pPr>
              <w:jc w:val="center"/>
              <w:rPr>
                <w:rFonts w:hint="eastAsia" w:ascii="宋体" w:hAnsi="宋体" w:eastAsia="宋体" w:cs="宋体"/>
                <w:color w:val="000000"/>
                <w:sz w:val="24"/>
                <w:szCs w:val="24"/>
                <w:highlight w:val="none"/>
              </w:rPr>
            </w:pPr>
          </w:p>
        </w:tc>
      </w:tr>
      <w:tr w14:paraId="748C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030A67DF">
            <w:pPr>
              <w:widowControl/>
              <w:jc w:val="center"/>
              <w:textAlignment w:val="center"/>
              <w:rPr>
                <w:rFonts w:hint="eastAsia" w:ascii="宋体" w:hAnsi="宋体" w:eastAsia="宋体" w:cs="宋体"/>
                <w:color w:val="000000"/>
                <w:kern w:val="0"/>
                <w:sz w:val="24"/>
                <w:szCs w:val="24"/>
                <w:highlight w:val="none"/>
                <w:lang w:val="en-US" w:eastAsia="zh-CN" w:bidi="ar"/>
              </w:rPr>
            </w:pPr>
          </w:p>
        </w:tc>
        <w:tc>
          <w:tcPr>
            <w:tcW w:w="3424" w:type="dxa"/>
            <w:noWrap w:val="0"/>
            <w:vAlign w:val="center"/>
          </w:tcPr>
          <w:p w14:paraId="07F24E55">
            <w:pPr>
              <w:widowControl/>
              <w:jc w:val="center"/>
              <w:textAlignment w:val="center"/>
              <w:rPr>
                <w:rFonts w:hint="eastAsia" w:ascii="宋体" w:hAnsi="宋体" w:eastAsia="宋体" w:cs="宋体"/>
                <w:color w:val="000000"/>
                <w:sz w:val="24"/>
                <w:szCs w:val="24"/>
                <w:highlight w:val="none"/>
              </w:rPr>
            </w:pPr>
          </w:p>
        </w:tc>
        <w:tc>
          <w:tcPr>
            <w:tcW w:w="812" w:type="dxa"/>
            <w:noWrap/>
            <w:vAlign w:val="center"/>
          </w:tcPr>
          <w:p w14:paraId="7C48AF08">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237EA1DA">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0F1D3316">
            <w:pPr>
              <w:jc w:val="center"/>
              <w:rPr>
                <w:rFonts w:hint="eastAsia" w:ascii="宋体" w:hAnsi="宋体" w:eastAsia="宋体" w:cs="宋体"/>
                <w:color w:val="000000"/>
                <w:sz w:val="24"/>
                <w:szCs w:val="24"/>
                <w:highlight w:val="none"/>
              </w:rPr>
            </w:pPr>
          </w:p>
        </w:tc>
        <w:tc>
          <w:tcPr>
            <w:tcW w:w="945" w:type="dxa"/>
            <w:noWrap/>
            <w:vAlign w:val="center"/>
          </w:tcPr>
          <w:p w14:paraId="24D8D7EC">
            <w:pPr>
              <w:jc w:val="center"/>
              <w:rPr>
                <w:rFonts w:hint="eastAsia" w:ascii="宋体" w:hAnsi="宋体" w:eastAsia="宋体" w:cs="宋体"/>
                <w:color w:val="000000"/>
                <w:sz w:val="24"/>
                <w:szCs w:val="24"/>
                <w:highlight w:val="none"/>
              </w:rPr>
            </w:pPr>
          </w:p>
        </w:tc>
        <w:tc>
          <w:tcPr>
            <w:tcW w:w="1060" w:type="dxa"/>
            <w:noWrap/>
            <w:vAlign w:val="center"/>
          </w:tcPr>
          <w:p w14:paraId="122F795F">
            <w:pPr>
              <w:jc w:val="center"/>
              <w:rPr>
                <w:rFonts w:hint="eastAsia" w:ascii="宋体" w:hAnsi="宋体" w:eastAsia="宋体" w:cs="宋体"/>
                <w:color w:val="000000"/>
                <w:sz w:val="24"/>
                <w:szCs w:val="24"/>
                <w:highlight w:val="none"/>
              </w:rPr>
            </w:pPr>
          </w:p>
        </w:tc>
        <w:tc>
          <w:tcPr>
            <w:tcW w:w="832" w:type="dxa"/>
            <w:noWrap/>
            <w:vAlign w:val="center"/>
          </w:tcPr>
          <w:p w14:paraId="6BF62CF8">
            <w:pPr>
              <w:jc w:val="center"/>
              <w:rPr>
                <w:rFonts w:hint="eastAsia" w:ascii="宋体" w:hAnsi="宋体" w:eastAsia="宋体" w:cs="宋体"/>
                <w:color w:val="000000"/>
                <w:sz w:val="24"/>
                <w:szCs w:val="24"/>
                <w:highlight w:val="none"/>
              </w:rPr>
            </w:pPr>
          </w:p>
        </w:tc>
      </w:tr>
      <w:tr w14:paraId="0C88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44A3E494">
            <w:pPr>
              <w:widowControl/>
              <w:jc w:val="center"/>
              <w:textAlignment w:val="center"/>
              <w:rPr>
                <w:rFonts w:hint="eastAsia" w:ascii="宋体" w:hAnsi="宋体" w:eastAsia="宋体" w:cs="宋体"/>
                <w:color w:val="000000"/>
                <w:kern w:val="0"/>
                <w:sz w:val="24"/>
                <w:szCs w:val="24"/>
                <w:highlight w:val="none"/>
                <w:lang w:val="en-US" w:eastAsia="zh-CN" w:bidi="ar"/>
              </w:rPr>
            </w:pPr>
          </w:p>
        </w:tc>
        <w:tc>
          <w:tcPr>
            <w:tcW w:w="3424" w:type="dxa"/>
            <w:noWrap w:val="0"/>
            <w:vAlign w:val="center"/>
          </w:tcPr>
          <w:p w14:paraId="66CB23C3">
            <w:pPr>
              <w:widowControl/>
              <w:jc w:val="center"/>
              <w:textAlignment w:val="center"/>
              <w:rPr>
                <w:rFonts w:hint="eastAsia" w:ascii="宋体" w:hAnsi="宋体" w:eastAsia="宋体" w:cs="宋体"/>
                <w:color w:val="000000"/>
                <w:sz w:val="24"/>
                <w:szCs w:val="24"/>
                <w:highlight w:val="none"/>
              </w:rPr>
            </w:pPr>
          </w:p>
        </w:tc>
        <w:tc>
          <w:tcPr>
            <w:tcW w:w="812" w:type="dxa"/>
            <w:noWrap/>
            <w:vAlign w:val="center"/>
          </w:tcPr>
          <w:p w14:paraId="657A4AB2">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00D100D">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4680791C">
            <w:pPr>
              <w:jc w:val="center"/>
              <w:rPr>
                <w:rFonts w:hint="eastAsia" w:ascii="宋体" w:hAnsi="宋体" w:eastAsia="宋体" w:cs="宋体"/>
                <w:color w:val="000000"/>
                <w:sz w:val="24"/>
                <w:szCs w:val="24"/>
                <w:highlight w:val="none"/>
              </w:rPr>
            </w:pPr>
          </w:p>
        </w:tc>
        <w:tc>
          <w:tcPr>
            <w:tcW w:w="945" w:type="dxa"/>
            <w:noWrap/>
            <w:vAlign w:val="center"/>
          </w:tcPr>
          <w:p w14:paraId="2C6B3B58">
            <w:pPr>
              <w:jc w:val="center"/>
              <w:rPr>
                <w:rFonts w:hint="eastAsia" w:ascii="宋体" w:hAnsi="宋体" w:eastAsia="宋体" w:cs="宋体"/>
                <w:color w:val="000000"/>
                <w:sz w:val="24"/>
                <w:szCs w:val="24"/>
                <w:highlight w:val="none"/>
              </w:rPr>
            </w:pPr>
          </w:p>
        </w:tc>
        <w:tc>
          <w:tcPr>
            <w:tcW w:w="1060" w:type="dxa"/>
            <w:noWrap/>
            <w:vAlign w:val="center"/>
          </w:tcPr>
          <w:p w14:paraId="683B76A9">
            <w:pPr>
              <w:jc w:val="center"/>
              <w:rPr>
                <w:rFonts w:hint="eastAsia" w:ascii="宋体" w:hAnsi="宋体" w:eastAsia="宋体" w:cs="宋体"/>
                <w:color w:val="000000"/>
                <w:sz w:val="24"/>
                <w:szCs w:val="24"/>
                <w:highlight w:val="none"/>
              </w:rPr>
            </w:pPr>
          </w:p>
        </w:tc>
        <w:tc>
          <w:tcPr>
            <w:tcW w:w="832" w:type="dxa"/>
            <w:noWrap/>
            <w:vAlign w:val="center"/>
          </w:tcPr>
          <w:p w14:paraId="5D17560B">
            <w:pPr>
              <w:jc w:val="center"/>
              <w:rPr>
                <w:rFonts w:hint="eastAsia" w:ascii="宋体" w:hAnsi="宋体" w:eastAsia="宋体" w:cs="宋体"/>
                <w:color w:val="000000"/>
                <w:sz w:val="24"/>
                <w:szCs w:val="24"/>
                <w:highlight w:val="none"/>
              </w:rPr>
            </w:pPr>
          </w:p>
        </w:tc>
      </w:tr>
      <w:tr w14:paraId="26CB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71" w:type="dxa"/>
            <w:noWrap w:val="0"/>
            <w:vAlign w:val="center"/>
          </w:tcPr>
          <w:p w14:paraId="3806A9BE">
            <w:pPr>
              <w:widowControl/>
              <w:jc w:val="center"/>
              <w:textAlignment w:val="center"/>
              <w:rPr>
                <w:rFonts w:hint="eastAsia" w:ascii="宋体" w:hAnsi="宋体" w:eastAsia="宋体" w:cs="宋体"/>
                <w:color w:val="000000"/>
                <w:kern w:val="0"/>
                <w:sz w:val="24"/>
                <w:szCs w:val="24"/>
                <w:highlight w:val="none"/>
                <w:lang w:val="en-US" w:eastAsia="zh-CN" w:bidi="ar"/>
              </w:rPr>
            </w:pPr>
          </w:p>
        </w:tc>
        <w:tc>
          <w:tcPr>
            <w:tcW w:w="3424" w:type="dxa"/>
            <w:noWrap w:val="0"/>
            <w:vAlign w:val="center"/>
          </w:tcPr>
          <w:p w14:paraId="04EC59E7">
            <w:pPr>
              <w:widowControl/>
              <w:jc w:val="center"/>
              <w:textAlignment w:val="center"/>
              <w:rPr>
                <w:rFonts w:hint="eastAsia" w:ascii="宋体" w:hAnsi="宋体" w:eastAsia="宋体" w:cs="宋体"/>
                <w:color w:val="000000"/>
                <w:sz w:val="24"/>
                <w:szCs w:val="24"/>
                <w:highlight w:val="none"/>
                <w:lang w:val="en-US" w:eastAsia="zh-CN"/>
              </w:rPr>
            </w:pPr>
          </w:p>
        </w:tc>
        <w:tc>
          <w:tcPr>
            <w:tcW w:w="812" w:type="dxa"/>
            <w:noWrap/>
            <w:vAlign w:val="center"/>
          </w:tcPr>
          <w:p w14:paraId="15CF5506">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341E659F">
            <w:pPr>
              <w:widowControl/>
              <w:jc w:val="center"/>
              <w:textAlignment w:val="center"/>
              <w:rPr>
                <w:rFonts w:hint="eastAsia" w:ascii="宋体" w:hAnsi="宋体" w:eastAsia="宋体" w:cs="宋体"/>
                <w:color w:val="000000"/>
                <w:sz w:val="24"/>
                <w:szCs w:val="24"/>
                <w:highlight w:val="none"/>
              </w:rPr>
            </w:pPr>
          </w:p>
        </w:tc>
        <w:tc>
          <w:tcPr>
            <w:tcW w:w="945" w:type="dxa"/>
            <w:noWrap/>
            <w:vAlign w:val="center"/>
          </w:tcPr>
          <w:p w14:paraId="6EB5F608">
            <w:pPr>
              <w:jc w:val="center"/>
              <w:rPr>
                <w:rFonts w:hint="eastAsia" w:ascii="宋体" w:hAnsi="宋体" w:eastAsia="宋体" w:cs="宋体"/>
                <w:color w:val="000000"/>
                <w:sz w:val="24"/>
                <w:szCs w:val="24"/>
                <w:highlight w:val="none"/>
              </w:rPr>
            </w:pPr>
          </w:p>
        </w:tc>
        <w:tc>
          <w:tcPr>
            <w:tcW w:w="945" w:type="dxa"/>
            <w:noWrap/>
            <w:vAlign w:val="center"/>
          </w:tcPr>
          <w:p w14:paraId="530BD810">
            <w:pPr>
              <w:jc w:val="center"/>
              <w:rPr>
                <w:rFonts w:hint="eastAsia" w:ascii="宋体" w:hAnsi="宋体" w:eastAsia="宋体" w:cs="宋体"/>
                <w:color w:val="000000"/>
                <w:sz w:val="24"/>
                <w:szCs w:val="24"/>
                <w:highlight w:val="none"/>
              </w:rPr>
            </w:pPr>
          </w:p>
        </w:tc>
        <w:tc>
          <w:tcPr>
            <w:tcW w:w="1060" w:type="dxa"/>
            <w:noWrap/>
            <w:vAlign w:val="center"/>
          </w:tcPr>
          <w:p w14:paraId="7A29EE29">
            <w:pPr>
              <w:jc w:val="center"/>
              <w:rPr>
                <w:rFonts w:hint="eastAsia" w:ascii="宋体" w:hAnsi="宋体" w:eastAsia="宋体" w:cs="宋体"/>
                <w:color w:val="000000"/>
                <w:sz w:val="24"/>
                <w:szCs w:val="24"/>
                <w:highlight w:val="none"/>
              </w:rPr>
            </w:pPr>
          </w:p>
        </w:tc>
        <w:tc>
          <w:tcPr>
            <w:tcW w:w="832" w:type="dxa"/>
            <w:noWrap/>
            <w:vAlign w:val="center"/>
          </w:tcPr>
          <w:p w14:paraId="5402F3A5">
            <w:pPr>
              <w:jc w:val="center"/>
              <w:rPr>
                <w:rFonts w:hint="eastAsia" w:ascii="宋体" w:hAnsi="宋体" w:eastAsia="宋体" w:cs="宋体"/>
                <w:color w:val="000000"/>
                <w:sz w:val="24"/>
                <w:szCs w:val="24"/>
                <w:highlight w:val="none"/>
              </w:rPr>
            </w:pPr>
          </w:p>
        </w:tc>
      </w:tr>
    </w:tbl>
    <w:p w14:paraId="4D37D32D">
      <w:pPr>
        <w:snapToGrid w:val="0"/>
        <w:spacing w:line="48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注：1、在填写时，如本表格不适合投标单位的实际情况，可根据本表格式自行划表填写。</w:t>
      </w:r>
    </w:p>
    <w:p w14:paraId="30D3ACA9">
      <w:pPr>
        <w:snapToGrid w:val="0"/>
        <w:spacing w:line="48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提供项目组</w:t>
      </w:r>
      <w:r>
        <w:rPr>
          <w:rFonts w:hint="eastAsia" w:ascii="宋体" w:hAnsi="宋体" w:cs="宋体"/>
          <w:b/>
          <w:bCs/>
          <w:sz w:val="24"/>
          <w:szCs w:val="24"/>
          <w:highlight w:val="none"/>
          <w:lang w:val="en-US" w:eastAsia="zh-CN"/>
        </w:rPr>
        <w:t>成员</w:t>
      </w:r>
      <w:r>
        <w:rPr>
          <w:rFonts w:hint="eastAsia" w:ascii="宋体" w:hAnsi="宋体" w:eastAsia="宋体" w:cs="宋体"/>
          <w:b/>
          <w:bCs/>
          <w:sz w:val="24"/>
          <w:szCs w:val="24"/>
          <w:highlight w:val="none"/>
          <w:lang w:val="en-US" w:eastAsia="zh-CN"/>
        </w:rPr>
        <w:t>相关证书及投标人为其缴纳的近三个月</w:t>
      </w:r>
      <w:r>
        <w:rPr>
          <w:rFonts w:hint="eastAsia" w:ascii="宋体" w:hAnsi="宋体" w:cs="宋体"/>
          <w:b/>
          <w:bCs/>
          <w:sz w:val="24"/>
          <w:szCs w:val="24"/>
          <w:highlight w:val="none"/>
          <w:lang w:val="en-US" w:eastAsia="zh-CN"/>
        </w:rPr>
        <w:t>内</w:t>
      </w:r>
      <w:r>
        <w:rPr>
          <w:rFonts w:hint="eastAsia" w:ascii="宋体" w:hAnsi="宋体" w:eastAsia="宋体" w:cs="宋体"/>
          <w:b/>
          <w:bCs/>
          <w:sz w:val="24"/>
          <w:szCs w:val="24"/>
          <w:highlight w:val="none"/>
          <w:lang w:val="en-US" w:eastAsia="zh-CN"/>
        </w:rPr>
        <w:t>任意一个月社保证明。</w:t>
      </w:r>
    </w:p>
    <w:p w14:paraId="129B81E2">
      <w:pPr>
        <w:keepNext w:val="0"/>
        <w:keepLines w:val="0"/>
        <w:pageBreakBefore w:val="0"/>
        <w:widowControl w:val="0"/>
        <w:kinsoku/>
        <w:wordWrap/>
        <w:overflowPunct/>
        <w:topLinePunct w:val="0"/>
        <w:autoSpaceDE/>
        <w:autoSpaceDN/>
        <w:bidi w:val="0"/>
        <w:adjustRightInd/>
        <w:spacing w:line="480" w:lineRule="auto"/>
        <w:ind w:left="0" w:leftChars="0"/>
        <w:textAlignment w:val="auto"/>
        <w:rPr>
          <w:rFonts w:hint="eastAsia" w:ascii="宋体" w:hAnsi="宋体" w:eastAsia="宋体" w:cs="宋体"/>
          <w:b/>
          <w:spacing w:val="20"/>
          <w:sz w:val="24"/>
          <w:szCs w:val="24"/>
          <w:highlight w:val="none"/>
        </w:rPr>
      </w:pPr>
    </w:p>
    <w:p w14:paraId="3E82A445">
      <w:pPr>
        <w:keepNext w:val="0"/>
        <w:keepLines w:val="0"/>
        <w:pageBreakBefore w:val="0"/>
        <w:widowControl w:val="0"/>
        <w:kinsoku/>
        <w:wordWrap/>
        <w:overflowPunct/>
        <w:topLinePunct w:val="0"/>
        <w:autoSpaceDE/>
        <w:autoSpaceDN/>
        <w:bidi w:val="0"/>
        <w:adjustRightInd/>
        <w:spacing w:line="480" w:lineRule="auto"/>
        <w:ind w:left="0" w:leftChars="0"/>
        <w:textAlignment w:val="auto"/>
        <w:rPr>
          <w:rFonts w:hint="eastAsia" w:ascii="宋体" w:hAnsi="宋体" w:eastAsia="宋体" w:cs="宋体"/>
          <w:sz w:val="24"/>
          <w:szCs w:val="24"/>
          <w:highlight w:val="none"/>
        </w:rPr>
      </w:pPr>
    </w:p>
    <w:p w14:paraId="7A500B29">
      <w:pPr>
        <w:keepNext w:val="0"/>
        <w:keepLines w:val="0"/>
        <w:pageBreakBefore w:val="0"/>
        <w:widowControl w:val="0"/>
        <w:kinsoku/>
        <w:wordWrap/>
        <w:overflowPunct/>
        <w:topLinePunct w:val="0"/>
        <w:autoSpaceDE/>
        <w:autoSpaceDN/>
        <w:bidi w:val="0"/>
        <w:adjustRightInd/>
        <w:spacing w:line="480" w:lineRule="auto"/>
        <w:ind w:left="0" w:left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人名称：</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 xml:space="preserve">（加盖公章）  </w:t>
      </w:r>
    </w:p>
    <w:p w14:paraId="748260F2">
      <w:pPr>
        <w:keepNext w:val="0"/>
        <w:keepLines w:val="0"/>
        <w:pageBreakBefore w:val="0"/>
        <w:widowControl w:val="0"/>
        <w:kinsoku/>
        <w:wordWrap/>
        <w:overflowPunct/>
        <w:topLinePunct w:val="0"/>
        <w:autoSpaceDE/>
        <w:autoSpaceDN/>
        <w:bidi w:val="0"/>
        <w:adjustRightInd/>
        <w:spacing w:line="48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w:t>
      </w:r>
      <w:r>
        <w:rPr>
          <w:rFonts w:hint="eastAsia" w:ascii="宋体" w:hAnsi="宋体" w:eastAsia="宋体" w:cs="宋体"/>
          <w:spacing w:val="-4"/>
          <w:sz w:val="24"/>
          <w:szCs w:val="24"/>
          <w:highlight w:val="none"/>
        </w:rPr>
        <w:t>代表</w:t>
      </w:r>
      <w:r>
        <w:rPr>
          <w:rFonts w:hint="eastAsia" w:ascii="宋体" w:hAnsi="宋体" w:eastAsia="宋体" w:cs="宋体"/>
          <w:sz w:val="24"/>
          <w:szCs w:val="24"/>
          <w:highlight w:val="none"/>
        </w:rPr>
        <w:t>：</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（签字）</w:t>
      </w:r>
    </w:p>
    <w:p w14:paraId="41EF0096">
      <w:pPr>
        <w:keepNext w:val="0"/>
        <w:keepLines w:val="0"/>
        <w:pageBreakBefore w:val="0"/>
        <w:widowControl w:val="0"/>
        <w:kinsoku/>
        <w:wordWrap/>
        <w:overflowPunct/>
        <w:topLinePunct w:val="0"/>
        <w:autoSpaceDE/>
        <w:autoSpaceDN/>
        <w:bidi w:val="0"/>
        <w:adjustRightInd/>
        <w:spacing w:line="480" w:lineRule="auto"/>
        <w:ind w:left="0" w:left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日期：</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年</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月</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日</w:t>
      </w:r>
    </w:p>
    <w:p w14:paraId="67B49D1E">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outlineLvl w:val="2"/>
        <w:rPr>
          <w:rFonts w:hint="eastAsia" w:ascii="宋体" w:hAnsi="宋体" w:eastAsia="宋体" w:cs="宋体"/>
          <w:sz w:val="24"/>
          <w:szCs w:val="24"/>
          <w:highlight w:val="none"/>
        </w:rPr>
      </w:pPr>
      <w:r>
        <w:rPr>
          <w:rFonts w:hint="eastAsia" w:ascii="宋体" w:hAnsi="宋体" w:eastAsia="宋体" w:cs="宋体"/>
          <w:b/>
          <w:sz w:val="21"/>
          <w:szCs w:val="21"/>
          <w:highlight w:val="none"/>
        </w:rPr>
        <w:br w:type="page"/>
      </w:r>
      <w:r>
        <w:rPr>
          <w:rFonts w:hint="eastAsia" w:ascii="宋体" w:hAnsi="宋体" w:eastAsia="宋体" w:cs="宋体"/>
          <w:b/>
          <w:sz w:val="24"/>
          <w:szCs w:val="24"/>
          <w:highlight w:val="none"/>
        </w:rPr>
        <w:t>格式</w:t>
      </w:r>
      <w:r>
        <w:rPr>
          <w:rFonts w:hint="eastAsia" w:ascii="宋体" w:hAnsi="宋体" w:cs="宋体"/>
          <w:b/>
          <w:sz w:val="24"/>
          <w:szCs w:val="24"/>
          <w:highlight w:val="none"/>
          <w:lang w:val="en-US" w:eastAsia="zh-CN"/>
        </w:rPr>
        <w:t>八</w:t>
      </w:r>
      <w:r>
        <w:rPr>
          <w:rFonts w:hint="eastAsia" w:ascii="宋体" w:hAnsi="宋体" w:eastAsia="宋体" w:cs="宋体"/>
          <w:b/>
          <w:sz w:val="24"/>
          <w:szCs w:val="24"/>
          <w:highlight w:val="none"/>
        </w:rPr>
        <w:t>、相关业绩一览表</w:t>
      </w:r>
    </w:p>
    <w:tbl>
      <w:tblPr>
        <w:tblStyle w:val="2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673"/>
        <w:gridCol w:w="2473"/>
        <w:gridCol w:w="1288"/>
        <w:gridCol w:w="1288"/>
        <w:gridCol w:w="1673"/>
        <w:gridCol w:w="875"/>
      </w:tblGrid>
      <w:tr w14:paraId="063F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5A2C0A43">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673" w:type="dxa"/>
            <w:noWrap w:val="0"/>
            <w:vAlign w:val="center"/>
          </w:tcPr>
          <w:p w14:paraId="42A3FAEE">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业主名称</w:t>
            </w:r>
          </w:p>
        </w:tc>
        <w:tc>
          <w:tcPr>
            <w:tcW w:w="2473" w:type="dxa"/>
            <w:noWrap w:val="0"/>
            <w:vAlign w:val="center"/>
          </w:tcPr>
          <w:p w14:paraId="4530B408">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项目内容</w:t>
            </w:r>
          </w:p>
        </w:tc>
        <w:tc>
          <w:tcPr>
            <w:tcW w:w="1288" w:type="dxa"/>
            <w:noWrap w:val="0"/>
            <w:vAlign w:val="center"/>
          </w:tcPr>
          <w:p w14:paraId="6133068B">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签订日期</w:t>
            </w:r>
          </w:p>
        </w:tc>
        <w:tc>
          <w:tcPr>
            <w:tcW w:w="1288" w:type="dxa"/>
            <w:noWrap w:val="0"/>
            <w:vAlign w:val="center"/>
          </w:tcPr>
          <w:p w14:paraId="79A8661C">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tc>
        <w:tc>
          <w:tcPr>
            <w:tcW w:w="1673" w:type="dxa"/>
            <w:noWrap w:val="0"/>
            <w:vAlign w:val="center"/>
          </w:tcPr>
          <w:p w14:paraId="6405CE55">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业主联系人及联系方式</w:t>
            </w:r>
          </w:p>
        </w:tc>
        <w:tc>
          <w:tcPr>
            <w:tcW w:w="875" w:type="dxa"/>
            <w:noWrap w:val="0"/>
            <w:vAlign w:val="center"/>
          </w:tcPr>
          <w:p w14:paraId="1D145268">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w:t>
            </w:r>
          </w:p>
          <w:p w14:paraId="4E9ED8F3">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页码</w:t>
            </w:r>
          </w:p>
        </w:tc>
      </w:tr>
      <w:tr w14:paraId="4E8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2A98086B">
            <w:pPr>
              <w:spacing w:line="240" w:lineRule="auto"/>
              <w:jc w:val="center"/>
              <w:rPr>
                <w:rFonts w:hint="eastAsia" w:ascii="宋体" w:hAnsi="宋体" w:eastAsia="宋体" w:cs="宋体"/>
                <w:b/>
                <w:sz w:val="24"/>
                <w:szCs w:val="24"/>
                <w:highlight w:val="none"/>
              </w:rPr>
            </w:pPr>
          </w:p>
        </w:tc>
        <w:tc>
          <w:tcPr>
            <w:tcW w:w="1673" w:type="dxa"/>
            <w:noWrap w:val="0"/>
            <w:vAlign w:val="center"/>
          </w:tcPr>
          <w:p w14:paraId="6200D692">
            <w:pPr>
              <w:spacing w:line="240" w:lineRule="auto"/>
              <w:jc w:val="center"/>
              <w:rPr>
                <w:rFonts w:hint="eastAsia" w:ascii="宋体" w:hAnsi="宋体" w:eastAsia="宋体" w:cs="宋体"/>
                <w:b/>
                <w:sz w:val="24"/>
                <w:szCs w:val="24"/>
                <w:highlight w:val="none"/>
              </w:rPr>
            </w:pPr>
          </w:p>
        </w:tc>
        <w:tc>
          <w:tcPr>
            <w:tcW w:w="2473" w:type="dxa"/>
            <w:noWrap w:val="0"/>
            <w:vAlign w:val="center"/>
          </w:tcPr>
          <w:p w14:paraId="40D29FF8">
            <w:pPr>
              <w:spacing w:line="240" w:lineRule="auto"/>
              <w:jc w:val="center"/>
              <w:rPr>
                <w:rFonts w:hint="eastAsia" w:ascii="宋体" w:hAnsi="宋体" w:eastAsia="宋体" w:cs="宋体"/>
                <w:b/>
                <w:sz w:val="24"/>
                <w:szCs w:val="24"/>
                <w:highlight w:val="none"/>
              </w:rPr>
            </w:pPr>
          </w:p>
        </w:tc>
        <w:tc>
          <w:tcPr>
            <w:tcW w:w="1288" w:type="dxa"/>
            <w:noWrap w:val="0"/>
            <w:vAlign w:val="center"/>
          </w:tcPr>
          <w:p w14:paraId="09110E42">
            <w:pPr>
              <w:spacing w:line="240" w:lineRule="auto"/>
              <w:jc w:val="center"/>
              <w:rPr>
                <w:rFonts w:hint="eastAsia" w:ascii="宋体" w:hAnsi="宋体" w:eastAsia="宋体" w:cs="宋体"/>
                <w:b/>
                <w:sz w:val="24"/>
                <w:szCs w:val="24"/>
                <w:highlight w:val="none"/>
              </w:rPr>
            </w:pPr>
          </w:p>
        </w:tc>
        <w:tc>
          <w:tcPr>
            <w:tcW w:w="1288" w:type="dxa"/>
            <w:noWrap w:val="0"/>
            <w:vAlign w:val="center"/>
          </w:tcPr>
          <w:p w14:paraId="52C9110A">
            <w:pPr>
              <w:spacing w:line="240" w:lineRule="auto"/>
              <w:jc w:val="center"/>
              <w:rPr>
                <w:rFonts w:hint="eastAsia" w:ascii="宋体" w:hAnsi="宋体" w:eastAsia="宋体" w:cs="宋体"/>
                <w:b/>
                <w:sz w:val="24"/>
                <w:szCs w:val="24"/>
                <w:highlight w:val="none"/>
              </w:rPr>
            </w:pPr>
          </w:p>
        </w:tc>
        <w:tc>
          <w:tcPr>
            <w:tcW w:w="1673" w:type="dxa"/>
            <w:noWrap w:val="0"/>
            <w:vAlign w:val="center"/>
          </w:tcPr>
          <w:p w14:paraId="50D209BC">
            <w:pPr>
              <w:spacing w:line="240" w:lineRule="auto"/>
              <w:jc w:val="center"/>
              <w:rPr>
                <w:rFonts w:hint="eastAsia" w:ascii="宋体" w:hAnsi="宋体" w:eastAsia="宋体" w:cs="宋体"/>
                <w:b/>
                <w:sz w:val="24"/>
                <w:szCs w:val="24"/>
                <w:highlight w:val="none"/>
              </w:rPr>
            </w:pPr>
          </w:p>
        </w:tc>
        <w:tc>
          <w:tcPr>
            <w:tcW w:w="875" w:type="dxa"/>
            <w:noWrap w:val="0"/>
            <w:vAlign w:val="center"/>
          </w:tcPr>
          <w:p w14:paraId="78023B32">
            <w:pPr>
              <w:spacing w:line="240" w:lineRule="auto"/>
              <w:jc w:val="center"/>
              <w:rPr>
                <w:rFonts w:hint="eastAsia" w:ascii="宋体" w:hAnsi="宋体" w:eastAsia="宋体" w:cs="宋体"/>
                <w:b/>
                <w:sz w:val="24"/>
                <w:szCs w:val="24"/>
                <w:highlight w:val="none"/>
              </w:rPr>
            </w:pPr>
          </w:p>
        </w:tc>
      </w:tr>
      <w:tr w14:paraId="402E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576A579D">
            <w:pPr>
              <w:spacing w:line="240" w:lineRule="auto"/>
              <w:jc w:val="center"/>
              <w:rPr>
                <w:rFonts w:hint="eastAsia" w:ascii="宋体" w:hAnsi="宋体" w:eastAsia="宋体" w:cs="宋体"/>
                <w:b/>
                <w:sz w:val="24"/>
                <w:szCs w:val="24"/>
                <w:highlight w:val="none"/>
              </w:rPr>
            </w:pPr>
          </w:p>
        </w:tc>
        <w:tc>
          <w:tcPr>
            <w:tcW w:w="1673" w:type="dxa"/>
            <w:noWrap w:val="0"/>
            <w:vAlign w:val="center"/>
          </w:tcPr>
          <w:p w14:paraId="2ADEBBA9">
            <w:pPr>
              <w:spacing w:line="240" w:lineRule="auto"/>
              <w:jc w:val="center"/>
              <w:rPr>
                <w:rFonts w:hint="eastAsia" w:ascii="宋体" w:hAnsi="宋体" w:eastAsia="宋体" w:cs="宋体"/>
                <w:b/>
                <w:sz w:val="24"/>
                <w:szCs w:val="24"/>
                <w:highlight w:val="none"/>
              </w:rPr>
            </w:pPr>
          </w:p>
        </w:tc>
        <w:tc>
          <w:tcPr>
            <w:tcW w:w="2473" w:type="dxa"/>
            <w:noWrap w:val="0"/>
            <w:vAlign w:val="center"/>
          </w:tcPr>
          <w:p w14:paraId="2A75290A">
            <w:pPr>
              <w:spacing w:line="240" w:lineRule="auto"/>
              <w:jc w:val="center"/>
              <w:rPr>
                <w:rFonts w:hint="eastAsia" w:ascii="宋体" w:hAnsi="宋体" w:eastAsia="宋体" w:cs="宋体"/>
                <w:b/>
                <w:sz w:val="24"/>
                <w:szCs w:val="24"/>
                <w:highlight w:val="none"/>
              </w:rPr>
            </w:pPr>
          </w:p>
        </w:tc>
        <w:tc>
          <w:tcPr>
            <w:tcW w:w="1288" w:type="dxa"/>
            <w:noWrap w:val="0"/>
            <w:vAlign w:val="center"/>
          </w:tcPr>
          <w:p w14:paraId="0A3C75B3">
            <w:pPr>
              <w:spacing w:line="240" w:lineRule="auto"/>
              <w:jc w:val="center"/>
              <w:rPr>
                <w:rFonts w:hint="eastAsia" w:ascii="宋体" w:hAnsi="宋体" w:eastAsia="宋体" w:cs="宋体"/>
                <w:b/>
                <w:sz w:val="24"/>
                <w:szCs w:val="24"/>
                <w:highlight w:val="none"/>
              </w:rPr>
            </w:pPr>
          </w:p>
        </w:tc>
        <w:tc>
          <w:tcPr>
            <w:tcW w:w="1288" w:type="dxa"/>
            <w:noWrap w:val="0"/>
            <w:vAlign w:val="center"/>
          </w:tcPr>
          <w:p w14:paraId="7888C4D6">
            <w:pPr>
              <w:spacing w:line="240" w:lineRule="auto"/>
              <w:jc w:val="center"/>
              <w:rPr>
                <w:rFonts w:hint="eastAsia" w:ascii="宋体" w:hAnsi="宋体" w:eastAsia="宋体" w:cs="宋体"/>
                <w:b/>
                <w:sz w:val="24"/>
                <w:szCs w:val="24"/>
                <w:highlight w:val="none"/>
              </w:rPr>
            </w:pPr>
          </w:p>
        </w:tc>
        <w:tc>
          <w:tcPr>
            <w:tcW w:w="1673" w:type="dxa"/>
            <w:noWrap w:val="0"/>
            <w:vAlign w:val="center"/>
          </w:tcPr>
          <w:p w14:paraId="391FF433">
            <w:pPr>
              <w:spacing w:line="240" w:lineRule="auto"/>
              <w:jc w:val="center"/>
              <w:rPr>
                <w:rFonts w:hint="eastAsia" w:ascii="宋体" w:hAnsi="宋体" w:eastAsia="宋体" w:cs="宋体"/>
                <w:b/>
                <w:sz w:val="24"/>
                <w:szCs w:val="24"/>
                <w:highlight w:val="none"/>
              </w:rPr>
            </w:pPr>
          </w:p>
        </w:tc>
        <w:tc>
          <w:tcPr>
            <w:tcW w:w="875" w:type="dxa"/>
            <w:noWrap w:val="0"/>
            <w:vAlign w:val="center"/>
          </w:tcPr>
          <w:p w14:paraId="09DF9D74">
            <w:pPr>
              <w:spacing w:line="240" w:lineRule="auto"/>
              <w:jc w:val="center"/>
              <w:rPr>
                <w:rFonts w:hint="eastAsia" w:ascii="宋体" w:hAnsi="宋体" w:eastAsia="宋体" w:cs="宋体"/>
                <w:b/>
                <w:sz w:val="24"/>
                <w:szCs w:val="24"/>
                <w:highlight w:val="none"/>
              </w:rPr>
            </w:pPr>
          </w:p>
        </w:tc>
      </w:tr>
      <w:tr w14:paraId="1AC6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23C90A3E">
            <w:pPr>
              <w:spacing w:line="240" w:lineRule="auto"/>
              <w:jc w:val="center"/>
              <w:rPr>
                <w:rFonts w:hint="eastAsia" w:ascii="宋体" w:hAnsi="宋体" w:eastAsia="宋体" w:cs="宋体"/>
                <w:b/>
                <w:sz w:val="24"/>
                <w:szCs w:val="24"/>
                <w:highlight w:val="none"/>
              </w:rPr>
            </w:pPr>
          </w:p>
        </w:tc>
        <w:tc>
          <w:tcPr>
            <w:tcW w:w="1673" w:type="dxa"/>
            <w:noWrap w:val="0"/>
            <w:vAlign w:val="center"/>
          </w:tcPr>
          <w:p w14:paraId="48482F7C">
            <w:pPr>
              <w:spacing w:line="240" w:lineRule="auto"/>
              <w:jc w:val="center"/>
              <w:rPr>
                <w:rFonts w:hint="eastAsia" w:ascii="宋体" w:hAnsi="宋体" w:eastAsia="宋体" w:cs="宋体"/>
                <w:b/>
                <w:sz w:val="24"/>
                <w:szCs w:val="24"/>
                <w:highlight w:val="none"/>
              </w:rPr>
            </w:pPr>
          </w:p>
        </w:tc>
        <w:tc>
          <w:tcPr>
            <w:tcW w:w="2473" w:type="dxa"/>
            <w:noWrap w:val="0"/>
            <w:vAlign w:val="center"/>
          </w:tcPr>
          <w:p w14:paraId="1F077BAA">
            <w:pPr>
              <w:spacing w:line="240" w:lineRule="auto"/>
              <w:jc w:val="center"/>
              <w:rPr>
                <w:rFonts w:hint="eastAsia" w:ascii="宋体" w:hAnsi="宋体" w:eastAsia="宋体" w:cs="宋体"/>
                <w:b/>
                <w:sz w:val="24"/>
                <w:szCs w:val="24"/>
                <w:highlight w:val="none"/>
              </w:rPr>
            </w:pPr>
          </w:p>
        </w:tc>
        <w:tc>
          <w:tcPr>
            <w:tcW w:w="1288" w:type="dxa"/>
            <w:noWrap w:val="0"/>
            <w:vAlign w:val="center"/>
          </w:tcPr>
          <w:p w14:paraId="0D29A682">
            <w:pPr>
              <w:spacing w:line="240" w:lineRule="auto"/>
              <w:jc w:val="center"/>
              <w:rPr>
                <w:rFonts w:hint="eastAsia" w:ascii="宋体" w:hAnsi="宋体" w:eastAsia="宋体" w:cs="宋体"/>
                <w:b/>
                <w:sz w:val="24"/>
                <w:szCs w:val="24"/>
                <w:highlight w:val="none"/>
              </w:rPr>
            </w:pPr>
          </w:p>
        </w:tc>
        <w:tc>
          <w:tcPr>
            <w:tcW w:w="1288" w:type="dxa"/>
            <w:noWrap w:val="0"/>
            <w:vAlign w:val="center"/>
          </w:tcPr>
          <w:p w14:paraId="5F6A4F47">
            <w:pPr>
              <w:spacing w:line="240" w:lineRule="auto"/>
              <w:jc w:val="center"/>
              <w:rPr>
                <w:rFonts w:hint="eastAsia" w:ascii="宋体" w:hAnsi="宋体" w:eastAsia="宋体" w:cs="宋体"/>
                <w:b/>
                <w:sz w:val="24"/>
                <w:szCs w:val="24"/>
                <w:highlight w:val="none"/>
              </w:rPr>
            </w:pPr>
          </w:p>
        </w:tc>
        <w:tc>
          <w:tcPr>
            <w:tcW w:w="1673" w:type="dxa"/>
            <w:noWrap w:val="0"/>
            <w:vAlign w:val="center"/>
          </w:tcPr>
          <w:p w14:paraId="79E70A5F">
            <w:pPr>
              <w:spacing w:line="240" w:lineRule="auto"/>
              <w:jc w:val="center"/>
              <w:rPr>
                <w:rFonts w:hint="eastAsia" w:ascii="宋体" w:hAnsi="宋体" w:eastAsia="宋体" w:cs="宋体"/>
                <w:b/>
                <w:sz w:val="24"/>
                <w:szCs w:val="24"/>
                <w:highlight w:val="none"/>
              </w:rPr>
            </w:pPr>
          </w:p>
        </w:tc>
        <w:tc>
          <w:tcPr>
            <w:tcW w:w="875" w:type="dxa"/>
            <w:noWrap w:val="0"/>
            <w:vAlign w:val="center"/>
          </w:tcPr>
          <w:p w14:paraId="2EC02E1E">
            <w:pPr>
              <w:spacing w:line="240" w:lineRule="auto"/>
              <w:jc w:val="center"/>
              <w:rPr>
                <w:rFonts w:hint="eastAsia" w:ascii="宋体" w:hAnsi="宋体" w:eastAsia="宋体" w:cs="宋体"/>
                <w:b/>
                <w:sz w:val="24"/>
                <w:szCs w:val="24"/>
                <w:highlight w:val="none"/>
              </w:rPr>
            </w:pPr>
          </w:p>
        </w:tc>
      </w:tr>
      <w:tr w14:paraId="7F1D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450B7CF3">
            <w:pPr>
              <w:spacing w:line="240" w:lineRule="auto"/>
              <w:jc w:val="center"/>
              <w:rPr>
                <w:rFonts w:hint="eastAsia" w:ascii="宋体" w:hAnsi="宋体" w:eastAsia="宋体" w:cs="宋体"/>
                <w:b/>
                <w:sz w:val="24"/>
                <w:szCs w:val="24"/>
                <w:highlight w:val="none"/>
              </w:rPr>
            </w:pPr>
          </w:p>
        </w:tc>
        <w:tc>
          <w:tcPr>
            <w:tcW w:w="1673" w:type="dxa"/>
            <w:noWrap w:val="0"/>
            <w:vAlign w:val="center"/>
          </w:tcPr>
          <w:p w14:paraId="6E9CD297">
            <w:pPr>
              <w:spacing w:line="240" w:lineRule="auto"/>
              <w:jc w:val="center"/>
              <w:rPr>
                <w:rFonts w:hint="eastAsia" w:ascii="宋体" w:hAnsi="宋体" w:eastAsia="宋体" w:cs="宋体"/>
                <w:b/>
                <w:sz w:val="24"/>
                <w:szCs w:val="24"/>
                <w:highlight w:val="none"/>
              </w:rPr>
            </w:pPr>
          </w:p>
        </w:tc>
        <w:tc>
          <w:tcPr>
            <w:tcW w:w="2473" w:type="dxa"/>
            <w:noWrap w:val="0"/>
            <w:vAlign w:val="center"/>
          </w:tcPr>
          <w:p w14:paraId="32ED2A74">
            <w:pPr>
              <w:spacing w:line="240" w:lineRule="auto"/>
              <w:jc w:val="center"/>
              <w:rPr>
                <w:rFonts w:hint="eastAsia" w:ascii="宋体" w:hAnsi="宋体" w:eastAsia="宋体" w:cs="宋体"/>
                <w:b/>
                <w:sz w:val="24"/>
                <w:szCs w:val="24"/>
                <w:highlight w:val="none"/>
              </w:rPr>
            </w:pPr>
          </w:p>
        </w:tc>
        <w:tc>
          <w:tcPr>
            <w:tcW w:w="1288" w:type="dxa"/>
            <w:noWrap w:val="0"/>
            <w:vAlign w:val="center"/>
          </w:tcPr>
          <w:p w14:paraId="5A0432AD">
            <w:pPr>
              <w:spacing w:line="240" w:lineRule="auto"/>
              <w:jc w:val="center"/>
              <w:rPr>
                <w:rFonts w:hint="eastAsia" w:ascii="宋体" w:hAnsi="宋体" w:eastAsia="宋体" w:cs="宋体"/>
                <w:b/>
                <w:sz w:val="24"/>
                <w:szCs w:val="24"/>
                <w:highlight w:val="none"/>
              </w:rPr>
            </w:pPr>
          </w:p>
        </w:tc>
        <w:tc>
          <w:tcPr>
            <w:tcW w:w="1288" w:type="dxa"/>
            <w:noWrap w:val="0"/>
            <w:vAlign w:val="center"/>
          </w:tcPr>
          <w:p w14:paraId="60151AB9">
            <w:pPr>
              <w:spacing w:line="240" w:lineRule="auto"/>
              <w:jc w:val="center"/>
              <w:rPr>
                <w:rFonts w:hint="eastAsia" w:ascii="宋体" w:hAnsi="宋体" w:eastAsia="宋体" w:cs="宋体"/>
                <w:b/>
                <w:sz w:val="24"/>
                <w:szCs w:val="24"/>
                <w:highlight w:val="none"/>
              </w:rPr>
            </w:pPr>
          </w:p>
        </w:tc>
        <w:tc>
          <w:tcPr>
            <w:tcW w:w="1673" w:type="dxa"/>
            <w:noWrap w:val="0"/>
            <w:vAlign w:val="center"/>
          </w:tcPr>
          <w:p w14:paraId="0311C362">
            <w:pPr>
              <w:spacing w:line="240" w:lineRule="auto"/>
              <w:jc w:val="center"/>
              <w:rPr>
                <w:rFonts w:hint="eastAsia" w:ascii="宋体" w:hAnsi="宋体" w:eastAsia="宋体" w:cs="宋体"/>
                <w:b/>
                <w:sz w:val="24"/>
                <w:szCs w:val="24"/>
                <w:highlight w:val="none"/>
              </w:rPr>
            </w:pPr>
          </w:p>
        </w:tc>
        <w:tc>
          <w:tcPr>
            <w:tcW w:w="875" w:type="dxa"/>
            <w:noWrap w:val="0"/>
            <w:vAlign w:val="center"/>
          </w:tcPr>
          <w:p w14:paraId="19D1F1D9">
            <w:pPr>
              <w:spacing w:line="240" w:lineRule="auto"/>
              <w:jc w:val="center"/>
              <w:rPr>
                <w:rFonts w:hint="eastAsia" w:ascii="宋体" w:hAnsi="宋体" w:eastAsia="宋体" w:cs="宋体"/>
                <w:b/>
                <w:sz w:val="24"/>
                <w:szCs w:val="24"/>
                <w:highlight w:val="none"/>
              </w:rPr>
            </w:pPr>
          </w:p>
        </w:tc>
      </w:tr>
      <w:tr w14:paraId="7AC8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7B8B00DF">
            <w:pPr>
              <w:spacing w:line="240" w:lineRule="auto"/>
              <w:jc w:val="center"/>
              <w:rPr>
                <w:rFonts w:hint="eastAsia" w:ascii="宋体" w:hAnsi="宋体" w:eastAsia="宋体" w:cs="宋体"/>
                <w:b/>
                <w:sz w:val="24"/>
                <w:szCs w:val="24"/>
                <w:highlight w:val="none"/>
              </w:rPr>
            </w:pPr>
          </w:p>
        </w:tc>
        <w:tc>
          <w:tcPr>
            <w:tcW w:w="1673" w:type="dxa"/>
            <w:noWrap w:val="0"/>
            <w:vAlign w:val="center"/>
          </w:tcPr>
          <w:p w14:paraId="5D325978">
            <w:pPr>
              <w:spacing w:line="240" w:lineRule="auto"/>
              <w:jc w:val="center"/>
              <w:rPr>
                <w:rFonts w:hint="eastAsia" w:ascii="宋体" w:hAnsi="宋体" w:eastAsia="宋体" w:cs="宋体"/>
                <w:b/>
                <w:sz w:val="24"/>
                <w:szCs w:val="24"/>
                <w:highlight w:val="none"/>
              </w:rPr>
            </w:pPr>
          </w:p>
        </w:tc>
        <w:tc>
          <w:tcPr>
            <w:tcW w:w="2473" w:type="dxa"/>
            <w:noWrap w:val="0"/>
            <w:vAlign w:val="center"/>
          </w:tcPr>
          <w:p w14:paraId="60A89AF2">
            <w:pPr>
              <w:spacing w:line="240" w:lineRule="auto"/>
              <w:jc w:val="center"/>
              <w:rPr>
                <w:rFonts w:hint="eastAsia" w:ascii="宋体" w:hAnsi="宋体" w:eastAsia="宋体" w:cs="宋体"/>
                <w:b/>
                <w:sz w:val="24"/>
                <w:szCs w:val="24"/>
                <w:highlight w:val="none"/>
              </w:rPr>
            </w:pPr>
          </w:p>
        </w:tc>
        <w:tc>
          <w:tcPr>
            <w:tcW w:w="1288" w:type="dxa"/>
            <w:noWrap w:val="0"/>
            <w:vAlign w:val="center"/>
          </w:tcPr>
          <w:p w14:paraId="5AB25570">
            <w:pPr>
              <w:spacing w:line="240" w:lineRule="auto"/>
              <w:jc w:val="center"/>
              <w:rPr>
                <w:rFonts w:hint="eastAsia" w:ascii="宋体" w:hAnsi="宋体" w:eastAsia="宋体" w:cs="宋体"/>
                <w:b/>
                <w:sz w:val="24"/>
                <w:szCs w:val="24"/>
                <w:highlight w:val="none"/>
              </w:rPr>
            </w:pPr>
          </w:p>
        </w:tc>
        <w:tc>
          <w:tcPr>
            <w:tcW w:w="1288" w:type="dxa"/>
            <w:noWrap w:val="0"/>
            <w:vAlign w:val="center"/>
          </w:tcPr>
          <w:p w14:paraId="77A3C466">
            <w:pPr>
              <w:spacing w:line="240" w:lineRule="auto"/>
              <w:jc w:val="center"/>
              <w:rPr>
                <w:rFonts w:hint="eastAsia" w:ascii="宋体" w:hAnsi="宋体" w:eastAsia="宋体" w:cs="宋体"/>
                <w:b/>
                <w:sz w:val="24"/>
                <w:szCs w:val="24"/>
                <w:highlight w:val="none"/>
              </w:rPr>
            </w:pPr>
          </w:p>
        </w:tc>
        <w:tc>
          <w:tcPr>
            <w:tcW w:w="1673" w:type="dxa"/>
            <w:noWrap w:val="0"/>
            <w:vAlign w:val="center"/>
          </w:tcPr>
          <w:p w14:paraId="4D04E46E">
            <w:pPr>
              <w:spacing w:line="240" w:lineRule="auto"/>
              <w:jc w:val="center"/>
              <w:rPr>
                <w:rFonts w:hint="eastAsia" w:ascii="宋体" w:hAnsi="宋体" w:eastAsia="宋体" w:cs="宋体"/>
                <w:b/>
                <w:sz w:val="24"/>
                <w:szCs w:val="24"/>
                <w:highlight w:val="none"/>
              </w:rPr>
            </w:pPr>
          </w:p>
        </w:tc>
        <w:tc>
          <w:tcPr>
            <w:tcW w:w="875" w:type="dxa"/>
            <w:noWrap w:val="0"/>
            <w:vAlign w:val="center"/>
          </w:tcPr>
          <w:p w14:paraId="3FFFBA30">
            <w:pPr>
              <w:spacing w:line="240" w:lineRule="auto"/>
              <w:jc w:val="center"/>
              <w:rPr>
                <w:rFonts w:hint="eastAsia" w:ascii="宋体" w:hAnsi="宋体" w:eastAsia="宋体" w:cs="宋体"/>
                <w:b/>
                <w:sz w:val="24"/>
                <w:szCs w:val="24"/>
                <w:highlight w:val="none"/>
              </w:rPr>
            </w:pPr>
          </w:p>
        </w:tc>
      </w:tr>
      <w:tr w14:paraId="249C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14:paraId="3EE61168">
            <w:pPr>
              <w:spacing w:line="240" w:lineRule="auto"/>
              <w:jc w:val="center"/>
              <w:rPr>
                <w:rFonts w:hint="eastAsia" w:ascii="宋体" w:hAnsi="宋体" w:eastAsia="宋体" w:cs="宋体"/>
                <w:b/>
                <w:sz w:val="24"/>
                <w:szCs w:val="24"/>
                <w:highlight w:val="none"/>
              </w:rPr>
            </w:pPr>
          </w:p>
        </w:tc>
        <w:tc>
          <w:tcPr>
            <w:tcW w:w="1673" w:type="dxa"/>
            <w:noWrap w:val="0"/>
            <w:vAlign w:val="center"/>
          </w:tcPr>
          <w:p w14:paraId="76ED30D8">
            <w:pPr>
              <w:spacing w:line="240" w:lineRule="auto"/>
              <w:jc w:val="center"/>
              <w:rPr>
                <w:rFonts w:hint="eastAsia" w:ascii="宋体" w:hAnsi="宋体" w:eastAsia="宋体" w:cs="宋体"/>
                <w:b/>
                <w:sz w:val="24"/>
                <w:szCs w:val="24"/>
                <w:highlight w:val="none"/>
              </w:rPr>
            </w:pPr>
          </w:p>
        </w:tc>
        <w:tc>
          <w:tcPr>
            <w:tcW w:w="2473" w:type="dxa"/>
            <w:noWrap w:val="0"/>
            <w:vAlign w:val="center"/>
          </w:tcPr>
          <w:p w14:paraId="6A93C923">
            <w:pPr>
              <w:spacing w:line="240" w:lineRule="auto"/>
              <w:jc w:val="center"/>
              <w:rPr>
                <w:rFonts w:hint="eastAsia" w:ascii="宋体" w:hAnsi="宋体" w:eastAsia="宋体" w:cs="宋体"/>
                <w:b/>
                <w:sz w:val="24"/>
                <w:szCs w:val="24"/>
                <w:highlight w:val="none"/>
              </w:rPr>
            </w:pPr>
          </w:p>
        </w:tc>
        <w:tc>
          <w:tcPr>
            <w:tcW w:w="1288" w:type="dxa"/>
            <w:noWrap w:val="0"/>
            <w:vAlign w:val="center"/>
          </w:tcPr>
          <w:p w14:paraId="7616A3D7">
            <w:pPr>
              <w:spacing w:line="240" w:lineRule="auto"/>
              <w:jc w:val="center"/>
              <w:rPr>
                <w:rFonts w:hint="eastAsia" w:ascii="宋体" w:hAnsi="宋体" w:eastAsia="宋体" w:cs="宋体"/>
                <w:b/>
                <w:sz w:val="24"/>
                <w:szCs w:val="24"/>
                <w:highlight w:val="none"/>
              </w:rPr>
            </w:pPr>
          </w:p>
        </w:tc>
        <w:tc>
          <w:tcPr>
            <w:tcW w:w="1288" w:type="dxa"/>
            <w:noWrap w:val="0"/>
            <w:vAlign w:val="center"/>
          </w:tcPr>
          <w:p w14:paraId="6574A996">
            <w:pPr>
              <w:spacing w:line="240" w:lineRule="auto"/>
              <w:jc w:val="center"/>
              <w:rPr>
                <w:rFonts w:hint="eastAsia" w:ascii="宋体" w:hAnsi="宋体" w:eastAsia="宋体" w:cs="宋体"/>
                <w:b/>
                <w:sz w:val="24"/>
                <w:szCs w:val="24"/>
                <w:highlight w:val="none"/>
              </w:rPr>
            </w:pPr>
          </w:p>
        </w:tc>
        <w:tc>
          <w:tcPr>
            <w:tcW w:w="1673" w:type="dxa"/>
            <w:noWrap w:val="0"/>
            <w:vAlign w:val="center"/>
          </w:tcPr>
          <w:p w14:paraId="58AA0864">
            <w:pPr>
              <w:spacing w:line="240" w:lineRule="auto"/>
              <w:jc w:val="center"/>
              <w:rPr>
                <w:rFonts w:hint="eastAsia" w:ascii="宋体" w:hAnsi="宋体" w:eastAsia="宋体" w:cs="宋体"/>
                <w:b/>
                <w:sz w:val="24"/>
                <w:szCs w:val="24"/>
                <w:highlight w:val="none"/>
              </w:rPr>
            </w:pPr>
          </w:p>
        </w:tc>
        <w:tc>
          <w:tcPr>
            <w:tcW w:w="875" w:type="dxa"/>
            <w:noWrap w:val="0"/>
            <w:vAlign w:val="center"/>
          </w:tcPr>
          <w:p w14:paraId="2FB47DA3">
            <w:pPr>
              <w:spacing w:line="240" w:lineRule="auto"/>
              <w:jc w:val="center"/>
              <w:rPr>
                <w:rFonts w:hint="eastAsia" w:ascii="宋体" w:hAnsi="宋体" w:eastAsia="宋体" w:cs="宋体"/>
                <w:b/>
                <w:sz w:val="24"/>
                <w:szCs w:val="24"/>
                <w:highlight w:val="none"/>
              </w:rPr>
            </w:pPr>
          </w:p>
        </w:tc>
      </w:tr>
    </w:tbl>
    <w:p w14:paraId="6EE6AC6D">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rPr>
      </w:pPr>
    </w:p>
    <w:p w14:paraId="3281A5D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lang w:val="en-US" w:eastAsia="zh-CN"/>
        </w:rPr>
      </w:pPr>
    </w:p>
    <w:p w14:paraId="00459212">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人名称：</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 xml:space="preserve">（加盖公章）  </w:t>
      </w:r>
    </w:p>
    <w:p w14:paraId="38BC1F73">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响应</w:t>
      </w:r>
      <w:r>
        <w:rPr>
          <w:rFonts w:hint="eastAsia" w:ascii="宋体" w:hAnsi="宋体" w:eastAsia="宋体" w:cs="宋体"/>
          <w:spacing w:val="-4"/>
          <w:sz w:val="24"/>
          <w:szCs w:val="24"/>
          <w:highlight w:val="none"/>
        </w:rPr>
        <w:t>人代表</w:t>
      </w:r>
      <w:r>
        <w:rPr>
          <w:rFonts w:hint="eastAsia" w:ascii="宋体" w:hAnsi="宋体" w:eastAsia="宋体" w:cs="宋体"/>
          <w:sz w:val="24"/>
          <w:szCs w:val="24"/>
          <w:highlight w:val="none"/>
        </w:rPr>
        <w:t>：</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（签字）</w:t>
      </w:r>
    </w:p>
    <w:p w14:paraId="31B513DB">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日期：</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年</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月</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日</w:t>
      </w:r>
    </w:p>
    <w:p w14:paraId="54B69D4D">
      <w:pPr>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br w:type="page"/>
      </w:r>
    </w:p>
    <w:p w14:paraId="7ED7FA87">
      <w:pPr>
        <w:spacing w:line="360" w:lineRule="auto"/>
        <w:rPr>
          <w:rFonts w:hint="eastAsia" w:ascii="宋体" w:hAnsi="宋体" w:eastAsia="宋体" w:cs="宋体"/>
          <w:b/>
          <w:spacing w:val="20"/>
          <w:sz w:val="24"/>
          <w:szCs w:val="24"/>
          <w:highlight w:val="none"/>
        </w:rPr>
      </w:pPr>
      <w:r>
        <w:rPr>
          <w:rFonts w:hint="eastAsia" w:ascii="宋体" w:hAnsi="Times New Roman" w:eastAsia="宋体" w:cs="宋体"/>
          <w:b/>
          <w:bCs/>
          <w:sz w:val="24"/>
          <w:szCs w:val="24"/>
          <w:highlight w:val="none"/>
        </w:rPr>
        <w:t>格式</w:t>
      </w:r>
      <w:r>
        <w:rPr>
          <w:rFonts w:hint="eastAsia" w:ascii="宋体" w:hAnsi="Times New Roman" w:eastAsia="宋体" w:cs="宋体"/>
          <w:b/>
          <w:bCs/>
          <w:sz w:val="24"/>
          <w:szCs w:val="24"/>
          <w:highlight w:val="none"/>
          <w:lang w:val="en-US" w:eastAsia="zh-CN"/>
        </w:rPr>
        <w:t>九</w:t>
      </w:r>
      <w:r>
        <w:rPr>
          <w:rFonts w:hint="eastAsia" w:ascii="宋体" w:hAnsi="Times New Roman" w:eastAsia="宋体" w:cs="宋体"/>
          <w:b/>
          <w:bCs/>
          <w:sz w:val="24"/>
          <w:szCs w:val="24"/>
          <w:highlight w:val="none"/>
        </w:rPr>
        <w:t>、</w:t>
      </w:r>
      <w:r>
        <w:rPr>
          <w:rFonts w:hint="eastAsia" w:ascii="宋体" w:hAnsi="宋体" w:eastAsia="宋体" w:cs="宋体"/>
          <w:b/>
          <w:spacing w:val="20"/>
          <w:sz w:val="24"/>
          <w:szCs w:val="24"/>
          <w:highlight w:val="none"/>
        </w:rPr>
        <w:t>投标人最优服务网点情况表</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2"/>
        <w:gridCol w:w="1807"/>
        <w:gridCol w:w="213"/>
        <w:gridCol w:w="1602"/>
        <w:gridCol w:w="990"/>
        <w:gridCol w:w="1600"/>
        <w:gridCol w:w="2002"/>
      </w:tblGrid>
      <w:tr w14:paraId="7468B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589D1475">
            <w:pPr>
              <w:snapToGrid w:val="0"/>
              <w:spacing w:before="50" w:after="156" w:after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服务网点名称</w:t>
            </w:r>
          </w:p>
        </w:tc>
        <w:tc>
          <w:tcPr>
            <w:tcW w:w="6212" w:type="dxa"/>
            <w:gridSpan w:val="5"/>
            <w:tcBorders>
              <w:top w:val="single" w:color="auto" w:sz="4" w:space="0"/>
              <w:left w:val="single" w:color="auto" w:sz="4" w:space="0"/>
              <w:bottom w:val="single" w:color="auto" w:sz="4" w:space="0"/>
              <w:right w:val="single" w:color="auto" w:sz="4" w:space="0"/>
            </w:tcBorders>
            <w:noWrap w:val="0"/>
            <w:vAlign w:val="center"/>
          </w:tcPr>
          <w:p w14:paraId="449DCDCC">
            <w:pPr>
              <w:snapToGrid w:val="0"/>
              <w:spacing w:before="50" w:after="156" w:afterLines="50" w:line="400" w:lineRule="exact"/>
              <w:jc w:val="center"/>
              <w:rPr>
                <w:rFonts w:hint="eastAsia" w:ascii="宋体" w:hAnsi="宋体" w:eastAsia="宋体" w:cs="宋体"/>
                <w:sz w:val="24"/>
                <w:szCs w:val="24"/>
                <w:highlight w:val="none"/>
              </w:rPr>
            </w:pPr>
          </w:p>
        </w:tc>
        <w:tc>
          <w:tcPr>
            <w:tcW w:w="2002" w:type="dxa"/>
            <w:vMerge w:val="restart"/>
            <w:tcBorders>
              <w:top w:val="single" w:color="auto" w:sz="4" w:space="0"/>
              <w:left w:val="single" w:color="auto" w:sz="4" w:space="0"/>
              <w:bottom w:val="single" w:color="auto" w:sz="4" w:space="0"/>
              <w:right w:val="single" w:color="auto" w:sz="4" w:space="0"/>
            </w:tcBorders>
            <w:noWrap w:val="0"/>
            <w:vAlign w:val="center"/>
          </w:tcPr>
          <w:p w14:paraId="78EB52D6">
            <w:pPr>
              <w:snapToGrid w:val="0"/>
              <w:spacing w:before="50" w:after="156" w:after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投标文件页码</w:t>
            </w:r>
          </w:p>
        </w:tc>
      </w:tr>
      <w:tr w14:paraId="28EE2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center"/>
          </w:tcPr>
          <w:p w14:paraId="70790EE5">
            <w:pPr>
              <w:snapToGrid w:val="0"/>
              <w:spacing w:before="50" w:after="156" w:after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tc>
        <w:tc>
          <w:tcPr>
            <w:tcW w:w="6212" w:type="dxa"/>
            <w:gridSpan w:val="5"/>
            <w:tcBorders>
              <w:top w:val="single" w:color="auto" w:sz="4" w:space="0"/>
              <w:left w:val="single" w:color="auto" w:sz="4" w:space="0"/>
              <w:bottom w:val="single" w:color="auto" w:sz="4" w:space="0"/>
              <w:right w:val="single" w:color="auto" w:sz="4" w:space="0"/>
            </w:tcBorders>
            <w:noWrap w:val="0"/>
            <w:vAlign w:val="center"/>
          </w:tcPr>
          <w:p w14:paraId="3A4B62A8">
            <w:pPr>
              <w:snapToGrid w:val="0"/>
              <w:spacing w:before="50" w:after="156" w:afterLines="50" w:line="400" w:lineRule="exact"/>
              <w:jc w:val="center"/>
              <w:rPr>
                <w:rFonts w:hint="eastAsia" w:ascii="宋体" w:hAnsi="宋体" w:eastAsia="宋体" w:cs="宋体"/>
                <w:sz w:val="24"/>
                <w:szCs w:val="24"/>
                <w:highlight w:val="none"/>
              </w:rPr>
            </w:pPr>
          </w:p>
        </w:tc>
        <w:tc>
          <w:tcPr>
            <w:tcW w:w="2002" w:type="dxa"/>
            <w:vMerge w:val="continue"/>
            <w:tcBorders>
              <w:top w:val="single" w:color="auto" w:sz="4" w:space="0"/>
              <w:left w:val="single" w:color="auto" w:sz="4" w:space="0"/>
              <w:bottom w:val="single" w:color="auto" w:sz="4" w:space="0"/>
              <w:right w:val="single" w:color="auto" w:sz="4" w:space="0"/>
            </w:tcBorders>
            <w:noWrap w:val="0"/>
            <w:vAlign w:val="center"/>
          </w:tcPr>
          <w:p w14:paraId="1D59D442">
            <w:pPr>
              <w:jc w:val="center"/>
              <w:rPr>
                <w:rFonts w:hint="eastAsia" w:ascii="宋体" w:hAnsi="宋体" w:eastAsia="宋体" w:cs="宋体"/>
                <w:sz w:val="24"/>
                <w:szCs w:val="24"/>
                <w:highlight w:val="none"/>
              </w:rPr>
            </w:pPr>
          </w:p>
        </w:tc>
      </w:tr>
      <w:tr w14:paraId="0E9CE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4A51B615">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注册资本金</w:t>
            </w:r>
          </w:p>
        </w:tc>
        <w:tc>
          <w:tcPr>
            <w:tcW w:w="1807" w:type="dxa"/>
            <w:tcBorders>
              <w:top w:val="single" w:color="auto" w:sz="4" w:space="0"/>
              <w:left w:val="single" w:color="auto" w:sz="4" w:space="0"/>
              <w:bottom w:val="single" w:color="auto" w:sz="4" w:space="0"/>
              <w:right w:val="single" w:color="auto" w:sz="4" w:space="0"/>
            </w:tcBorders>
            <w:noWrap w:val="0"/>
            <w:vAlign w:val="top"/>
          </w:tcPr>
          <w:p w14:paraId="10EE56E9">
            <w:pPr>
              <w:snapToGrid w:val="0"/>
              <w:spacing w:before="50" w:after="156" w:afterLines="50" w:line="400" w:lineRule="exact"/>
              <w:jc w:val="left"/>
              <w:rPr>
                <w:rFonts w:hint="eastAsia" w:ascii="宋体" w:hAnsi="宋体" w:eastAsia="宋体" w:cs="宋体"/>
                <w:sz w:val="24"/>
                <w:szCs w:val="24"/>
                <w:highlight w:val="none"/>
              </w:rPr>
            </w:pPr>
          </w:p>
        </w:tc>
        <w:tc>
          <w:tcPr>
            <w:tcW w:w="2805" w:type="dxa"/>
            <w:gridSpan w:val="3"/>
            <w:tcBorders>
              <w:top w:val="single" w:color="auto" w:sz="4" w:space="0"/>
              <w:left w:val="single" w:color="auto" w:sz="4" w:space="0"/>
              <w:bottom w:val="single" w:color="auto" w:sz="4" w:space="0"/>
              <w:right w:val="single" w:color="auto" w:sz="4" w:space="0"/>
            </w:tcBorders>
            <w:noWrap w:val="0"/>
            <w:vAlign w:val="top"/>
          </w:tcPr>
          <w:p w14:paraId="2E6CC17F">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其中：投标人出资比例</w:t>
            </w:r>
          </w:p>
        </w:tc>
        <w:tc>
          <w:tcPr>
            <w:tcW w:w="1600" w:type="dxa"/>
            <w:tcBorders>
              <w:top w:val="single" w:color="auto" w:sz="4" w:space="0"/>
              <w:left w:val="single" w:color="auto" w:sz="4" w:space="0"/>
              <w:bottom w:val="single" w:color="auto" w:sz="4" w:space="0"/>
              <w:right w:val="single" w:color="auto" w:sz="4" w:space="0"/>
            </w:tcBorders>
            <w:noWrap w:val="0"/>
            <w:vAlign w:val="top"/>
          </w:tcPr>
          <w:p w14:paraId="28132185">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519D716A">
            <w:pPr>
              <w:snapToGrid w:val="0"/>
              <w:spacing w:before="50" w:after="156" w:afterLines="50" w:line="400" w:lineRule="exact"/>
              <w:jc w:val="left"/>
              <w:rPr>
                <w:rFonts w:hint="eastAsia" w:ascii="宋体" w:hAnsi="宋体" w:eastAsia="宋体" w:cs="宋体"/>
                <w:sz w:val="24"/>
                <w:szCs w:val="24"/>
                <w:highlight w:val="none"/>
              </w:rPr>
            </w:pPr>
          </w:p>
        </w:tc>
      </w:tr>
      <w:tr w14:paraId="1DCC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6B87E542">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c>
          <w:tcPr>
            <w:tcW w:w="1807" w:type="dxa"/>
            <w:tcBorders>
              <w:top w:val="single" w:color="auto" w:sz="4" w:space="0"/>
              <w:left w:val="single" w:color="auto" w:sz="4" w:space="0"/>
              <w:bottom w:val="single" w:color="auto" w:sz="4" w:space="0"/>
              <w:right w:val="single" w:color="auto" w:sz="4" w:space="0"/>
            </w:tcBorders>
            <w:noWrap w:val="0"/>
            <w:vAlign w:val="top"/>
          </w:tcPr>
          <w:p w14:paraId="01D4879C">
            <w:pPr>
              <w:snapToGrid w:val="0"/>
              <w:spacing w:before="50" w:after="156" w:afterLines="50" w:line="400" w:lineRule="exact"/>
              <w:jc w:val="left"/>
              <w:rPr>
                <w:rFonts w:hint="eastAsia" w:ascii="宋体" w:hAnsi="宋体" w:eastAsia="宋体" w:cs="宋体"/>
                <w:sz w:val="24"/>
                <w:szCs w:val="24"/>
                <w:highlight w:val="none"/>
              </w:rPr>
            </w:pPr>
          </w:p>
        </w:tc>
        <w:tc>
          <w:tcPr>
            <w:tcW w:w="2805" w:type="dxa"/>
            <w:gridSpan w:val="3"/>
            <w:tcBorders>
              <w:top w:val="single" w:color="auto" w:sz="4" w:space="0"/>
              <w:left w:val="single" w:color="auto" w:sz="4" w:space="0"/>
              <w:bottom w:val="single" w:color="auto" w:sz="4" w:space="0"/>
              <w:right w:val="single" w:color="auto" w:sz="4" w:space="0"/>
            </w:tcBorders>
            <w:noWrap w:val="0"/>
            <w:vAlign w:val="top"/>
          </w:tcPr>
          <w:p w14:paraId="5EB000C2">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其中：技术人员数</w:t>
            </w:r>
          </w:p>
        </w:tc>
        <w:tc>
          <w:tcPr>
            <w:tcW w:w="1600" w:type="dxa"/>
            <w:tcBorders>
              <w:top w:val="single" w:color="auto" w:sz="4" w:space="0"/>
              <w:left w:val="single" w:color="auto" w:sz="4" w:space="0"/>
              <w:bottom w:val="single" w:color="auto" w:sz="4" w:space="0"/>
              <w:right w:val="single" w:color="auto" w:sz="4" w:space="0"/>
            </w:tcBorders>
            <w:noWrap w:val="0"/>
            <w:vAlign w:val="top"/>
          </w:tcPr>
          <w:p w14:paraId="0361DB77">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3AEBEC9C">
            <w:pPr>
              <w:snapToGrid w:val="0"/>
              <w:spacing w:before="50" w:after="156" w:afterLines="50" w:line="400" w:lineRule="exact"/>
              <w:jc w:val="left"/>
              <w:rPr>
                <w:rFonts w:hint="eastAsia" w:ascii="宋体" w:hAnsi="宋体" w:eastAsia="宋体" w:cs="宋体"/>
                <w:sz w:val="24"/>
                <w:szCs w:val="24"/>
                <w:highlight w:val="none"/>
              </w:rPr>
            </w:pPr>
          </w:p>
        </w:tc>
      </w:tr>
      <w:tr w14:paraId="47632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4B5AEBF6">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p>
        </w:tc>
        <w:tc>
          <w:tcPr>
            <w:tcW w:w="6212" w:type="dxa"/>
            <w:gridSpan w:val="5"/>
            <w:tcBorders>
              <w:top w:val="single" w:color="auto" w:sz="4" w:space="0"/>
              <w:left w:val="single" w:color="auto" w:sz="4" w:space="0"/>
              <w:bottom w:val="single" w:color="auto" w:sz="4" w:space="0"/>
              <w:right w:val="single" w:color="auto" w:sz="4" w:space="0"/>
            </w:tcBorders>
            <w:noWrap w:val="0"/>
            <w:vAlign w:val="top"/>
          </w:tcPr>
          <w:p w14:paraId="5CB42272">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0A3E82C3">
            <w:pPr>
              <w:snapToGrid w:val="0"/>
              <w:spacing w:before="50" w:after="156" w:afterLines="50" w:line="400" w:lineRule="exact"/>
              <w:jc w:val="left"/>
              <w:rPr>
                <w:rFonts w:hint="eastAsia" w:ascii="宋体" w:hAnsi="宋体" w:eastAsia="宋体" w:cs="宋体"/>
                <w:sz w:val="24"/>
                <w:szCs w:val="24"/>
                <w:highlight w:val="none"/>
              </w:rPr>
            </w:pPr>
          </w:p>
        </w:tc>
      </w:tr>
      <w:tr w14:paraId="1023C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66B3D14D">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服务协议</w:t>
            </w:r>
          </w:p>
        </w:tc>
        <w:tc>
          <w:tcPr>
            <w:tcW w:w="6212" w:type="dxa"/>
            <w:gridSpan w:val="5"/>
            <w:tcBorders>
              <w:top w:val="single" w:color="auto" w:sz="4" w:space="0"/>
              <w:left w:val="single" w:color="auto" w:sz="4" w:space="0"/>
              <w:bottom w:val="single" w:color="auto" w:sz="4" w:space="0"/>
              <w:right w:val="single" w:color="auto" w:sz="4" w:space="0"/>
            </w:tcBorders>
            <w:noWrap w:val="0"/>
            <w:vAlign w:val="top"/>
          </w:tcPr>
          <w:p w14:paraId="047BFCA6">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6108B278">
            <w:pPr>
              <w:snapToGrid w:val="0"/>
              <w:spacing w:before="50" w:after="156" w:afterLines="50" w:line="400" w:lineRule="exact"/>
              <w:jc w:val="left"/>
              <w:rPr>
                <w:rFonts w:hint="eastAsia" w:ascii="宋体" w:hAnsi="宋体" w:eastAsia="宋体" w:cs="宋体"/>
                <w:sz w:val="24"/>
                <w:szCs w:val="24"/>
                <w:highlight w:val="none"/>
              </w:rPr>
            </w:pPr>
          </w:p>
        </w:tc>
      </w:tr>
      <w:tr w14:paraId="6AD78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3A8D8C60">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6212" w:type="dxa"/>
            <w:gridSpan w:val="5"/>
            <w:tcBorders>
              <w:top w:val="single" w:color="auto" w:sz="4" w:space="0"/>
              <w:left w:val="single" w:color="auto" w:sz="4" w:space="0"/>
              <w:bottom w:val="single" w:color="auto" w:sz="4" w:space="0"/>
              <w:right w:val="single" w:color="auto" w:sz="4" w:space="0"/>
            </w:tcBorders>
            <w:noWrap w:val="0"/>
            <w:vAlign w:val="top"/>
          </w:tcPr>
          <w:p w14:paraId="59A22D2D">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415609DB">
            <w:pPr>
              <w:snapToGrid w:val="0"/>
              <w:spacing w:before="50" w:after="156" w:afterLines="50" w:line="400" w:lineRule="exact"/>
              <w:jc w:val="left"/>
              <w:rPr>
                <w:rFonts w:hint="eastAsia" w:ascii="宋体" w:hAnsi="宋体" w:eastAsia="宋体" w:cs="宋体"/>
                <w:sz w:val="24"/>
                <w:szCs w:val="24"/>
                <w:highlight w:val="none"/>
              </w:rPr>
            </w:pPr>
          </w:p>
        </w:tc>
      </w:tr>
      <w:tr w14:paraId="059690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0364EF9B">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工作业绩</w:t>
            </w:r>
          </w:p>
        </w:tc>
        <w:tc>
          <w:tcPr>
            <w:tcW w:w="6212" w:type="dxa"/>
            <w:gridSpan w:val="5"/>
            <w:tcBorders>
              <w:top w:val="single" w:color="auto" w:sz="4" w:space="0"/>
              <w:left w:val="single" w:color="auto" w:sz="4" w:space="0"/>
              <w:bottom w:val="single" w:color="auto" w:sz="4" w:space="0"/>
              <w:right w:val="single" w:color="auto" w:sz="4" w:space="0"/>
            </w:tcBorders>
            <w:noWrap w:val="0"/>
            <w:vAlign w:val="top"/>
          </w:tcPr>
          <w:p w14:paraId="1F87932B">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4E2207E8">
            <w:pPr>
              <w:snapToGrid w:val="0"/>
              <w:spacing w:before="50" w:after="156" w:afterLines="50" w:line="400" w:lineRule="exact"/>
              <w:jc w:val="left"/>
              <w:rPr>
                <w:rFonts w:hint="eastAsia" w:ascii="宋体" w:hAnsi="宋体" w:eastAsia="宋体" w:cs="宋体"/>
                <w:sz w:val="24"/>
                <w:szCs w:val="24"/>
                <w:highlight w:val="none"/>
              </w:rPr>
            </w:pPr>
          </w:p>
        </w:tc>
      </w:tr>
      <w:tr w14:paraId="44975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0E1870FD">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服务承诺</w:t>
            </w:r>
          </w:p>
        </w:tc>
        <w:tc>
          <w:tcPr>
            <w:tcW w:w="6212" w:type="dxa"/>
            <w:gridSpan w:val="5"/>
            <w:tcBorders>
              <w:top w:val="single" w:color="auto" w:sz="4" w:space="0"/>
              <w:left w:val="single" w:color="auto" w:sz="4" w:space="0"/>
              <w:bottom w:val="single" w:color="auto" w:sz="4" w:space="0"/>
              <w:right w:val="single" w:color="auto" w:sz="4" w:space="0"/>
            </w:tcBorders>
            <w:noWrap w:val="0"/>
            <w:vAlign w:val="top"/>
          </w:tcPr>
          <w:p w14:paraId="3C34AC54">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18F09172">
            <w:pPr>
              <w:snapToGrid w:val="0"/>
              <w:spacing w:before="50" w:after="156" w:afterLines="50" w:line="400" w:lineRule="exact"/>
              <w:jc w:val="left"/>
              <w:rPr>
                <w:rFonts w:hint="eastAsia" w:ascii="宋体" w:hAnsi="宋体" w:eastAsia="宋体" w:cs="宋体"/>
                <w:sz w:val="24"/>
                <w:szCs w:val="24"/>
                <w:highlight w:val="none"/>
              </w:rPr>
            </w:pPr>
          </w:p>
        </w:tc>
      </w:tr>
      <w:tr w14:paraId="095E3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6DCE9401">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业务咨询电话</w:t>
            </w:r>
          </w:p>
        </w:tc>
        <w:tc>
          <w:tcPr>
            <w:tcW w:w="2020" w:type="dxa"/>
            <w:gridSpan w:val="2"/>
            <w:tcBorders>
              <w:top w:val="single" w:color="auto" w:sz="4" w:space="0"/>
              <w:left w:val="single" w:color="auto" w:sz="4" w:space="0"/>
              <w:bottom w:val="single" w:color="auto" w:sz="4" w:space="0"/>
              <w:right w:val="single" w:color="auto" w:sz="2" w:space="0"/>
            </w:tcBorders>
            <w:noWrap w:val="0"/>
            <w:vAlign w:val="top"/>
          </w:tcPr>
          <w:p w14:paraId="61DC52C4">
            <w:pPr>
              <w:snapToGrid w:val="0"/>
              <w:spacing w:before="50" w:after="156" w:afterLines="50" w:line="400" w:lineRule="exact"/>
              <w:jc w:val="left"/>
              <w:rPr>
                <w:rFonts w:hint="eastAsia" w:ascii="宋体" w:hAnsi="宋体" w:eastAsia="宋体" w:cs="宋体"/>
                <w:sz w:val="24"/>
                <w:szCs w:val="24"/>
                <w:highlight w:val="none"/>
              </w:rPr>
            </w:pPr>
          </w:p>
        </w:tc>
        <w:tc>
          <w:tcPr>
            <w:tcW w:w="1602" w:type="dxa"/>
            <w:tcBorders>
              <w:top w:val="single" w:color="auto" w:sz="4" w:space="0"/>
              <w:left w:val="single" w:color="auto" w:sz="2" w:space="0"/>
              <w:bottom w:val="single" w:color="auto" w:sz="4" w:space="0"/>
              <w:right w:val="single" w:color="auto" w:sz="2" w:space="0"/>
            </w:tcBorders>
            <w:noWrap w:val="0"/>
            <w:vAlign w:val="top"/>
          </w:tcPr>
          <w:p w14:paraId="0585D7CB">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2590" w:type="dxa"/>
            <w:gridSpan w:val="2"/>
            <w:tcBorders>
              <w:top w:val="single" w:color="auto" w:sz="4" w:space="0"/>
              <w:left w:val="single" w:color="auto" w:sz="2" w:space="0"/>
              <w:bottom w:val="single" w:color="auto" w:sz="4" w:space="0"/>
              <w:right w:val="single" w:color="auto" w:sz="2" w:space="0"/>
            </w:tcBorders>
            <w:noWrap w:val="0"/>
            <w:vAlign w:val="top"/>
          </w:tcPr>
          <w:p w14:paraId="74452B03">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2" w:space="0"/>
              <w:bottom w:val="single" w:color="auto" w:sz="4" w:space="0"/>
              <w:right w:val="single" w:color="auto" w:sz="4" w:space="0"/>
            </w:tcBorders>
            <w:noWrap w:val="0"/>
            <w:vAlign w:val="top"/>
          </w:tcPr>
          <w:p w14:paraId="0F7DA523">
            <w:pPr>
              <w:snapToGrid w:val="0"/>
              <w:spacing w:before="50" w:after="156" w:afterLines="50" w:line="400" w:lineRule="exact"/>
              <w:jc w:val="left"/>
              <w:rPr>
                <w:rFonts w:hint="eastAsia" w:ascii="宋体" w:hAnsi="宋体" w:eastAsia="宋体" w:cs="宋体"/>
                <w:sz w:val="24"/>
                <w:szCs w:val="24"/>
                <w:highlight w:val="none"/>
              </w:rPr>
            </w:pPr>
          </w:p>
        </w:tc>
      </w:tr>
      <w:tr w14:paraId="5FE95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2" w:type="dxa"/>
            <w:tcBorders>
              <w:top w:val="single" w:color="auto" w:sz="4" w:space="0"/>
              <w:left w:val="single" w:color="auto" w:sz="4" w:space="0"/>
              <w:bottom w:val="single" w:color="auto" w:sz="4" w:space="0"/>
              <w:right w:val="single" w:color="auto" w:sz="4" w:space="0"/>
            </w:tcBorders>
            <w:noWrap w:val="0"/>
            <w:vAlign w:val="top"/>
          </w:tcPr>
          <w:p w14:paraId="6E4DD08F">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tc>
        <w:tc>
          <w:tcPr>
            <w:tcW w:w="2020" w:type="dxa"/>
            <w:gridSpan w:val="2"/>
            <w:tcBorders>
              <w:top w:val="single" w:color="auto" w:sz="4" w:space="0"/>
              <w:left w:val="single" w:color="auto" w:sz="4" w:space="0"/>
              <w:bottom w:val="single" w:color="auto" w:sz="4" w:space="0"/>
              <w:right w:val="single" w:color="auto" w:sz="2" w:space="0"/>
            </w:tcBorders>
            <w:noWrap w:val="0"/>
            <w:vAlign w:val="top"/>
          </w:tcPr>
          <w:p w14:paraId="2F091D8D">
            <w:pPr>
              <w:snapToGrid w:val="0"/>
              <w:spacing w:before="50" w:after="156" w:afterLines="50" w:line="400" w:lineRule="exact"/>
              <w:jc w:val="left"/>
              <w:rPr>
                <w:rFonts w:hint="eastAsia" w:ascii="宋体" w:hAnsi="宋体" w:eastAsia="宋体" w:cs="宋体"/>
                <w:sz w:val="24"/>
                <w:szCs w:val="24"/>
                <w:highlight w:val="none"/>
              </w:rPr>
            </w:pPr>
          </w:p>
        </w:tc>
        <w:tc>
          <w:tcPr>
            <w:tcW w:w="1602" w:type="dxa"/>
            <w:tcBorders>
              <w:top w:val="single" w:color="auto" w:sz="4" w:space="0"/>
              <w:left w:val="single" w:color="auto" w:sz="2" w:space="0"/>
              <w:bottom w:val="single" w:color="auto" w:sz="4" w:space="0"/>
              <w:right w:val="single" w:color="auto" w:sz="2" w:space="0"/>
            </w:tcBorders>
            <w:noWrap w:val="0"/>
            <w:vAlign w:val="top"/>
          </w:tcPr>
          <w:p w14:paraId="278AF36E">
            <w:pPr>
              <w:snapToGrid w:val="0"/>
              <w:spacing w:before="50" w:after="156" w:afterLines="50"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2590" w:type="dxa"/>
            <w:gridSpan w:val="2"/>
            <w:tcBorders>
              <w:top w:val="single" w:color="auto" w:sz="4" w:space="0"/>
              <w:left w:val="single" w:color="auto" w:sz="2" w:space="0"/>
              <w:bottom w:val="single" w:color="auto" w:sz="4" w:space="0"/>
              <w:right w:val="single" w:color="auto" w:sz="4" w:space="0"/>
            </w:tcBorders>
            <w:noWrap w:val="0"/>
            <w:vAlign w:val="top"/>
          </w:tcPr>
          <w:p w14:paraId="04876E6C">
            <w:pPr>
              <w:snapToGrid w:val="0"/>
              <w:spacing w:before="50" w:after="156" w:afterLines="50" w:line="400" w:lineRule="exact"/>
              <w:jc w:val="left"/>
              <w:rPr>
                <w:rFonts w:hint="eastAsia" w:ascii="宋体" w:hAnsi="宋体" w:eastAsia="宋体" w:cs="宋体"/>
                <w:sz w:val="24"/>
                <w:szCs w:val="24"/>
                <w:highlight w:val="none"/>
              </w:rPr>
            </w:pPr>
          </w:p>
        </w:tc>
        <w:tc>
          <w:tcPr>
            <w:tcW w:w="2002" w:type="dxa"/>
            <w:tcBorders>
              <w:top w:val="single" w:color="auto" w:sz="4" w:space="0"/>
              <w:left w:val="single" w:color="auto" w:sz="4" w:space="0"/>
              <w:bottom w:val="single" w:color="auto" w:sz="4" w:space="0"/>
              <w:right w:val="single" w:color="auto" w:sz="4" w:space="0"/>
            </w:tcBorders>
            <w:noWrap w:val="0"/>
            <w:vAlign w:val="top"/>
          </w:tcPr>
          <w:p w14:paraId="72217C6C">
            <w:pPr>
              <w:snapToGrid w:val="0"/>
              <w:spacing w:before="50" w:after="156" w:afterLines="50" w:line="400" w:lineRule="exact"/>
              <w:jc w:val="left"/>
              <w:rPr>
                <w:rFonts w:hint="eastAsia" w:ascii="宋体" w:hAnsi="宋体" w:eastAsia="宋体" w:cs="宋体"/>
                <w:sz w:val="24"/>
                <w:szCs w:val="24"/>
                <w:highlight w:val="none"/>
              </w:rPr>
            </w:pPr>
          </w:p>
        </w:tc>
      </w:tr>
    </w:tbl>
    <w:p w14:paraId="3673CE9B">
      <w:pPr>
        <w:spacing w:line="360" w:lineRule="auto"/>
        <w:rPr>
          <w:rFonts w:hint="eastAsia" w:ascii="宋体" w:hAnsi="Times New Roman" w:eastAsia="宋体" w:cs="宋体"/>
          <w:b/>
          <w:bCs/>
          <w:sz w:val="24"/>
          <w:szCs w:val="24"/>
          <w:highlight w:val="none"/>
        </w:rPr>
      </w:pPr>
    </w:p>
    <w:p w14:paraId="72FDF209">
      <w:pPr>
        <w:spacing w:line="360" w:lineRule="auto"/>
        <w:rPr>
          <w:rFonts w:hint="eastAsia" w:ascii="宋体" w:hAnsi="Times New Roman" w:eastAsia="宋体" w:cs="宋体"/>
          <w:b/>
          <w:bCs/>
          <w:sz w:val="24"/>
          <w:szCs w:val="24"/>
          <w:highlight w:val="none"/>
        </w:rPr>
      </w:pPr>
    </w:p>
    <w:p w14:paraId="0D13C3F5">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人名称：</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 xml:space="preserve">（加盖公章）  </w:t>
      </w:r>
    </w:p>
    <w:p w14:paraId="397C5024">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val="en-US" w:eastAsia="zh-CN"/>
        </w:rPr>
        <w:t>响应</w:t>
      </w:r>
      <w:r>
        <w:rPr>
          <w:rFonts w:hint="eastAsia" w:ascii="宋体" w:hAnsi="宋体" w:eastAsia="宋体" w:cs="宋体"/>
          <w:spacing w:val="-4"/>
          <w:sz w:val="24"/>
          <w:szCs w:val="24"/>
          <w:highlight w:val="none"/>
        </w:rPr>
        <w:t>人代表</w:t>
      </w:r>
      <w:r>
        <w:rPr>
          <w:rFonts w:hint="eastAsia" w:ascii="宋体" w:hAnsi="宋体" w:eastAsia="宋体" w:cs="宋体"/>
          <w:sz w:val="24"/>
          <w:szCs w:val="24"/>
          <w:highlight w:val="none"/>
        </w:rPr>
        <w:t>：</w:t>
      </w:r>
      <w:r>
        <w:rPr>
          <w:rFonts w:hint="eastAsia" w:ascii="宋体" w:hAnsi="宋体" w:eastAsia="宋体" w:cs="宋体"/>
          <w:b/>
          <w:spacing w:val="20"/>
          <w:sz w:val="24"/>
          <w:szCs w:val="24"/>
          <w:highlight w:val="none"/>
          <w:u w:val="single"/>
        </w:rPr>
        <w:t xml:space="preserve">           </w:t>
      </w:r>
      <w:r>
        <w:rPr>
          <w:rFonts w:hint="eastAsia" w:ascii="宋体" w:hAnsi="宋体" w:eastAsia="宋体" w:cs="宋体"/>
          <w:sz w:val="24"/>
          <w:szCs w:val="24"/>
          <w:highlight w:val="none"/>
        </w:rPr>
        <w:t>（签字）</w:t>
      </w:r>
    </w:p>
    <w:p w14:paraId="3F830F1B">
      <w:pPr>
        <w:keepNext w:val="0"/>
        <w:keepLines w:val="0"/>
        <w:pageBreakBefore w:val="0"/>
        <w:widowControl w:val="0"/>
        <w:kinsoku/>
        <w:wordWrap/>
        <w:overflowPunct/>
        <w:topLinePunct w:val="0"/>
        <w:autoSpaceDE/>
        <w:autoSpaceDN/>
        <w:bidi w:val="0"/>
        <w:adjustRightInd/>
        <w:snapToGrid/>
        <w:spacing w:line="480" w:lineRule="auto"/>
        <w:ind w:left="0" w:leftChars="0"/>
        <w:textAlignment w:val="auto"/>
        <w:rPr>
          <w:rFonts w:hint="eastAsia" w:ascii="宋体" w:hAnsi="宋体" w:eastAsia="宋体" w:cs="宋体"/>
          <w:spacing w:val="20"/>
          <w:sz w:val="24"/>
          <w:szCs w:val="24"/>
          <w:highlight w:val="none"/>
        </w:rPr>
      </w:pPr>
      <w:r>
        <w:rPr>
          <w:rFonts w:hint="eastAsia" w:ascii="宋体" w:hAnsi="宋体" w:eastAsia="宋体" w:cs="宋体"/>
          <w:spacing w:val="20"/>
          <w:sz w:val="24"/>
          <w:szCs w:val="24"/>
          <w:highlight w:val="none"/>
        </w:rPr>
        <w:t>日期：</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年</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月</w:t>
      </w:r>
      <w:r>
        <w:rPr>
          <w:rFonts w:hint="eastAsia" w:ascii="宋体" w:hAnsi="宋体" w:eastAsia="宋体" w:cs="宋体"/>
          <w:spacing w:val="20"/>
          <w:sz w:val="24"/>
          <w:szCs w:val="24"/>
          <w:highlight w:val="none"/>
          <w:u w:val="single"/>
        </w:rPr>
        <w:t xml:space="preserve">   </w:t>
      </w:r>
      <w:r>
        <w:rPr>
          <w:rFonts w:hint="eastAsia" w:ascii="宋体" w:hAnsi="宋体" w:eastAsia="宋体" w:cs="宋体"/>
          <w:spacing w:val="20"/>
          <w:sz w:val="24"/>
          <w:szCs w:val="24"/>
          <w:highlight w:val="none"/>
        </w:rPr>
        <w:t>日</w:t>
      </w:r>
    </w:p>
    <w:p w14:paraId="4B47F74E">
      <w:pPr>
        <w:spacing w:line="360" w:lineRule="auto"/>
        <w:rPr>
          <w:rFonts w:hint="eastAsia" w:ascii="宋体" w:hAnsi="Times New Roman" w:eastAsia="宋体" w:cs="宋体"/>
          <w:b/>
          <w:bCs/>
          <w:sz w:val="24"/>
          <w:szCs w:val="24"/>
          <w:highlight w:val="none"/>
        </w:rPr>
      </w:pPr>
    </w:p>
    <w:p w14:paraId="169F91D6">
      <w:pPr>
        <w:spacing w:line="360" w:lineRule="auto"/>
        <w:rPr>
          <w:rFonts w:hint="eastAsia" w:ascii="宋体" w:hAnsi="Times New Roman" w:eastAsia="宋体" w:cs="宋体"/>
          <w:b/>
          <w:bCs/>
          <w:sz w:val="24"/>
          <w:szCs w:val="24"/>
          <w:highlight w:val="none"/>
        </w:rPr>
      </w:pPr>
    </w:p>
    <w:p w14:paraId="7DD39615">
      <w:pPr>
        <w:spacing w:line="360" w:lineRule="auto"/>
        <w:rPr>
          <w:rFonts w:hint="eastAsia" w:ascii="宋体" w:hAnsi="Times New Roman" w:eastAsia="宋体" w:cs="宋体"/>
          <w:b/>
          <w:bCs/>
          <w:sz w:val="24"/>
          <w:szCs w:val="24"/>
          <w:highlight w:val="none"/>
        </w:rPr>
      </w:pPr>
    </w:p>
    <w:p w14:paraId="046CA9B0">
      <w:pPr>
        <w:spacing w:line="360" w:lineRule="auto"/>
        <w:rPr>
          <w:rFonts w:hint="eastAsia" w:ascii="宋体" w:hAnsi="Times New Roman" w:eastAsia="宋体" w:cs="宋体"/>
          <w:b/>
          <w:bCs/>
          <w:sz w:val="24"/>
          <w:szCs w:val="24"/>
          <w:highlight w:val="none"/>
        </w:rPr>
      </w:pPr>
    </w:p>
    <w:p w14:paraId="45120F07">
      <w:pPr>
        <w:spacing w:line="360" w:lineRule="auto"/>
        <w:rPr>
          <w:rFonts w:hint="eastAsia" w:ascii="宋体" w:hAnsi="Times New Roman" w:eastAsia="宋体" w:cs="宋体"/>
          <w:b/>
          <w:bCs/>
          <w:sz w:val="24"/>
          <w:szCs w:val="24"/>
          <w:highlight w:val="none"/>
        </w:rPr>
      </w:pPr>
    </w:p>
    <w:p w14:paraId="5CC6ADD6">
      <w:pPr>
        <w:spacing w:line="360" w:lineRule="auto"/>
        <w:rPr>
          <w:rFonts w:hint="eastAsia" w:ascii="宋体" w:hAnsi="Times New Roman" w:eastAsia="宋体" w:cs="宋体"/>
          <w:b/>
          <w:bCs/>
          <w:sz w:val="24"/>
          <w:szCs w:val="24"/>
          <w:highlight w:val="none"/>
        </w:rPr>
      </w:pPr>
    </w:p>
    <w:p w14:paraId="0A6BCE4E">
      <w:pPr>
        <w:spacing w:line="360" w:lineRule="auto"/>
        <w:rPr>
          <w:rFonts w:hint="eastAsia" w:ascii="宋体" w:hAnsi="Times New Roman" w:eastAsia="宋体" w:cs="宋体"/>
          <w:b/>
          <w:bCs/>
          <w:sz w:val="24"/>
          <w:szCs w:val="24"/>
          <w:highlight w:val="none"/>
        </w:rPr>
      </w:pPr>
    </w:p>
    <w:p w14:paraId="7F982615">
      <w:pPr>
        <w:spacing w:line="360" w:lineRule="auto"/>
        <w:rPr>
          <w:rFonts w:hint="eastAsia" w:ascii="宋体" w:hAnsi="Times New Roman" w:eastAsia="宋体" w:cs="宋体"/>
          <w:b/>
          <w:bCs/>
          <w:sz w:val="24"/>
          <w:szCs w:val="24"/>
          <w:highlight w:val="none"/>
        </w:rPr>
      </w:pPr>
    </w:p>
    <w:p w14:paraId="313A5FA3">
      <w:pPr>
        <w:spacing w:line="360" w:lineRule="auto"/>
        <w:rPr>
          <w:rFonts w:hint="eastAsia" w:ascii="宋体" w:hAnsi="Times New Roman" w:eastAsia="宋体" w:cs="宋体"/>
          <w:b/>
          <w:bCs/>
          <w:sz w:val="24"/>
          <w:szCs w:val="24"/>
          <w:highlight w:val="none"/>
        </w:rPr>
      </w:pPr>
      <w:r>
        <w:rPr>
          <w:rFonts w:hint="eastAsia" w:ascii="宋体" w:hAnsi="Times New Roman" w:eastAsia="宋体" w:cs="宋体"/>
          <w:b/>
          <w:bCs/>
          <w:sz w:val="24"/>
          <w:szCs w:val="24"/>
          <w:highlight w:val="none"/>
        </w:rPr>
        <w:t>格式</w:t>
      </w:r>
      <w:r>
        <w:rPr>
          <w:rFonts w:hint="eastAsia" w:ascii="宋体" w:hAnsi="Times New Roman" w:eastAsia="宋体" w:cs="宋体"/>
          <w:b/>
          <w:bCs/>
          <w:sz w:val="24"/>
          <w:szCs w:val="24"/>
          <w:highlight w:val="none"/>
          <w:lang w:val="en-US" w:eastAsia="zh-CN"/>
        </w:rPr>
        <w:t>十</w:t>
      </w:r>
      <w:r>
        <w:rPr>
          <w:rFonts w:hint="eastAsia" w:ascii="宋体" w:hAnsi="Times New Roman" w:eastAsia="宋体" w:cs="宋体"/>
          <w:b/>
          <w:bCs/>
          <w:sz w:val="24"/>
          <w:szCs w:val="24"/>
          <w:highlight w:val="none"/>
        </w:rPr>
        <w:t>、投标方案</w:t>
      </w:r>
    </w:p>
    <w:p w14:paraId="14A080E1">
      <w:pPr>
        <w:widowControl w:val="0"/>
        <w:spacing w:after="120"/>
        <w:ind w:left="420" w:leftChars="200" w:firstLine="464" w:firstLineChars="200"/>
        <w:jc w:val="both"/>
        <w:rPr>
          <w:rFonts w:hint="eastAsia" w:ascii="宋体" w:hAnsi="宋体" w:eastAsia="宋体" w:cs="宋体"/>
          <w:spacing w:val="-4"/>
          <w:kern w:val="1"/>
          <w:sz w:val="24"/>
          <w:szCs w:val="24"/>
          <w:highlight w:val="none"/>
          <w:lang w:val="en-US" w:eastAsia="zh-CN" w:bidi="ar-SA"/>
        </w:rPr>
      </w:pPr>
    </w:p>
    <w:p w14:paraId="05F2CDDC">
      <w:pPr>
        <w:snapToGrid w:val="0"/>
        <w:spacing w:before="50" w:after="156" w:afterLines="50"/>
        <w:ind w:firstLine="464" w:firstLineChars="200"/>
        <w:jc w:val="left"/>
        <w:rPr>
          <w:rFonts w:hint="eastAsia" w:ascii="宋体" w:hAnsi="Calibri" w:eastAsia="宋体" w:cs="宋体"/>
          <w:b/>
          <w:bCs/>
          <w:sz w:val="24"/>
          <w:szCs w:val="24"/>
          <w:highlight w:val="none"/>
        </w:rPr>
      </w:pPr>
      <w:r>
        <w:rPr>
          <w:rFonts w:hint="eastAsia" w:ascii="宋体" w:hAnsi="宋体" w:eastAsia="宋体" w:cs="宋体"/>
          <w:spacing w:val="-4"/>
          <w:kern w:val="1"/>
          <w:sz w:val="24"/>
          <w:szCs w:val="24"/>
          <w:highlight w:val="none"/>
        </w:rPr>
        <w:t>投标人应根据项目特点以及评标办法及标准编制投标方案</w:t>
      </w:r>
    </w:p>
    <w:p w14:paraId="34A8F4F2">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6DCB3599">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50AC4AC8">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1448E6F4">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2D9A91B6">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2DD4EC9E">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08E43FF8">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147DEA4C">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3D9C3C0D">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48A51686">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2A194872">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20AD30B8">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7B4B3ED1">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4905ABE5">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6897444C">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43D734C0">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6111D37D">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342A4E7D">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4F2C5C3E">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1E44C9E1">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0E0A346F">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42C9D0A6">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0527446E">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2657F6D7">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5060138C">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7ACE69CE">
      <w:pPr>
        <w:keepNext w:val="0"/>
        <w:keepLines w:val="0"/>
        <w:pageBreakBefore w:val="0"/>
        <w:kinsoku/>
        <w:wordWrap/>
        <w:overflowPunct/>
        <w:topLinePunct w:val="0"/>
        <w:autoSpaceDE/>
        <w:autoSpaceDN/>
        <w:bidi w:val="0"/>
        <w:adjustRightInd/>
        <w:spacing w:line="360" w:lineRule="auto"/>
        <w:textAlignment w:val="auto"/>
        <w:outlineLvl w:val="9"/>
        <w:rPr>
          <w:rFonts w:hint="eastAsia" w:ascii="宋体" w:cs="宋体"/>
          <w:b/>
          <w:bCs/>
          <w:sz w:val="24"/>
          <w:szCs w:val="24"/>
          <w:highlight w:val="none"/>
        </w:rPr>
      </w:pPr>
    </w:p>
    <w:p w14:paraId="76C3CEDB">
      <w:pPr>
        <w:keepNext w:val="0"/>
        <w:keepLines w:val="0"/>
        <w:pageBreakBefore w:val="0"/>
        <w:kinsoku/>
        <w:wordWrap/>
        <w:overflowPunct/>
        <w:topLinePunct w:val="0"/>
        <w:autoSpaceDE/>
        <w:autoSpaceDN/>
        <w:bidi w:val="0"/>
        <w:adjustRightInd/>
        <w:spacing w:line="360" w:lineRule="auto"/>
        <w:textAlignment w:val="auto"/>
        <w:outlineLvl w:val="2"/>
        <w:rPr>
          <w:rFonts w:ascii="宋体" w:cs="宋体"/>
          <w:b/>
          <w:bCs/>
          <w:sz w:val="24"/>
          <w:szCs w:val="24"/>
          <w:highlight w:val="none"/>
        </w:rPr>
      </w:pPr>
      <w:r>
        <w:rPr>
          <w:rFonts w:hint="eastAsia" w:ascii="宋体" w:cs="宋体"/>
          <w:b/>
          <w:bCs/>
          <w:sz w:val="24"/>
          <w:szCs w:val="24"/>
          <w:highlight w:val="none"/>
        </w:rPr>
        <w:t>格式十</w:t>
      </w:r>
      <w:r>
        <w:rPr>
          <w:rFonts w:hint="eastAsia" w:ascii="宋体" w:cs="宋体"/>
          <w:b/>
          <w:bCs/>
          <w:sz w:val="24"/>
          <w:szCs w:val="24"/>
          <w:highlight w:val="none"/>
          <w:lang w:val="en-US" w:eastAsia="zh-CN"/>
        </w:rPr>
        <w:t>一</w:t>
      </w:r>
      <w:r>
        <w:rPr>
          <w:rFonts w:hint="eastAsia" w:ascii="宋体" w:cs="宋体"/>
          <w:b/>
          <w:bCs/>
          <w:sz w:val="24"/>
          <w:szCs w:val="24"/>
          <w:highlight w:val="none"/>
        </w:rPr>
        <w:t>、质疑函（范本）</w:t>
      </w:r>
    </w:p>
    <w:p w14:paraId="4CD8CCFA">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sz w:val="24"/>
          <w:szCs w:val="24"/>
          <w:highlight w:val="none"/>
        </w:rPr>
      </w:pPr>
      <w:r>
        <w:rPr>
          <w:rFonts w:hint="eastAsia" w:ascii="宋体" w:hAnsi="宋体"/>
          <w:sz w:val="24"/>
          <w:szCs w:val="24"/>
          <w:highlight w:val="none"/>
        </w:rPr>
        <w:t>质疑函（范本）</w:t>
      </w:r>
    </w:p>
    <w:p w14:paraId="30BD6BEA">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质疑供应商：</w:t>
      </w:r>
      <w:r>
        <w:rPr>
          <w:rFonts w:hint="eastAsia" w:ascii="宋体" w:hAnsi="宋体" w:cs="Calibri"/>
          <w:kern w:val="0"/>
          <w:sz w:val="24"/>
          <w:szCs w:val="24"/>
          <w:highlight w:val="none"/>
          <w:u w:val="single"/>
          <w:shd w:val="clear" w:color="auto" w:fill="FFFFFF"/>
          <w:lang w:bidi="ar"/>
        </w:rPr>
        <w:t xml:space="preserve">                                                                           </w:t>
      </w:r>
    </w:p>
    <w:p w14:paraId="32C4125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地址：</w:t>
      </w:r>
      <w:r>
        <w:rPr>
          <w:rFonts w:hint="eastAsia" w:ascii="宋体" w:hAnsi="宋体" w:cs="Calibri"/>
          <w:kern w:val="0"/>
          <w:sz w:val="24"/>
          <w:szCs w:val="24"/>
          <w:highlight w:val="none"/>
          <w:u w:val="single"/>
          <w:shd w:val="clear" w:color="auto" w:fill="FFFFFF"/>
          <w:lang w:bidi="ar"/>
        </w:rPr>
        <w:t xml:space="preserve">                                                             </w:t>
      </w:r>
      <w:r>
        <w:rPr>
          <w:rFonts w:hint="eastAsia" w:ascii="宋体" w:hAnsi="宋体" w:cs="仿宋"/>
          <w:kern w:val="0"/>
          <w:sz w:val="24"/>
          <w:szCs w:val="24"/>
          <w:highlight w:val="none"/>
          <w:shd w:val="clear" w:color="auto" w:fill="FFFFFF"/>
          <w:lang w:bidi="ar"/>
        </w:rPr>
        <w:t>邮编：</w:t>
      </w:r>
      <w:r>
        <w:rPr>
          <w:rFonts w:hint="eastAsia" w:ascii="宋体" w:hAnsi="宋体" w:cs="Calibri"/>
          <w:kern w:val="0"/>
          <w:sz w:val="24"/>
          <w:szCs w:val="24"/>
          <w:highlight w:val="none"/>
          <w:u w:val="single"/>
          <w:shd w:val="clear" w:color="auto" w:fill="FFFFFF"/>
          <w:lang w:bidi="ar"/>
        </w:rPr>
        <w:t xml:space="preserve">             </w:t>
      </w:r>
    </w:p>
    <w:p w14:paraId="465FC86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4"/>
          <w:szCs w:val="24"/>
          <w:highlight w:val="none"/>
          <w:u w:val="single"/>
          <w:shd w:val="clear" w:color="auto" w:fill="FFFFFF"/>
          <w:lang w:bidi="ar"/>
        </w:rPr>
      </w:pPr>
      <w:r>
        <w:rPr>
          <w:rFonts w:hint="eastAsia" w:ascii="宋体" w:hAnsi="宋体" w:cs="仿宋"/>
          <w:kern w:val="0"/>
          <w:sz w:val="24"/>
          <w:szCs w:val="24"/>
          <w:highlight w:val="none"/>
          <w:shd w:val="clear" w:color="auto" w:fill="FFFFFF"/>
          <w:lang w:bidi="ar"/>
        </w:rPr>
        <w:t>联系人：</w:t>
      </w:r>
      <w:r>
        <w:rPr>
          <w:rFonts w:hint="eastAsia" w:ascii="宋体" w:hAnsi="宋体" w:cs="Calibri"/>
          <w:kern w:val="0"/>
          <w:sz w:val="24"/>
          <w:szCs w:val="24"/>
          <w:highlight w:val="none"/>
          <w:u w:val="single"/>
          <w:shd w:val="clear" w:color="auto" w:fill="FFFFFF"/>
          <w:lang w:bidi="ar"/>
        </w:rPr>
        <w:t xml:space="preserve">                                                                              </w:t>
      </w:r>
    </w:p>
    <w:p w14:paraId="3BC7741E">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联系电话：</w:t>
      </w:r>
      <w:r>
        <w:rPr>
          <w:rFonts w:hint="eastAsia" w:ascii="宋体" w:hAnsi="宋体" w:cs="Calibri"/>
          <w:kern w:val="0"/>
          <w:sz w:val="24"/>
          <w:szCs w:val="24"/>
          <w:highlight w:val="none"/>
          <w:u w:val="single"/>
          <w:shd w:val="clear" w:color="auto" w:fill="FFFFFF"/>
          <w:lang w:bidi="ar"/>
        </w:rPr>
        <w:t xml:space="preserve">                                                                            </w:t>
      </w:r>
    </w:p>
    <w:p w14:paraId="093C659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4"/>
          <w:szCs w:val="24"/>
          <w:highlight w:val="none"/>
          <w:u w:val="single"/>
          <w:shd w:val="clear" w:color="auto" w:fill="FFFFFF"/>
          <w:lang w:bidi="ar"/>
        </w:rPr>
      </w:pPr>
      <w:r>
        <w:rPr>
          <w:rFonts w:hint="eastAsia" w:ascii="宋体" w:hAnsi="宋体" w:cs="仿宋"/>
          <w:kern w:val="0"/>
          <w:sz w:val="24"/>
          <w:szCs w:val="24"/>
          <w:highlight w:val="none"/>
          <w:shd w:val="clear" w:color="auto" w:fill="FFFFFF"/>
          <w:lang w:bidi="ar"/>
        </w:rPr>
        <w:t>授权代表：</w:t>
      </w:r>
      <w:r>
        <w:rPr>
          <w:rFonts w:hint="eastAsia" w:ascii="宋体" w:hAnsi="宋体" w:cs="Calibri"/>
          <w:kern w:val="0"/>
          <w:sz w:val="24"/>
          <w:szCs w:val="24"/>
          <w:highlight w:val="none"/>
          <w:u w:val="single"/>
          <w:shd w:val="clear" w:color="auto" w:fill="FFFFFF"/>
          <w:lang w:bidi="ar"/>
        </w:rPr>
        <w:t xml:space="preserve">                                                                            </w:t>
      </w:r>
    </w:p>
    <w:p w14:paraId="6913757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联系电话：</w:t>
      </w:r>
      <w:r>
        <w:rPr>
          <w:rFonts w:hint="eastAsia" w:ascii="宋体" w:hAnsi="宋体" w:cs="Calibri"/>
          <w:kern w:val="0"/>
          <w:sz w:val="24"/>
          <w:szCs w:val="24"/>
          <w:highlight w:val="none"/>
          <w:u w:val="single"/>
          <w:shd w:val="clear" w:color="auto" w:fill="FFFFFF"/>
          <w:lang w:bidi="ar"/>
        </w:rPr>
        <w:t xml:space="preserve">                                                                            </w:t>
      </w:r>
    </w:p>
    <w:p w14:paraId="2F537148">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地址：</w:t>
      </w:r>
      <w:r>
        <w:rPr>
          <w:rFonts w:hint="eastAsia" w:ascii="宋体" w:hAnsi="宋体" w:cs="Calibri"/>
          <w:kern w:val="0"/>
          <w:sz w:val="24"/>
          <w:szCs w:val="24"/>
          <w:highlight w:val="none"/>
          <w:u w:val="single"/>
          <w:shd w:val="clear" w:color="auto" w:fill="FFFFFF"/>
          <w:lang w:bidi="ar"/>
        </w:rPr>
        <w:t xml:space="preserve">                                                             </w:t>
      </w:r>
      <w:r>
        <w:rPr>
          <w:rFonts w:hint="eastAsia" w:ascii="宋体" w:hAnsi="宋体" w:cs="仿宋"/>
          <w:kern w:val="0"/>
          <w:sz w:val="24"/>
          <w:szCs w:val="24"/>
          <w:highlight w:val="none"/>
          <w:shd w:val="clear" w:color="auto" w:fill="FFFFFF"/>
          <w:lang w:bidi="ar"/>
        </w:rPr>
        <w:t>邮编：</w:t>
      </w:r>
      <w:r>
        <w:rPr>
          <w:rFonts w:hint="eastAsia" w:ascii="宋体" w:hAnsi="宋体" w:cs="Calibri"/>
          <w:kern w:val="0"/>
          <w:sz w:val="24"/>
          <w:szCs w:val="24"/>
          <w:highlight w:val="none"/>
          <w:u w:val="single"/>
          <w:shd w:val="clear" w:color="auto" w:fill="FFFFFF"/>
          <w:lang w:bidi="ar"/>
        </w:rPr>
        <w:t xml:space="preserve">             </w:t>
      </w:r>
    </w:p>
    <w:p w14:paraId="05E450BE">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黑体"/>
          <w:kern w:val="0"/>
          <w:sz w:val="24"/>
          <w:szCs w:val="24"/>
          <w:highlight w:val="none"/>
          <w:shd w:val="clear" w:color="auto" w:fill="FFFFFF"/>
          <w:lang w:bidi="ar"/>
        </w:rPr>
      </w:pPr>
    </w:p>
    <w:p w14:paraId="1F2F5398">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4"/>
          <w:szCs w:val="24"/>
          <w:highlight w:val="none"/>
        </w:rPr>
      </w:pPr>
      <w:r>
        <w:rPr>
          <w:rFonts w:ascii="宋体" w:hAnsi="宋体" w:cs="黑体"/>
          <w:kern w:val="0"/>
          <w:sz w:val="24"/>
          <w:szCs w:val="24"/>
          <w:highlight w:val="none"/>
          <w:shd w:val="clear" w:color="auto" w:fill="FFFFFF"/>
          <w:lang w:bidi="ar"/>
        </w:rPr>
        <w:t>二、质疑项目基本情况</w:t>
      </w:r>
    </w:p>
    <w:p w14:paraId="4FCA6124">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质疑项目的名称：</w:t>
      </w:r>
      <w:r>
        <w:rPr>
          <w:rFonts w:hint="eastAsia" w:ascii="宋体" w:hAnsi="宋体" w:cs="Calibri"/>
          <w:kern w:val="0"/>
          <w:sz w:val="24"/>
          <w:szCs w:val="24"/>
          <w:highlight w:val="none"/>
          <w:u w:val="single"/>
          <w:shd w:val="clear" w:color="auto" w:fill="FFFFFF"/>
          <w:lang w:bidi="ar"/>
        </w:rPr>
        <w:t xml:space="preserve">                                                                            </w:t>
      </w:r>
    </w:p>
    <w:p w14:paraId="7EBBE45C">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质疑项目的编号：</w:t>
      </w:r>
      <w:r>
        <w:rPr>
          <w:rFonts w:hint="eastAsia" w:ascii="宋体" w:hAnsi="宋体" w:cs="Calibri"/>
          <w:kern w:val="0"/>
          <w:sz w:val="24"/>
          <w:szCs w:val="24"/>
          <w:highlight w:val="none"/>
          <w:u w:val="single"/>
          <w:shd w:val="clear" w:color="auto" w:fill="FFFFFF"/>
          <w:lang w:bidi="ar"/>
        </w:rPr>
        <w:t xml:space="preserve">                                                                            </w:t>
      </w:r>
    </w:p>
    <w:p w14:paraId="00FC9CC0">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采购人名称：</w:t>
      </w:r>
      <w:r>
        <w:rPr>
          <w:rFonts w:hint="eastAsia" w:ascii="宋体" w:hAnsi="宋体" w:cs="Calibri"/>
          <w:kern w:val="0"/>
          <w:sz w:val="24"/>
          <w:szCs w:val="24"/>
          <w:highlight w:val="none"/>
          <w:u w:val="single"/>
          <w:shd w:val="clear" w:color="auto" w:fill="FFFFFF"/>
          <w:lang w:bidi="ar"/>
        </w:rPr>
        <w:t xml:space="preserve">                                                                                </w:t>
      </w:r>
    </w:p>
    <w:p w14:paraId="1E5E153D">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采购文件获取日期：</w:t>
      </w:r>
      <w:r>
        <w:rPr>
          <w:rFonts w:hint="eastAsia" w:ascii="宋体" w:hAnsi="宋体" w:cs="Calibri"/>
          <w:kern w:val="0"/>
          <w:sz w:val="24"/>
          <w:szCs w:val="24"/>
          <w:highlight w:val="none"/>
          <w:u w:val="single"/>
          <w:shd w:val="clear" w:color="auto" w:fill="FFFFFF"/>
          <w:lang w:bidi="ar"/>
        </w:rPr>
        <w:t xml:space="preserve">                                                                          </w:t>
      </w:r>
    </w:p>
    <w:p w14:paraId="6B35154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4"/>
          <w:szCs w:val="24"/>
          <w:highlight w:val="none"/>
        </w:rPr>
      </w:pPr>
      <w:r>
        <w:rPr>
          <w:rFonts w:hint="eastAsia" w:ascii="宋体" w:hAnsi="宋体" w:cs="黑体"/>
          <w:kern w:val="0"/>
          <w:sz w:val="24"/>
          <w:szCs w:val="24"/>
          <w:highlight w:val="none"/>
          <w:shd w:val="clear" w:color="auto" w:fill="FFFFFF"/>
          <w:lang w:bidi="ar"/>
        </w:rPr>
        <w:t>三、质疑事项具体内容</w:t>
      </w:r>
    </w:p>
    <w:p w14:paraId="3FCFC274">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质疑事项1：</w:t>
      </w:r>
      <w:r>
        <w:rPr>
          <w:rFonts w:hint="eastAsia" w:ascii="宋体" w:hAnsi="宋体" w:cs="Calibri"/>
          <w:kern w:val="0"/>
          <w:sz w:val="24"/>
          <w:szCs w:val="24"/>
          <w:highlight w:val="none"/>
          <w:u w:val="single"/>
          <w:shd w:val="clear" w:color="auto" w:fill="FFFFFF"/>
          <w:lang w:bidi="ar"/>
        </w:rPr>
        <w:t xml:space="preserve">                                                                            </w:t>
      </w:r>
    </w:p>
    <w:p w14:paraId="7547C3D9">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事实依据：</w:t>
      </w:r>
      <w:r>
        <w:rPr>
          <w:rFonts w:hint="eastAsia" w:ascii="宋体" w:hAnsi="宋体" w:cs="Calibri"/>
          <w:kern w:val="0"/>
          <w:sz w:val="24"/>
          <w:szCs w:val="24"/>
          <w:highlight w:val="none"/>
          <w:u w:val="single"/>
          <w:shd w:val="clear" w:color="auto" w:fill="FFFFFF"/>
          <w:lang w:bidi="ar"/>
        </w:rPr>
        <w:t xml:space="preserve">                                                                            </w:t>
      </w:r>
    </w:p>
    <w:p w14:paraId="17972889">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法律依据：</w:t>
      </w:r>
      <w:r>
        <w:rPr>
          <w:rFonts w:hint="eastAsia" w:ascii="宋体" w:hAnsi="宋体" w:cs="Calibri"/>
          <w:kern w:val="0"/>
          <w:sz w:val="24"/>
          <w:szCs w:val="24"/>
          <w:highlight w:val="none"/>
          <w:u w:val="single"/>
          <w:shd w:val="clear" w:color="auto" w:fill="FFFFFF"/>
          <w:lang w:bidi="ar"/>
        </w:rPr>
        <w:t xml:space="preserve">                                                                            </w:t>
      </w:r>
    </w:p>
    <w:p w14:paraId="0253067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质疑事项2</w:t>
      </w:r>
    </w:p>
    <w:p w14:paraId="6C1BF5C5">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仿宋"/>
          <w:kern w:val="0"/>
          <w:sz w:val="24"/>
          <w:szCs w:val="24"/>
          <w:highlight w:val="none"/>
          <w:shd w:val="clear" w:color="auto" w:fill="FFFFFF"/>
          <w:lang w:bidi="ar"/>
        </w:rPr>
        <w:t>……</w:t>
      </w:r>
    </w:p>
    <w:p w14:paraId="2DD555F1">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outlineLvl w:val="9"/>
        <w:rPr>
          <w:rFonts w:ascii="宋体" w:hAnsi="宋体" w:cs="宋体"/>
          <w:sz w:val="24"/>
          <w:szCs w:val="24"/>
          <w:highlight w:val="none"/>
        </w:rPr>
      </w:pPr>
      <w:r>
        <w:rPr>
          <w:rFonts w:hint="eastAsia" w:ascii="宋体" w:hAnsi="宋体" w:cs="黑体"/>
          <w:kern w:val="0"/>
          <w:sz w:val="24"/>
          <w:szCs w:val="24"/>
          <w:highlight w:val="none"/>
          <w:shd w:val="clear" w:color="auto" w:fill="FFFFFF"/>
          <w:lang w:bidi="ar"/>
        </w:rPr>
        <w:t>四、与质疑事项相关的质疑请求</w:t>
      </w:r>
    </w:p>
    <w:p w14:paraId="507E228E">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4"/>
          <w:szCs w:val="24"/>
          <w:highlight w:val="none"/>
          <w:u w:val="single"/>
          <w:shd w:val="clear" w:color="auto" w:fill="FFFFFF"/>
          <w:lang w:bidi="ar"/>
        </w:rPr>
      </w:pPr>
      <w:r>
        <w:rPr>
          <w:rFonts w:hint="eastAsia" w:ascii="宋体" w:hAnsi="宋体" w:cs="仿宋"/>
          <w:kern w:val="0"/>
          <w:sz w:val="24"/>
          <w:szCs w:val="24"/>
          <w:highlight w:val="none"/>
          <w:shd w:val="clear" w:color="auto" w:fill="FFFFFF"/>
          <w:lang w:bidi="ar"/>
        </w:rPr>
        <w:t>请求：</w:t>
      </w:r>
      <w:r>
        <w:rPr>
          <w:rFonts w:hint="eastAsia" w:ascii="宋体" w:hAnsi="宋体" w:cs="Calibri"/>
          <w:kern w:val="0"/>
          <w:sz w:val="24"/>
          <w:szCs w:val="24"/>
          <w:highlight w:val="none"/>
          <w:u w:val="single"/>
          <w:shd w:val="clear" w:color="auto" w:fill="FFFFFF"/>
          <w:lang w:bidi="ar"/>
        </w:rPr>
        <w:t xml:space="preserve">                                                                            </w:t>
      </w:r>
    </w:p>
    <w:p w14:paraId="19CF08A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p>
    <w:p w14:paraId="090215E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仿宋_GB2312"/>
          <w:kern w:val="0"/>
          <w:sz w:val="24"/>
          <w:szCs w:val="24"/>
          <w:highlight w:val="none"/>
          <w:shd w:val="clear" w:color="auto" w:fill="FFFFFF"/>
          <w:lang w:bidi="ar"/>
        </w:rPr>
      </w:pPr>
      <w:r>
        <w:rPr>
          <w:rFonts w:ascii="宋体" w:hAnsi="宋体" w:cs="仿宋_GB2312"/>
          <w:kern w:val="0"/>
          <w:sz w:val="24"/>
          <w:szCs w:val="24"/>
          <w:highlight w:val="none"/>
          <w:shd w:val="clear" w:color="auto" w:fill="FFFFFF"/>
          <w:lang w:bidi="ar"/>
        </w:rPr>
        <w:t>签字(签章)：</w:t>
      </w:r>
    </w:p>
    <w:p w14:paraId="0A86E381">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ascii="宋体" w:hAnsi="宋体" w:cs="仿宋_GB2312"/>
          <w:kern w:val="0"/>
          <w:sz w:val="24"/>
          <w:szCs w:val="24"/>
          <w:highlight w:val="none"/>
          <w:shd w:val="clear" w:color="auto" w:fill="FFFFFF"/>
          <w:lang w:bidi="ar"/>
        </w:rPr>
        <w:t>公章：</w:t>
      </w:r>
    </w:p>
    <w:p w14:paraId="54FB01D2">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Calibri"/>
          <w:kern w:val="0"/>
          <w:sz w:val="24"/>
          <w:szCs w:val="24"/>
          <w:highlight w:val="none"/>
          <w:shd w:val="clear" w:color="auto" w:fill="FFFFFF"/>
          <w:lang w:bidi="ar"/>
        </w:rPr>
      </w:pPr>
      <w:r>
        <w:rPr>
          <w:rFonts w:ascii="宋体" w:hAnsi="宋体" w:cs="仿宋_GB2312"/>
          <w:kern w:val="0"/>
          <w:sz w:val="24"/>
          <w:szCs w:val="24"/>
          <w:highlight w:val="none"/>
          <w:shd w:val="clear" w:color="auto" w:fill="FFFFFF"/>
          <w:lang w:bidi="ar"/>
        </w:rPr>
        <w:t>日期：</w:t>
      </w:r>
    </w:p>
    <w:p w14:paraId="09531360">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p>
    <w:p w14:paraId="711412C6">
      <w:pPr>
        <w:keepNext w:val="0"/>
        <w:keepLines w:val="0"/>
        <w:pageBreakBefore w:val="0"/>
        <w:widowControl/>
        <w:kinsoku/>
        <w:wordWrap/>
        <w:overflowPunct/>
        <w:topLinePunct w:val="0"/>
        <w:autoSpaceDE/>
        <w:autoSpaceDN/>
        <w:bidi w:val="0"/>
        <w:adjustRightInd/>
        <w:spacing w:before="100" w:beforeAutospacing="1" w:after="100" w:afterAutospacing="1" w:line="360" w:lineRule="auto"/>
        <w:jc w:val="left"/>
        <w:textAlignment w:val="auto"/>
        <w:rPr>
          <w:rFonts w:ascii="宋体" w:hAnsi="宋体" w:cs="宋体"/>
          <w:sz w:val="24"/>
          <w:szCs w:val="24"/>
          <w:highlight w:val="none"/>
        </w:rPr>
      </w:pPr>
      <w:r>
        <w:rPr>
          <w:rFonts w:hint="eastAsia" w:ascii="宋体" w:hAnsi="宋体" w:cs="黑体"/>
          <w:b/>
          <w:kern w:val="0"/>
          <w:sz w:val="24"/>
          <w:szCs w:val="24"/>
          <w:highlight w:val="none"/>
          <w:shd w:val="clear" w:color="auto" w:fill="FFFFFF"/>
          <w:lang w:bidi="ar"/>
        </w:rPr>
        <w:t>质疑函制作说明：</w:t>
      </w:r>
    </w:p>
    <w:p w14:paraId="4DD75CA5">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outlineLvl w:val="9"/>
        <w:rPr>
          <w:rFonts w:ascii="宋体" w:hAnsi="宋体" w:cs="宋体"/>
          <w:sz w:val="24"/>
          <w:szCs w:val="24"/>
          <w:highlight w:val="none"/>
        </w:rPr>
      </w:pPr>
      <w:r>
        <w:rPr>
          <w:rFonts w:ascii="宋体" w:hAnsi="宋体" w:cs="仿宋_GB2312"/>
          <w:kern w:val="0"/>
          <w:sz w:val="24"/>
          <w:szCs w:val="24"/>
          <w:highlight w:val="none"/>
          <w:shd w:val="clear" w:color="auto" w:fill="FFFFFF"/>
          <w:lang w:bidi="ar"/>
        </w:rPr>
        <w:t>1.供应商提出质疑时，应提交质疑函和必要的证明材料。</w:t>
      </w:r>
    </w:p>
    <w:p w14:paraId="337C36CA">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4"/>
          <w:szCs w:val="24"/>
          <w:highlight w:val="none"/>
        </w:rPr>
      </w:pPr>
      <w:r>
        <w:rPr>
          <w:rFonts w:ascii="宋体" w:hAnsi="宋体" w:cs="仿宋_GB2312"/>
          <w:kern w:val="0"/>
          <w:sz w:val="24"/>
          <w:szCs w:val="24"/>
          <w:highlight w:val="none"/>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7589EBD">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4"/>
          <w:szCs w:val="24"/>
          <w:highlight w:val="none"/>
        </w:rPr>
      </w:pPr>
      <w:r>
        <w:rPr>
          <w:rFonts w:ascii="宋体" w:hAnsi="宋体" w:cs="仿宋_GB2312"/>
          <w:kern w:val="0"/>
          <w:sz w:val="24"/>
          <w:szCs w:val="24"/>
          <w:highlight w:val="none"/>
          <w:shd w:val="clear" w:color="auto" w:fill="FFFFFF"/>
          <w:lang w:bidi="ar"/>
        </w:rPr>
        <w:t>3.质疑供应商若对项目的某一</w:t>
      </w:r>
      <w:r>
        <w:rPr>
          <w:rFonts w:hint="eastAsia" w:ascii="宋体" w:hAnsi="宋体" w:cs="仿宋_GB2312"/>
          <w:kern w:val="0"/>
          <w:sz w:val="24"/>
          <w:szCs w:val="24"/>
          <w:highlight w:val="none"/>
          <w:shd w:val="clear" w:color="auto" w:fill="FFFFFF"/>
          <w:lang w:bidi="ar"/>
        </w:rPr>
        <w:t>标项</w:t>
      </w:r>
      <w:r>
        <w:rPr>
          <w:rFonts w:ascii="宋体" w:hAnsi="宋体" w:cs="仿宋_GB2312"/>
          <w:kern w:val="0"/>
          <w:sz w:val="24"/>
          <w:szCs w:val="24"/>
          <w:highlight w:val="none"/>
          <w:shd w:val="clear" w:color="auto" w:fill="FFFFFF"/>
          <w:lang w:bidi="ar"/>
        </w:rPr>
        <w:t>进行质疑，质疑函中应列明具体</w:t>
      </w:r>
      <w:r>
        <w:rPr>
          <w:rFonts w:hint="eastAsia" w:ascii="宋体" w:hAnsi="宋体" w:cs="仿宋_GB2312"/>
          <w:kern w:val="0"/>
          <w:sz w:val="24"/>
          <w:szCs w:val="24"/>
          <w:highlight w:val="none"/>
          <w:shd w:val="clear" w:color="auto" w:fill="FFFFFF"/>
          <w:lang w:bidi="ar"/>
        </w:rPr>
        <w:t>标项</w:t>
      </w:r>
      <w:r>
        <w:rPr>
          <w:rFonts w:ascii="宋体" w:hAnsi="宋体" w:cs="仿宋_GB2312"/>
          <w:kern w:val="0"/>
          <w:sz w:val="24"/>
          <w:szCs w:val="24"/>
          <w:highlight w:val="none"/>
          <w:shd w:val="clear" w:color="auto" w:fill="FFFFFF"/>
          <w:lang w:bidi="ar"/>
        </w:rPr>
        <w:t>。</w:t>
      </w:r>
    </w:p>
    <w:p w14:paraId="5961E34C">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4"/>
          <w:szCs w:val="24"/>
          <w:highlight w:val="none"/>
        </w:rPr>
      </w:pPr>
      <w:r>
        <w:rPr>
          <w:rFonts w:ascii="宋体" w:hAnsi="宋体" w:cs="仿宋_GB2312"/>
          <w:kern w:val="0"/>
          <w:sz w:val="24"/>
          <w:szCs w:val="24"/>
          <w:highlight w:val="none"/>
          <w:shd w:val="clear" w:color="auto" w:fill="FFFFFF"/>
          <w:lang w:bidi="ar"/>
        </w:rPr>
        <w:t>4.质疑函的质疑事项应具体、明确，并有必要的事实依据和法律依据。</w:t>
      </w:r>
    </w:p>
    <w:p w14:paraId="14507D67">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outlineLvl w:val="9"/>
        <w:rPr>
          <w:rFonts w:ascii="宋体" w:hAnsi="宋体" w:cs="宋体"/>
          <w:sz w:val="24"/>
          <w:szCs w:val="24"/>
          <w:highlight w:val="none"/>
        </w:rPr>
      </w:pPr>
      <w:r>
        <w:rPr>
          <w:rFonts w:ascii="宋体" w:hAnsi="宋体" w:cs="仿宋_GB2312"/>
          <w:kern w:val="0"/>
          <w:sz w:val="24"/>
          <w:szCs w:val="24"/>
          <w:highlight w:val="none"/>
          <w:shd w:val="clear" w:color="auto" w:fill="FFFFFF"/>
          <w:lang w:bidi="ar"/>
        </w:rPr>
        <w:t>5.质疑函的质疑请求应与质疑事项相关。</w:t>
      </w:r>
    </w:p>
    <w:p w14:paraId="48161B1E">
      <w:pPr>
        <w:keepNext w:val="0"/>
        <w:keepLines w:val="0"/>
        <w:pageBreakBefore w:val="0"/>
        <w:widowControl/>
        <w:kinsoku/>
        <w:wordWrap/>
        <w:overflowPunct/>
        <w:topLinePunct w:val="0"/>
        <w:autoSpaceDE/>
        <w:autoSpaceDN/>
        <w:bidi w:val="0"/>
        <w:adjustRightInd/>
        <w:spacing w:before="100" w:beforeAutospacing="1" w:after="100" w:afterAutospacing="1" w:line="360" w:lineRule="auto"/>
        <w:ind w:firstLine="640"/>
        <w:jc w:val="left"/>
        <w:textAlignment w:val="auto"/>
        <w:rPr>
          <w:rFonts w:ascii="宋体" w:hAnsi="宋体" w:cs="宋体"/>
          <w:sz w:val="24"/>
          <w:szCs w:val="24"/>
          <w:highlight w:val="none"/>
        </w:rPr>
      </w:pPr>
      <w:r>
        <w:rPr>
          <w:rFonts w:ascii="宋体" w:hAnsi="宋体" w:cs="仿宋_GB2312"/>
          <w:kern w:val="0"/>
          <w:sz w:val="24"/>
          <w:szCs w:val="24"/>
          <w:highlight w:val="none"/>
          <w:shd w:val="clear" w:color="auto" w:fill="FFFFFF"/>
          <w:lang w:bidi="ar"/>
        </w:rPr>
        <w:t>6.质疑供应商为自然人的，质疑函应由本人签字；质疑供应商为法人或者其他组织的，质疑函应由法定代表人、主要负责人，或者其授权代表签字或者盖章，并加盖公章。</w:t>
      </w:r>
    </w:p>
    <w:p w14:paraId="3C9F887B">
      <w:pPr>
        <w:pStyle w:val="14"/>
        <w:pageBreakBefore w:val="0"/>
        <w:kinsoku/>
        <w:wordWrap/>
        <w:overflowPunct/>
        <w:topLinePunct w:val="0"/>
        <w:bidi w:val="0"/>
        <w:snapToGrid w:val="0"/>
        <w:spacing w:line="360" w:lineRule="auto"/>
        <w:rPr>
          <w:rFonts w:hAnsi="宋体" w:eastAsia="宋体" w:cs="宋体"/>
          <w:sz w:val="21"/>
          <w:szCs w:val="21"/>
          <w:highlight w:val="none"/>
        </w:rPr>
      </w:pPr>
    </w:p>
    <w:sectPr>
      <w:footerReference r:id="rId7" w:type="default"/>
      <w:pgSz w:w="11906" w:h="16838"/>
      <w:pgMar w:top="1531" w:right="992" w:bottom="1531" w:left="992" w:header="851" w:footer="58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8AE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2FDA">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A6C50">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BA6C50">
                    <w:pPr>
                      <w:pStyle w:val="1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47</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2529E">
    <w:pPr>
      <w:pStyle w:val="20"/>
      <w:tabs>
        <w:tab w:val="right" w:pos="9040"/>
        <w:tab w:val="clear" w:pos="8306"/>
      </w:tabs>
      <w:ind w:left="1980" w:hanging="1980" w:hangingChars="1100"/>
      <w:jc w:val="both"/>
      <w:rPr>
        <w:rFonts w:hint="default" w:ascii="宋体" w:eastAsia="宋体"/>
        <w:lang w:val="en-US" w:eastAsia="zh-CN"/>
      </w:rPr>
    </w:pPr>
    <w:r>
      <w:rPr>
        <w:rFonts w:hint="eastAsia" w:ascii="宋体"/>
      </w:rPr>
      <w:drawing>
        <wp:inline distT="0" distB="0" distL="114300" distR="114300">
          <wp:extent cx="1602105" cy="293370"/>
          <wp:effectExtent l="0" t="0" r="17145" b="1143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2025年基层文化惠民服务项目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6922">
    <w:pPr>
      <w:pStyle w:val="20"/>
      <w:pBdr>
        <w:bottom w:val="none" w:color="auto" w:sz="0" w:space="1"/>
      </w:pBdr>
      <w:jc w:val="both"/>
    </w:pP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CBAA">
    <w:pPr>
      <w:keepNext w:val="0"/>
      <w:keepLines w:val="0"/>
      <w:widowControl w:val="0"/>
      <w:suppressLineNumbers w:val="0"/>
      <w:pBdr>
        <w:bottom w:val="single" w:color="auto" w:sz="4" w:space="0"/>
      </w:pBdr>
      <w:spacing w:before="0" w:beforeAutospacing="0" w:after="0" w:afterAutospacing="0" w:line="560" w:lineRule="exact"/>
      <w:ind w:left="0" w:right="0"/>
      <w:jc w:val="center"/>
      <w:rPr>
        <w:rFonts w:hint="default" w:ascii="宋体" w:eastAsia="宋体"/>
        <w:lang w:val="en-US" w:eastAsia="zh-CN"/>
      </w:rPr>
    </w:pPr>
    <w:r>
      <w:rPr>
        <w:rFonts w:hint="eastAsia" w:ascii="宋体"/>
      </w:rPr>
      <w:drawing>
        <wp:inline distT="0" distB="0" distL="114300" distR="114300">
          <wp:extent cx="1602105" cy="293370"/>
          <wp:effectExtent l="0" t="0" r="17145" b="1143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602105" cy="293370"/>
                  </a:xfrm>
                  <a:prstGeom prst="rect">
                    <a:avLst/>
                  </a:prstGeom>
                  <a:noFill/>
                  <a:ln>
                    <a:noFill/>
                  </a:ln>
                </pic:spPr>
              </pic:pic>
            </a:graphicData>
          </a:graphic>
        </wp:inline>
      </w:drawing>
    </w:r>
    <w:r>
      <w:rPr>
        <w:rFonts w:hint="eastAsia" w:ascii="宋体"/>
      </w:rPr>
      <w:t xml:space="preserve"> </w:t>
    </w:r>
    <w:r>
      <w:rPr>
        <w:rFonts w:hint="eastAsia" w:ascii="宋体"/>
        <w:lang w:val="en-US" w:eastAsia="zh-CN"/>
      </w:rPr>
      <w:t xml:space="preserve">                                        2025年安全生产社会化服务项目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BCCA7"/>
    <w:multiLevelType w:val="singleLevel"/>
    <w:tmpl w:val="943BCCA7"/>
    <w:lvl w:ilvl="0" w:tentative="0">
      <w:start w:val="1"/>
      <w:numFmt w:val="decimal"/>
      <w:suff w:val="nothing"/>
      <w:lvlText w:val="%1、"/>
      <w:lvlJc w:val="left"/>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DD4552D"/>
    <w:multiLevelType w:val="singleLevel"/>
    <w:tmpl w:val="4DD4552D"/>
    <w:lvl w:ilvl="0" w:tentative="0">
      <w:start w:val="1"/>
      <w:numFmt w:val="decimal"/>
      <w:lvlText w:val="%1."/>
      <w:lvlJc w:val="left"/>
      <w:pPr>
        <w:tabs>
          <w:tab w:val="left" w:pos="312"/>
        </w:tabs>
      </w:pPr>
    </w:lvl>
  </w:abstractNum>
  <w:abstractNum w:abstractNumId="4">
    <w:nsid w:val="759BB3CD"/>
    <w:multiLevelType w:val="singleLevel"/>
    <w:tmpl w:val="759BB3CD"/>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ZjQwOGQ1OTliMGE2ZTFjMzY3YjI1NTM0NTljYmQifQ=="/>
  </w:docVars>
  <w:rsids>
    <w:rsidRoot w:val="00172A27"/>
    <w:rsid w:val="000008AE"/>
    <w:rsid w:val="00000DA0"/>
    <w:rsid w:val="0000107B"/>
    <w:rsid w:val="00001255"/>
    <w:rsid w:val="00001351"/>
    <w:rsid w:val="00001616"/>
    <w:rsid w:val="00002240"/>
    <w:rsid w:val="0000249F"/>
    <w:rsid w:val="000036AE"/>
    <w:rsid w:val="000053DD"/>
    <w:rsid w:val="000067D2"/>
    <w:rsid w:val="00006CD5"/>
    <w:rsid w:val="00010275"/>
    <w:rsid w:val="00011F5B"/>
    <w:rsid w:val="00012FC0"/>
    <w:rsid w:val="000131FB"/>
    <w:rsid w:val="00013F7B"/>
    <w:rsid w:val="000148CF"/>
    <w:rsid w:val="000150F2"/>
    <w:rsid w:val="00015267"/>
    <w:rsid w:val="00015B00"/>
    <w:rsid w:val="000161B6"/>
    <w:rsid w:val="00020487"/>
    <w:rsid w:val="00021229"/>
    <w:rsid w:val="00021CDE"/>
    <w:rsid w:val="00021CF2"/>
    <w:rsid w:val="000225BC"/>
    <w:rsid w:val="00022EFA"/>
    <w:rsid w:val="00023C49"/>
    <w:rsid w:val="00023E4C"/>
    <w:rsid w:val="0002452C"/>
    <w:rsid w:val="000260AD"/>
    <w:rsid w:val="000265C2"/>
    <w:rsid w:val="00026CC2"/>
    <w:rsid w:val="000273C7"/>
    <w:rsid w:val="00027CC8"/>
    <w:rsid w:val="00027CEC"/>
    <w:rsid w:val="00027D38"/>
    <w:rsid w:val="000303E1"/>
    <w:rsid w:val="00030AD8"/>
    <w:rsid w:val="000317CA"/>
    <w:rsid w:val="0003181C"/>
    <w:rsid w:val="00032134"/>
    <w:rsid w:val="000325CE"/>
    <w:rsid w:val="0003329B"/>
    <w:rsid w:val="00033641"/>
    <w:rsid w:val="00034D19"/>
    <w:rsid w:val="0003660B"/>
    <w:rsid w:val="000369D2"/>
    <w:rsid w:val="00037EE2"/>
    <w:rsid w:val="000407B3"/>
    <w:rsid w:val="0004111B"/>
    <w:rsid w:val="000415B1"/>
    <w:rsid w:val="00041BE4"/>
    <w:rsid w:val="0004279E"/>
    <w:rsid w:val="0004335D"/>
    <w:rsid w:val="00043AC8"/>
    <w:rsid w:val="00044AE2"/>
    <w:rsid w:val="00044B3F"/>
    <w:rsid w:val="00045883"/>
    <w:rsid w:val="00046374"/>
    <w:rsid w:val="00047114"/>
    <w:rsid w:val="0005095B"/>
    <w:rsid w:val="00050DEE"/>
    <w:rsid w:val="000516E3"/>
    <w:rsid w:val="00051B80"/>
    <w:rsid w:val="00052F70"/>
    <w:rsid w:val="00053F58"/>
    <w:rsid w:val="0005415C"/>
    <w:rsid w:val="00055835"/>
    <w:rsid w:val="00055B9A"/>
    <w:rsid w:val="00055C01"/>
    <w:rsid w:val="00055DD9"/>
    <w:rsid w:val="000566FC"/>
    <w:rsid w:val="00057A16"/>
    <w:rsid w:val="000601BC"/>
    <w:rsid w:val="0006107F"/>
    <w:rsid w:val="00061AE1"/>
    <w:rsid w:val="00061B2C"/>
    <w:rsid w:val="00063583"/>
    <w:rsid w:val="00064447"/>
    <w:rsid w:val="00064E63"/>
    <w:rsid w:val="00065112"/>
    <w:rsid w:val="00065300"/>
    <w:rsid w:val="0006586E"/>
    <w:rsid w:val="00065C18"/>
    <w:rsid w:val="00066224"/>
    <w:rsid w:val="000668F7"/>
    <w:rsid w:val="00067BAD"/>
    <w:rsid w:val="00070E4F"/>
    <w:rsid w:val="00070F6C"/>
    <w:rsid w:val="0007335F"/>
    <w:rsid w:val="000735C6"/>
    <w:rsid w:val="00074E0B"/>
    <w:rsid w:val="00074E62"/>
    <w:rsid w:val="00074FAC"/>
    <w:rsid w:val="00075588"/>
    <w:rsid w:val="0007669B"/>
    <w:rsid w:val="00076754"/>
    <w:rsid w:val="00077441"/>
    <w:rsid w:val="000779FD"/>
    <w:rsid w:val="0008040C"/>
    <w:rsid w:val="00080D08"/>
    <w:rsid w:val="00081A6F"/>
    <w:rsid w:val="00081C6F"/>
    <w:rsid w:val="00083162"/>
    <w:rsid w:val="000839AD"/>
    <w:rsid w:val="00083C5C"/>
    <w:rsid w:val="00085105"/>
    <w:rsid w:val="00086507"/>
    <w:rsid w:val="00086933"/>
    <w:rsid w:val="00086EEC"/>
    <w:rsid w:val="00087E11"/>
    <w:rsid w:val="00090784"/>
    <w:rsid w:val="000911CB"/>
    <w:rsid w:val="00091498"/>
    <w:rsid w:val="00091A59"/>
    <w:rsid w:val="00091E8E"/>
    <w:rsid w:val="0009261A"/>
    <w:rsid w:val="00094603"/>
    <w:rsid w:val="00094871"/>
    <w:rsid w:val="00096762"/>
    <w:rsid w:val="00096E45"/>
    <w:rsid w:val="00096F0A"/>
    <w:rsid w:val="00097D22"/>
    <w:rsid w:val="00097F86"/>
    <w:rsid w:val="000A0344"/>
    <w:rsid w:val="000A0956"/>
    <w:rsid w:val="000A0D2D"/>
    <w:rsid w:val="000A147D"/>
    <w:rsid w:val="000A258D"/>
    <w:rsid w:val="000A2631"/>
    <w:rsid w:val="000A40BB"/>
    <w:rsid w:val="000A4221"/>
    <w:rsid w:val="000A4912"/>
    <w:rsid w:val="000A4A6F"/>
    <w:rsid w:val="000A4C96"/>
    <w:rsid w:val="000A566A"/>
    <w:rsid w:val="000A59AD"/>
    <w:rsid w:val="000A693E"/>
    <w:rsid w:val="000B1196"/>
    <w:rsid w:val="000B123C"/>
    <w:rsid w:val="000B1E98"/>
    <w:rsid w:val="000B28DB"/>
    <w:rsid w:val="000B2A5F"/>
    <w:rsid w:val="000B2EA7"/>
    <w:rsid w:val="000B46A2"/>
    <w:rsid w:val="000B4C39"/>
    <w:rsid w:val="000B7447"/>
    <w:rsid w:val="000B7738"/>
    <w:rsid w:val="000C021F"/>
    <w:rsid w:val="000C0E70"/>
    <w:rsid w:val="000C0F1E"/>
    <w:rsid w:val="000C16D6"/>
    <w:rsid w:val="000C1DC6"/>
    <w:rsid w:val="000C4808"/>
    <w:rsid w:val="000C48DE"/>
    <w:rsid w:val="000C4B01"/>
    <w:rsid w:val="000C5A51"/>
    <w:rsid w:val="000C783F"/>
    <w:rsid w:val="000C7CF8"/>
    <w:rsid w:val="000D130E"/>
    <w:rsid w:val="000D1459"/>
    <w:rsid w:val="000D1936"/>
    <w:rsid w:val="000D1AA4"/>
    <w:rsid w:val="000D1DF0"/>
    <w:rsid w:val="000D291A"/>
    <w:rsid w:val="000D2B33"/>
    <w:rsid w:val="000D32EC"/>
    <w:rsid w:val="000D33F2"/>
    <w:rsid w:val="000D3438"/>
    <w:rsid w:val="000D3A03"/>
    <w:rsid w:val="000D4477"/>
    <w:rsid w:val="000D5E43"/>
    <w:rsid w:val="000D750F"/>
    <w:rsid w:val="000D79EB"/>
    <w:rsid w:val="000D7AF8"/>
    <w:rsid w:val="000D7E24"/>
    <w:rsid w:val="000E028B"/>
    <w:rsid w:val="000E02F2"/>
    <w:rsid w:val="000E1E85"/>
    <w:rsid w:val="000E2837"/>
    <w:rsid w:val="000E2BC0"/>
    <w:rsid w:val="000E3EEF"/>
    <w:rsid w:val="000E416C"/>
    <w:rsid w:val="000E56DE"/>
    <w:rsid w:val="000E706B"/>
    <w:rsid w:val="000F02E6"/>
    <w:rsid w:val="000F0550"/>
    <w:rsid w:val="000F1074"/>
    <w:rsid w:val="000F13AF"/>
    <w:rsid w:val="000F2A94"/>
    <w:rsid w:val="000F2E5E"/>
    <w:rsid w:val="000F3CA6"/>
    <w:rsid w:val="000F421C"/>
    <w:rsid w:val="000F4472"/>
    <w:rsid w:val="000F4C37"/>
    <w:rsid w:val="000F4F94"/>
    <w:rsid w:val="000F55ED"/>
    <w:rsid w:val="000F5680"/>
    <w:rsid w:val="000F5897"/>
    <w:rsid w:val="000F6027"/>
    <w:rsid w:val="000F6E50"/>
    <w:rsid w:val="001007C1"/>
    <w:rsid w:val="00101001"/>
    <w:rsid w:val="00101417"/>
    <w:rsid w:val="00102CD6"/>
    <w:rsid w:val="00103EDC"/>
    <w:rsid w:val="00103FBC"/>
    <w:rsid w:val="00105C54"/>
    <w:rsid w:val="001062C4"/>
    <w:rsid w:val="0010669E"/>
    <w:rsid w:val="00107048"/>
    <w:rsid w:val="0010765D"/>
    <w:rsid w:val="00107E23"/>
    <w:rsid w:val="00110878"/>
    <w:rsid w:val="00111204"/>
    <w:rsid w:val="001113A5"/>
    <w:rsid w:val="00111D5D"/>
    <w:rsid w:val="00112791"/>
    <w:rsid w:val="0011355D"/>
    <w:rsid w:val="0011384C"/>
    <w:rsid w:val="0011396E"/>
    <w:rsid w:val="00113E4C"/>
    <w:rsid w:val="00113FC6"/>
    <w:rsid w:val="0011495F"/>
    <w:rsid w:val="00115E32"/>
    <w:rsid w:val="0011602B"/>
    <w:rsid w:val="00116541"/>
    <w:rsid w:val="001172A3"/>
    <w:rsid w:val="00120EEE"/>
    <w:rsid w:val="00120F3A"/>
    <w:rsid w:val="00121115"/>
    <w:rsid w:val="00122049"/>
    <w:rsid w:val="001223F9"/>
    <w:rsid w:val="00122D30"/>
    <w:rsid w:val="00122D3E"/>
    <w:rsid w:val="00123169"/>
    <w:rsid w:val="001232C5"/>
    <w:rsid w:val="00124AFE"/>
    <w:rsid w:val="00124EF7"/>
    <w:rsid w:val="001258CD"/>
    <w:rsid w:val="00125A10"/>
    <w:rsid w:val="00126051"/>
    <w:rsid w:val="0012621D"/>
    <w:rsid w:val="00126F03"/>
    <w:rsid w:val="0012782B"/>
    <w:rsid w:val="00131683"/>
    <w:rsid w:val="00131B3F"/>
    <w:rsid w:val="00132E4D"/>
    <w:rsid w:val="00133D3A"/>
    <w:rsid w:val="00133F40"/>
    <w:rsid w:val="00135C96"/>
    <w:rsid w:val="00136020"/>
    <w:rsid w:val="001363C1"/>
    <w:rsid w:val="001375A8"/>
    <w:rsid w:val="00141886"/>
    <w:rsid w:val="00143FF7"/>
    <w:rsid w:val="00145C0D"/>
    <w:rsid w:val="001464CC"/>
    <w:rsid w:val="00146B1C"/>
    <w:rsid w:val="00150017"/>
    <w:rsid w:val="001504B3"/>
    <w:rsid w:val="0015086E"/>
    <w:rsid w:val="00150F5B"/>
    <w:rsid w:val="00150FD2"/>
    <w:rsid w:val="001517FA"/>
    <w:rsid w:val="001526CD"/>
    <w:rsid w:val="0015311C"/>
    <w:rsid w:val="001538AB"/>
    <w:rsid w:val="00153ACA"/>
    <w:rsid w:val="001543EB"/>
    <w:rsid w:val="0015506F"/>
    <w:rsid w:val="00155A65"/>
    <w:rsid w:val="00155F0F"/>
    <w:rsid w:val="0015624B"/>
    <w:rsid w:val="00156900"/>
    <w:rsid w:val="00156A6A"/>
    <w:rsid w:val="00156AD8"/>
    <w:rsid w:val="00156B04"/>
    <w:rsid w:val="00157751"/>
    <w:rsid w:val="00157978"/>
    <w:rsid w:val="0016017E"/>
    <w:rsid w:val="00160802"/>
    <w:rsid w:val="00163495"/>
    <w:rsid w:val="00163779"/>
    <w:rsid w:val="0016455C"/>
    <w:rsid w:val="00165846"/>
    <w:rsid w:val="00165BBD"/>
    <w:rsid w:val="00165C2B"/>
    <w:rsid w:val="00166238"/>
    <w:rsid w:val="001670C9"/>
    <w:rsid w:val="00167C19"/>
    <w:rsid w:val="00170FBD"/>
    <w:rsid w:val="00170FE9"/>
    <w:rsid w:val="001716ED"/>
    <w:rsid w:val="0017193F"/>
    <w:rsid w:val="00171E07"/>
    <w:rsid w:val="00171E68"/>
    <w:rsid w:val="00172A27"/>
    <w:rsid w:val="00172AB0"/>
    <w:rsid w:val="00172EC3"/>
    <w:rsid w:val="00173114"/>
    <w:rsid w:val="00174BF0"/>
    <w:rsid w:val="00174CD8"/>
    <w:rsid w:val="001756D5"/>
    <w:rsid w:val="00175E3B"/>
    <w:rsid w:val="001766C9"/>
    <w:rsid w:val="001777BF"/>
    <w:rsid w:val="0018014D"/>
    <w:rsid w:val="00180445"/>
    <w:rsid w:val="001811B0"/>
    <w:rsid w:val="00181604"/>
    <w:rsid w:val="0018175C"/>
    <w:rsid w:val="001822EE"/>
    <w:rsid w:val="001839A5"/>
    <w:rsid w:val="00183DFE"/>
    <w:rsid w:val="0018435A"/>
    <w:rsid w:val="00186E86"/>
    <w:rsid w:val="00191A11"/>
    <w:rsid w:val="00191BAF"/>
    <w:rsid w:val="00193AF0"/>
    <w:rsid w:val="00193D77"/>
    <w:rsid w:val="00196D89"/>
    <w:rsid w:val="00196E1C"/>
    <w:rsid w:val="00197723"/>
    <w:rsid w:val="001A06DA"/>
    <w:rsid w:val="001A0C59"/>
    <w:rsid w:val="001A0CC2"/>
    <w:rsid w:val="001A0D8E"/>
    <w:rsid w:val="001A11C6"/>
    <w:rsid w:val="001A12B0"/>
    <w:rsid w:val="001A174D"/>
    <w:rsid w:val="001A1A69"/>
    <w:rsid w:val="001A26B9"/>
    <w:rsid w:val="001A2735"/>
    <w:rsid w:val="001A4ED4"/>
    <w:rsid w:val="001A5A17"/>
    <w:rsid w:val="001A6013"/>
    <w:rsid w:val="001A60CD"/>
    <w:rsid w:val="001A6EE2"/>
    <w:rsid w:val="001A7817"/>
    <w:rsid w:val="001B0139"/>
    <w:rsid w:val="001B0528"/>
    <w:rsid w:val="001B1FF0"/>
    <w:rsid w:val="001B3018"/>
    <w:rsid w:val="001B37FC"/>
    <w:rsid w:val="001B3C2A"/>
    <w:rsid w:val="001B3E80"/>
    <w:rsid w:val="001B4EE8"/>
    <w:rsid w:val="001B5DD2"/>
    <w:rsid w:val="001B6AB2"/>
    <w:rsid w:val="001B700B"/>
    <w:rsid w:val="001C0AE0"/>
    <w:rsid w:val="001C10E7"/>
    <w:rsid w:val="001C1A4D"/>
    <w:rsid w:val="001C2753"/>
    <w:rsid w:val="001C2C2A"/>
    <w:rsid w:val="001C2C3B"/>
    <w:rsid w:val="001C3751"/>
    <w:rsid w:val="001C39CD"/>
    <w:rsid w:val="001C4002"/>
    <w:rsid w:val="001C44E0"/>
    <w:rsid w:val="001C45A6"/>
    <w:rsid w:val="001C46EA"/>
    <w:rsid w:val="001C57FE"/>
    <w:rsid w:val="001C62BD"/>
    <w:rsid w:val="001C6CAA"/>
    <w:rsid w:val="001C7CDF"/>
    <w:rsid w:val="001D063F"/>
    <w:rsid w:val="001D158D"/>
    <w:rsid w:val="001D1953"/>
    <w:rsid w:val="001D1C72"/>
    <w:rsid w:val="001D308A"/>
    <w:rsid w:val="001D34F9"/>
    <w:rsid w:val="001D35AA"/>
    <w:rsid w:val="001D39A1"/>
    <w:rsid w:val="001D4145"/>
    <w:rsid w:val="001D5538"/>
    <w:rsid w:val="001D6CC5"/>
    <w:rsid w:val="001D75C1"/>
    <w:rsid w:val="001D7BAA"/>
    <w:rsid w:val="001D7BB5"/>
    <w:rsid w:val="001E1A83"/>
    <w:rsid w:val="001E1E4B"/>
    <w:rsid w:val="001E27F2"/>
    <w:rsid w:val="001E2A03"/>
    <w:rsid w:val="001E4836"/>
    <w:rsid w:val="001E489E"/>
    <w:rsid w:val="001E4DD3"/>
    <w:rsid w:val="001E6C80"/>
    <w:rsid w:val="001E6F65"/>
    <w:rsid w:val="001E72E4"/>
    <w:rsid w:val="001E77DC"/>
    <w:rsid w:val="001F1468"/>
    <w:rsid w:val="001F2C36"/>
    <w:rsid w:val="001F2E29"/>
    <w:rsid w:val="001F32E1"/>
    <w:rsid w:val="001F5049"/>
    <w:rsid w:val="001F57E8"/>
    <w:rsid w:val="001F73E3"/>
    <w:rsid w:val="00200B8A"/>
    <w:rsid w:val="00202BAD"/>
    <w:rsid w:val="002033B0"/>
    <w:rsid w:val="00203813"/>
    <w:rsid w:val="00203CBD"/>
    <w:rsid w:val="00204173"/>
    <w:rsid w:val="00204255"/>
    <w:rsid w:val="00204E0B"/>
    <w:rsid w:val="0020572E"/>
    <w:rsid w:val="002074C7"/>
    <w:rsid w:val="002076B2"/>
    <w:rsid w:val="002077D4"/>
    <w:rsid w:val="00210917"/>
    <w:rsid w:val="002109CC"/>
    <w:rsid w:val="00210A2F"/>
    <w:rsid w:val="00210C93"/>
    <w:rsid w:val="00210FF5"/>
    <w:rsid w:val="00211F2E"/>
    <w:rsid w:val="002121FB"/>
    <w:rsid w:val="002131E2"/>
    <w:rsid w:val="002132F3"/>
    <w:rsid w:val="00213854"/>
    <w:rsid w:val="0021389D"/>
    <w:rsid w:val="00215118"/>
    <w:rsid w:val="00215256"/>
    <w:rsid w:val="002153EE"/>
    <w:rsid w:val="00215753"/>
    <w:rsid w:val="00216140"/>
    <w:rsid w:val="00217077"/>
    <w:rsid w:val="00217D2C"/>
    <w:rsid w:val="00220417"/>
    <w:rsid w:val="002214F8"/>
    <w:rsid w:val="002219DE"/>
    <w:rsid w:val="00221E2B"/>
    <w:rsid w:val="00222143"/>
    <w:rsid w:val="00222549"/>
    <w:rsid w:val="0022331B"/>
    <w:rsid w:val="002234D2"/>
    <w:rsid w:val="00223D20"/>
    <w:rsid w:val="002245E7"/>
    <w:rsid w:val="00225ED0"/>
    <w:rsid w:val="00232FE0"/>
    <w:rsid w:val="0023434B"/>
    <w:rsid w:val="0023487B"/>
    <w:rsid w:val="00234B90"/>
    <w:rsid w:val="00234DDF"/>
    <w:rsid w:val="00235302"/>
    <w:rsid w:val="0023545C"/>
    <w:rsid w:val="00235928"/>
    <w:rsid w:val="0023667C"/>
    <w:rsid w:val="002367A2"/>
    <w:rsid w:val="00236B19"/>
    <w:rsid w:val="00237206"/>
    <w:rsid w:val="00237FF3"/>
    <w:rsid w:val="0024050C"/>
    <w:rsid w:val="002416B2"/>
    <w:rsid w:val="00242A57"/>
    <w:rsid w:val="002458CA"/>
    <w:rsid w:val="00245F3C"/>
    <w:rsid w:val="0024774E"/>
    <w:rsid w:val="002478C0"/>
    <w:rsid w:val="00247A3F"/>
    <w:rsid w:val="00247CD9"/>
    <w:rsid w:val="00250461"/>
    <w:rsid w:val="002509F6"/>
    <w:rsid w:val="00252F64"/>
    <w:rsid w:val="002549ED"/>
    <w:rsid w:val="00254A27"/>
    <w:rsid w:val="00254C17"/>
    <w:rsid w:val="00255555"/>
    <w:rsid w:val="00255BF9"/>
    <w:rsid w:val="00256489"/>
    <w:rsid w:val="0025677D"/>
    <w:rsid w:val="00256852"/>
    <w:rsid w:val="00257583"/>
    <w:rsid w:val="00257B9B"/>
    <w:rsid w:val="00257C06"/>
    <w:rsid w:val="002600B8"/>
    <w:rsid w:val="00260567"/>
    <w:rsid w:val="002613F0"/>
    <w:rsid w:val="0026184C"/>
    <w:rsid w:val="00262C3E"/>
    <w:rsid w:val="00263D21"/>
    <w:rsid w:val="00265BF6"/>
    <w:rsid w:val="00267758"/>
    <w:rsid w:val="00267846"/>
    <w:rsid w:val="00267917"/>
    <w:rsid w:val="00270ABA"/>
    <w:rsid w:val="00270AC8"/>
    <w:rsid w:val="00270BEF"/>
    <w:rsid w:val="00271361"/>
    <w:rsid w:val="0027237A"/>
    <w:rsid w:val="00272DBA"/>
    <w:rsid w:val="00273D91"/>
    <w:rsid w:val="00275801"/>
    <w:rsid w:val="00276E78"/>
    <w:rsid w:val="00277869"/>
    <w:rsid w:val="00277FAD"/>
    <w:rsid w:val="00280E3D"/>
    <w:rsid w:val="00281426"/>
    <w:rsid w:val="00282A91"/>
    <w:rsid w:val="00282EDB"/>
    <w:rsid w:val="002839B4"/>
    <w:rsid w:val="00284A1F"/>
    <w:rsid w:val="00284B14"/>
    <w:rsid w:val="002855A8"/>
    <w:rsid w:val="002858CB"/>
    <w:rsid w:val="00285F68"/>
    <w:rsid w:val="002865E2"/>
    <w:rsid w:val="00287327"/>
    <w:rsid w:val="00287CC0"/>
    <w:rsid w:val="00287D61"/>
    <w:rsid w:val="00287F07"/>
    <w:rsid w:val="00290065"/>
    <w:rsid w:val="0029021B"/>
    <w:rsid w:val="00290724"/>
    <w:rsid w:val="00290767"/>
    <w:rsid w:val="00291273"/>
    <w:rsid w:val="0029289B"/>
    <w:rsid w:val="002935DA"/>
    <w:rsid w:val="00294734"/>
    <w:rsid w:val="00294C4F"/>
    <w:rsid w:val="0029596A"/>
    <w:rsid w:val="00297B9B"/>
    <w:rsid w:val="002A0A4D"/>
    <w:rsid w:val="002A143F"/>
    <w:rsid w:val="002A23F6"/>
    <w:rsid w:val="002A33CA"/>
    <w:rsid w:val="002A407B"/>
    <w:rsid w:val="002A40F4"/>
    <w:rsid w:val="002A4F61"/>
    <w:rsid w:val="002A5107"/>
    <w:rsid w:val="002A51D8"/>
    <w:rsid w:val="002A51F8"/>
    <w:rsid w:val="002A5465"/>
    <w:rsid w:val="002A56B4"/>
    <w:rsid w:val="002A6BF4"/>
    <w:rsid w:val="002A7308"/>
    <w:rsid w:val="002A787A"/>
    <w:rsid w:val="002B0084"/>
    <w:rsid w:val="002B0A91"/>
    <w:rsid w:val="002B0EFE"/>
    <w:rsid w:val="002B1551"/>
    <w:rsid w:val="002B1AA7"/>
    <w:rsid w:val="002B2125"/>
    <w:rsid w:val="002B2987"/>
    <w:rsid w:val="002B44A7"/>
    <w:rsid w:val="002B4F2E"/>
    <w:rsid w:val="002B5515"/>
    <w:rsid w:val="002B6782"/>
    <w:rsid w:val="002B6A7C"/>
    <w:rsid w:val="002B6AA8"/>
    <w:rsid w:val="002C01E9"/>
    <w:rsid w:val="002C49B8"/>
    <w:rsid w:val="002C4CBD"/>
    <w:rsid w:val="002C4F37"/>
    <w:rsid w:val="002C595B"/>
    <w:rsid w:val="002C68F3"/>
    <w:rsid w:val="002D0FFF"/>
    <w:rsid w:val="002D19BE"/>
    <w:rsid w:val="002D1CFB"/>
    <w:rsid w:val="002D255E"/>
    <w:rsid w:val="002D2A23"/>
    <w:rsid w:val="002D2B25"/>
    <w:rsid w:val="002D2E0E"/>
    <w:rsid w:val="002D307A"/>
    <w:rsid w:val="002D371F"/>
    <w:rsid w:val="002D3AA3"/>
    <w:rsid w:val="002D54A2"/>
    <w:rsid w:val="002D6618"/>
    <w:rsid w:val="002D68BE"/>
    <w:rsid w:val="002D759B"/>
    <w:rsid w:val="002D7D28"/>
    <w:rsid w:val="002E12A6"/>
    <w:rsid w:val="002E207D"/>
    <w:rsid w:val="002E2385"/>
    <w:rsid w:val="002E3A85"/>
    <w:rsid w:val="002E459C"/>
    <w:rsid w:val="002E4F10"/>
    <w:rsid w:val="002E5AE6"/>
    <w:rsid w:val="002E5B85"/>
    <w:rsid w:val="002F0DC9"/>
    <w:rsid w:val="002F142C"/>
    <w:rsid w:val="002F167A"/>
    <w:rsid w:val="002F1C69"/>
    <w:rsid w:val="002F1DA5"/>
    <w:rsid w:val="002F1FD6"/>
    <w:rsid w:val="002F21B8"/>
    <w:rsid w:val="002F2219"/>
    <w:rsid w:val="002F27E5"/>
    <w:rsid w:val="002F2931"/>
    <w:rsid w:val="002F39BA"/>
    <w:rsid w:val="002F425E"/>
    <w:rsid w:val="002F5531"/>
    <w:rsid w:val="002F55C4"/>
    <w:rsid w:val="002F5DBB"/>
    <w:rsid w:val="002F6266"/>
    <w:rsid w:val="002F6F34"/>
    <w:rsid w:val="002F7004"/>
    <w:rsid w:val="002F7C47"/>
    <w:rsid w:val="003004C0"/>
    <w:rsid w:val="00301093"/>
    <w:rsid w:val="003016A8"/>
    <w:rsid w:val="0030369D"/>
    <w:rsid w:val="00303D1E"/>
    <w:rsid w:val="003052B5"/>
    <w:rsid w:val="0030654F"/>
    <w:rsid w:val="00307176"/>
    <w:rsid w:val="00307C2B"/>
    <w:rsid w:val="0031128C"/>
    <w:rsid w:val="00311354"/>
    <w:rsid w:val="0031207F"/>
    <w:rsid w:val="00312A64"/>
    <w:rsid w:val="00312B07"/>
    <w:rsid w:val="00312C5E"/>
    <w:rsid w:val="00314869"/>
    <w:rsid w:val="003151F1"/>
    <w:rsid w:val="003156AE"/>
    <w:rsid w:val="00315782"/>
    <w:rsid w:val="00316D79"/>
    <w:rsid w:val="00317701"/>
    <w:rsid w:val="00317DFB"/>
    <w:rsid w:val="0032014A"/>
    <w:rsid w:val="00320BB5"/>
    <w:rsid w:val="00320E91"/>
    <w:rsid w:val="00321187"/>
    <w:rsid w:val="00322AC0"/>
    <w:rsid w:val="00322EB5"/>
    <w:rsid w:val="0032419F"/>
    <w:rsid w:val="00324515"/>
    <w:rsid w:val="00325465"/>
    <w:rsid w:val="00325DA0"/>
    <w:rsid w:val="00326083"/>
    <w:rsid w:val="0032642C"/>
    <w:rsid w:val="00327877"/>
    <w:rsid w:val="003304FC"/>
    <w:rsid w:val="0033072C"/>
    <w:rsid w:val="00332221"/>
    <w:rsid w:val="003327BC"/>
    <w:rsid w:val="00332FD6"/>
    <w:rsid w:val="00333CC4"/>
    <w:rsid w:val="00333FCA"/>
    <w:rsid w:val="0033425E"/>
    <w:rsid w:val="00335037"/>
    <w:rsid w:val="003361AE"/>
    <w:rsid w:val="00336C5A"/>
    <w:rsid w:val="00337523"/>
    <w:rsid w:val="00337B9F"/>
    <w:rsid w:val="003401CF"/>
    <w:rsid w:val="003401F3"/>
    <w:rsid w:val="00340FEB"/>
    <w:rsid w:val="0034131D"/>
    <w:rsid w:val="00341441"/>
    <w:rsid w:val="00341A4A"/>
    <w:rsid w:val="00341AF8"/>
    <w:rsid w:val="00342E67"/>
    <w:rsid w:val="003432E0"/>
    <w:rsid w:val="003445A6"/>
    <w:rsid w:val="00345011"/>
    <w:rsid w:val="00345641"/>
    <w:rsid w:val="00345DF5"/>
    <w:rsid w:val="00345FC9"/>
    <w:rsid w:val="003478E0"/>
    <w:rsid w:val="003516BA"/>
    <w:rsid w:val="00351820"/>
    <w:rsid w:val="00351D4D"/>
    <w:rsid w:val="003529BE"/>
    <w:rsid w:val="00353221"/>
    <w:rsid w:val="003538C4"/>
    <w:rsid w:val="003538CF"/>
    <w:rsid w:val="0035394B"/>
    <w:rsid w:val="00353BE7"/>
    <w:rsid w:val="00353C85"/>
    <w:rsid w:val="0035411A"/>
    <w:rsid w:val="0035478C"/>
    <w:rsid w:val="00354A83"/>
    <w:rsid w:val="00354C6E"/>
    <w:rsid w:val="003553E5"/>
    <w:rsid w:val="003564AB"/>
    <w:rsid w:val="00356676"/>
    <w:rsid w:val="00356AD4"/>
    <w:rsid w:val="00357928"/>
    <w:rsid w:val="00360699"/>
    <w:rsid w:val="00360913"/>
    <w:rsid w:val="00360D67"/>
    <w:rsid w:val="0036126C"/>
    <w:rsid w:val="00361720"/>
    <w:rsid w:val="00361CAE"/>
    <w:rsid w:val="003638A9"/>
    <w:rsid w:val="003648B6"/>
    <w:rsid w:val="00366A21"/>
    <w:rsid w:val="00366ED4"/>
    <w:rsid w:val="00367079"/>
    <w:rsid w:val="00370695"/>
    <w:rsid w:val="003711A1"/>
    <w:rsid w:val="00371AC2"/>
    <w:rsid w:val="00371E7B"/>
    <w:rsid w:val="00372D2E"/>
    <w:rsid w:val="00373488"/>
    <w:rsid w:val="00373B32"/>
    <w:rsid w:val="00373B73"/>
    <w:rsid w:val="003740C9"/>
    <w:rsid w:val="00375269"/>
    <w:rsid w:val="00375369"/>
    <w:rsid w:val="00375E48"/>
    <w:rsid w:val="00376C94"/>
    <w:rsid w:val="00377A80"/>
    <w:rsid w:val="00377AD2"/>
    <w:rsid w:val="00377D7E"/>
    <w:rsid w:val="0038009B"/>
    <w:rsid w:val="00380A86"/>
    <w:rsid w:val="00382058"/>
    <w:rsid w:val="003827E3"/>
    <w:rsid w:val="00382AA2"/>
    <w:rsid w:val="00383172"/>
    <w:rsid w:val="003847DC"/>
    <w:rsid w:val="00384B9C"/>
    <w:rsid w:val="00390A14"/>
    <w:rsid w:val="003916DE"/>
    <w:rsid w:val="00391B33"/>
    <w:rsid w:val="0039215F"/>
    <w:rsid w:val="00392486"/>
    <w:rsid w:val="0039593F"/>
    <w:rsid w:val="003A018D"/>
    <w:rsid w:val="003A060E"/>
    <w:rsid w:val="003A07D1"/>
    <w:rsid w:val="003A15E4"/>
    <w:rsid w:val="003A19DF"/>
    <w:rsid w:val="003A1A79"/>
    <w:rsid w:val="003A26FB"/>
    <w:rsid w:val="003A2C91"/>
    <w:rsid w:val="003A3B63"/>
    <w:rsid w:val="003A3CDF"/>
    <w:rsid w:val="003A50D4"/>
    <w:rsid w:val="003A5854"/>
    <w:rsid w:val="003A5FCF"/>
    <w:rsid w:val="003B06D3"/>
    <w:rsid w:val="003B1E64"/>
    <w:rsid w:val="003B2DD8"/>
    <w:rsid w:val="003B483E"/>
    <w:rsid w:val="003B4C85"/>
    <w:rsid w:val="003B5149"/>
    <w:rsid w:val="003B736A"/>
    <w:rsid w:val="003C04C3"/>
    <w:rsid w:val="003C16A3"/>
    <w:rsid w:val="003C1722"/>
    <w:rsid w:val="003C31BC"/>
    <w:rsid w:val="003C3482"/>
    <w:rsid w:val="003C34F4"/>
    <w:rsid w:val="003C50C9"/>
    <w:rsid w:val="003C5F35"/>
    <w:rsid w:val="003C5FCB"/>
    <w:rsid w:val="003C7AD3"/>
    <w:rsid w:val="003C7FF6"/>
    <w:rsid w:val="003D0389"/>
    <w:rsid w:val="003D073E"/>
    <w:rsid w:val="003D0B4C"/>
    <w:rsid w:val="003D1763"/>
    <w:rsid w:val="003D1CA3"/>
    <w:rsid w:val="003D2180"/>
    <w:rsid w:val="003D236F"/>
    <w:rsid w:val="003D3E78"/>
    <w:rsid w:val="003D421B"/>
    <w:rsid w:val="003D53D1"/>
    <w:rsid w:val="003D5C1F"/>
    <w:rsid w:val="003D61C1"/>
    <w:rsid w:val="003D6EA3"/>
    <w:rsid w:val="003E00F6"/>
    <w:rsid w:val="003E020A"/>
    <w:rsid w:val="003E09D5"/>
    <w:rsid w:val="003E2D93"/>
    <w:rsid w:val="003E3B68"/>
    <w:rsid w:val="003E461C"/>
    <w:rsid w:val="003E646C"/>
    <w:rsid w:val="003E78A4"/>
    <w:rsid w:val="003E7D84"/>
    <w:rsid w:val="003E7FAF"/>
    <w:rsid w:val="003F06A1"/>
    <w:rsid w:val="003F0CA2"/>
    <w:rsid w:val="003F0D00"/>
    <w:rsid w:val="003F0D5D"/>
    <w:rsid w:val="003F1C31"/>
    <w:rsid w:val="003F247F"/>
    <w:rsid w:val="003F287E"/>
    <w:rsid w:val="003F3ACD"/>
    <w:rsid w:val="003F498F"/>
    <w:rsid w:val="003F533D"/>
    <w:rsid w:val="003F54CB"/>
    <w:rsid w:val="003F6578"/>
    <w:rsid w:val="003F65BC"/>
    <w:rsid w:val="003F771B"/>
    <w:rsid w:val="004000E0"/>
    <w:rsid w:val="004006B3"/>
    <w:rsid w:val="00400784"/>
    <w:rsid w:val="00400CA4"/>
    <w:rsid w:val="00400FD2"/>
    <w:rsid w:val="00401676"/>
    <w:rsid w:val="004022E5"/>
    <w:rsid w:val="00402AEA"/>
    <w:rsid w:val="00404FFE"/>
    <w:rsid w:val="00405FF7"/>
    <w:rsid w:val="00406167"/>
    <w:rsid w:val="00406758"/>
    <w:rsid w:val="004074BA"/>
    <w:rsid w:val="00407D4B"/>
    <w:rsid w:val="004107B7"/>
    <w:rsid w:val="004114B0"/>
    <w:rsid w:val="004122A8"/>
    <w:rsid w:val="00413CD3"/>
    <w:rsid w:val="00413DDA"/>
    <w:rsid w:val="00414E41"/>
    <w:rsid w:val="004156DD"/>
    <w:rsid w:val="004156FF"/>
    <w:rsid w:val="00415A34"/>
    <w:rsid w:val="00415B66"/>
    <w:rsid w:val="004163D9"/>
    <w:rsid w:val="004169C1"/>
    <w:rsid w:val="00416DAC"/>
    <w:rsid w:val="00417314"/>
    <w:rsid w:val="00417C69"/>
    <w:rsid w:val="00420792"/>
    <w:rsid w:val="0042094D"/>
    <w:rsid w:val="00421108"/>
    <w:rsid w:val="004228CF"/>
    <w:rsid w:val="00423083"/>
    <w:rsid w:val="004233F5"/>
    <w:rsid w:val="00423638"/>
    <w:rsid w:val="00423920"/>
    <w:rsid w:val="0042395D"/>
    <w:rsid w:val="00423E04"/>
    <w:rsid w:val="004244A9"/>
    <w:rsid w:val="0042490A"/>
    <w:rsid w:val="004253BD"/>
    <w:rsid w:val="00425977"/>
    <w:rsid w:val="004260C1"/>
    <w:rsid w:val="004268E4"/>
    <w:rsid w:val="0043100F"/>
    <w:rsid w:val="004317E9"/>
    <w:rsid w:val="00431C92"/>
    <w:rsid w:val="00432F83"/>
    <w:rsid w:val="00433C5E"/>
    <w:rsid w:val="00433CC9"/>
    <w:rsid w:val="00434814"/>
    <w:rsid w:val="00434E86"/>
    <w:rsid w:val="00435A7C"/>
    <w:rsid w:val="00435DFB"/>
    <w:rsid w:val="00435FB9"/>
    <w:rsid w:val="00436B91"/>
    <w:rsid w:val="00441796"/>
    <w:rsid w:val="00443054"/>
    <w:rsid w:val="00444670"/>
    <w:rsid w:val="00444714"/>
    <w:rsid w:val="00444922"/>
    <w:rsid w:val="00444D36"/>
    <w:rsid w:val="004455F2"/>
    <w:rsid w:val="00446AAA"/>
    <w:rsid w:val="0045089C"/>
    <w:rsid w:val="004513AF"/>
    <w:rsid w:val="0045200D"/>
    <w:rsid w:val="00452A57"/>
    <w:rsid w:val="004537CC"/>
    <w:rsid w:val="004542B6"/>
    <w:rsid w:val="00454D8F"/>
    <w:rsid w:val="0045532A"/>
    <w:rsid w:val="004559F0"/>
    <w:rsid w:val="00457476"/>
    <w:rsid w:val="004576C3"/>
    <w:rsid w:val="00457A68"/>
    <w:rsid w:val="00457DA6"/>
    <w:rsid w:val="00461CF9"/>
    <w:rsid w:val="00463360"/>
    <w:rsid w:val="00463831"/>
    <w:rsid w:val="00463CD7"/>
    <w:rsid w:val="00464A12"/>
    <w:rsid w:val="00465688"/>
    <w:rsid w:val="00466FA9"/>
    <w:rsid w:val="004678CE"/>
    <w:rsid w:val="00471A96"/>
    <w:rsid w:val="00471B20"/>
    <w:rsid w:val="00472B4F"/>
    <w:rsid w:val="00473D97"/>
    <w:rsid w:val="00473DBD"/>
    <w:rsid w:val="00474317"/>
    <w:rsid w:val="004748C5"/>
    <w:rsid w:val="00474C0A"/>
    <w:rsid w:val="0047541A"/>
    <w:rsid w:val="0047549D"/>
    <w:rsid w:val="004757A0"/>
    <w:rsid w:val="00476392"/>
    <w:rsid w:val="004771A9"/>
    <w:rsid w:val="0047779B"/>
    <w:rsid w:val="00477D77"/>
    <w:rsid w:val="0048017D"/>
    <w:rsid w:val="00480CE0"/>
    <w:rsid w:val="00480F5D"/>
    <w:rsid w:val="00481577"/>
    <w:rsid w:val="00483E22"/>
    <w:rsid w:val="004846A0"/>
    <w:rsid w:val="00484835"/>
    <w:rsid w:val="00484931"/>
    <w:rsid w:val="00484DA3"/>
    <w:rsid w:val="0048502E"/>
    <w:rsid w:val="0048664D"/>
    <w:rsid w:val="00487B00"/>
    <w:rsid w:val="00487EE5"/>
    <w:rsid w:val="004903FD"/>
    <w:rsid w:val="00490645"/>
    <w:rsid w:val="0049084B"/>
    <w:rsid w:val="0049203C"/>
    <w:rsid w:val="0049250A"/>
    <w:rsid w:val="00492C8F"/>
    <w:rsid w:val="00493F47"/>
    <w:rsid w:val="004951C5"/>
    <w:rsid w:val="004960D5"/>
    <w:rsid w:val="004963AD"/>
    <w:rsid w:val="00496949"/>
    <w:rsid w:val="0049717B"/>
    <w:rsid w:val="0049728C"/>
    <w:rsid w:val="00497437"/>
    <w:rsid w:val="00497C57"/>
    <w:rsid w:val="004A0CB9"/>
    <w:rsid w:val="004A334D"/>
    <w:rsid w:val="004A33D3"/>
    <w:rsid w:val="004A3805"/>
    <w:rsid w:val="004A38F6"/>
    <w:rsid w:val="004A46D4"/>
    <w:rsid w:val="004A5077"/>
    <w:rsid w:val="004A5EA1"/>
    <w:rsid w:val="004A5EB2"/>
    <w:rsid w:val="004A6038"/>
    <w:rsid w:val="004A6150"/>
    <w:rsid w:val="004A74E8"/>
    <w:rsid w:val="004A7B81"/>
    <w:rsid w:val="004B0BEA"/>
    <w:rsid w:val="004B0EAA"/>
    <w:rsid w:val="004B21C0"/>
    <w:rsid w:val="004B2F0E"/>
    <w:rsid w:val="004B3151"/>
    <w:rsid w:val="004B3E6A"/>
    <w:rsid w:val="004B4C30"/>
    <w:rsid w:val="004B5716"/>
    <w:rsid w:val="004B587A"/>
    <w:rsid w:val="004B5F87"/>
    <w:rsid w:val="004B6317"/>
    <w:rsid w:val="004B6F83"/>
    <w:rsid w:val="004B7F74"/>
    <w:rsid w:val="004C0306"/>
    <w:rsid w:val="004C0428"/>
    <w:rsid w:val="004C0640"/>
    <w:rsid w:val="004C0919"/>
    <w:rsid w:val="004C09D9"/>
    <w:rsid w:val="004C0F2F"/>
    <w:rsid w:val="004C1522"/>
    <w:rsid w:val="004C2111"/>
    <w:rsid w:val="004C27D8"/>
    <w:rsid w:val="004C4283"/>
    <w:rsid w:val="004C45CB"/>
    <w:rsid w:val="004C49BA"/>
    <w:rsid w:val="004C517F"/>
    <w:rsid w:val="004C51B9"/>
    <w:rsid w:val="004C5250"/>
    <w:rsid w:val="004C526E"/>
    <w:rsid w:val="004C5293"/>
    <w:rsid w:val="004C5FF1"/>
    <w:rsid w:val="004C6BC5"/>
    <w:rsid w:val="004C73FD"/>
    <w:rsid w:val="004D10FC"/>
    <w:rsid w:val="004D2CED"/>
    <w:rsid w:val="004D2D38"/>
    <w:rsid w:val="004D35E5"/>
    <w:rsid w:val="004D3EAC"/>
    <w:rsid w:val="004D4263"/>
    <w:rsid w:val="004D47EA"/>
    <w:rsid w:val="004D4CE9"/>
    <w:rsid w:val="004D6673"/>
    <w:rsid w:val="004D781C"/>
    <w:rsid w:val="004E0B5F"/>
    <w:rsid w:val="004E15D5"/>
    <w:rsid w:val="004E1768"/>
    <w:rsid w:val="004E295D"/>
    <w:rsid w:val="004E2B00"/>
    <w:rsid w:val="004E306B"/>
    <w:rsid w:val="004E33C3"/>
    <w:rsid w:val="004E4054"/>
    <w:rsid w:val="004E5240"/>
    <w:rsid w:val="004E6FCF"/>
    <w:rsid w:val="004E7336"/>
    <w:rsid w:val="004F0711"/>
    <w:rsid w:val="004F094C"/>
    <w:rsid w:val="004F0FBF"/>
    <w:rsid w:val="004F2C39"/>
    <w:rsid w:val="004F2DC0"/>
    <w:rsid w:val="004F34A8"/>
    <w:rsid w:val="004F361E"/>
    <w:rsid w:val="004F38E6"/>
    <w:rsid w:val="004F3B51"/>
    <w:rsid w:val="004F3C21"/>
    <w:rsid w:val="004F4E0B"/>
    <w:rsid w:val="004F50B7"/>
    <w:rsid w:val="004F51DE"/>
    <w:rsid w:val="004F5522"/>
    <w:rsid w:val="004F567B"/>
    <w:rsid w:val="004F59CA"/>
    <w:rsid w:val="004F61A2"/>
    <w:rsid w:val="004F6217"/>
    <w:rsid w:val="004F6E63"/>
    <w:rsid w:val="004F6F73"/>
    <w:rsid w:val="004F76F7"/>
    <w:rsid w:val="00500405"/>
    <w:rsid w:val="005006C9"/>
    <w:rsid w:val="005014E8"/>
    <w:rsid w:val="005025E7"/>
    <w:rsid w:val="00502832"/>
    <w:rsid w:val="00502B6A"/>
    <w:rsid w:val="0050338F"/>
    <w:rsid w:val="005047D6"/>
    <w:rsid w:val="005050E1"/>
    <w:rsid w:val="00505997"/>
    <w:rsid w:val="00505CBF"/>
    <w:rsid w:val="005060D0"/>
    <w:rsid w:val="005064BC"/>
    <w:rsid w:val="00506725"/>
    <w:rsid w:val="00507386"/>
    <w:rsid w:val="005073EF"/>
    <w:rsid w:val="00510049"/>
    <w:rsid w:val="00510645"/>
    <w:rsid w:val="0051183C"/>
    <w:rsid w:val="00511A97"/>
    <w:rsid w:val="00512B55"/>
    <w:rsid w:val="00513DE8"/>
    <w:rsid w:val="00513FBD"/>
    <w:rsid w:val="00515A0E"/>
    <w:rsid w:val="00516030"/>
    <w:rsid w:val="005200FB"/>
    <w:rsid w:val="00520459"/>
    <w:rsid w:val="005207F6"/>
    <w:rsid w:val="00520FB2"/>
    <w:rsid w:val="00521563"/>
    <w:rsid w:val="00521BED"/>
    <w:rsid w:val="00521F94"/>
    <w:rsid w:val="00523D80"/>
    <w:rsid w:val="00524565"/>
    <w:rsid w:val="005246FB"/>
    <w:rsid w:val="005249E3"/>
    <w:rsid w:val="00525A86"/>
    <w:rsid w:val="0052613D"/>
    <w:rsid w:val="005262E2"/>
    <w:rsid w:val="005264F8"/>
    <w:rsid w:val="00526ADE"/>
    <w:rsid w:val="0052710A"/>
    <w:rsid w:val="00530EC7"/>
    <w:rsid w:val="00531BEE"/>
    <w:rsid w:val="00531E06"/>
    <w:rsid w:val="0053240B"/>
    <w:rsid w:val="00532A36"/>
    <w:rsid w:val="00532F8A"/>
    <w:rsid w:val="00533622"/>
    <w:rsid w:val="00533899"/>
    <w:rsid w:val="0053434A"/>
    <w:rsid w:val="00535762"/>
    <w:rsid w:val="00535DEF"/>
    <w:rsid w:val="00537069"/>
    <w:rsid w:val="00540025"/>
    <w:rsid w:val="0054015D"/>
    <w:rsid w:val="005412EE"/>
    <w:rsid w:val="00541D23"/>
    <w:rsid w:val="00543D14"/>
    <w:rsid w:val="005444CA"/>
    <w:rsid w:val="00544F85"/>
    <w:rsid w:val="00545565"/>
    <w:rsid w:val="00546038"/>
    <w:rsid w:val="00546343"/>
    <w:rsid w:val="0054687B"/>
    <w:rsid w:val="005477FA"/>
    <w:rsid w:val="00547A44"/>
    <w:rsid w:val="00547C05"/>
    <w:rsid w:val="00550B3C"/>
    <w:rsid w:val="005518FA"/>
    <w:rsid w:val="00551952"/>
    <w:rsid w:val="00551B51"/>
    <w:rsid w:val="00552A19"/>
    <w:rsid w:val="00553D3E"/>
    <w:rsid w:val="00553D47"/>
    <w:rsid w:val="0055443C"/>
    <w:rsid w:val="00554990"/>
    <w:rsid w:val="00554AB3"/>
    <w:rsid w:val="00556D8C"/>
    <w:rsid w:val="00556DDB"/>
    <w:rsid w:val="00556E0A"/>
    <w:rsid w:val="0055787B"/>
    <w:rsid w:val="00560B97"/>
    <w:rsid w:val="00560EE4"/>
    <w:rsid w:val="0056126A"/>
    <w:rsid w:val="00562046"/>
    <w:rsid w:val="005639C3"/>
    <w:rsid w:val="005645DA"/>
    <w:rsid w:val="00564D75"/>
    <w:rsid w:val="00565B91"/>
    <w:rsid w:val="00565E66"/>
    <w:rsid w:val="00565FB1"/>
    <w:rsid w:val="00566479"/>
    <w:rsid w:val="00566E53"/>
    <w:rsid w:val="005674FB"/>
    <w:rsid w:val="005710E6"/>
    <w:rsid w:val="00571D7C"/>
    <w:rsid w:val="00571FD2"/>
    <w:rsid w:val="0057477A"/>
    <w:rsid w:val="00575360"/>
    <w:rsid w:val="005754AC"/>
    <w:rsid w:val="00576111"/>
    <w:rsid w:val="005800DE"/>
    <w:rsid w:val="005809E3"/>
    <w:rsid w:val="005810FE"/>
    <w:rsid w:val="00581C05"/>
    <w:rsid w:val="005826A4"/>
    <w:rsid w:val="00582A41"/>
    <w:rsid w:val="00582B6E"/>
    <w:rsid w:val="00584270"/>
    <w:rsid w:val="005847BC"/>
    <w:rsid w:val="00584C94"/>
    <w:rsid w:val="00584D21"/>
    <w:rsid w:val="005851D0"/>
    <w:rsid w:val="00585A86"/>
    <w:rsid w:val="005860E4"/>
    <w:rsid w:val="00587B89"/>
    <w:rsid w:val="00587EC3"/>
    <w:rsid w:val="00591F70"/>
    <w:rsid w:val="00592210"/>
    <w:rsid w:val="005923D5"/>
    <w:rsid w:val="00592724"/>
    <w:rsid w:val="0059380A"/>
    <w:rsid w:val="00593B36"/>
    <w:rsid w:val="00594524"/>
    <w:rsid w:val="005947D2"/>
    <w:rsid w:val="005965AA"/>
    <w:rsid w:val="00596F5B"/>
    <w:rsid w:val="005976A6"/>
    <w:rsid w:val="005977CE"/>
    <w:rsid w:val="005979F2"/>
    <w:rsid w:val="005A00BC"/>
    <w:rsid w:val="005A053C"/>
    <w:rsid w:val="005A08E2"/>
    <w:rsid w:val="005A10AD"/>
    <w:rsid w:val="005A17C1"/>
    <w:rsid w:val="005A42B3"/>
    <w:rsid w:val="005A453B"/>
    <w:rsid w:val="005A485D"/>
    <w:rsid w:val="005A569C"/>
    <w:rsid w:val="005A7B38"/>
    <w:rsid w:val="005B0E97"/>
    <w:rsid w:val="005B1512"/>
    <w:rsid w:val="005B2691"/>
    <w:rsid w:val="005B30FB"/>
    <w:rsid w:val="005B3245"/>
    <w:rsid w:val="005B328A"/>
    <w:rsid w:val="005B6345"/>
    <w:rsid w:val="005B6DD2"/>
    <w:rsid w:val="005B6F56"/>
    <w:rsid w:val="005B6F5A"/>
    <w:rsid w:val="005B709A"/>
    <w:rsid w:val="005B7331"/>
    <w:rsid w:val="005B79EF"/>
    <w:rsid w:val="005B7B2A"/>
    <w:rsid w:val="005C01C6"/>
    <w:rsid w:val="005C0AA1"/>
    <w:rsid w:val="005C0B7A"/>
    <w:rsid w:val="005C0FAB"/>
    <w:rsid w:val="005C2B1C"/>
    <w:rsid w:val="005C3632"/>
    <w:rsid w:val="005C4125"/>
    <w:rsid w:val="005C4587"/>
    <w:rsid w:val="005C6EDC"/>
    <w:rsid w:val="005D1B3A"/>
    <w:rsid w:val="005D1E11"/>
    <w:rsid w:val="005D1E58"/>
    <w:rsid w:val="005D1FBF"/>
    <w:rsid w:val="005D28DF"/>
    <w:rsid w:val="005D454A"/>
    <w:rsid w:val="005D4821"/>
    <w:rsid w:val="005D4CA4"/>
    <w:rsid w:val="005D5B24"/>
    <w:rsid w:val="005D672F"/>
    <w:rsid w:val="005D750A"/>
    <w:rsid w:val="005D7AC9"/>
    <w:rsid w:val="005E033A"/>
    <w:rsid w:val="005E0941"/>
    <w:rsid w:val="005E09C7"/>
    <w:rsid w:val="005E1A5B"/>
    <w:rsid w:val="005E231B"/>
    <w:rsid w:val="005E2725"/>
    <w:rsid w:val="005E307C"/>
    <w:rsid w:val="005E36C4"/>
    <w:rsid w:val="005E647A"/>
    <w:rsid w:val="005E654B"/>
    <w:rsid w:val="005E6A86"/>
    <w:rsid w:val="005E6B00"/>
    <w:rsid w:val="005E708C"/>
    <w:rsid w:val="005E712E"/>
    <w:rsid w:val="005E79F5"/>
    <w:rsid w:val="005E7D01"/>
    <w:rsid w:val="005F1919"/>
    <w:rsid w:val="005F1D5C"/>
    <w:rsid w:val="005F232F"/>
    <w:rsid w:val="005F321F"/>
    <w:rsid w:val="005F4EBD"/>
    <w:rsid w:val="005F530B"/>
    <w:rsid w:val="005F590F"/>
    <w:rsid w:val="005F623C"/>
    <w:rsid w:val="005F6525"/>
    <w:rsid w:val="005F7BC5"/>
    <w:rsid w:val="006003D7"/>
    <w:rsid w:val="00600BB5"/>
    <w:rsid w:val="006014DB"/>
    <w:rsid w:val="006042FA"/>
    <w:rsid w:val="0060635D"/>
    <w:rsid w:val="00607924"/>
    <w:rsid w:val="006108EE"/>
    <w:rsid w:val="00611C7D"/>
    <w:rsid w:val="006121E6"/>
    <w:rsid w:val="00614CD6"/>
    <w:rsid w:val="00615A26"/>
    <w:rsid w:val="00615A2E"/>
    <w:rsid w:val="00620EE4"/>
    <w:rsid w:val="00623A9C"/>
    <w:rsid w:val="0062428C"/>
    <w:rsid w:val="0062429B"/>
    <w:rsid w:val="00624805"/>
    <w:rsid w:val="00625A02"/>
    <w:rsid w:val="00625AE7"/>
    <w:rsid w:val="00630415"/>
    <w:rsid w:val="006325C7"/>
    <w:rsid w:val="00633139"/>
    <w:rsid w:val="0063358D"/>
    <w:rsid w:val="006345CE"/>
    <w:rsid w:val="006353B1"/>
    <w:rsid w:val="006354F8"/>
    <w:rsid w:val="00637C2D"/>
    <w:rsid w:val="00640B08"/>
    <w:rsid w:val="00641F45"/>
    <w:rsid w:val="00642CC9"/>
    <w:rsid w:val="00644079"/>
    <w:rsid w:val="00644124"/>
    <w:rsid w:val="0064422E"/>
    <w:rsid w:val="00644768"/>
    <w:rsid w:val="00645926"/>
    <w:rsid w:val="0064648C"/>
    <w:rsid w:val="00646B58"/>
    <w:rsid w:val="00646BEB"/>
    <w:rsid w:val="00646CCB"/>
    <w:rsid w:val="00646E28"/>
    <w:rsid w:val="0065199F"/>
    <w:rsid w:val="006521B2"/>
    <w:rsid w:val="006532B4"/>
    <w:rsid w:val="0065351F"/>
    <w:rsid w:val="00653DAD"/>
    <w:rsid w:val="00655890"/>
    <w:rsid w:val="00656339"/>
    <w:rsid w:val="0065675E"/>
    <w:rsid w:val="00657030"/>
    <w:rsid w:val="006608F1"/>
    <w:rsid w:val="00660B06"/>
    <w:rsid w:val="00660C1B"/>
    <w:rsid w:val="00660E5B"/>
    <w:rsid w:val="0066119A"/>
    <w:rsid w:val="0066192D"/>
    <w:rsid w:val="00662C01"/>
    <w:rsid w:val="00663273"/>
    <w:rsid w:val="00663874"/>
    <w:rsid w:val="00663B24"/>
    <w:rsid w:val="00664167"/>
    <w:rsid w:val="00664EE2"/>
    <w:rsid w:val="00664EE4"/>
    <w:rsid w:val="00665C01"/>
    <w:rsid w:val="00665D6C"/>
    <w:rsid w:val="0066697F"/>
    <w:rsid w:val="006675A7"/>
    <w:rsid w:val="00667C59"/>
    <w:rsid w:val="0067002C"/>
    <w:rsid w:val="00670AEB"/>
    <w:rsid w:val="00670BB2"/>
    <w:rsid w:val="00670D99"/>
    <w:rsid w:val="00671837"/>
    <w:rsid w:val="00672D7C"/>
    <w:rsid w:val="00673AF8"/>
    <w:rsid w:val="00673B28"/>
    <w:rsid w:val="006741D7"/>
    <w:rsid w:val="00674F70"/>
    <w:rsid w:val="00675836"/>
    <w:rsid w:val="00675F43"/>
    <w:rsid w:val="00677315"/>
    <w:rsid w:val="00677720"/>
    <w:rsid w:val="00680304"/>
    <w:rsid w:val="00680AF4"/>
    <w:rsid w:val="006811EF"/>
    <w:rsid w:val="0068124D"/>
    <w:rsid w:val="00681E06"/>
    <w:rsid w:val="00681F3E"/>
    <w:rsid w:val="00682612"/>
    <w:rsid w:val="0068332B"/>
    <w:rsid w:val="00683A3A"/>
    <w:rsid w:val="00683DF4"/>
    <w:rsid w:val="00683F6B"/>
    <w:rsid w:val="006841B2"/>
    <w:rsid w:val="006851B1"/>
    <w:rsid w:val="0068575A"/>
    <w:rsid w:val="00685792"/>
    <w:rsid w:val="00685C63"/>
    <w:rsid w:val="006863DE"/>
    <w:rsid w:val="00686729"/>
    <w:rsid w:val="00687549"/>
    <w:rsid w:val="006879C6"/>
    <w:rsid w:val="00687C33"/>
    <w:rsid w:val="00693567"/>
    <w:rsid w:val="006936A2"/>
    <w:rsid w:val="00693826"/>
    <w:rsid w:val="00694C49"/>
    <w:rsid w:val="00694F01"/>
    <w:rsid w:val="006954FE"/>
    <w:rsid w:val="006955B0"/>
    <w:rsid w:val="006960E4"/>
    <w:rsid w:val="00696202"/>
    <w:rsid w:val="00696451"/>
    <w:rsid w:val="0069745E"/>
    <w:rsid w:val="006974A5"/>
    <w:rsid w:val="00697815"/>
    <w:rsid w:val="00697E55"/>
    <w:rsid w:val="00697F65"/>
    <w:rsid w:val="006A01AD"/>
    <w:rsid w:val="006A1957"/>
    <w:rsid w:val="006A29F4"/>
    <w:rsid w:val="006A2CB0"/>
    <w:rsid w:val="006A35D9"/>
    <w:rsid w:val="006A38D8"/>
    <w:rsid w:val="006A409E"/>
    <w:rsid w:val="006A42E4"/>
    <w:rsid w:val="006A48A0"/>
    <w:rsid w:val="006A49AE"/>
    <w:rsid w:val="006A4C36"/>
    <w:rsid w:val="006A4E0B"/>
    <w:rsid w:val="006A5922"/>
    <w:rsid w:val="006A5BDE"/>
    <w:rsid w:val="006A72DB"/>
    <w:rsid w:val="006B02B6"/>
    <w:rsid w:val="006B0C53"/>
    <w:rsid w:val="006B0CAA"/>
    <w:rsid w:val="006B12C4"/>
    <w:rsid w:val="006B1370"/>
    <w:rsid w:val="006B140F"/>
    <w:rsid w:val="006B22E3"/>
    <w:rsid w:val="006B25FF"/>
    <w:rsid w:val="006B2655"/>
    <w:rsid w:val="006B2E16"/>
    <w:rsid w:val="006B33B9"/>
    <w:rsid w:val="006B3A47"/>
    <w:rsid w:val="006B47E3"/>
    <w:rsid w:val="006B488E"/>
    <w:rsid w:val="006B4A48"/>
    <w:rsid w:val="006B4BB5"/>
    <w:rsid w:val="006B5229"/>
    <w:rsid w:val="006B531B"/>
    <w:rsid w:val="006B670E"/>
    <w:rsid w:val="006B703C"/>
    <w:rsid w:val="006B7D34"/>
    <w:rsid w:val="006B7F0A"/>
    <w:rsid w:val="006C085E"/>
    <w:rsid w:val="006C120F"/>
    <w:rsid w:val="006C1937"/>
    <w:rsid w:val="006C27E7"/>
    <w:rsid w:val="006C4B00"/>
    <w:rsid w:val="006C553A"/>
    <w:rsid w:val="006C5A9C"/>
    <w:rsid w:val="006C5FB5"/>
    <w:rsid w:val="006C62C2"/>
    <w:rsid w:val="006C66F7"/>
    <w:rsid w:val="006D0EA1"/>
    <w:rsid w:val="006D1D39"/>
    <w:rsid w:val="006D247B"/>
    <w:rsid w:val="006D2641"/>
    <w:rsid w:val="006D3A34"/>
    <w:rsid w:val="006D47E5"/>
    <w:rsid w:val="006D5035"/>
    <w:rsid w:val="006D5977"/>
    <w:rsid w:val="006D5CC1"/>
    <w:rsid w:val="006D64BD"/>
    <w:rsid w:val="006D670E"/>
    <w:rsid w:val="006D749F"/>
    <w:rsid w:val="006D7971"/>
    <w:rsid w:val="006D7E3B"/>
    <w:rsid w:val="006E075F"/>
    <w:rsid w:val="006E0F7E"/>
    <w:rsid w:val="006E10A3"/>
    <w:rsid w:val="006E20FB"/>
    <w:rsid w:val="006E23CE"/>
    <w:rsid w:val="006E2C5D"/>
    <w:rsid w:val="006E2F60"/>
    <w:rsid w:val="006E30F9"/>
    <w:rsid w:val="006E37D9"/>
    <w:rsid w:val="006E3A3C"/>
    <w:rsid w:val="006E3AB7"/>
    <w:rsid w:val="006E573E"/>
    <w:rsid w:val="006E7A2C"/>
    <w:rsid w:val="006F0DC7"/>
    <w:rsid w:val="006F2037"/>
    <w:rsid w:val="006F3688"/>
    <w:rsid w:val="006F6F59"/>
    <w:rsid w:val="006F7B4D"/>
    <w:rsid w:val="00700CFE"/>
    <w:rsid w:val="0070166C"/>
    <w:rsid w:val="0070179E"/>
    <w:rsid w:val="0070369F"/>
    <w:rsid w:val="0070413A"/>
    <w:rsid w:val="00704DDE"/>
    <w:rsid w:val="00704F07"/>
    <w:rsid w:val="007057DA"/>
    <w:rsid w:val="007064A9"/>
    <w:rsid w:val="00706BF8"/>
    <w:rsid w:val="00706F65"/>
    <w:rsid w:val="00713786"/>
    <w:rsid w:val="00714375"/>
    <w:rsid w:val="007150E0"/>
    <w:rsid w:val="0071570C"/>
    <w:rsid w:val="00716231"/>
    <w:rsid w:val="00716581"/>
    <w:rsid w:val="0071668F"/>
    <w:rsid w:val="00720741"/>
    <w:rsid w:val="00721CDE"/>
    <w:rsid w:val="0072397A"/>
    <w:rsid w:val="00723F5C"/>
    <w:rsid w:val="007248A2"/>
    <w:rsid w:val="00725BD0"/>
    <w:rsid w:val="007260FC"/>
    <w:rsid w:val="00726990"/>
    <w:rsid w:val="00726C7F"/>
    <w:rsid w:val="00727E80"/>
    <w:rsid w:val="007300B0"/>
    <w:rsid w:val="00730C03"/>
    <w:rsid w:val="007318FD"/>
    <w:rsid w:val="00731FF9"/>
    <w:rsid w:val="00732C61"/>
    <w:rsid w:val="0073344D"/>
    <w:rsid w:val="00735043"/>
    <w:rsid w:val="0073551E"/>
    <w:rsid w:val="00735886"/>
    <w:rsid w:val="007369F5"/>
    <w:rsid w:val="00736BF7"/>
    <w:rsid w:val="0073763A"/>
    <w:rsid w:val="0073783F"/>
    <w:rsid w:val="0074005B"/>
    <w:rsid w:val="00741379"/>
    <w:rsid w:val="00741518"/>
    <w:rsid w:val="0074192F"/>
    <w:rsid w:val="00741C93"/>
    <w:rsid w:val="00741EFF"/>
    <w:rsid w:val="007432EA"/>
    <w:rsid w:val="00743517"/>
    <w:rsid w:val="00744442"/>
    <w:rsid w:val="00745253"/>
    <w:rsid w:val="00745AA1"/>
    <w:rsid w:val="00745BB9"/>
    <w:rsid w:val="0074643A"/>
    <w:rsid w:val="00747049"/>
    <w:rsid w:val="00747412"/>
    <w:rsid w:val="00747972"/>
    <w:rsid w:val="00747D83"/>
    <w:rsid w:val="007509EF"/>
    <w:rsid w:val="00750D6E"/>
    <w:rsid w:val="00751ADB"/>
    <w:rsid w:val="00754F83"/>
    <w:rsid w:val="007555E4"/>
    <w:rsid w:val="00756074"/>
    <w:rsid w:val="00756F56"/>
    <w:rsid w:val="00757C04"/>
    <w:rsid w:val="00757CCB"/>
    <w:rsid w:val="007612AA"/>
    <w:rsid w:val="0076179F"/>
    <w:rsid w:val="00761866"/>
    <w:rsid w:val="007619FB"/>
    <w:rsid w:val="00761BE9"/>
    <w:rsid w:val="007626BD"/>
    <w:rsid w:val="00765666"/>
    <w:rsid w:val="007657DA"/>
    <w:rsid w:val="00766053"/>
    <w:rsid w:val="00766FA8"/>
    <w:rsid w:val="007703FE"/>
    <w:rsid w:val="00770B14"/>
    <w:rsid w:val="00771928"/>
    <w:rsid w:val="00771B62"/>
    <w:rsid w:val="00773AFA"/>
    <w:rsid w:val="0077449D"/>
    <w:rsid w:val="00774A2E"/>
    <w:rsid w:val="007803E6"/>
    <w:rsid w:val="0078270A"/>
    <w:rsid w:val="00782FD6"/>
    <w:rsid w:val="00783AA6"/>
    <w:rsid w:val="00783BE7"/>
    <w:rsid w:val="00783EC5"/>
    <w:rsid w:val="007856F9"/>
    <w:rsid w:val="0078571B"/>
    <w:rsid w:val="00785D24"/>
    <w:rsid w:val="007865C4"/>
    <w:rsid w:val="00786AAF"/>
    <w:rsid w:val="00787650"/>
    <w:rsid w:val="00787B67"/>
    <w:rsid w:val="00790169"/>
    <w:rsid w:val="007913AE"/>
    <w:rsid w:val="0079247D"/>
    <w:rsid w:val="007928E4"/>
    <w:rsid w:val="00793A0F"/>
    <w:rsid w:val="00796E2A"/>
    <w:rsid w:val="007A05E0"/>
    <w:rsid w:val="007A0C45"/>
    <w:rsid w:val="007A1061"/>
    <w:rsid w:val="007A2386"/>
    <w:rsid w:val="007A3F71"/>
    <w:rsid w:val="007A4712"/>
    <w:rsid w:val="007A703C"/>
    <w:rsid w:val="007A70ED"/>
    <w:rsid w:val="007B015F"/>
    <w:rsid w:val="007B0ECE"/>
    <w:rsid w:val="007B1EC1"/>
    <w:rsid w:val="007B3A08"/>
    <w:rsid w:val="007B4552"/>
    <w:rsid w:val="007B57F7"/>
    <w:rsid w:val="007B5E79"/>
    <w:rsid w:val="007B63C0"/>
    <w:rsid w:val="007B6CE6"/>
    <w:rsid w:val="007B7A72"/>
    <w:rsid w:val="007B7EA9"/>
    <w:rsid w:val="007B7F48"/>
    <w:rsid w:val="007C0C22"/>
    <w:rsid w:val="007C224F"/>
    <w:rsid w:val="007C2EFE"/>
    <w:rsid w:val="007C31F6"/>
    <w:rsid w:val="007C3D21"/>
    <w:rsid w:val="007C4906"/>
    <w:rsid w:val="007C4AA7"/>
    <w:rsid w:val="007C4CD5"/>
    <w:rsid w:val="007C505A"/>
    <w:rsid w:val="007C5632"/>
    <w:rsid w:val="007C5AA4"/>
    <w:rsid w:val="007C5D27"/>
    <w:rsid w:val="007C6900"/>
    <w:rsid w:val="007C786E"/>
    <w:rsid w:val="007C7F40"/>
    <w:rsid w:val="007D03F9"/>
    <w:rsid w:val="007D0D37"/>
    <w:rsid w:val="007D0DF3"/>
    <w:rsid w:val="007D24BF"/>
    <w:rsid w:val="007D273A"/>
    <w:rsid w:val="007D278B"/>
    <w:rsid w:val="007D2B30"/>
    <w:rsid w:val="007D45B8"/>
    <w:rsid w:val="007D4860"/>
    <w:rsid w:val="007D4885"/>
    <w:rsid w:val="007D4E72"/>
    <w:rsid w:val="007D6970"/>
    <w:rsid w:val="007E0C4D"/>
    <w:rsid w:val="007E0FF4"/>
    <w:rsid w:val="007E1A2D"/>
    <w:rsid w:val="007E3DE8"/>
    <w:rsid w:val="007E4194"/>
    <w:rsid w:val="007E45E0"/>
    <w:rsid w:val="007E49AE"/>
    <w:rsid w:val="007E4D96"/>
    <w:rsid w:val="007E4DFA"/>
    <w:rsid w:val="007E4EAF"/>
    <w:rsid w:val="007E5712"/>
    <w:rsid w:val="007E5AA3"/>
    <w:rsid w:val="007E6098"/>
    <w:rsid w:val="007E7615"/>
    <w:rsid w:val="007F0441"/>
    <w:rsid w:val="007F2FD1"/>
    <w:rsid w:val="007F45BE"/>
    <w:rsid w:val="007F4620"/>
    <w:rsid w:val="007F4B0E"/>
    <w:rsid w:val="007F4C67"/>
    <w:rsid w:val="007F52DF"/>
    <w:rsid w:val="007F5C8E"/>
    <w:rsid w:val="007F67F8"/>
    <w:rsid w:val="00800658"/>
    <w:rsid w:val="00800CCB"/>
    <w:rsid w:val="00801357"/>
    <w:rsid w:val="00801EB4"/>
    <w:rsid w:val="00802D21"/>
    <w:rsid w:val="00804137"/>
    <w:rsid w:val="00804285"/>
    <w:rsid w:val="00804C56"/>
    <w:rsid w:val="0080506B"/>
    <w:rsid w:val="00805370"/>
    <w:rsid w:val="008067E0"/>
    <w:rsid w:val="00806EE5"/>
    <w:rsid w:val="00807613"/>
    <w:rsid w:val="008103B5"/>
    <w:rsid w:val="00813BC7"/>
    <w:rsid w:val="008154A5"/>
    <w:rsid w:val="0081594D"/>
    <w:rsid w:val="00815B55"/>
    <w:rsid w:val="00815C56"/>
    <w:rsid w:val="00816250"/>
    <w:rsid w:val="00816AE5"/>
    <w:rsid w:val="00817711"/>
    <w:rsid w:val="00820522"/>
    <w:rsid w:val="00821544"/>
    <w:rsid w:val="008215CB"/>
    <w:rsid w:val="00821660"/>
    <w:rsid w:val="008218A6"/>
    <w:rsid w:val="0082272D"/>
    <w:rsid w:val="008227E3"/>
    <w:rsid w:val="008236B6"/>
    <w:rsid w:val="00823B78"/>
    <w:rsid w:val="00823D73"/>
    <w:rsid w:val="008240C2"/>
    <w:rsid w:val="00824428"/>
    <w:rsid w:val="00824ABE"/>
    <w:rsid w:val="008255BA"/>
    <w:rsid w:val="00825F0C"/>
    <w:rsid w:val="00826E27"/>
    <w:rsid w:val="00826EFD"/>
    <w:rsid w:val="008270C2"/>
    <w:rsid w:val="00827615"/>
    <w:rsid w:val="00827776"/>
    <w:rsid w:val="00830492"/>
    <w:rsid w:val="00830AED"/>
    <w:rsid w:val="008329E9"/>
    <w:rsid w:val="00832C00"/>
    <w:rsid w:val="008338DD"/>
    <w:rsid w:val="00834DE7"/>
    <w:rsid w:val="0083522C"/>
    <w:rsid w:val="008355D8"/>
    <w:rsid w:val="00835AC1"/>
    <w:rsid w:val="00836B07"/>
    <w:rsid w:val="0084018A"/>
    <w:rsid w:val="00841383"/>
    <w:rsid w:val="008416EC"/>
    <w:rsid w:val="008425EF"/>
    <w:rsid w:val="008427F7"/>
    <w:rsid w:val="008429B9"/>
    <w:rsid w:val="00842A3D"/>
    <w:rsid w:val="00843761"/>
    <w:rsid w:val="008446B6"/>
    <w:rsid w:val="0084540C"/>
    <w:rsid w:val="00847521"/>
    <w:rsid w:val="0084775A"/>
    <w:rsid w:val="00850323"/>
    <w:rsid w:val="00850874"/>
    <w:rsid w:val="00850CE9"/>
    <w:rsid w:val="00851001"/>
    <w:rsid w:val="008537D4"/>
    <w:rsid w:val="00855618"/>
    <w:rsid w:val="0085593E"/>
    <w:rsid w:val="00855AAA"/>
    <w:rsid w:val="00856168"/>
    <w:rsid w:val="00857114"/>
    <w:rsid w:val="0086039B"/>
    <w:rsid w:val="008608B6"/>
    <w:rsid w:val="00860F3C"/>
    <w:rsid w:val="00861146"/>
    <w:rsid w:val="00861399"/>
    <w:rsid w:val="00862ECE"/>
    <w:rsid w:val="0086354A"/>
    <w:rsid w:val="00864057"/>
    <w:rsid w:val="00864BF5"/>
    <w:rsid w:val="00867175"/>
    <w:rsid w:val="00867DAD"/>
    <w:rsid w:val="008702A6"/>
    <w:rsid w:val="008711F2"/>
    <w:rsid w:val="00872768"/>
    <w:rsid w:val="00872D74"/>
    <w:rsid w:val="0087300E"/>
    <w:rsid w:val="00873027"/>
    <w:rsid w:val="0087317C"/>
    <w:rsid w:val="00873B6A"/>
    <w:rsid w:val="00874155"/>
    <w:rsid w:val="0087498C"/>
    <w:rsid w:val="008749EA"/>
    <w:rsid w:val="008754C8"/>
    <w:rsid w:val="00875E33"/>
    <w:rsid w:val="00876282"/>
    <w:rsid w:val="0087684C"/>
    <w:rsid w:val="008778F3"/>
    <w:rsid w:val="008802FC"/>
    <w:rsid w:val="008808D8"/>
    <w:rsid w:val="00880C48"/>
    <w:rsid w:val="00880F2D"/>
    <w:rsid w:val="008812F3"/>
    <w:rsid w:val="00881A77"/>
    <w:rsid w:val="00881DDE"/>
    <w:rsid w:val="00882945"/>
    <w:rsid w:val="00883B74"/>
    <w:rsid w:val="00883D71"/>
    <w:rsid w:val="00886573"/>
    <w:rsid w:val="00886FCD"/>
    <w:rsid w:val="008872DC"/>
    <w:rsid w:val="0088764A"/>
    <w:rsid w:val="00887C5F"/>
    <w:rsid w:val="00891E82"/>
    <w:rsid w:val="008922D8"/>
    <w:rsid w:val="008925E0"/>
    <w:rsid w:val="00892BA5"/>
    <w:rsid w:val="008938A4"/>
    <w:rsid w:val="00893E42"/>
    <w:rsid w:val="00895C2D"/>
    <w:rsid w:val="0089605C"/>
    <w:rsid w:val="00897372"/>
    <w:rsid w:val="008A2C93"/>
    <w:rsid w:val="008A4E00"/>
    <w:rsid w:val="008A56BD"/>
    <w:rsid w:val="008A5FA4"/>
    <w:rsid w:val="008A6619"/>
    <w:rsid w:val="008A69C9"/>
    <w:rsid w:val="008A6ADE"/>
    <w:rsid w:val="008A6D39"/>
    <w:rsid w:val="008A7591"/>
    <w:rsid w:val="008B0B9E"/>
    <w:rsid w:val="008B1293"/>
    <w:rsid w:val="008B1B8A"/>
    <w:rsid w:val="008B29AD"/>
    <w:rsid w:val="008B4011"/>
    <w:rsid w:val="008B4106"/>
    <w:rsid w:val="008B422E"/>
    <w:rsid w:val="008B49AF"/>
    <w:rsid w:val="008B4BB7"/>
    <w:rsid w:val="008B7172"/>
    <w:rsid w:val="008B75C7"/>
    <w:rsid w:val="008B78D9"/>
    <w:rsid w:val="008C01FD"/>
    <w:rsid w:val="008C02ED"/>
    <w:rsid w:val="008C0E05"/>
    <w:rsid w:val="008C0EC4"/>
    <w:rsid w:val="008C10BE"/>
    <w:rsid w:val="008C2868"/>
    <w:rsid w:val="008C2A1D"/>
    <w:rsid w:val="008C2FE9"/>
    <w:rsid w:val="008C3394"/>
    <w:rsid w:val="008C3658"/>
    <w:rsid w:val="008C3EC4"/>
    <w:rsid w:val="008C49EC"/>
    <w:rsid w:val="008C4B84"/>
    <w:rsid w:val="008C6A51"/>
    <w:rsid w:val="008C6E51"/>
    <w:rsid w:val="008D138D"/>
    <w:rsid w:val="008D1B58"/>
    <w:rsid w:val="008D1F0A"/>
    <w:rsid w:val="008D29EF"/>
    <w:rsid w:val="008D2F73"/>
    <w:rsid w:val="008D3DA9"/>
    <w:rsid w:val="008D3E9A"/>
    <w:rsid w:val="008D45FC"/>
    <w:rsid w:val="008D5CBA"/>
    <w:rsid w:val="008D744B"/>
    <w:rsid w:val="008E0D26"/>
    <w:rsid w:val="008E1D82"/>
    <w:rsid w:val="008E2181"/>
    <w:rsid w:val="008E21AE"/>
    <w:rsid w:val="008E2EDB"/>
    <w:rsid w:val="008E311D"/>
    <w:rsid w:val="008E35EB"/>
    <w:rsid w:val="008E42AE"/>
    <w:rsid w:val="008E46A6"/>
    <w:rsid w:val="008E474D"/>
    <w:rsid w:val="008E4D7B"/>
    <w:rsid w:val="008E510F"/>
    <w:rsid w:val="008E56A7"/>
    <w:rsid w:val="008E5973"/>
    <w:rsid w:val="008E5A90"/>
    <w:rsid w:val="008E681A"/>
    <w:rsid w:val="008E732C"/>
    <w:rsid w:val="008E777D"/>
    <w:rsid w:val="008F0C20"/>
    <w:rsid w:val="008F170E"/>
    <w:rsid w:val="008F1DB7"/>
    <w:rsid w:val="008F263F"/>
    <w:rsid w:val="008F5B67"/>
    <w:rsid w:val="008F6E60"/>
    <w:rsid w:val="008F7329"/>
    <w:rsid w:val="008F76CC"/>
    <w:rsid w:val="00903446"/>
    <w:rsid w:val="00903B1C"/>
    <w:rsid w:val="009077E7"/>
    <w:rsid w:val="009100C1"/>
    <w:rsid w:val="0091029F"/>
    <w:rsid w:val="00910948"/>
    <w:rsid w:val="00910AA5"/>
    <w:rsid w:val="00910B90"/>
    <w:rsid w:val="00911456"/>
    <w:rsid w:val="00911AE9"/>
    <w:rsid w:val="009133FC"/>
    <w:rsid w:val="009143D9"/>
    <w:rsid w:val="009147B3"/>
    <w:rsid w:val="009159CE"/>
    <w:rsid w:val="009169F4"/>
    <w:rsid w:val="009171C5"/>
    <w:rsid w:val="00917FB9"/>
    <w:rsid w:val="00920B87"/>
    <w:rsid w:val="0092154F"/>
    <w:rsid w:val="009223B2"/>
    <w:rsid w:val="00922C9F"/>
    <w:rsid w:val="00923126"/>
    <w:rsid w:val="00923261"/>
    <w:rsid w:val="00923A7F"/>
    <w:rsid w:val="00924410"/>
    <w:rsid w:val="00924546"/>
    <w:rsid w:val="00925052"/>
    <w:rsid w:val="00926263"/>
    <w:rsid w:val="009262E9"/>
    <w:rsid w:val="009267D8"/>
    <w:rsid w:val="0092695C"/>
    <w:rsid w:val="00926BDC"/>
    <w:rsid w:val="00926D50"/>
    <w:rsid w:val="00930227"/>
    <w:rsid w:val="00931041"/>
    <w:rsid w:val="0093112A"/>
    <w:rsid w:val="009316BF"/>
    <w:rsid w:val="00931ACB"/>
    <w:rsid w:val="009323B9"/>
    <w:rsid w:val="00932D57"/>
    <w:rsid w:val="00932F88"/>
    <w:rsid w:val="009334CB"/>
    <w:rsid w:val="009358FD"/>
    <w:rsid w:val="0093685C"/>
    <w:rsid w:val="00936CD4"/>
    <w:rsid w:val="0093747B"/>
    <w:rsid w:val="00937ADD"/>
    <w:rsid w:val="00937B20"/>
    <w:rsid w:val="0094020D"/>
    <w:rsid w:val="009408AC"/>
    <w:rsid w:val="009409DE"/>
    <w:rsid w:val="0094232B"/>
    <w:rsid w:val="00942EEB"/>
    <w:rsid w:val="00943993"/>
    <w:rsid w:val="00943DBD"/>
    <w:rsid w:val="009440F9"/>
    <w:rsid w:val="00944DBA"/>
    <w:rsid w:val="0094564A"/>
    <w:rsid w:val="00945728"/>
    <w:rsid w:val="00945F5F"/>
    <w:rsid w:val="009466A0"/>
    <w:rsid w:val="0094685F"/>
    <w:rsid w:val="00946C22"/>
    <w:rsid w:val="00950AF3"/>
    <w:rsid w:val="009515F5"/>
    <w:rsid w:val="00952669"/>
    <w:rsid w:val="00952AC3"/>
    <w:rsid w:val="009532DF"/>
    <w:rsid w:val="00953431"/>
    <w:rsid w:val="0095348C"/>
    <w:rsid w:val="009534F1"/>
    <w:rsid w:val="00954629"/>
    <w:rsid w:val="0095511A"/>
    <w:rsid w:val="00955BC3"/>
    <w:rsid w:val="0095616F"/>
    <w:rsid w:val="009571A3"/>
    <w:rsid w:val="009614B1"/>
    <w:rsid w:val="00961F83"/>
    <w:rsid w:val="0096340A"/>
    <w:rsid w:val="00963E79"/>
    <w:rsid w:val="00965ABF"/>
    <w:rsid w:val="00965E11"/>
    <w:rsid w:val="0097064A"/>
    <w:rsid w:val="00970C52"/>
    <w:rsid w:val="00970C88"/>
    <w:rsid w:val="00972F12"/>
    <w:rsid w:val="0097469A"/>
    <w:rsid w:val="00975A7B"/>
    <w:rsid w:val="00976F29"/>
    <w:rsid w:val="0097761F"/>
    <w:rsid w:val="00980380"/>
    <w:rsid w:val="00980FC1"/>
    <w:rsid w:val="00981506"/>
    <w:rsid w:val="00982031"/>
    <w:rsid w:val="00983408"/>
    <w:rsid w:val="00983CC6"/>
    <w:rsid w:val="00984903"/>
    <w:rsid w:val="00984BDD"/>
    <w:rsid w:val="00984CDA"/>
    <w:rsid w:val="00984F9C"/>
    <w:rsid w:val="009862CF"/>
    <w:rsid w:val="00986C7D"/>
    <w:rsid w:val="00986E75"/>
    <w:rsid w:val="00987995"/>
    <w:rsid w:val="00990909"/>
    <w:rsid w:val="00990DAE"/>
    <w:rsid w:val="009917C9"/>
    <w:rsid w:val="00991978"/>
    <w:rsid w:val="0099252A"/>
    <w:rsid w:val="00993824"/>
    <w:rsid w:val="00994C63"/>
    <w:rsid w:val="00995BA0"/>
    <w:rsid w:val="009965F7"/>
    <w:rsid w:val="0099662F"/>
    <w:rsid w:val="009A04D3"/>
    <w:rsid w:val="009A07BE"/>
    <w:rsid w:val="009A23D0"/>
    <w:rsid w:val="009A55A8"/>
    <w:rsid w:val="009A59C2"/>
    <w:rsid w:val="009A59DD"/>
    <w:rsid w:val="009A6C67"/>
    <w:rsid w:val="009A766B"/>
    <w:rsid w:val="009A77C5"/>
    <w:rsid w:val="009A799A"/>
    <w:rsid w:val="009B03FC"/>
    <w:rsid w:val="009B065A"/>
    <w:rsid w:val="009B0D5F"/>
    <w:rsid w:val="009B10C7"/>
    <w:rsid w:val="009B1CF6"/>
    <w:rsid w:val="009B2260"/>
    <w:rsid w:val="009B2491"/>
    <w:rsid w:val="009B3573"/>
    <w:rsid w:val="009B3B52"/>
    <w:rsid w:val="009B48DA"/>
    <w:rsid w:val="009B505B"/>
    <w:rsid w:val="009B6659"/>
    <w:rsid w:val="009B7888"/>
    <w:rsid w:val="009B79E4"/>
    <w:rsid w:val="009C0B67"/>
    <w:rsid w:val="009C0DCA"/>
    <w:rsid w:val="009C16E3"/>
    <w:rsid w:val="009C1C9C"/>
    <w:rsid w:val="009C2838"/>
    <w:rsid w:val="009C3C63"/>
    <w:rsid w:val="009C47F4"/>
    <w:rsid w:val="009C48B3"/>
    <w:rsid w:val="009C4911"/>
    <w:rsid w:val="009C5600"/>
    <w:rsid w:val="009C5796"/>
    <w:rsid w:val="009C6442"/>
    <w:rsid w:val="009C65D5"/>
    <w:rsid w:val="009C6B72"/>
    <w:rsid w:val="009C7188"/>
    <w:rsid w:val="009C7865"/>
    <w:rsid w:val="009D00D8"/>
    <w:rsid w:val="009D1334"/>
    <w:rsid w:val="009D1C72"/>
    <w:rsid w:val="009D1D9C"/>
    <w:rsid w:val="009D21A2"/>
    <w:rsid w:val="009D24D4"/>
    <w:rsid w:val="009D2521"/>
    <w:rsid w:val="009D27B2"/>
    <w:rsid w:val="009D2D08"/>
    <w:rsid w:val="009D2ED5"/>
    <w:rsid w:val="009D4F3F"/>
    <w:rsid w:val="009D5DDE"/>
    <w:rsid w:val="009D61A5"/>
    <w:rsid w:val="009D66DE"/>
    <w:rsid w:val="009D71C7"/>
    <w:rsid w:val="009D79B4"/>
    <w:rsid w:val="009D7E26"/>
    <w:rsid w:val="009D7E68"/>
    <w:rsid w:val="009E042D"/>
    <w:rsid w:val="009E06AB"/>
    <w:rsid w:val="009E0DBB"/>
    <w:rsid w:val="009E1DEB"/>
    <w:rsid w:val="009E2896"/>
    <w:rsid w:val="009E3160"/>
    <w:rsid w:val="009E5536"/>
    <w:rsid w:val="009E56BA"/>
    <w:rsid w:val="009E5B96"/>
    <w:rsid w:val="009E63AF"/>
    <w:rsid w:val="009E7008"/>
    <w:rsid w:val="009E769C"/>
    <w:rsid w:val="009F0E77"/>
    <w:rsid w:val="009F0E8A"/>
    <w:rsid w:val="009F1367"/>
    <w:rsid w:val="009F1410"/>
    <w:rsid w:val="009F1B26"/>
    <w:rsid w:val="009F1DC9"/>
    <w:rsid w:val="009F2F2A"/>
    <w:rsid w:val="009F3BE9"/>
    <w:rsid w:val="009F58A7"/>
    <w:rsid w:val="009F61D7"/>
    <w:rsid w:val="009F6358"/>
    <w:rsid w:val="009F75CE"/>
    <w:rsid w:val="009F790B"/>
    <w:rsid w:val="009F7DA3"/>
    <w:rsid w:val="00A0095D"/>
    <w:rsid w:val="00A00976"/>
    <w:rsid w:val="00A00B1B"/>
    <w:rsid w:val="00A01847"/>
    <w:rsid w:val="00A020DC"/>
    <w:rsid w:val="00A02FF4"/>
    <w:rsid w:val="00A033E6"/>
    <w:rsid w:val="00A0406E"/>
    <w:rsid w:val="00A04C6C"/>
    <w:rsid w:val="00A05436"/>
    <w:rsid w:val="00A06924"/>
    <w:rsid w:val="00A07C15"/>
    <w:rsid w:val="00A104A5"/>
    <w:rsid w:val="00A112FF"/>
    <w:rsid w:val="00A12893"/>
    <w:rsid w:val="00A13881"/>
    <w:rsid w:val="00A13E52"/>
    <w:rsid w:val="00A14D04"/>
    <w:rsid w:val="00A15766"/>
    <w:rsid w:val="00A16E61"/>
    <w:rsid w:val="00A17B22"/>
    <w:rsid w:val="00A2064B"/>
    <w:rsid w:val="00A20B06"/>
    <w:rsid w:val="00A211B8"/>
    <w:rsid w:val="00A21E94"/>
    <w:rsid w:val="00A2325F"/>
    <w:rsid w:val="00A235A2"/>
    <w:rsid w:val="00A23749"/>
    <w:rsid w:val="00A24359"/>
    <w:rsid w:val="00A24594"/>
    <w:rsid w:val="00A25CCE"/>
    <w:rsid w:val="00A266B9"/>
    <w:rsid w:val="00A27AE0"/>
    <w:rsid w:val="00A30ED6"/>
    <w:rsid w:val="00A311E1"/>
    <w:rsid w:val="00A31DCE"/>
    <w:rsid w:val="00A33DEB"/>
    <w:rsid w:val="00A3401E"/>
    <w:rsid w:val="00A3405F"/>
    <w:rsid w:val="00A3445F"/>
    <w:rsid w:val="00A3507E"/>
    <w:rsid w:val="00A35471"/>
    <w:rsid w:val="00A35C4F"/>
    <w:rsid w:val="00A36880"/>
    <w:rsid w:val="00A36C44"/>
    <w:rsid w:val="00A377E9"/>
    <w:rsid w:val="00A40A4A"/>
    <w:rsid w:val="00A40E64"/>
    <w:rsid w:val="00A415C2"/>
    <w:rsid w:val="00A42685"/>
    <w:rsid w:val="00A42B99"/>
    <w:rsid w:val="00A4304F"/>
    <w:rsid w:val="00A439DD"/>
    <w:rsid w:val="00A43AC6"/>
    <w:rsid w:val="00A43B1E"/>
    <w:rsid w:val="00A447F7"/>
    <w:rsid w:val="00A44D01"/>
    <w:rsid w:val="00A44F96"/>
    <w:rsid w:val="00A45F9C"/>
    <w:rsid w:val="00A46B1A"/>
    <w:rsid w:val="00A46E38"/>
    <w:rsid w:val="00A50737"/>
    <w:rsid w:val="00A5104D"/>
    <w:rsid w:val="00A51B26"/>
    <w:rsid w:val="00A51CC4"/>
    <w:rsid w:val="00A51F48"/>
    <w:rsid w:val="00A5281F"/>
    <w:rsid w:val="00A52935"/>
    <w:rsid w:val="00A53466"/>
    <w:rsid w:val="00A536F5"/>
    <w:rsid w:val="00A53D38"/>
    <w:rsid w:val="00A544D8"/>
    <w:rsid w:val="00A54787"/>
    <w:rsid w:val="00A54BE6"/>
    <w:rsid w:val="00A55239"/>
    <w:rsid w:val="00A56355"/>
    <w:rsid w:val="00A565C8"/>
    <w:rsid w:val="00A57351"/>
    <w:rsid w:val="00A609DC"/>
    <w:rsid w:val="00A60CC6"/>
    <w:rsid w:val="00A61388"/>
    <w:rsid w:val="00A61AA8"/>
    <w:rsid w:val="00A61CE3"/>
    <w:rsid w:val="00A630D2"/>
    <w:rsid w:val="00A6445E"/>
    <w:rsid w:val="00A644BD"/>
    <w:rsid w:val="00A64FAE"/>
    <w:rsid w:val="00A65287"/>
    <w:rsid w:val="00A65746"/>
    <w:rsid w:val="00A65755"/>
    <w:rsid w:val="00A673AB"/>
    <w:rsid w:val="00A67AEE"/>
    <w:rsid w:val="00A70085"/>
    <w:rsid w:val="00A70B72"/>
    <w:rsid w:val="00A73508"/>
    <w:rsid w:val="00A74965"/>
    <w:rsid w:val="00A7712E"/>
    <w:rsid w:val="00A7741B"/>
    <w:rsid w:val="00A77C3D"/>
    <w:rsid w:val="00A80A0E"/>
    <w:rsid w:val="00A81DE9"/>
    <w:rsid w:val="00A81FF7"/>
    <w:rsid w:val="00A822EC"/>
    <w:rsid w:val="00A835F5"/>
    <w:rsid w:val="00A836A9"/>
    <w:rsid w:val="00A8507C"/>
    <w:rsid w:val="00A852C4"/>
    <w:rsid w:val="00A85519"/>
    <w:rsid w:val="00A867E6"/>
    <w:rsid w:val="00A87811"/>
    <w:rsid w:val="00A8791C"/>
    <w:rsid w:val="00A87EF0"/>
    <w:rsid w:val="00A91CF7"/>
    <w:rsid w:val="00A92250"/>
    <w:rsid w:val="00A94429"/>
    <w:rsid w:val="00A948BF"/>
    <w:rsid w:val="00A9556B"/>
    <w:rsid w:val="00A95637"/>
    <w:rsid w:val="00A95B87"/>
    <w:rsid w:val="00A95F7B"/>
    <w:rsid w:val="00A967D3"/>
    <w:rsid w:val="00A9709B"/>
    <w:rsid w:val="00A97AEC"/>
    <w:rsid w:val="00AA01F7"/>
    <w:rsid w:val="00AA165D"/>
    <w:rsid w:val="00AA1E21"/>
    <w:rsid w:val="00AA1FF5"/>
    <w:rsid w:val="00AA2D9D"/>
    <w:rsid w:val="00AA39B0"/>
    <w:rsid w:val="00AA3DD7"/>
    <w:rsid w:val="00AA75D4"/>
    <w:rsid w:val="00AA75DC"/>
    <w:rsid w:val="00AA79A1"/>
    <w:rsid w:val="00AA7E4C"/>
    <w:rsid w:val="00AB0E31"/>
    <w:rsid w:val="00AB1856"/>
    <w:rsid w:val="00AB2572"/>
    <w:rsid w:val="00AB3785"/>
    <w:rsid w:val="00AB3C22"/>
    <w:rsid w:val="00AB4721"/>
    <w:rsid w:val="00AB4D1E"/>
    <w:rsid w:val="00AB5FF8"/>
    <w:rsid w:val="00AB6091"/>
    <w:rsid w:val="00AB7618"/>
    <w:rsid w:val="00AC03B1"/>
    <w:rsid w:val="00AC03BE"/>
    <w:rsid w:val="00AC0A86"/>
    <w:rsid w:val="00AC0C5D"/>
    <w:rsid w:val="00AC27D8"/>
    <w:rsid w:val="00AC3A6A"/>
    <w:rsid w:val="00AC3B94"/>
    <w:rsid w:val="00AC44F8"/>
    <w:rsid w:val="00AC4B70"/>
    <w:rsid w:val="00AC598D"/>
    <w:rsid w:val="00AC5A1C"/>
    <w:rsid w:val="00AC5A68"/>
    <w:rsid w:val="00AC6F82"/>
    <w:rsid w:val="00AC739B"/>
    <w:rsid w:val="00AC7E75"/>
    <w:rsid w:val="00AC7FC5"/>
    <w:rsid w:val="00AD0AE8"/>
    <w:rsid w:val="00AD1251"/>
    <w:rsid w:val="00AD2C66"/>
    <w:rsid w:val="00AD3BA1"/>
    <w:rsid w:val="00AD4D9F"/>
    <w:rsid w:val="00AD4FF5"/>
    <w:rsid w:val="00AD566F"/>
    <w:rsid w:val="00AD617C"/>
    <w:rsid w:val="00AD682C"/>
    <w:rsid w:val="00AD6DD7"/>
    <w:rsid w:val="00AD6F97"/>
    <w:rsid w:val="00AD7BC4"/>
    <w:rsid w:val="00AD7DDF"/>
    <w:rsid w:val="00AE07DA"/>
    <w:rsid w:val="00AE10AC"/>
    <w:rsid w:val="00AE1597"/>
    <w:rsid w:val="00AE1A74"/>
    <w:rsid w:val="00AE2077"/>
    <w:rsid w:val="00AE303D"/>
    <w:rsid w:val="00AE3412"/>
    <w:rsid w:val="00AE415B"/>
    <w:rsid w:val="00AE49C9"/>
    <w:rsid w:val="00AE4ACB"/>
    <w:rsid w:val="00AE5755"/>
    <w:rsid w:val="00AE5B84"/>
    <w:rsid w:val="00AE7EC6"/>
    <w:rsid w:val="00AF0E9D"/>
    <w:rsid w:val="00AF1F5D"/>
    <w:rsid w:val="00AF2034"/>
    <w:rsid w:val="00AF2BD4"/>
    <w:rsid w:val="00AF2D1E"/>
    <w:rsid w:val="00AF3ADA"/>
    <w:rsid w:val="00AF3C92"/>
    <w:rsid w:val="00AF4979"/>
    <w:rsid w:val="00AF4AEF"/>
    <w:rsid w:val="00AF51FC"/>
    <w:rsid w:val="00AF599A"/>
    <w:rsid w:val="00AF5C74"/>
    <w:rsid w:val="00AF5F82"/>
    <w:rsid w:val="00AF6CB0"/>
    <w:rsid w:val="00AF6F2E"/>
    <w:rsid w:val="00AF72C6"/>
    <w:rsid w:val="00B01423"/>
    <w:rsid w:val="00B02412"/>
    <w:rsid w:val="00B02819"/>
    <w:rsid w:val="00B04704"/>
    <w:rsid w:val="00B053FF"/>
    <w:rsid w:val="00B05C17"/>
    <w:rsid w:val="00B061AF"/>
    <w:rsid w:val="00B07342"/>
    <w:rsid w:val="00B07ABF"/>
    <w:rsid w:val="00B10719"/>
    <w:rsid w:val="00B108A4"/>
    <w:rsid w:val="00B11046"/>
    <w:rsid w:val="00B11217"/>
    <w:rsid w:val="00B1139B"/>
    <w:rsid w:val="00B11B9A"/>
    <w:rsid w:val="00B11EE4"/>
    <w:rsid w:val="00B13DD8"/>
    <w:rsid w:val="00B14687"/>
    <w:rsid w:val="00B146B3"/>
    <w:rsid w:val="00B15452"/>
    <w:rsid w:val="00B1623A"/>
    <w:rsid w:val="00B170C9"/>
    <w:rsid w:val="00B17A39"/>
    <w:rsid w:val="00B21476"/>
    <w:rsid w:val="00B21935"/>
    <w:rsid w:val="00B21E3A"/>
    <w:rsid w:val="00B21F7F"/>
    <w:rsid w:val="00B23FEC"/>
    <w:rsid w:val="00B2470C"/>
    <w:rsid w:val="00B256BE"/>
    <w:rsid w:val="00B25EB9"/>
    <w:rsid w:val="00B275AD"/>
    <w:rsid w:val="00B27989"/>
    <w:rsid w:val="00B3078E"/>
    <w:rsid w:val="00B3110C"/>
    <w:rsid w:val="00B31509"/>
    <w:rsid w:val="00B31A60"/>
    <w:rsid w:val="00B31BB3"/>
    <w:rsid w:val="00B325F4"/>
    <w:rsid w:val="00B3321A"/>
    <w:rsid w:val="00B33916"/>
    <w:rsid w:val="00B33C9D"/>
    <w:rsid w:val="00B344F9"/>
    <w:rsid w:val="00B35095"/>
    <w:rsid w:val="00B3605A"/>
    <w:rsid w:val="00B36A9C"/>
    <w:rsid w:val="00B36FEA"/>
    <w:rsid w:val="00B37743"/>
    <w:rsid w:val="00B3775A"/>
    <w:rsid w:val="00B3776A"/>
    <w:rsid w:val="00B402CD"/>
    <w:rsid w:val="00B406BE"/>
    <w:rsid w:val="00B41924"/>
    <w:rsid w:val="00B41C8E"/>
    <w:rsid w:val="00B42F98"/>
    <w:rsid w:val="00B43372"/>
    <w:rsid w:val="00B43E2B"/>
    <w:rsid w:val="00B44736"/>
    <w:rsid w:val="00B4592C"/>
    <w:rsid w:val="00B4698C"/>
    <w:rsid w:val="00B476FB"/>
    <w:rsid w:val="00B5238D"/>
    <w:rsid w:val="00B52D24"/>
    <w:rsid w:val="00B53753"/>
    <w:rsid w:val="00B53BCA"/>
    <w:rsid w:val="00B54AE0"/>
    <w:rsid w:val="00B54C2F"/>
    <w:rsid w:val="00B56112"/>
    <w:rsid w:val="00B566D5"/>
    <w:rsid w:val="00B56FFC"/>
    <w:rsid w:val="00B60ACA"/>
    <w:rsid w:val="00B61F8E"/>
    <w:rsid w:val="00B620AF"/>
    <w:rsid w:val="00B6246D"/>
    <w:rsid w:val="00B624D6"/>
    <w:rsid w:val="00B62813"/>
    <w:rsid w:val="00B62D29"/>
    <w:rsid w:val="00B6413E"/>
    <w:rsid w:val="00B642D8"/>
    <w:rsid w:val="00B647A9"/>
    <w:rsid w:val="00B65C18"/>
    <w:rsid w:val="00B66520"/>
    <w:rsid w:val="00B669AD"/>
    <w:rsid w:val="00B6797B"/>
    <w:rsid w:val="00B70AE3"/>
    <w:rsid w:val="00B71780"/>
    <w:rsid w:val="00B7272F"/>
    <w:rsid w:val="00B72EDB"/>
    <w:rsid w:val="00B7339A"/>
    <w:rsid w:val="00B739EC"/>
    <w:rsid w:val="00B73C6D"/>
    <w:rsid w:val="00B74C1D"/>
    <w:rsid w:val="00B7564E"/>
    <w:rsid w:val="00B75BF2"/>
    <w:rsid w:val="00B765B3"/>
    <w:rsid w:val="00B76B79"/>
    <w:rsid w:val="00B76BDB"/>
    <w:rsid w:val="00B77EBA"/>
    <w:rsid w:val="00B77F92"/>
    <w:rsid w:val="00B82084"/>
    <w:rsid w:val="00B8307A"/>
    <w:rsid w:val="00B83807"/>
    <w:rsid w:val="00B848F8"/>
    <w:rsid w:val="00B84A39"/>
    <w:rsid w:val="00B8529F"/>
    <w:rsid w:val="00B85639"/>
    <w:rsid w:val="00B85C69"/>
    <w:rsid w:val="00B86607"/>
    <w:rsid w:val="00B8681B"/>
    <w:rsid w:val="00B9075C"/>
    <w:rsid w:val="00B90F81"/>
    <w:rsid w:val="00B921D7"/>
    <w:rsid w:val="00B922AE"/>
    <w:rsid w:val="00B926AF"/>
    <w:rsid w:val="00B92C76"/>
    <w:rsid w:val="00B95099"/>
    <w:rsid w:val="00B9582E"/>
    <w:rsid w:val="00B96949"/>
    <w:rsid w:val="00B97053"/>
    <w:rsid w:val="00B9730E"/>
    <w:rsid w:val="00B97F42"/>
    <w:rsid w:val="00BA0519"/>
    <w:rsid w:val="00BA0C39"/>
    <w:rsid w:val="00BA1CB2"/>
    <w:rsid w:val="00BA1CB9"/>
    <w:rsid w:val="00BA395A"/>
    <w:rsid w:val="00BA40B7"/>
    <w:rsid w:val="00BA4397"/>
    <w:rsid w:val="00BA47B3"/>
    <w:rsid w:val="00BA538C"/>
    <w:rsid w:val="00BA581E"/>
    <w:rsid w:val="00BA5860"/>
    <w:rsid w:val="00BA6E9D"/>
    <w:rsid w:val="00BA721D"/>
    <w:rsid w:val="00BA7B0E"/>
    <w:rsid w:val="00BB00D2"/>
    <w:rsid w:val="00BB01D5"/>
    <w:rsid w:val="00BB020F"/>
    <w:rsid w:val="00BB06AF"/>
    <w:rsid w:val="00BB1793"/>
    <w:rsid w:val="00BB253B"/>
    <w:rsid w:val="00BB3C74"/>
    <w:rsid w:val="00BB46AD"/>
    <w:rsid w:val="00BB572D"/>
    <w:rsid w:val="00BB7003"/>
    <w:rsid w:val="00BB734A"/>
    <w:rsid w:val="00BB7974"/>
    <w:rsid w:val="00BC03CA"/>
    <w:rsid w:val="00BC0A06"/>
    <w:rsid w:val="00BC0D6E"/>
    <w:rsid w:val="00BC1CA0"/>
    <w:rsid w:val="00BC2486"/>
    <w:rsid w:val="00BC273A"/>
    <w:rsid w:val="00BC28A4"/>
    <w:rsid w:val="00BC2A74"/>
    <w:rsid w:val="00BC3D28"/>
    <w:rsid w:val="00BC4638"/>
    <w:rsid w:val="00BC49D8"/>
    <w:rsid w:val="00BC49EA"/>
    <w:rsid w:val="00BC5355"/>
    <w:rsid w:val="00BC6C48"/>
    <w:rsid w:val="00BC6F10"/>
    <w:rsid w:val="00BC7189"/>
    <w:rsid w:val="00BC74D7"/>
    <w:rsid w:val="00BD016F"/>
    <w:rsid w:val="00BD0C9F"/>
    <w:rsid w:val="00BD1165"/>
    <w:rsid w:val="00BD1461"/>
    <w:rsid w:val="00BD1DD9"/>
    <w:rsid w:val="00BD2B19"/>
    <w:rsid w:val="00BD2C07"/>
    <w:rsid w:val="00BD2D14"/>
    <w:rsid w:val="00BD3A45"/>
    <w:rsid w:val="00BD49E8"/>
    <w:rsid w:val="00BD5064"/>
    <w:rsid w:val="00BD5385"/>
    <w:rsid w:val="00BD6D2C"/>
    <w:rsid w:val="00BD726A"/>
    <w:rsid w:val="00BE079A"/>
    <w:rsid w:val="00BE08D9"/>
    <w:rsid w:val="00BE0BA2"/>
    <w:rsid w:val="00BE1888"/>
    <w:rsid w:val="00BE19B0"/>
    <w:rsid w:val="00BE2085"/>
    <w:rsid w:val="00BE27CC"/>
    <w:rsid w:val="00BE2D84"/>
    <w:rsid w:val="00BE2F95"/>
    <w:rsid w:val="00BE4AAB"/>
    <w:rsid w:val="00BE4F39"/>
    <w:rsid w:val="00BE692F"/>
    <w:rsid w:val="00BF0216"/>
    <w:rsid w:val="00BF0845"/>
    <w:rsid w:val="00BF08D2"/>
    <w:rsid w:val="00BF186E"/>
    <w:rsid w:val="00BF24B7"/>
    <w:rsid w:val="00BF270E"/>
    <w:rsid w:val="00BF340F"/>
    <w:rsid w:val="00BF37A7"/>
    <w:rsid w:val="00BF3B3A"/>
    <w:rsid w:val="00BF41D3"/>
    <w:rsid w:val="00BF4863"/>
    <w:rsid w:val="00BF7065"/>
    <w:rsid w:val="00BF78BE"/>
    <w:rsid w:val="00C003A2"/>
    <w:rsid w:val="00C00C4F"/>
    <w:rsid w:val="00C00C87"/>
    <w:rsid w:val="00C015A6"/>
    <w:rsid w:val="00C016D8"/>
    <w:rsid w:val="00C01DB2"/>
    <w:rsid w:val="00C02974"/>
    <w:rsid w:val="00C03225"/>
    <w:rsid w:val="00C05375"/>
    <w:rsid w:val="00C062C5"/>
    <w:rsid w:val="00C07260"/>
    <w:rsid w:val="00C07985"/>
    <w:rsid w:val="00C1011C"/>
    <w:rsid w:val="00C101D7"/>
    <w:rsid w:val="00C10D85"/>
    <w:rsid w:val="00C12974"/>
    <w:rsid w:val="00C12BD7"/>
    <w:rsid w:val="00C13D3A"/>
    <w:rsid w:val="00C1508A"/>
    <w:rsid w:val="00C1539D"/>
    <w:rsid w:val="00C158F5"/>
    <w:rsid w:val="00C1604C"/>
    <w:rsid w:val="00C16674"/>
    <w:rsid w:val="00C16891"/>
    <w:rsid w:val="00C170A7"/>
    <w:rsid w:val="00C179A2"/>
    <w:rsid w:val="00C20A57"/>
    <w:rsid w:val="00C21113"/>
    <w:rsid w:val="00C21987"/>
    <w:rsid w:val="00C2198E"/>
    <w:rsid w:val="00C21FD9"/>
    <w:rsid w:val="00C22557"/>
    <w:rsid w:val="00C22DAD"/>
    <w:rsid w:val="00C230ED"/>
    <w:rsid w:val="00C23766"/>
    <w:rsid w:val="00C24F95"/>
    <w:rsid w:val="00C25079"/>
    <w:rsid w:val="00C255D1"/>
    <w:rsid w:val="00C25C1D"/>
    <w:rsid w:val="00C2606D"/>
    <w:rsid w:val="00C319AF"/>
    <w:rsid w:val="00C3232D"/>
    <w:rsid w:val="00C3257C"/>
    <w:rsid w:val="00C330FF"/>
    <w:rsid w:val="00C3378F"/>
    <w:rsid w:val="00C3381F"/>
    <w:rsid w:val="00C34CFD"/>
    <w:rsid w:val="00C35391"/>
    <w:rsid w:val="00C35F5F"/>
    <w:rsid w:val="00C37E01"/>
    <w:rsid w:val="00C400B5"/>
    <w:rsid w:val="00C40158"/>
    <w:rsid w:val="00C40B78"/>
    <w:rsid w:val="00C412CC"/>
    <w:rsid w:val="00C43115"/>
    <w:rsid w:val="00C431BE"/>
    <w:rsid w:val="00C435FA"/>
    <w:rsid w:val="00C44600"/>
    <w:rsid w:val="00C453AD"/>
    <w:rsid w:val="00C4602D"/>
    <w:rsid w:val="00C4621D"/>
    <w:rsid w:val="00C471D3"/>
    <w:rsid w:val="00C47527"/>
    <w:rsid w:val="00C5077A"/>
    <w:rsid w:val="00C50A6A"/>
    <w:rsid w:val="00C50DB7"/>
    <w:rsid w:val="00C51460"/>
    <w:rsid w:val="00C51AA5"/>
    <w:rsid w:val="00C524AC"/>
    <w:rsid w:val="00C5351F"/>
    <w:rsid w:val="00C53E40"/>
    <w:rsid w:val="00C5465D"/>
    <w:rsid w:val="00C557EE"/>
    <w:rsid w:val="00C55CA5"/>
    <w:rsid w:val="00C56845"/>
    <w:rsid w:val="00C5685B"/>
    <w:rsid w:val="00C570A2"/>
    <w:rsid w:val="00C60664"/>
    <w:rsid w:val="00C60B61"/>
    <w:rsid w:val="00C61574"/>
    <w:rsid w:val="00C645E2"/>
    <w:rsid w:val="00C65232"/>
    <w:rsid w:val="00C6664C"/>
    <w:rsid w:val="00C6674B"/>
    <w:rsid w:val="00C66CCC"/>
    <w:rsid w:val="00C67D1F"/>
    <w:rsid w:val="00C67E5D"/>
    <w:rsid w:val="00C702C1"/>
    <w:rsid w:val="00C703AD"/>
    <w:rsid w:val="00C70B20"/>
    <w:rsid w:val="00C70C3A"/>
    <w:rsid w:val="00C70E1C"/>
    <w:rsid w:val="00C722A1"/>
    <w:rsid w:val="00C74E37"/>
    <w:rsid w:val="00C80AEE"/>
    <w:rsid w:val="00C811FC"/>
    <w:rsid w:val="00C8233D"/>
    <w:rsid w:val="00C82440"/>
    <w:rsid w:val="00C82535"/>
    <w:rsid w:val="00C831D5"/>
    <w:rsid w:val="00C83411"/>
    <w:rsid w:val="00C836C7"/>
    <w:rsid w:val="00C83B76"/>
    <w:rsid w:val="00C84CDC"/>
    <w:rsid w:val="00C8560A"/>
    <w:rsid w:val="00C86A40"/>
    <w:rsid w:val="00C87407"/>
    <w:rsid w:val="00C8745F"/>
    <w:rsid w:val="00C875F8"/>
    <w:rsid w:val="00C8767B"/>
    <w:rsid w:val="00C87DA2"/>
    <w:rsid w:val="00C87F28"/>
    <w:rsid w:val="00C903DA"/>
    <w:rsid w:val="00C903FF"/>
    <w:rsid w:val="00C90714"/>
    <w:rsid w:val="00C915AF"/>
    <w:rsid w:val="00C91B3D"/>
    <w:rsid w:val="00C92CA1"/>
    <w:rsid w:val="00C92D64"/>
    <w:rsid w:val="00C93592"/>
    <w:rsid w:val="00C94291"/>
    <w:rsid w:val="00C94306"/>
    <w:rsid w:val="00C948A7"/>
    <w:rsid w:val="00C958C3"/>
    <w:rsid w:val="00C9724B"/>
    <w:rsid w:val="00C97F4B"/>
    <w:rsid w:val="00CA065D"/>
    <w:rsid w:val="00CA1923"/>
    <w:rsid w:val="00CA34EE"/>
    <w:rsid w:val="00CA3D48"/>
    <w:rsid w:val="00CA40E2"/>
    <w:rsid w:val="00CA522B"/>
    <w:rsid w:val="00CA5C73"/>
    <w:rsid w:val="00CA5D02"/>
    <w:rsid w:val="00CA5EC8"/>
    <w:rsid w:val="00CA61F4"/>
    <w:rsid w:val="00CA745E"/>
    <w:rsid w:val="00CB001A"/>
    <w:rsid w:val="00CB00B8"/>
    <w:rsid w:val="00CB168A"/>
    <w:rsid w:val="00CB1717"/>
    <w:rsid w:val="00CB1924"/>
    <w:rsid w:val="00CB1E5F"/>
    <w:rsid w:val="00CB1F2D"/>
    <w:rsid w:val="00CB2DD0"/>
    <w:rsid w:val="00CB4755"/>
    <w:rsid w:val="00CB480B"/>
    <w:rsid w:val="00CB6057"/>
    <w:rsid w:val="00CB68FB"/>
    <w:rsid w:val="00CB6FC3"/>
    <w:rsid w:val="00CB74EF"/>
    <w:rsid w:val="00CB7772"/>
    <w:rsid w:val="00CB7FC7"/>
    <w:rsid w:val="00CC24F6"/>
    <w:rsid w:val="00CC3590"/>
    <w:rsid w:val="00CC3B30"/>
    <w:rsid w:val="00CC5D7C"/>
    <w:rsid w:val="00CC7BD3"/>
    <w:rsid w:val="00CD0D5A"/>
    <w:rsid w:val="00CD197F"/>
    <w:rsid w:val="00CD2980"/>
    <w:rsid w:val="00CD2DCB"/>
    <w:rsid w:val="00CD2FB3"/>
    <w:rsid w:val="00CD379D"/>
    <w:rsid w:val="00CD3AF1"/>
    <w:rsid w:val="00CD3E4D"/>
    <w:rsid w:val="00CD55CC"/>
    <w:rsid w:val="00CD573B"/>
    <w:rsid w:val="00CD5BAD"/>
    <w:rsid w:val="00CD601C"/>
    <w:rsid w:val="00CD625A"/>
    <w:rsid w:val="00CD65AB"/>
    <w:rsid w:val="00CD6B64"/>
    <w:rsid w:val="00CD6C75"/>
    <w:rsid w:val="00CD721B"/>
    <w:rsid w:val="00CD7DAB"/>
    <w:rsid w:val="00CE00F6"/>
    <w:rsid w:val="00CE05E7"/>
    <w:rsid w:val="00CE09F6"/>
    <w:rsid w:val="00CE12E9"/>
    <w:rsid w:val="00CE14AC"/>
    <w:rsid w:val="00CE1C09"/>
    <w:rsid w:val="00CE2153"/>
    <w:rsid w:val="00CE39C1"/>
    <w:rsid w:val="00CE4239"/>
    <w:rsid w:val="00CE53E8"/>
    <w:rsid w:val="00CE56EB"/>
    <w:rsid w:val="00CE6352"/>
    <w:rsid w:val="00CE73FB"/>
    <w:rsid w:val="00CE797F"/>
    <w:rsid w:val="00CF05F7"/>
    <w:rsid w:val="00CF0633"/>
    <w:rsid w:val="00CF1865"/>
    <w:rsid w:val="00CF2991"/>
    <w:rsid w:val="00CF38DD"/>
    <w:rsid w:val="00CF42F7"/>
    <w:rsid w:val="00CF5902"/>
    <w:rsid w:val="00CF687B"/>
    <w:rsid w:val="00CF74D4"/>
    <w:rsid w:val="00CF7A8E"/>
    <w:rsid w:val="00D00A46"/>
    <w:rsid w:val="00D012A4"/>
    <w:rsid w:val="00D0299D"/>
    <w:rsid w:val="00D02A0C"/>
    <w:rsid w:val="00D02B25"/>
    <w:rsid w:val="00D03721"/>
    <w:rsid w:val="00D042F0"/>
    <w:rsid w:val="00D0508F"/>
    <w:rsid w:val="00D057A7"/>
    <w:rsid w:val="00D06B5C"/>
    <w:rsid w:val="00D0748E"/>
    <w:rsid w:val="00D07887"/>
    <w:rsid w:val="00D07BCE"/>
    <w:rsid w:val="00D10939"/>
    <w:rsid w:val="00D10FCD"/>
    <w:rsid w:val="00D11349"/>
    <w:rsid w:val="00D12A55"/>
    <w:rsid w:val="00D13EF9"/>
    <w:rsid w:val="00D14B83"/>
    <w:rsid w:val="00D1515B"/>
    <w:rsid w:val="00D15241"/>
    <w:rsid w:val="00D15C25"/>
    <w:rsid w:val="00D17D9F"/>
    <w:rsid w:val="00D17DA4"/>
    <w:rsid w:val="00D224DB"/>
    <w:rsid w:val="00D25381"/>
    <w:rsid w:val="00D255D5"/>
    <w:rsid w:val="00D259ED"/>
    <w:rsid w:val="00D2635B"/>
    <w:rsid w:val="00D27035"/>
    <w:rsid w:val="00D27B65"/>
    <w:rsid w:val="00D301AC"/>
    <w:rsid w:val="00D30442"/>
    <w:rsid w:val="00D3057F"/>
    <w:rsid w:val="00D31B03"/>
    <w:rsid w:val="00D31D63"/>
    <w:rsid w:val="00D325E7"/>
    <w:rsid w:val="00D33081"/>
    <w:rsid w:val="00D339DE"/>
    <w:rsid w:val="00D33CC9"/>
    <w:rsid w:val="00D34801"/>
    <w:rsid w:val="00D3618F"/>
    <w:rsid w:val="00D368F1"/>
    <w:rsid w:val="00D37E51"/>
    <w:rsid w:val="00D43629"/>
    <w:rsid w:val="00D437C2"/>
    <w:rsid w:val="00D44664"/>
    <w:rsid w:val="00D458B9"/>
    <w:rsid w:val="00D46FFD"/>
    <w:rsid w:val="00D47089"/>
    <w:rsid w:val="00D47AA5"/>
    <w:rsid w:val="00D503E7"/>
    <w:rsid w:val="00D50F43"/>
    <w:rsid w:val="00D520F2"/>
    <w:rsid w:val="00D524AC"/>
    <w:rsid w:val="00D52F51"/>
    <w:rsid w:val="00D53320"/>
    <w:rsid w:val="00D54177"/>
    <w:rsid w:val="00D54216"/>
    <w:rsid w:val="00D556D8"/>
    <w:rsid w:val="00D56B5D"/>
    <w:rsid w:val="00D56D74"/>
    <w:rsid w:val="00D60A41"/>
    <w:rsid w:val="00D61205"/>
    <w:rsid w:val="00D61646"/>
    <w:rsid w:val="00D61CB8"/>
    <w:rsid w:val="00D6271F"/>
    <w:rsid w:val="00D634F9"/>
    <w:rsid w:val="00D6395F"/>
    <w:rsid w:val="00D640A7"/>
    <w:rsid w:val="00D642F1"/>
    <w:rsid w:val="00D65276"/>
    <w:rsid w:val="00D65D01"/>
    <w:rsid w:val="00D65D48"/>
    <w:rsid w:val="00D65E3C"/>
    <w:rsid w:val="00D65E53"/>
    <w:rsid w:val="00D66050"/>
    <w:rsid w:val="00D6750A"/>
    <w:rsid w:val="00D67F1A"/>
    <w:rsid w:val="00D67FE9"/>
    <w:rsid w:val="00D7098C"/>
    <w:rsid w:val="00D71B07"/>
    <w:rsid w:val="00D72629"/>
    <w:rsid w:val="00D732C5"/>
    <w:rsid w:val="00D7385D"/>
    <w:rsid w:val="00D752A6"/>
    <w:rsid w:val="00D756E7"/>
    <w:rsid w:val="00D759D1"/>
    <w:rsid w:val="00D76453"/>
    <w:rsid w:val="00D76723"/>
    <w:rsid w:val="00D76EAA"/>
    <w:rsid w:val="00D7720D"/>
    <w:rsid w:val="00D77743"/>
    <w:rsid w:val="00D77933"/>
    <w:rsid w:val="00D809A8"/>
    <w:rsid w:val="00D80ACF"/>
    <w:rsid w:val="00D80F74"/>
    <w:rsid w:val="00D81544"/>
    <w:rsid w:val="00D818B2"/>
    <w:rsid w:val="00D8272A"/>
    <w:rsid w:val="00D8290B"/>
    <w:rsid w:val="00D82CF1"/>
    <w:rsid w:val="00D82E97"/>
    <w:rsid w:val="00D8348B"/>
    <w:rsid w:val="00D8385F"/>
    <w:rsid w:val="00D850ED"/>
    <w:rsid w:val="00D865A8"/>
    <w:rsid w:val="00D86C5C"/>
    <w:rsid w:val="00D8761B"/>
    <w:rsid w:val="00D8771E"/>
    <w:rsid w:val="00D8777D"/>
    <w:rsid w:val="00D906F8"/>
    <w:rsid w:val="00D914C7"/>
    <w:rsid w:val="00D93172"/>
    <w:rsid w:val="00D9595D"/>
    <w:rsid w:val="00D95CE1"/>
    <w:rsid w:val="00D9673D"/>
    <w:rsid w:val="00D96B4F"/>
    <w:rsid w:val="00D97451"/>
    <w:rsid w:val="00DA02E4"/>
    <w:rsid w:val="00DA11A4"/>
    <w:rsid w:val="00DA16F7"/>
    <w:rsid w:val="00DA17EC"/>
    <w:rsid w:val="00DA1F4D"/>
    <w:rsid w:val="00DA26A6"/>
    <w:rsid w:val="00DA2BF0"/>
    <w:rsid w:val="00DA31DC"/>
    <w:rsid w:val="00DA3C22"/>
    <w:rsid w:val="00DA5849"/>
    <w:rsid w:val="00DA5D0A"/>
    <w:rsid w:val="00DA6052"/>
    <w:rsid w:val="00DA6AF4"/>
    <w:rsid w:val="00DA6B0C"/>
    <w:rsid w:val="00DA7F27"/>
    <w:rsid w:val="00DB078E"/>
    <w:rsid w:val="00DB2172"/>
    <w:rsid w:val="00DB25FA"/>
    <w:rsid w:val="00DB2F07"/>
    <w:rsid w:val="00DB3059"/>
    <w:rsid w:val="00DB3280"/>
    <w:rsid w:val="00DB42D4"/>
    <w:rsid w:val="00DB44B2"/>
    <w:rsid w:val="00DB5571"/>
    <w:rsid w:val="00DB6704"/>
    <w:rsid w:val="00DB6C9F"/>
    <w:rsid w:val="00DB6D9B"/>
    <w:rsid w:val="00DB6F89"/>
    <w:rsid w:val="00DC08D5"/>
    <w:rsid w:val="00DC1B53"/>
    <w:rsid w:val="00DC3471"/>
    <w:rsid w:val="00DC525E"/>
    <w:rsid w:val="00DC5B42"/>
    <w:rsid w:val="00DC680D"/>
    <w:rsid w:val="00DC68C7"/>
    <w:rsid w:val="00DC77EB"/>
    <w:rsid w:val="00DC7C57"/>
    <w:rsid w:val="00DD05AD"/>
    <w:rsid w:val="00DD11B3"/>
    <w:rsid w:val="00DD1401"/>
    <w:rsid w:val="00DD14E3"/>
    <w:rsid w:val="00DD1F4A"/>
    <w:rsid w:val="00DD1F9F"/>
    <w:rsid w:val="00DD2891"/>
    <w:rsid w:val="00DD3316"/>
    <w:rsid w:val="00DD3B19"/>
    <w:rsid w:val="00DD5EB4"/>
    <w:rsid w:val="00DD6E30"/>
    <w:rsid w:val="00DD751F"/>
    <w:rsid w:val="00DE06BA"/>
    <w:rsid w:val="00DE0750"/>
    <w:rsid w:val="00DE1C5C"/>
    <w:rsid w:val="00DE2939"/>
    <w:rsid w:val="00DE4615"/>
    <w:rsid w:val="00DE4CB3"/>
    <w:rsid w:val="00DE53E5"/>
    <w:rsid w:val="00DE5AC3"/>
    <w:rsid w:val="00DE6B87"/>
    <w:rsid w:val="00DE75A7"/>
    <w:rsid w:val="00DF0B5A"/>
    <w:rsid w:val="00DF139F"/>
    <w:rsid w:val="00DF1BAD"/>
    <w:rsid w:val="00DF362B"/>
    <w:rsid w:val="00DF397B"/>
    <w:rsid w:val="00DF3DBD"/>
    <w:rsid w:val="00DF504D"/>
    <w:rsid w:val="00DF63C0"/>
    <w:rsid w:val="00DF64BF"/>
    <w:rsid w:val="00DF7583"/>
    <w:rsid w:val="00DF7656"/>
    <w:rsid w:val="00E000DE"/>
    <w:rsid w:val="00E00332"/>
    <w:rsid w:val="00E00997"/>
    <w:rsid w:val="00E00A92"/>
    <w:rsid w:val="00E00FAB"/>
    <w:rsid w:val="00E032EF"/>
    <w:rsid w:val="00E03506"/>
    <w:rsid w:val="00E0403D"/>
    <w:rsid w:val="00E04986"/>
    <w:rsid w:val="00E04A9D"/>
    <w:rsid w:val="00E04BFC"/>
    <w:rsid w:val="00E05502"/>
    <w:rsid w:val="00E0596A"/>
    <w:rsid w:val="00E0667E"/>
    <w:rsid w:val="00E077AF"/>
    <w:rsid w:val="00E07BAD"/>
    <w:rsid w:val="00E10309"/>
    <w:rsid w:val="00E106CB"/>
    <w:rsid w:val="00E120EF"/>
    <w:rsid w:val="00E12274"/>
    <w:rsid w:val="00E137A5"/>
    <w:rsid w:val="00E13E96"/>
    <w:rsid w:val="00E1414F"/>
    <w:rsid w:val="00E1471B"/>
    <w:rsid w:val="00E14D56"/>
    <w:rsid w:val="00E15861"/>
    <w:rsid w:val="00E162F3"/>
    <w:rsid w:val="00E167CF"/>
    <w:rsid w:val="00E16DAC"/>
    <w:rsid w:val="00E20C11"/>
    <w:rsid w:val="00E2184A"/>
    <w:rsid w:val="00E2213B"/>
    <w:rsid w:val="00E249B8"/>
    <w:rsid w:val="00E24DAA"/>
    <w:rsid w:val="00E251BC"/>
    <w:rsid w:val="00E251D6"/>
    <w:rsid w:val="00E25454"/>
    <w:rsid w:val="00E25AA0"/>
    <w:rsid w:val="00E26A84"/>
    <w:rsid w:val="00E27C21"/>
    <w:rsid w:val="00E27D25"/>
    <w:rsid w:val="00E3018E"/>
    <w:rsid w:val="00E30884"/>
    <w:rsid w:val="00E31751"/>
    <w:rsid w:val="00E31B16"/>
    <w:rsid w:val="00E31E49"/>
    <w:rsid w:val="00E31FAE"/>
    <w:rsid w:val="00E32E1C"/>
    <w:rsid w:val="00E36165"/>
    <w:rsid w:val="00E36423"/>
    <w:rsid w:val="00E365BE"/>
    <w:rsid w:val="00E41920"/>
    <w:rsid w:val="00E42CE3"/>
    <w:rsid w:val="00E42F7F"/>
    <w:rsid w:val="00E438D6"/>
    <w:rsid w:val="00E43E5A"/>
    <w:rsid w:val="00E44F8E"/>
    <w:rsid w:val="00E46463"/>
    <w:rsid w:val="00E473C0"/>
    <w:rsid w:val="00E47804"/>
    <w:rsid w:val="00E47DE4"/>
    <w:rsid w:val="00E513DD"/>
    <w:rsid w:val="00E51C1E"/>
    <w:rsid w:val="00E51DCB"/>
    <w:rsid w:val="00E52D69"/>
    <w:rsid w:val="00E547CC"/>
    <w:rsid w:val="00E55277"/>
    <w:rsid w:val="00E5770B"/>
    <w:rsid w:val="00E5779A"/>
    <w:rsid w:val="00E60295"/>
    <w:rsid w:val="00E60650"/>
    <w:rsid w:val="00E6117C"/>
    <w:rsid w:val="00E61685"/>
    <w:rsid w:val="00E620CE"/>
    <w:rsid w:val="00E629F8"/>
    <w:rsid w:val="00E63105"/>
    <w:rsid w:val="00E6314E"/>
    <w:rsid w:val="00E633EC"/>
    <w:rsid w:val="00E63D6E"/>
    <w:rsid w:val="00E63DFE"/>
    <w:rsid w:val="00E645CA"/>
    <w:rsid w:val="00E64B4D"/>
    <w:rsid w:val="00E653FF"/>
    <w:rsid w:val="00E65971"/>
    <w:rsid w:val="00E66B0A"/>
    <w:rsid w:val="00E67314"/>
    <w:rsid w:val="00E70152"/>
    <w:rsid w:val="00E706BE"/>
    <w:rsid w:val="00E7266A"/>
    <w:rsid w:val="00E72B52"/>
    <w:rsid w:val="00E72D2D"/>
    <w:rsid w:val="00E73168"/>
    <w:rsid w:val="00E736C3"/>
    <w:rsid w:val="00E74641"/>
    <w:rsid w:val="00E74B22"/>
    <w:rsid w:val="00E74F37"/>
    <w:rsid w:val="00E775B5"/>
    <w:rsid w:val="00E77958"/>
    <w:rsid w:val="00E810C0"/>
    <w:rsid w:val="00E8178E"/>
    <w:rsid w:val="00E81E2A"/>
    <w:rsid w:val="00E83545"/>
    <w:rsid w:val="00E83BAA"/>
    <w:rsid w:val="00E84012"/>
    <w:rsid w:val="00E8535A"/>
    <w:rsid w:val="00E8547B"/>
    <w:rsid w:val="00E86593"/>
    <w:rsid w:val="00E86CC5"/>
    <w:rsid w:val="00E86E17"/>
    <w:rsid w:val="00E8702A"/>
    <w:rsid w:val="00E87305"/>
    <w:rsid w:val="00E87AB9"/>
    <w:rsid w:val="00E87F66"/>
    <w:rsid w:val="00E9114D"/>
    <w:rsid w:val="00E9127F"/>
    <w:rsid w:val="00E9168F"/>
    <w:rsid w:val="00E923DC"/>
    <w:rsid w:val="00E92AAC"/>
    <w:rsid w:val="00E92C43"/>
    <w:rsid w:val="00E94166"/>
    <w:rsid w:val="00E9554D"/>
    <w:rsid w:val="00E9598A"/>
    <w:rsid w:val="00E975AF"/>
    <w:rsid w:val="00E9793A"/>
    <w:rsid w:val="00E97CDA"/>
    <w:rsid w:val="00EA137D"/>
    <w:rsid w:val="00EA276D"/>
    <w:rsid w:val="00EA340D"/>
    <w:rsid w:val="00EA3EF7"/>
    <w:rsid w:val="00EA4426"/>
    <w:rsid w:val="00EA5999"/>
    <w:rsid w:val="00EA62B3"/>
    <w:rsid w:val="00EA63B3"/>
    <w:rsid w:val="00EA65F2"/>
    <w:rsid w:val="00EA6795"/>
    <w:rsid w:val="00EA6A80"/>
    <w:rsid w:val="00EA6EE3"/>
    <w:rsid w:val="00EA7666"/>
    <w:rsid w:val="00EA7C92"/>
    <w:rsid w:val="00EA7FC1"/>
    <w:rsid w:val="00EB0BD3"/>
    <w:rsid w:val="00EB0E92"/>
    <w:rsid w:val="00EB0F3C"/>
    <w:rsid w:val="00EB1A00"/>
    <w:rsid w:val="00EB1E2D"/>
    <w:rsid w:val="00EB1EFB"/>
    <w:rsid w:val="00EB2FDB"/>
    <w:rsid w:val="00EB4CA2"/>
    <w:rsid w:val="00EB5E63"/>
    <w:rsid w:val="00EB6BF8"/>
    <w:rsid w:val="00EB72BD"/>
    <w:rsid w:val="00EC1767"/>
    <w:rsid w:val="00EC302F"/>
    <w:rsid w:val="00EC4597"/>
    <w:rsid w:val="00EC4D86"/>
    <w:rsid w:val="00EC533A"/>
    <w:rsid w:val="00EC5369"/>
    <w:rsid w:val="00EC711C"/>
    <w:rsid w:val="00EC76E1"/>
    <w:rsid w:val="00ED183A"/>
    <w:rsid w:val="00ED2FF4"/>
    <w:rsid w:val="00ED37FE"/>
    <w:rsid w:val="00ED452A"/>
    <w:rsid w:val="00ED45D8"/>
    <w:rsid w:val="00ED46BE"/>
    <w:rsid w:val="00ED489D"/>
    <w:rsid w:val="00ED4B23"/>
    <w:rsid w:val="00ED55E0"/>
    <w:rsid w:val="00ED64C2"/>
    <w:rsid w:val="00ED7388"/>
    <w:rsid w:val="00ED7D95"/>
    <w:rsid w:val="00EE08EA"/>
    <w:rsid w:val="00EE2EB8"/>
    <w:rsid w:val="00EE3118"/>
    <w:rsid w:val="00EE410F"/>
    <w:rsid w:val="00EE4944"/>
    <w:rsid w:val="00EE5643"/>
    <w:rsid w:val="00EE5DAF"/>
    <w:rsid w:val="00EE60C0"/>
    <w:rsid w:val="00EE6A96"/>
    <w:rsid w:val="00EE7D0D"/>
    <w:rsid w:val="00EF0040"/>
    <w:rsid w:val="00EF0CE7"/>
    <w:rsid w:val="00EF18C0"/>
    <w:rsid w:val="00EF23BB"/>
    <w:rsid w:val="00EF3B2F"/>
    <w:rsid w:val="00EF48E9"/>
    <w:rsid w:val="00EF4CDF"/>
    <w:rsid w:val="00EF58A2"/>
    <w:rsid w:val="00EF6A1C"/>
    <w:rsid w:val="00EF74CB"/>
    <w:rsid w:val="00EF7589"/>
    <w:rsid w:val="00EF75AD"/>
    <w:rsid w:val="00EF79A7"/>
    <w:rsid w:val="00EF7EEF"/>
    <w:rsid w:val="00F00643"/>
    <w:rsid w:val="00F007D0"/>
    <w:rsid w:val="00F00EDE"/>
    <w:rsid w:val="00F01400"/>
    <w:rsid w:val="00F0189E"/>
    <w:rsid w:val="00F01A84"/>
    <w:rsid w:val="00F02C6E"/>
    <w:rsid w:val="00F04B43"/>
    <w:rsid w:val="00F04E7D"/>
    <w:rsid w:val="00F05C46"/>
    <w:rsid w:val="00F05C5E"/>
    <w:rsid w:val="00F062A8"/>
    <w:rsid w:val="00F06479"/>
    <w:rsid w:val="00F07D23"/>
    <w:rsid w:val="00F07E9A"/>
    <w:rsid w:val="00F10544"/>
    <w:rsid w:val="00F10B94"/>
    <w:rsid w:val="00F1121E"/>
    <w:rsid w:val="00F116C2"/>
    <w:rsid w:val="00F1194E"/>
    <w:rsid w:val="00F11F9B"/>
    <w:rsid w:val="00F12832"/>
    <w:rsid w:val="00F12861"/>
    <w:rsid w:val="00F12C74"/>
    <w:rsid w:val="00F13F1B"/>
    <w:rsid w:val="00F14021"/>
    <w:rsid w:val="00F14394"/>
    <w:rsid w:val="00F151A7"/>
    <w:rsid w:val="00F15CA1"/>
    <w:rsid w:val="00F16B71"/>
    <w:rsid w:val="00F175C6"/>
    <w:rsid w:val="00F21212"/>
    <w:rsid w:val="00F2145D"/>
    <w:rsid w:val="00F21666"/>
    <w:rsid w:val="00F23179"/>
    <w:rsid w:val="00F25647"/>
    <w:rsid w:val="00F25802"/>
    <w:rsid w:val="00F2718A"/>
    <w:rsid w:val="00F276DD"/>
    <w:rsid w:val="00F300E5"/>
    <w:rsid w:val="00F302E9"/>
    <w:rsid w:val="00F3070C"/>
    <w:rsid w:val="00F30E37"/>
    <w:rsid w:val="00F31DD6"/>
    <w:rsid w:val="00F32D9D"/>
    <w:rsid w:val="00F332D8"/>
    <w:rsid w:val="00F336A0"/>
    <w:rsid w:val="00F363C3"/>
    <w:rsid w:val="00F36D66"/>
    <w:rsid w:val="00F405B4"/>
    <w:rsid w:val="00F405D9"/>
    <w:rsid w:val="00F40B0B"/>
    <w:rsid w:val="00F40B79"/>
    <w:rsid w:val="00F40D47"/>
    <w:rsid w:val="00F42045"/>
    <w:rsid w:val="00F42F5A"/>
    <w:rsid w:val="00F4316A"/>
    <w:rsid w:val="00F43FB4"/>
    <w:rsid w:val="00F44571"/>
    <w:rsid w:val="00F44677"/>
    <w:rsid w:val="00F44DEA"/>
    <w:rsid w:val="00F45146"/>
    <w:rsid w:val="00F4641D"/>
    <w:rsid w:val="00F470B6"/>
    <w:rsid w:val="00F47655"/>
    <w:rsid w:val="00F47670"/>
    <w:rsid w:val="00F47B8A"/>
    <w:rsid w:val="00F47CAA"/>
    <w:rsid w:val="00F50163"/>
    <w:rsid w:val="00F507A9"/>
    <w:rsid w:val="00F51634"/>
    <w:rsid w:val="00F52257"/>
    <w:rsid w:val="00F534E9"/>
    <w:rsid w:val="00F538D8"/>
    <w:rsid w:val="00F53F45"/>
    <w:rsid w:val="00F54310"/>
    <w:rsid w:val="00F60849"/>
    <w:rsid w:val="00F6151C"/>
    <w:rsid w:val="00F6197D"/>
    <w:rsid w:val="00F629BD"/>
    <w:rsid w:val="00F63227"/>
    <w:rsid w:val="00F6356E"/>
    <w:rsid w:val="00F63807"/>
    <w:rsid w:val="00F63FD8"/>
    <w:rsid w:val="00F649F2"/>
    <w:rsid w:val="00F65319"/>
    <w:rsid w:val="00F6564F"/>
    <w:rsid w:val="00F65AAF"/>
    <w:rsid w:val="00F65D71"/>
    <w:rsid w:val="00F6636E"/>
    <w:rsid w:val="00F70CAE"/>
    <w:rsid w:val="00F71247"/>
    <w:rsid w:val="00F72D89"/>
    <w:rsid w:val="00F74D7E"/>
    <w:rsid w:val="00F74EF3"/>
    <w:rsid w:val="00F7620D"/>
    <w:rsid w:val="00F7687B"/>
    <w:rsid w:val="00F776C2"/>
    <w:rsid w:val="00F77A9B"/>
    <w:rsid w:val="00F80122"/>
    <w:rsid w:val="00F81CB4"/>
    <w:rsid w:val="00F82907"/>
    <w:rsid w:val="00F82C76"/>
    <w:rsid w:val="00F83BB4"/>
    <w:rsid w:val="00F85571"/>
    <w:rsid w:val="00F85A26"/>
    <w:rsid w:val="00F87057"/>
    <w:rsid w:val="00F8727D"/>
    <w:rsid w:val="00F87FAC"/>
    <w:rsid w:val="00F906CC"/>
    <w:rsid w:val="00F90EE3"/>
    <w:rsid w:val="00F92259"/>
    <w:rsid w:val="00F9231B"/>
    <w:rsid w:val="00F92326"/>
    <w:rsid w:val="00F93E3F"/>
    <w:rsid w:val="00F94BBD"/>
    <w:rsid w:val="00F9582D"/>
    <w:rsid w:val="00F95BC8"/>
    <w:rsid w:val="00F97511"/>
    <w:rsid w:val="00F9768E"/>
    <w:rsid w:val="00FA2B7C"/>
    <w:rsid w:val="00FA314C"/>
    <w:rsid w:val="00FA39CF"/>
    <w:rsid w:val="00FA5388"/>
    <w:rsid w:val="00FA6420"/>
    <w:rsid w:val="00FA71B2"/>
    <w:rsid w:val="00FA71FF"/>
    <w:rsid w:val="00FA75D1"/>
    <w:rsid w:val="00FA78C8"/>
    <w:rsid w:val="00FA7FD2"/>
    <w:rsid w:val="00FB02F2"/>
    <w:rsid w:val="00FB2169"/>
    <w:rsid w:val="00FB4183"/>
    <w:rsid w:val="00FB5BBE"/>
    <w:rsid w:val="00FB6BEC"/>
    <w:rsid w:val="00FB7876"/>
    <w:rsid w:val="00FB7E3D"/>
    <w:rsid w:val="00FC00B1"/>
    <w:rsid w:val="00FC05A3"/>
    <w:rsid w:val="00FC0E29"/>
    <w:rsid w:val="00FC0E42"/>
    <w:rsid w:val="00FC1180"/>
    <w:rsid w:val="00FC119D"/>
    <w:rsid w:val="00FC2C49"/>
    <w:rsid w:val="00FC354D"/>
    <w:rsid w:val="00FC3A62"/>
    <w:rsid w:val="00FC3B40"/>
    <w:rsid w:val="00FC3F05"/>
    <w:rsid w:val="00FC47A6"/>
    <w:rsid w:val="00FC53E9"/>
    <w:rsid w:val="00FC6E46"/>
    <w:rsid w:val="00FC704D"/>
    <w:rsid w:val="00FC71F0"/>
    <w:rsid w:val="00FC723D"/>
    <w:rsid w:val="00FC7C50"/>
    <w:rsid w:val="00FD0230"/>
    <w:rsid w:val="00FD0265"/>
    <w:rsid w:val="00FD0B8C"/>
    <w:rsid w:val="00FD177F"/>
    <w:rsid w:val="00FD1976"/>
    <w:rsid w:val="00FD1E19"/>
    <w:rsid w:val="00FD237C"/>
    <w:rsid w:val="00FD251D"/>
    <w:rsid w:val="00FD3056"/>
    <w:rsid w:val="00FD3D91"/>
    <w:rsid w:val="00FD4A18"/>
    <w:rsid w:val="00FD6C6B"/>
    <w:rsid w:val="00FD7C34"/>
    <w:rsid w:val="00FD7E2A"/>
    <w:rsid w:val="00FE00B7"/>
    <w:rsid w:val="00FE0287"/>
    <w:rsid w:val="00FE076D"/>
    <w:rsid w:val="00FE1134"/>
    <w:rsid w:val="00FE1ADB"/>
    <w:rsid w:val="00FE2A63"/>
    <w:rsid w:val="00FE2BF2"/>
    <w:rsid w:val="00FE3892"/>
    <w:rsid w:val="00FE39FC"/>
    <w:rsid w:val="00FE3AB2"/>
    <w:rsid w:val="00FE3E05"/>
    <w:rsid w:val="00FE4176"/>
    <w:rsid w:val="00FE4474"/>
    <w:rsid w:val="00FE5721"/>
    <w:rsid w:val="00FE6D8B"/>
    <w:rsid w:val="00FE72EE"/>
    <w:rsid w:val="00FE76C8"/>
    <w:rsid w:val="00FE77CC"/>
    <w:rsid w:val="00FF1DFD"/>
    <w:rsid w:val="00FF2ABA"/>
    <w:rsid w:val="00FF3967"/>
    <w:rsid w:val="00FF3EE4"/>
    <w:rsid w:val="00FF4058"/>
    <w:rsid w:val="00FF4534"/>
    <w:rsid w:val="00FF4886"/>
    <w:rsid w:val="00FF4F4C"/>
    <w:rsid w:val="00FF53A9"/>
    <w:rsid w:val="00FF53EE"/>
    <w:rsid w:val="00FF6BCA"/>
    <w:rsid w:val="010057A7"/>
    <w:rsid w:val="010F2882"/>
    <w:rsid w:val="01135302"/>
    <w:rsid w:val="01207B0A"/>
    <w:rsid w:val="01247755"/>
    <w:rsid w:val="01303F65"/>
    <w:rsid w:val="013121A7"/>
    <w:rsid w:val="01312F8E"/>
    <w:rsid w:val="013A09C4"/>
    <w:rsid w:val="013C246A"/>
    <w:rsid w:val="01404261"/>
    <w:rsid w:val="014C5266"/>
    <w:rsid w:val="014D4B6C"/>
    <w:rsid w:val="01677709"/>
    <w:rsid w:val="01683BB5"/>
    <w:rsid w:val="016F2703"/>
    <w:rsid w:val="0183453D"/>
    <w:rsid w:val="018351D3"/>
    <w:rsid w:val="018710A3"/>
    <w:rsid w:val="01A56A78"/>
    <w:rsid w:val="01A7086A"/>
    <w:rsid w:val="01A93A5A"/>
    <w:rsid w:val="01AD7D01"/>
    <w:rsid w:val="01B25A50"/>
    <w:rsid w:val="01E30120"/>
    <w:rsid w:val="01E462AD"/>
    <w:rsid w:val="02060918"/>
    <w:rsid w:val="02293759"/>
    <w:rsid w:val="02315727"/>
    <w:rsid w:val="02575AC1"/>
    <w:rsid w:val="02B43AAA"/>
    <w:rsid w:val="02BE18FE"/>
    <w:rsid w:val="02C32F68"/>
    <w:rsid w:val="02CB078C"/>
    <w:rsid w:val="02F21EEB"/>
    <w:rsid w:val="02FA132F"/>
    <w:rsid w:val="0334599F"/>
    <w:rsid w:val="0335287F"/>
    <w:rsid w:val="03470120"/>
    <w:rsid w:val="034B36B5"/>
    <w:rsid w:val="035C1E81"/>
    <w:rsid w:val="035D7D75"/>
    <w:rsid w:val="035E2DA8"/>
    <w:rsid w:val="035E5F74"/>
    <w:rsid w:val="0365592C"/>
    <w:rsid w:val="036B7E52"/>
    <w:rsid w:val="0372035D"/>
    <w:rsid w:val="037836BC"/>
    <w:rsid w:val="037C7C55"/>
    <w:rsid w:val="03831553"/>
    <w:rsid w:val="038A76A9"/>
    <w:rsid w:val="03AF0BC7"/>
    <w:rsid w:val="03B55068"/>
    <w:rsid w:val="03BD1568"/>
    <w:rsid w:val="03D60954"/>
    <w:rsid w:val="03D742FB"/>
    <w:rsid w:val="03ED2838"/>
    <w:rsid w:val="03F75236"/>
    <w:rsid w:val="04302795"/>
    <w:rsid w:val="043729FA"/>
    <w:rsid w:val="044C088B"/>
    <w:rsid w:val="04591A2E"/>
    <w:rsid w:val="0461422D"/>
    <w:rsid w:val="0461681F"/>
    <w:rsid w:val="046A060F"/>
    <w:rsid w:val="046C6C01"/>
    <w:rsid w:val="046E7456"/>
    <w:rsid w:val="047D1ED6"/>
    <w:rsid w:val="047F3A66"/>
    <w:rsid w:val="04826CFA"/>
    <w:rsid w:val="04976926"/>
    <w:rsid w:val="04A05494"/>
    <w:rsid w:val="04A41713"/>
    <w:rsid w:val="04A9499D"/>
    <w:rsid w:val="04B45435"/>
    <w:rsid w:val="04D55D13"/>
    <w:rsid w:val="04DC666C"/>
    <w:rsid w:val="04EA5B3C"/>
    <w:rsid w:val="04EC78FC"/>
    <w:rsid w:val="04FF46D6"/>
    <w:rsid w:val="051211C6"/>
    <w:rsid w:val="051E62BF"/>
    <w:rsid w:val="05301C5F"/>
    <w:rsid w:val="0544626D"/>
    <w:rsid w:val="05447943"/>
    <w:rsid w:val="054D67F1"/>
    <w:rsid w:val="05787CF3"/>
    <w:rsid w:val="057A69BF"/>
    <w:rsid w:val="057B0E62"/>
    <w:rsid w:val="0580785F"/>
    <w:rsid w:val="058571E6"/>
    <w:rsid w:val="0599432F"/>
    <w:rsid w:val="05A141DD"/>
    <w:rsid w:val="05CB0E27"/>
    <w:rsid w:val="05CC0218"/>
    <w:rsid w:val="05D05124"/>
    <w:rsid w:val="05F33C03"/>
    <w:rsid w:val="0608114D"/>
    <w:rsid w:val="06175254"/>
    <w:rsid w:val="061E66A1"/>
    <w:rsid w:val="063302DF"/>
    <w:rsid w:val="063B4DE4"/>
    <w:rsid w:val="063C7A07"/>
    <w:rsid w:val="065036EF"/>
    <w:rsid w:val="066B151E"/>
    <w:rsid w:val="066E30C6"/>
    <w:rsid w:val="066F5174"/>
    <w:rsid w:val="06706E5D"/>
    <w:rsid w:val="06792D62"/>
    <w:rsid w:val="067D3DF4"/>
    <w:rsid w:val="069A4BAC"/>
    <w:rsid w:val="06A238AF"/>
    <w:rsid w:val="06AD4DCE"/>
    <w:rsid w:val="06AE3F88"/>
    <w:rsid w:val="06C37B46"/>
    <w:rsid w:val="06CA5561"/>
    <w:rsid w:val="06D84107"/>
    <w:rsid w:val="06DA6645"/>
    <w:rsid w:val="06E930F9"/>
    <w:rsid w:val="06F339AF"/>
    <w:rsid w:val="070841B7"/>
    <w:rsid w:val="070E1192"/>
    <w:rsid w:val="07177301"/>
    <w:rsid w:val="073C3F5C"/>
    <w:rsid w:val="075E73A7"/>
    <w:rsid w:val="076707A0"/>
    <w:rsid w:val="076F5347"/>
    <w:rsid w:val="07783D1B"/>
    <w:rsid w:val="078A58ED"/>
    <w:rsid w:val="079429FD"/>
    <w:rsid w:val="07981A91"/>
    <w:rsid w:val="079B4158"/>
    <w:rsid w:val="07CB2146"/>
    <w:rsid w:val="07CE525D"/>
    <w:rsid w:val="07CF512D"/>
    <w:rsid w:val="07D04F64"/>
    <w:rsid w:val="07E17544"/>
    <w:rsid w:val="080001B0"/>
    <w:rsid w:val="0806636F"/>
    <w:rsid w:val="080E5F49"/>
    <w:rsid w:val="081661AF"/>
    <w:rsid w:val="083F0ECA"/>
    <w:rsid w:val="084560A8"/>
    <w:rsid w:val="08456784"/>
    <w:rsid w:val="084C2272"/>
    <w:rsid w:val="084F213F"/>
    <w:rsid w:val="085066C7"/>
    <w:rsid w:val="08664345"/>
    <w:rsid w:val="08694136"/>
    <w:rsid w:val="086A7FB0"/>
    <w:rsid w:val="08723626"/>
    <w:rsid w:val="08725246"/>
    <w:rsid w:val="08730408"/>
    <w:rsid w:val="08805273"/>
    <w:rsid w:val="088505BC"/>
    <w:rsid w:val="08940F91"/>
    <w:rsid w:val="089A4646"/>
    <w:rsid w:val="089C5B28"/>
    <w:rsid w:val="08B82B5B"/>
    <w:rsid w:val="08C75AEE"/>
    <w:rsid w:val="08CA0369"/>
    <w:rsid w:val="08CE3215"/>
    <w:rsid w:val="08E23539"/>
    <w:rsid w:val="08E75733"/>
    <w:rsid w:val="08FE4DC1"/>
    <w:rsid w:val="090061C5"/>
    <w:rsid w:val="0906715B"/>
    <w:rsid w:val="090C2147"/>
    <w:rsid w:val="0926701B"/>
    <w:rsid w:val="0927512D"/>
    <w:rsid w:val="09573866"/>
    <w:rsid w:val="0960347E"/>
    <w:rsid w:val="09652590"/>
    <w:rsid w:val="097653E7"/>
    <w:rsid w:val="097C0DEA"/>
    <w:rsid w:val="097E16AA"/>
    <w:rsid w:val="09917881"/>
    <w:rsid w:val="099536FE"/>
    <w:rsid w:val="09A06A75"/>
    <w:rsid w:val="09B06FC4"/>
    <w:rsid w:val="09B4167D"/>
    <w:rsid w:val="09B708FD"/>
    <w:rsid w:val="09BA2AC6"/>
    <w:rsid w:val="09D26061"/>
    <w:rsid w:val="09F92B47"/>
    <w:rsid w:val="0A0E2098"/>
    <w:rsid w:val="0A43082F"/>
    <w:rsid w:val="0A6B56FC"/>
    <w:rsid w:val="0A7D168C"/>
    <w:rsid w:val="0A855FC6"/>
    <w:rsid w:val="0A90331C"/>
    <w:rsid w:val="0A9E02AD"/>
    <w:rsid w:val="0AA364AD"/>
    <w:rsid w:val="0AAB0902"/>
    <w:rsid w:val="0AB440A4"/>
    <w:rsid w:val="0AB55FCE"/>
    <w:rsid w:val="0ACA6D38"/>
    <w:rsid w:val="0AE4227C"/>
    <w:rsid w:val="0AE77A0C"/>
    <w:rsid w:val="0AE81B19"/>
    <w:rsid w:val="0AEB0BF0"/>
    <w:rsid w:val="0AFB755B"/>
    <w:rsid w:val="0B025290"/>
    <w:rsid w:val="0B043FBF"/>
    <w:rsid w:val="0B046039"/>
    <w:rsid w:val="0B0A4B64"/>
    <w:rsid w:val="0B0F299D"/>
    <w:rsid w:val="0B22198C"/>
    <w:rsid w:val="0B3643CE"/>
    <w:rsid w:val="0B6A78FF"/>
    <w:rsid w:val="0B821434"/>
    <w:rsid w:val="0B977C2D"/>
    <w:rsid w:val="0BA37CB5"/>
    <w:rsid w:val="0BC40744"/>
    <w:rsid w:val="0BDB342C"/>
    <w:rsid w:val="0BDC1CE9"/>
    <w:rsid w:val="0BE300B2"/>
    <w:rsid w:val="0BF16C73"/>
    <w:rsid w:val="0BF74AE8"/>
    <w:rsid w:val="0C0B6D68"/>
    <w:rsid w:val="0C0C3F82"/>
    <w:rsid w:val="0C1A3D59"/>
    <w:rsid w:val="0C257B40"/>
    <w:rsid w:val="0C281F69"/>
    <w:rsid w:val="0C2C064B"/>
    <w:rsid w:val="0C2F6564"/>
    <w:rsid w:val="0C3E34A5"/>
    <w:rsid w:val="0C532240"/>
    <w:rsid w:val="0C546315"/>
    <w:rsid w:val="0C5A52EC"/>
    <w:rsid w:val="0C812DED"/>
    <w:rsid w:val="0C8137C9"/>
    <w:rsid w:val="0C950BA6"/>
    <w:rsid w:val="0CA830A9"/>
    <w:rsid w:val="0CAC2B9A"/>
    <w:rsid w:val="0CAF695A"/>
    <w:rsid w:val="0CB12611"/>
    <w:rsid w:val="0CD67590"/>
    <w:rsid w:val="0CE42333"/>
    <w:rsid w:val="0CEF2175"/>
    <w:rsid w:val="0CF940F5"/>
    <w:rsid w:val="0D124D83"/>
    <w:rsid w:val="0D1D5845"/>
    <w:rsid w:val="0D203DB4"/>
    <w:rsid w:val="0D2E24AB"/>
    <w:rsid w:val="0D422A1C"/>
    <w:rsid w:val="0D43075A"/>
    <w:rsid w:val="0D434BB0"/>
    <w:rsid w:val="0D4E642E"/>
    <w:rsid w:val="0D5D17E3"/>
    <w:rsid w:val="0D5E1D12"/>
    <w:rsid w:val="0D8C68E2"/>
    <w:rsid w:val="0D9943EA"/>
    <w:rsid w:val="0DAF7142"/>
    <w:rsid w:val="0DB545D2"/>
    <w:rsid w:val="0DC7118E"/>
    <w:rsid w:val="0DD248BB"/>
    <w:rsid w:val="0DD6110F"/>
    <w:rsid w:val="0DE56FE8"/>
    <w:rsid w:val="0DED34C2"/>
    <w:rsid w:val="0DF47AE0"/>
    <w:rsid w:val="0DF77F0D"/>
    <w:rsid w:val="0E1E3AB1"/>
    <w:rsid w:val="0E200581"/>
    <w:rsid w:val="0E245078"/>
    <w:rsid w:val="0E2529DA"/>
    <w:rsid w:val="0E331822"/>
    <w:rsid w:val="0E3F75E0"/>
    <w:rsid w:val="0E43752E"/>
    <w:rsid w:val="0E5B7068"/>
    <w:rsid w:val="0E671431"/>
    <w:rsid w:val="0E710B71"/>
    <w:rsid w:val="0E924011"/>
    <w:rsid w:val="0E9A3AF2"/>
    <w:rsid w:val="0EB72DE1"/>
    <w:rsid w:val="0EC341CA"/>
    <w:rsid w:val="0ED42113"/>
    <w:rsid w:val="0ED6340D"/>
    <w:rsid w:val="0EF04DE5"/>
    <w:rsid w:val="0EFF43BA"/>
    <w:rsid w:val="0F092CD6"/>
    <w:rsid w:val="0F143963"/>
    <w:rsid w:val="0F2F4388"/>
    <w:rsid w:val="0F4425B0"/>
    <w:rsid w:val="0F5A4B2F"/>
    <w:rsid w:val="0F5B6AB1"/>
    <w:rsid w:val="0F5F12CE"/>
    <w:rsid w:val="0F777651"/>
    <w:rsid w:val="0F7A203F"/>
    <w:rsid w:val="0F7A481C"/>
    <w:rsid w:val="0F7D20C6"/>
    <w:rsid w:val="0FA230CE"/>
    <w:rsid w:val="0FA37114"/>
    <w:rsid w:val="100C34AE"/>
    <w:rsid w:val="100D5F57"/>
    <w:rsid w:val="102D2243"/>
    <w:rsid w:val="103136FB"/>
    <w:rsid w:val="10345AC3"/>
    <w:rsid w:val="10454916"/>
    <w:rsid w:val="10534F50"/>
    <w:rsid w:val="10625DF6"/>
    <w:rsid w:val="10672A16"/>
    <w:rsid w:val="107F13A6"/>
    <w:rsid w:val="108537DF"/>
    <w:rsid w:val="10991687"/>
    <w:rsid w:val="109B49D8"/>
    <w:rsid w:val="10A76C07"/>
    <w:rsid w:val="10B4070D"/>
    <w:rsid w:val="10C20616"/>
    <w:rsid w:val="10E12912"/>
    <w:rsid w:val="10E832B4"/>
    <w:rsid w:val="111369C6"/>
    <w:rsid w:val="111927C8"/>
    <w:rsid w:val="111934E7"/>
    <w:rsid w:val="112172C2"/>
    <w:rsid w:val="114A20A1"/>
    <w:rsid w:val="114D7618"/>
    <w:rsid w:val="115D35F1"/>
    <w:rsid w:val="116F6BC1"/>
    <w:rsid w:val="117C5F04"/>
    <w:rsid w:val="11941558"/>
    <w:rsid w:val="11983D3E"/>
    <w:rsid w:val="11AE39F8"/>
    <w:rsid w:val="11C53F61"/>
    <w:rsid w:val="11DA5EF4"/>
    <w:rsid w:val="11EC7CEB"/>
    <w:rsid w:val="11F8380E"/>
    <w:rsid w:val="121767DB"/>
    <w:rsid w:val="122A6F54"/>
    <w:rsid w:val="12443ED2"/>
    <w:rsid w:val="12445E42"/>
    <w:rsid w:val="12465C21"/>
    <w:rsid w:val="12550B18"/>
    <w:rsid w:val="125B650A"/>
    <w:rsid w:val="12663BE0"/>
    <w:rsid w:val="12735753"/>
    <w:rsid w:val="129610C5"/>
    <w:rsid w:val="12CA084D"/>
    <w:rsid w:val="12DE6746"/>
    <w:rsid w:val="12E928B6"/>
    <w:rsid w:val="13086650"/>
    <w:rsid w:val="130E11A0"/>
    <w:rsid w:val="131C40E4"/>
    <w:rsid w:val="133D6799"/>
    <w:rsid w:val="13523247"/>
    <w:rsid w:val="136007E7"/>
    <w:rsid w:val="1360594A"/>
    <w:rsid w:val="136B6F88"/>
    <w:rsid w:val="136E327B"/>
    <w:rsid w:val="1374228E"/>
    <w:rsid w:val="13757633"/>
    <w:rsid w:val="139E6C56"/>
    <w:rsid w:val="139F5206"/>
    <w:rsid w:val="13A07738"/>
    <w:rsid w:val="13AB36C5"/>
    <w:rsid w:val="13B43589"/>
    <w:rsid w:val="13BB0808"/>
    <w:rsid w:val="13BC175F"/>
    <w:rsid w:val="13C46A1B"/>
    <w:rsid w:val="13DE052A"/>
    <w:rsid w:val="13ED0E0A"/>
    <w:rsid w:val="14060571"/>
    <w:rsid w:val="14166BCF"/>
    <w:rsid w:val="141C70C5"/>
    <w:rsid w:val="1426082A"/>
    <w:rsid w:val="142A68E9"/>
    <w:rsid w:val="142C3534"/>
    <w:rsid w:val="14321BD6"/>
    <w:rsid w:val="1435380E"/>
    <w:rsid w:val="145A5FD6"/>
    <w:rsid w:val="1481614D"/>
    <w:rsid w:val="14851B53"/>
    <w:rsid w:val="14AE2250"/>
    <w:rsid w:val="14B856A7"/>
    <w:rsid w:val="14C66854"/>
    <w:rsid w:val="14DE0C0F"/>
    <w:rsid w:val="14E530ED"/>
    <w:rsid w:val="14EE1A04"/>
    <w:rsid w:val="14EE3384"/>
    <w:rsid w:val="14F10A6A"/>
    <w:rsid w:val="14F134BB"/>
    <w:rsid w:val="14F87960"/>
    <w:rsid w:val="1511621B"/>
    <w:rsid w:val="15202EE5"/>
    <w:rsid w:val="15367333"/>
    <w:rsid w:val="153C255C"/>
    <w:rsid w:val="153C2CB1"/>
    <w:rsid w:val="154304FD"/>
    <w:rsid w:val="154923E9"/>
    <w:rsid w:val="155115C7"/>
    <w:rsid w:val="156952E9"/>
    <w:rsid w:val="157D32D4"/>
    <w:rsid w:val="158D3253"/>
    <w:rsid w:val="158F5A0F"/>
    <w:rsid w:val="15924B9F"/>
    <w:rsid w:val="15953219"/>
    <w:rsid w:val="15957D8F"/>
    <w:rsid w:val="15B10392"/>
    <w:rsid w:val="15BD5E7C"/>
    <w:rsid w:val="15DA10CC"/>
    <w:rsid w:val="15FB47EE"/>
    <w:rsid w:val="160475A2"/>
    <w:rsid w:val="1606775E"/>
    <w:rsid w:val="160B549D"/>
    <w:rsid w:val="160D0514"/>
    <w:rsid w:val="161D2B21"/>
    <w:rsid w:val="162A1705"/>
    <w:rsid w:val="162C39B4"/>
    <w:rsid w:val="16462E87"/>
    <w:rsid w:val="16683B51"/>
    <w:rsid w:val="16807406"/>
    <w:rsid w:val="169F561C"/>
    <w:rsid w:val="16A90C06"/>
    <w:rsid w:val="16BC04A0"/>
    <w:rsid w:val="16C8192A"/>
    <w:rsid w:val="16D5087F"/>
    <w:rsid w:val="16D87950"/>
    <w:rsid w:val="16DD0A06"/>
    <w:rsid w:val="16E86EC4"/>
    <w:rsid w:val="171946A8"/>
    <w:rsid w:val="171A332F"/>
    <w:rsid w:val="17251EAC"/>
    <w:rsid w:val="172F5A62"/>
    <w:rsid w:val="17403859"/>
    <w:rsid w:val="174602F3"/>
    <w:rsid w:val="174B3433"/>
    <w:rsid w:val="17512B78"/>
    <w:rsid w:val="175201A4"/>
    <w:rsid w:val="17534A80"/>
    <w:rsid w:val="17581F6D"/>
    <w:rsid w:val="177A1481"/>
    <w:rsid w:val="177B2B64"/>
    <w:rsid w:val="17844E8E"/>
    <w:rsid w:val="17965B24"/>
    <w:rsid w:val="179914B3"/>
    <w:rsid w:val="17A116AE"/>
    <w:rsid w:val="17B263FE"/>
    <w:rsid w:val="17B33E4D"/>
    <w:rsid w:val="17BE3F72"/>
    <w:rsid w:val="17C47411"/>
    <w:rsid w:val="17D252F9"/>
    <w:rsid w:val="17EF5266"/>
    <w:rsid w:val="17F8222E"/>
    <w:rsid w:val="18071B33"/>
    <w:rsid w:val="180E5A00"/>
    <w:rsid w:val="181B2BBC"/>
    <w:rsid w:val="183F3519"/>
    <w:rsid w:val="1841459E"/>
    <w:rsid w:val="1842267B"/>
    <w:rsid w:val="184A01D4"/>
    <w:rsid w:val="18574301"/>
    <w:rsid w:val="18610CDC"/>
    <w:rsid w:val="186F7BC5"/>
    <w:rsid w:val="188C47E4"/>
    <w:rsid w:val="189039E8"/>
    <w:rsid w:val="18AE1A47"/>
    <w:rsid w:val="18B157FE"/>
    <w:rsid w:val="18CD45C3"/>
    <w:rsid w:val="18D32F39"/>
    <w:rsid w:val="18DF6EA4"/>
    <w:rsid w:val="18E73329"/>
    <w:rsid w:val="19104A6E"/>
    <w:rsid w:val="191D5610"/>
    <w:rsid w:val="193208CA"/>
    <w:rsid w:val="194818B4"/>
    <w:rsid w:val="195C2DAE"/>
    <w:rsid w:val="196846B9"/>
    <w:rsid w:val="196F567B"/>
    <w:rsid w:val="1979599D"/>
    <w:rsid w:val="19A65C35"/>
    <w:rsid w:val="19A86CE9"/>
    <w:rsid w:val="19B579D5"/>
    <w:rsid w:val="19C72EE6"/>
    <w:rsid w:val="19D55685"/>
    <w:rsid w:val="19D63097"/>
    <w:rsid w:val="19E26679"/>
    <w:rsid w:val="1A0D2A4A"/>
    <w:rsid w:val="1A124AD3"/>
    <w:rsid w:val="1A2F6045"/>
    <w:rsid w:val="1A400204"/>
    <w:rsid w:val="1A400749"/>
    <w:rsid w:val="1A48729C"/>
    <w:rsid w:val="1A4C2D0F"/>
    <w:rsid w:val="1A535E7B"/>
    <w:rsid w:val="1A5A252A"/>
    <w:rsid w:val="1A685EB8"/>
    <w:rsid w:val="1A6A1556"/>
    <w:rsid w:val="1A6D729A"/>
    <w:rsid w:val="1A7412C9"/>
    <w:rsid w:val="1A817DEA"/>
    <w:rsid w:val="1A977783"/>
    <w:rsid w:val="1A994D33"/>
    <w:rsid w:val="1AB01352"/>
    <w:rsid w:val="1AB04C5B"/>
    <w:rsid w:val="1AB37F88"/>
    <w:rsid w:val="1ABE7DC8"/>
    <w:rsid w:val="1AC95E4E"/>
    <w:rsid w:val="1AD35B55"/>
    <w:rsid w:val="1AD47040"/>
    <w:rsid w:val="1AE43477"/>
    <w:rsid w:val="1B1D4C62"/>
    <w:rsid w:val="1B3D013C"/>
    <w:rsid w:val="1B4B2DA3"/>
    <w:rsid w:val="1B571741"/>
    <w:rsid w:val="1B6F33E5"/>
    <w:rsid w:val="1B757B2D"/>
    <w:rsid w:val="1B757CBC"/>
    <w:rsid w:val="1B7F2276"/>
    <w:rsid w:val="1B871004"/>
    <w:rsid w:val="1B8A585F"/>
    <w:rsid w:val="1B963FA6"/>
    <w:rsid w:val="1B9B5BFE"/>
    <w:rsid w:val="1BA04270"/>
    <w:rsid w:val="1BA94E24"/>
    <w:rsid w:val="1BAD2DBB"/>
    <w:rsid w:val="1BB362E2"/>
    <w:rsid w:val="1BBA15EF"/>
    <w:rsid w:val="1BC162E8"/>
    <w:rsid w:val="1BD83779"/>
    <w:rsid w:val="1BF1078A"/>
    <w:rsid w:val="1C000FBC"/>
    <w:rsid w:val="1C010D1D"/>
    <w:rsid w:val="1C033570"/>
    <w:rsid w:val="1C154BFE"/>
    <w:rsid w:val="1C282F6F"/>
    <w:rsid w:val="1C37427B"/>
    <w:rsid w:val="1C3B4A23"/>
    <w:rsid w:val="1C475483"/>
    <w:rsid w:val="1C4E0CFD"/>
    <w:rsid w:val="1C57773B"/>
    <w:rsid w:val="1C71130D"/>
    <w:rsid w:val="1C762B3D"/>
    <w:rsid w:val="1C7A583D"/>
    <w:rsid w:val="1C8D776B"/>
    <w:rsid w:val="1CA0383F"/>
    <w:rsid w:val="1CB21A03"/>
    <w:rsid w:val="1CB916D0"/>
    <w:rsid w:val="1CCC1EBA"/>
    <w:rsid w:val="1CD62D09"/>
    <w:rsid w:val="1CFB7BD4"/>
    <w:rsid w:val="1D1D4E2E"/>
    <w:rsid w:val="1D306ECF"/>
    <w:rsid w:val="1D373AAF"/>
    <w:rsid w:val="1D52669D"/>
    <w:rsid w:val="1D5E4918"/>
    <w:rsid w:val="1D6447C7"/>
    <w:rsid w:val="1D8645B5"/>
    <w:rsid w:val="1DBB1C42"/>
    <w:rsid w:val="1DC169AD"/>
    <w:rsid w:val="1DE103FA"/>
    <w:rsid w:val="1DE72F8B"/>
    <w:rsid w:val="1DEF223D"/>
    <w:rsid w:val="1DF41671"/>
    <w:rsid w:val="1E0E6467"/>
    <w:rsid w:val="1E2E6377"/>
    <w:rsid w:val="1E3104EB"/>
    <w:rsid w:val="1E35373B"/>
    <w:rsid w:val="1E4058C9"/>
    <w:rsid w:val="1E5E3E99"/>
    <w:rsid w:val="1E6D128D"/>
    <w:rsid w:val="1E722C69"/>
    <w:rsid w:val="1E723EB9"/>
    <w:rsid w:val="1EB072B1"/>
    <w:rsid w:val="1EB50BBD"/>
    <w:rsid w:val="1EC06BEC"/>
    <w:rsid w:val="1ECA606C"/>
    <w:rsid w:val="1EDF30BC"/>
    <w:rsid w:val="1EE833D9"/>
    <w:rsid w:val="1EEE4BFA"/>
    <w:rsid w:val="1EFA3FB6"/>
    <w:rsid w:val="1F1027A4"/>
    <w:rsid w:val="1F2831F7"/>
    <w:rsid w:val="1F4D5417"/>
    <w:rsid w:val="1F5B5733"/>
    <w:rsid w:val="1F5B7E0D"/>
    <w:rsid w:val="1F5F2F92"/>
    <w:rsid w:val="1F645C46"/>
    <w:rsid w:val="1F677541"/>
    <w:rsid w:val="1F6F5384"/>
    <w:rsid w:val="1F745799"/>
    <w:rsid w:val="1F7532BF"/>
    <w:rsid w:val="1F7643A3"/>
    <w:rsid w:val="1FA31BDA"/>
    <w:rsid w:val="1FA31C4E"/>
    <w:rsid w:val="1FA75925"/>
    <w:rsid w:val="1FAA1EEE"/>
    <w:rsid w:val="1FAF3A62"/>
    <w:rsid w:val="1FB03F7D"/>
    <w:rsid w:val="1FB20C2C"/>
    <w:rsid w:val="1FB42039"/>
    <w:rsid w:val="1FCD35E0"/>
    <w:rsid w:val="1FD02EE8"/>
    <w:rsid w:val="1FD2597E"/>
    <w:rsid w:val="1FE33CEA"/>
    <w:rsid w:val="1FF20FA0"/>
    <w:rsid w:val="1FFF6B0A"/>
    <w:rsid w:val="2004034F"/>
    <w:rsid w:val="200B13E8"/>
    <w:rsid w:val="201514DF"/>
    <w:rsid w:val="201E1EB2"/>
    <w:rsid w:val="202766B5"/>
    <w:rsid w:val="203F0AAD"/>
    <w:rsid w:val="2044159C"/>
    <w:rsid w:val="20492558"/>
    <w:rsid w:val="2052546C"/>
    <w:rsid w:val="2059673D"/>
    <w:rsid w:val="205E38F0"/>
    <w:rsid w:val="2075089D"/>
    <w:rsid w:val="208927BA"/>
    <w:rsid w:val="20AA0500"/>
    <w:rsid w:val="20AC4ABE"/>
    <w:rsid w:val="20AD3BEB"/>
    <w:rsid w:val="20BE47F2"/>
    <w:rsid w:val="20D90E52"/>
    <w:rsid w:val="20F80F7C"/>
    <w:rsid w:val="210920EF"/>
    <w:rsid w:val="210F5BFE"/>
    <w:rsid w:val="21392153"/>
    <w:rsid w:val="213D3995"/>
    <w:rsid w:val="213E63DA"/>
    <w:rsid w:val="21514B5B"/>
    <w:rsid w:val="21604585"/>
    <w:rsid w:val="216B0B49"/>
    <w:rsid w:val="217F7026"/>
    <w:rsid w:val="21992531"/>
    <w:rsid w:val="21A4757C"/>
    <w:rsid w:val="21A63652"/>
    <w:rsid w:val="21B0008F"/>
    <w:rsid w:val="21BD7A67"/>
    <w:rsid w:val="21D132BC"/>
    <w:rsid w:val="21E97FF2"/>
    <w:rsid w:val="21F0010E"/>
    <w:rsid w:val="22041B8C"/>
    <w:rsid w:val="221C350A"/>
    <w:rsid w:val="221D1804"/>
    <w:rsid w:val="223035ED"/>
    <w:rsid w:val="22333947"/>
    <w:rsid w:val="22517CE8"/>
    <w:rsid w:val="2253337B"/>
    <w:rsid w:val="22553676"/>
    <w:rsid w:val="22626150"/>
    <w:rsid w:val="22753104"/>
    <w:rsid w:val="22A50CDA"/>
    <w:rsid w:val="22AF6AE8"/>
    <w:rsid w:val="22C54964"/>
    <w:rsid w:val="22D81392"/>
    <w:rsid w:val="22DE7B73"/>
    <w:rsid w:val="22F310EC"/>
    <w:rsid w:val="22F335FD"/>
    <w:rsid w:val="230B3186"/>
    <w:rsid w:val="23272B22"/>
    <w:rsid w:val="232A7F55"/>
    <w:rsid w:val="2363312E"/>
    <w:rsid w:val="236D19CB"/>
    <w:rsid w:val="236E7FC9"/>
    <w:rsid w:val="23704814"/>
    <w:rsid w:val="237F3F46"/>
    <w:rsid w:val="2382592A"/>
    <w:rsid w:val="23A835D3"/>
    <w:rsid w:val="23C16492"/>
    <w:rsid w:val="23D67272"/>
    <w:rsid w:val="23DF4103"/>
    <w:rsid w:val="23E80019"/>
    <w:rsid w:val="23EB1DB1"/>
    <w:rsid w:val="23ED04BD"/>
    <w:rsid w:val="24055FBC"/>
    <w:rsid w:val="241271DB"/>
    <w:rsid w:val="242A1506"/>
    <w:rsid w:val="242F013F"/>
    <w:rsid w:val="24381601"/>
    <w:rsid w:val="246F722E"/>
    <w:rsid w:val="24811610"/>
    <w:rsid w:val="24944FF6"/>
    <w:rsid w:val="2498033F"/>
    <w:rsid w:val="249C22E1"/>
    <w:rsid w:val="24D77F2A"/>
    <w:rsid w:val="24D96ACF"/>
    <w:rsid w:val="24E36DCF"/>
    <w:rsid w:val="24EB0624"/>
    <w:rsid w:val="25116F24"/>
    <w:rsid w:val="25145328"/>
    <w:rsid w:val="251E464F"/>
    <w:rsid w:val="25334962"/>
    <w:rsid w:val="25493364"/>
    <w:rsid w:val="254F7A0F"/>
    <w:rsid w:val="255C378E"/>
    <w:rsid w:val="25871E1F"/>
    <w:rsid w:val="258A22CD"/>
    <w:rsid w:val="258C2F14"/>
    <w:rsid w:val="25916979"/>
    <w:rsid w:val="25975E02"/>
    <w:rsid w:val="259C58FE"/>
    <w:rsid w:val="259D4F40"/>
    <w:rsid w:val="25B152B5"/>
    <w:rsid w:val="25B862D0"/>
    <w:rsid w:val="25CB3A81"/>
    <w:rsid w:val="25DA3E7C"/>
    <w:rsid w:val="25E3006A"/>
    <w:rsid w:val="25F52A64"/>
    <w:rsid w:val="25F9257C"/>
    <w:rsid w:val="2623548B"/>
    <w:rsid w:val="26243349"/>
    <w:rsid w:val="262C5C6D"/>
    <w:rsid w:val="263B7E57"/>
    <w:rsid w:val="26431A21"/>
    <w:rsid w:val="265D48E5"/>
    <w:rsid w:val="266F480A"/>
    <w:rsid w:val="26755724"/>
    <w:rsid w:val="267D1FC5"/>
    <w:rsid w:val="26805560"/>
    <w:rsid w:val="26A06437"/>
    <w:rsid w:val="26A71D59"/>
    <w:rsid w:val="26A936BC"/>
    <w:rsid w:val="26C14A80"/>
    <w:rsid w:val="26CA79B1"/>
    <w:rsid w:val="26E36DA9"/>
    <w:rsid w:val="27005530"/>
    <w:rsid w:val="27037402"/>
    <w:rsid w:val="27053BFC"/>
    <w:rsid w:val="270D444F"/>
    <w:rsid w:val="271916C3"/>
    <w:rsid w:val="27327218"/>
    <w:rsid w:val="273A24AE"/>
    <w:rsid w:val="27456DDA"/>
    <w:rsid w:val="274704F7"/>
    <w:rsid w:val="27506187"/>
    <w:rsid w:val="27512C81"/>
    <w:rsid w:val="275766F1"/>
    <w:rsid w:val="27591CFC"/>
    <w:rsid w:val="27632C26"/>
    <w:rsid w:val="27684747"/>
    <w:rsid w:val="276F63C2"/>
    <w:rsid w:val="276F6648"/>
    <w:rsid w:val="27703BAC"/>
    <w:rsid w:val="27816204"/>
    <w:rsid w:val="278909E9"/>
    <w:rsid w:val="278D77E9"/>
    <w:rsid w:val="27900E5F"/>
    <w:rsid w:val="27914AB5"/>
    <w:rsid w:val="2796557B"/>
    <w:rsid w:val="27AE7775"/>
    <w:rsid w:val="27B039C8"/>
    <w:rsid w:val="27B44220"/>
    <w:rsid w:val="27CB356E"/>
    <w:rsid w:val="27DB14E9"/>
    <w:rsid w:val="27E11400"/>
    <w:rsid w:val="27E63708"/>
    <w:rsid w:val="27F95DF6"/>
    <w:rsid w:val="27FC68FC"/>
    <w:rsid w:val="28015AEC"/>
    <w:rsid w:val="280B7F29"/>
    <w:rsid w:val="280F6FAD"/>
    <w:rsid w:val="281F6326"/>
    <w:rsid w:val="28242737"/>
    <w:rsid w:val="28252058"/>
    <w:rsid w:val="2856314B"/>
    <w:rsid w:val="28627101"/>
    <w:rsid w:val="286D7EFB"/>
    <w:rsid w:val="286F2FA1"/>
    <w:rsid w:val="286F6445"/>
    <w:rsid w:val="28710571"/>
    <w:rsid w:val="2880029E"/>
    <w:rsid w:val="28872154"/>
    <w:rsid w:val="28AD4E25"/>
    <w:rsid w:val="28B214EF"/>
    <w:rsid w:val="28CA3CEF"/>
    <w:rsid w:val="28E47092"/>
    <w:rsid w:val="28EA46BB"/>
    <w:rsid w:val="28F8088B"/>
    <w:rsid w:val="290D4165"/>
    <w:rsid w:val="291E414A"/>
    <w:rsid w:val="292661E0"/>
    <w:rsid w:val="29297FAE"/>
    <w:rsid w:val="29326F94"/>
    <w:rsid w:val="293A5C24"/>
    <w:rsid w:val="29496672"/>
    <w:rsid w:val="296F6CA5"/>
    <w:rsid w:val="29704239"/>
    <w:rsid w:val="297059A6"/>
    <w:rsid w:val="297F5466"/>
    <w:rsid w:val="299507E6"/>
    <w:rsid w:val="299710B2"/>
    <w:rsid w:val="29C03002"/>
    <w:rsid w:val="29C341ED"/>
    <w:rsid w:val="29D17C06"/>
    <w:rsid w:val="29D3340F"/>
    <w:rsid w:val="29E13C7C"/>
    <w:rsid w:val="29E26806"/>
    <w:rsid w:val="29F146D7"/>
    <w:rsid w:val="29F4710C"/>
    <w:rsid w:val="29F57C6F"/>
    <w:rsid w:val="29F745EF"/>
    <w:rsid w:val="29FF0B07"/>
    <w:rsid w:val="2A0E00CA"/>
    <w:rsid w:val="2A2D064F"/>
    <w:rsid w:val="2A497078"/>
    <w:rsid w:val="2A4B3C6C"/>
    <w:rsid w:val="2A615D77"/>
    <w:rsid w:val="2A630D17"/>
    <w:rsid w:val="2A770D67"/>
    <w:rsid w:val="2A791B21"/>
    <w:rsid w:val="2A7E12C0"/>
    <w:rsid w:val="2A815802"/>
    <w:rsid w:val="2A87357D"/>
    <w:rsid w:val="2A8B5FC9"/>
    <w:rsid w:val="2AA5169E"/>
    <w:rsid w:val="2AD625CD"/>
    <w:rsid w:val="2AE57AC4"/>
    <w:rsid w:val="2AED38FF"/>
    <w:rsid w:val="2AED40DA"/>
    <w:rsid w:val="2AF13218"/>
    <w:rsid w:val="2AFA0B1C"/>
    <w:rsid w:val="2AFD3174"/>
    <w:rsid w:val="2B3524A1"/>
    <w:rsid w:val="2B496BCB"/>
    <w:rsid w:val="2B5934AE"/>
    <w:rsid w:val="2B626BBA"/>
    <w:rsid w:val="2B6A7E50"/>
    <w:rsid w:val="2B7663F5"/>
    <w:rsid w:val="2B7A5423"/>
    <w:rsid w:val="2B7C183F"/>
    <w:rsid w:val="2B853CF9"/>
    <w:rsid w:val="2B864D71"/>
    <w:rsid w:val="2B914B5D"/>
    <w:rsid w:val="2BA9469B"/>
    <w:rsid w:val="2BB73BD5"/>
    <w:rsid w:val="2BB845F6"/>
    <w:rsid w:val="2BDC3546"/>
    <w:rsid w:val="2BE279DD"/>
    <w:rsid w:val="2BE529C4"/>
    <w:rsid w:val="2BE772F2"/>
    <w:rsid w:val="2BF01FD0"/>
    <w:rsid w:val="2BF33EE9"/>
    <w:rsid w:val="2BF544D2"/>
    <w:rsid w:val="2C1856FE"/>
    <w:rsid w:val="2C3D1CE0"/>
    <w:rsid w:val="2C7E7C57"/>
    <w:rsid w:val="2C8640C1"/>
    <w:rsid w:val="2C95510A"/>
    <w:rsid w:val="2C9E0649"/>
    <w:rsid w:val="2CD17CCF"/>
    <w:rsid w:val="2CD8457F"/>
    <w:rsid w:val="2CEF722E"/>
    <w:rsid w:val="2CF81347"/>
    <w:rsid w:val="2D156B5B"/>
    <w:rsid w:val="2D1B36F8"/>
    <w:rsid w:val="2D1C517B"/>
    <w:rsid w:val="2D2824B2"/>
    <w:rsid w:val="2D284325"/>
    <w:rsid w:val="2D285E15"/>
    <w:rsid w:val="2D2B3937"/>
    <w:rsid w:val="2D355A17"/>
    <w:rsid w:val="2D360531"/>
    <w:rsid w:val="2D3A420A"/>
    <w:rsid w:val="2D4068D1"/>
    <w:rsid w:val="2D4A2F3A"/>
    <w:rsid w:val="2D5160AE"/>
    <w:rsid w:val="2D6138B7"/>
    <w:rsid w:val="2D666BF9"/>
    <w:rsid w:val="2D833B32"/>
    <w:rsid w:val="2D896548"/>
    <w:rsid w:val="2D917EAF"/>
    <w:rsid w:val="2D9577C3"/>
    <w:rsid w:val="2DA466A1"/>
    <w:rsid w:val="2DB0030F"/>
    <w:rsid w:val="2DB72794"/>
    <w:rsid w:val="2DCA0BF2"/>
    <w:rsid w:val="2DD02FC8"/>
    <w:rsid w:val="2DDA0933"/>
    <w:rsid w:val="2DE55A1E"/>
    <w:rsid w:val="2DEB6804"/>
    <w:rsid w:val="2E002321"/>
    <w:rsid w:val="2E127D0C"/>
    <w:rsid w:val="2E180404"/>
    <w:rsid w:val="2E191CB8"/>
    <w:rsid w:val="2E1C647D"/>
    <w:rsid w:val="2E2F11E9"/>
    <w:rsid w:val="2E2F2C62"/>
    <w:rsid w:val="2E31194E"/>
    <w:rsid w:val="2E3C37AA"/>
    <w:rsid w:val="2E3F37FA"/>
    <w:rsid w:val="2E414B35"/>
    <w:rsid w:val="2E4A1CAE"/>
    <w:rsid w:val="2E580F8F"/>
    <w:rsid w:val="2E8639C6"/>
    <w:rsid w:val="2E883090"/>
    <w:rsid w:val="2EA339A5"/>
    <w:rsid w:val="2EA842FE"/>
    <w:rsid w:val="2EB81807"/>
    <w:rsid w:val="2EC47A74"/>
    <w:rsid w:val="2ED9015F"/>
    <w:rsid w:val="2EDB7001"/>
    <w:rsid w:val="2F0A3A22"/>
    <w:rsid w:val="2F164F71"/>
    <w:rsid w:val="2F5E0C25"/>
    <w:rsid w:val="2F5E5535"/>
    <w:rsid w:val="2F6E6EEE"/>
    <w:rsid w:val="2F7F38EF"/>
    <w:rsid w:val="2F803481"/>
    <w:rsid w:val="2F841DC0"/>
    <w:rsid w:val="2F913643"/>
    <w:rsid w:val="2FAB044B"/>
    <w:rsid w:val="2FAC166C"/>
    <w:rsid w:val="2FBD1C02"/>
    <w:rsid w:val="2FBF5A9F"/>
    <w:rsid w:val="2FDA0122"/>
    <w:rsid w:val="2FDD7AA8"/>
    <w:rsid w:val="2FDF05E9"/>
    <w:rsid w:val="30004E27"/>
    <w:rsid w:val="302A451F"/>
    <w:rsid w:val="302E0A39"/>
    <w:rsid w:val="30407780"/>
    <w:rsid w:val="30587B21"/>
    <w:rsid w:val="305A76AB"/>
    <w:rsid w:val="305C2C5A"/>
    <w:rsid w:val="30614406"/>
    <w:rsid w:val="30676C54"/>
    <w:rsid w:val="306D7E85"/>
    <w:rsid w:val="30841252"/>
    <w:rsid w:val="30881645"/>
    <w:rsid w:val="30A12166"/>
    <w:rsid w:val="30A62CFD"/>
    <w:rsid w:val="30AE5D9B"/>
    <w:rsid w:val="30BD5A46"/>
    <w:rsid w:val="30BE2D79"/>
    <w:rsid w:val="30C07EA5"/>
    <w:rsid w:val="30C670C4"/>
    <w:rsid w:val="30C67D12"/>
    <w:rsid w:val="30CA166B"/>
    <w:rsid w:val="30DD3846"/>
    <w:rsid w:val="30E87423"/>
    <w:rsid w:val="30ED1101"/>
    <w:rsid w:val="30F72E6E"/>
    <w:rsid w:val="30F857B9"/>
    <w:rsid w:val="31170894"/>
    <w:rsid w:val="31174C75"/>
    <w:rsid w:val="31382575"/>
    <w:rsid w:val="313A36E5"/>
    <w:rsid w:val="314F6742"/>
    <w:rsid w:val="31554AE7"/>
    <w:rsid w:val="315C7F7F"/>
    <w:rsid w:val="31660404"/>
    <w:rsid w:val="31785A4E"/>
    <w:rsid w:val="31791556"/>
    <w:rsid w:val="31B76FE1"/>
    <w:rsid w:val="31CB1CA1"/>
    <w:rsid w:val="31CF2D29"/>
    <w:rsid w:val="31E82675"/>
    <w:rsid w:val="31FE41EC"/>
    <w:rsid w:val="32157CE1"/>
    <w:rsid w:val="321E6DA8"/>
    <w:rsid w:val="323A4620"/>
    <w:rsid w:val="324234D5"/>
    <w:rsid w:val="325002CA"/>
    <w:rsid w:val="325869D8"/>
    <w:rsid w:val="32621481"/>
    <w:rsid w:val="326D7BCF"/>
    <w:rsid w:val="32710444"/>
    <w:rsid w:val="32715EE9"/>
    <w:rsid w:val="327A6BD0"/>
    <w:rsid w:val="32832ED6"/>
    <w:rsid w:val="328D3567"/>
    <w:rsid w:val="329862E4"/>
    <w:rsid w:val="32AC1117"/>
    <w:rsid w:val="32C31B6B"/>
    <w:rsid w:val="32D45531"/>
    <w:rsid w:val="32D96982"/>
    <w:rsid w:val="32E521E0"/>
    <w:rsid w:val="33050AAD"/>
    <w:rsid w:val="33116608"/>
    <w:rsid w:val="332130EA"/>
    <w:rsid w:val="332A668D"/>
    <w:rsid w:val="332C3F79"/>
    <w:rsid w:val="33392236"/>
    <w:rsid w:val="334530F3"/>
    <w:rsid w:val="335356E2"/>
    <w:rsid w:val="335A2AA0"/>
    <w:rsid w:val="336E02D4"/>
    <w:rsid w:val="33861D25"/>
    <w:rsid w:val="33BA5EC4"/>
    <w:rsid w:val="33BF2BC8"/>
    <w:rsid w:val="33C32064"/>
    <w:rsid w:val="33C96CCF"/>
    <w:rsid w:val="33D1513C"/>
    <w:rsid w:val="33D2161A"/>
    <w:rsid w:val="33E829AE"/>
    <w:rsid w:val="33E97899"/>
    <w:rsid w:val="33EF1DDB"/>
    <w:rsid w:val="33F30E32"/>
    <w:rsid w:val="33F84CB6"/>
    <w:rsid w:val="33F85143"/>
    <w:rsid w:val="340505DC"/>
    <w:rsid w:val="342041F4"/>
    <w:rsid w:val="34270AC1"/>
    <w:rsid w:val="342927FC"/>
    <w:rsid w:val="3431787C"/>
    <w:rsid w:val="34334E3E"/>
    <w:rsid w:val="343F154C"/>
    <w:rsid w:val="344469FD"/>
    <w:rsid w:val="34562F70"/>
    <w:rsid w:val="34660314"/>
    <w:rsid w:val="346F60D7"/>
    <w:rsid w:val="347E3539"/>
    <w:rsid w:val="34821147"/>
    <w:rsid w:val="34830369"/>
    <w:rsid w:val="34AC623C"/>
    <w:rsid w:val="34DB48B8"/>
    <w:rsid w:val="34F11CC9"/>
    <w:rsid w:val="350D407B"/>
    <w:rsid w:val="354237EC"/>
    <w:rsid w:val="354503F4"/>
    <w:rsid w:val="35453CE8"/>
    <w:rsid w:val="354740A6"/>
    <w:rsid w:val="35607689"/>
    <w:rsid w:val="35841377"/>
    <w:rsid w:val="358F1EC3"/>
    <w:rsid w:val="359029D2"/>
    <w:rsid w:val="359A09ED"/>
    <w:rsid w:val="359B1A01"/>
    <w:rsid w:val="359E17A7"/>
    <w:rsid w:val="35AA1BCA"/>
    <w:rsid w:val="35B33563"/>
    <w:rsid w:val="35BC4AB2"/>
    <w:rsid w:val="35D05A62"/>
    <w:rsid w:val="35E936E6"/>
    <w:rsid w:val="35EB0A3D"/>
    <w:rsid w:val="35F968B0"/>
    <w:rsid w:val="35FA1982"/>
    <w:rsid w:val="35FE2F69"/>
    <w:rsid w:val="36020E9C"/>
    <w:rsid w:val="360B0286"/>
    <w:rsid w:val="360C3486"/>
    <w:rsid w:val="36176D00"/>
    <w:rsid w:val="363C27BB"/>
    <w:rsid w:val="36441F53"/>
    <w:rsid w:val="364C0351"/>
    <w:rsid w:val="367E53BD"/>
    <w:rsid w:val="368045CB"/>
    <w:rsid w:val="368559A2"/>
    <w:rsid w:val="36995CF0"/>
    <w:rsid w:val="36A012BA"/>
    <w:rsid w:val="36B15DF4"/>
    <w:rsid w:val="36C070E9"/>
    <w:rsid w:val="36CB2FBF"/>
    <w:rsid w:val="36D121F1"/>
    <w:rsid w:val="371B60A2"/>
    <w:rsid w:val="37237201"/>
    <w:rsid w:val="37337890"/>
    <w:rsid w:val="37383C9E"/>
    <w:rsid w:val="37555369"/>
    <w:rsid w:val="375A58F9"/>
    <w:rsid w:val="375D0C35"/>
    <w:rsid w:val="376D0505"/>
    <w:rsid w:val="376D4567"/>
    <w:rsid w:val="37880510"/>
    <w:rsid w:val="37965470"/>
    <w:rsid w:val="37A058ED"/>
    <w:rsid w:val="37AB26BC"/>
    <w:rsid w:val="37B07E7F"/>
    <w:rsid w:val="37B100E8"/>
    <w:rsid w:val="37B1241A"/>
    <w:rsid w:val="37B8620F"/>
    <w:rsid w:val="37C73D61"/>
    <w:rsid w:val="37D22C05"/>
    <w:rsid w:val="37D56240"/>
    <w:rsid w:val="37E17558"/>
    <w:rsid w:val="37F33E6C"/>
    <w:rsid w:val="37F609F5"/>
    <w:rsid w:val="37F830B3"/>
    <w:rsid w:val="38142EE2"/>
    <w:rsid w:val="382968F9"/>
    <w:rsid w:val="382D35E2"/>
    <w:rsid w:val="38623388"/>
    <w:rsid w:val="38686BAC"/>
    <w:rsid w:val="387F6F98"/>
    <w:rsid w:val="38890DD2"/>
    <w:rsid w:val="38A914AA"/>
    <w:rsid w:val="38AB470E"/>
    <w:rsid w:val="38AC2771"/>
    <w:rsid w:val="38B22C79"/>
    <w:rsid w:val="38BA0113"/>
    <w:rsid w:val="38C966C7"/>
    <w:rsid w:val="38CF1737"/>
    <w:rsid w:val="38D97FC3"/>
    <w:rsid w:val="38EE54CC"/>
    <w:rsid w:val="391477F6"/>
    <w:rsid w:val="392245D3"/>
    <w:rsid w:val="393001B1"/>
    <w:rsid w:val="3937628D"/>
    <w:rsid w:val="395154C0"/>
    <w:rsid w:val="397054D7"/>
    <w:rsid w:val="397131B7"/>
    <w:rsid w:val="398C12A7"/>
    <w:rsid w:val="398E6FFF"/>
    <w:rsid w:val="39970912"/>
    <w:rsid w:val="399A5E03"/>
    <w:rsid w:val="39A76BCA"/>
    <w:rsid w:val="39C616EE"/>
    <w:rsid w:val="39CE69AB"/>
    <w:rsid w:val="39D178FD"/>
    <w:rsid w:val="39D20836"/>
    <w:rsid w:val="39E55C79"/>
    <w:rsid w:val="39EB1601"/>
    <w:rsid w:val="39F529BD"/>
    <w:rsid w:val="39FB0B42"/>
    <w:rsid w:val="39FC3CDD"/>
    <w:rsid w:val="39FF1CAB"/>
    <w:rsid w:val="3A0B68A2"/>
    <w:rsid w:val="3A0C7864"/>
    <w:rsid w:val="3A0E4A66"/>
    <w:rsid w:val="3A0F5041"/>
    <w:rsid w:val="3A15327D"/>
    <w:rsid w:val="3A1643B8"/>
    <w:rsid w:val="3A3616B3"/>
    <w:rsid w:val="3A370CF0"/>
    <w:rsid w:val="3A4458BD"/>
    <w:rsid w:val="3A462AA0"/>
    <w:rsid w:val="3A49697E"/>
    <w:rsid w:val="3A57248F"/>
    <w:rsid w:val="3A5930B4"/>
    <w:rsid w:val="3A6C5E85"/>
    <w:rsid w:val="3A751082"/>
    <w:rsid w:val="3AAA1FCB"/>
    <w:rsid w:val="3AAD114A"/>
    <w:rsid w:val="3AB13643"/>
    <w:rsid w:val="3AC22C8F"/>
    <w:rsid w:val="3ADE3FB6"/>
    <w:rsid w:val="3AE138E4"/>
    <w:rsid w:val="3B401F9F"/>
    <w:rsid w:val="3B501F79"/>
    <w:rsid w:val="3B596F6F"/>
    <w:rsid w:val="3B63175D"/>
    <w:rsid w:val="3B6C15C2"/>
    <w:rsid w:val="3B703203"/>
    <w:rsid w:val="3B754CFB"/>
    <w:rsid w:val="3B91770A"/>
    <w:rsid w:val="3B951E85"/>
    <w:rsid w:val="3B967E52"/>
    <w:rsid w:val="3BAB3D47"/>
    <w:rsid w:val="3BB56FEB"/>
    <w:rsid w:val="3BB8683C"/>
    <w:rsid w:val="3BD615AE"/>
    <w:rsid w:val="3BD76595"/>
    <w:rsid w:val="3BD90102"/>
    <w:rsid w:val="3BE03C86"/>
    <w:rsid w:val="3BED062E"/>
    <w:rsid w:val="3C055435"/>
    <w:rsid w:val="3C0D20A7"/>
    <w:rsid w:val="3C197B2E"/>
    <w:rsid w:val="3C1C1508"/>
    <w:rsid w:val="3C266A0E"/>
    <w:rsid w:val="3C404ADE"/>
    <w:rsid w:val="3C4D6189"/>
    <w:rsid w:val="3C5E0B64"/>
    <w:rsid w:val="3C612D1F"/>
    <w:rsid w:val="3C85139E"/>
    <w:rsid w:val="3C8E7AB6"/>
    <w:rsid w:val="3C9368AF"/>
    <w:rsid w:val="3CA337CC"/>
    <w:rsid w:val="3CAB1C76"/>
    <w:rsid w:val="3CB30A45"/>
    <w:rsid w:val="3CC84549"/>
    <w:rsid w:val="3CE05DC4"/>
    <w:rsid w:val="3D080961"/>
    <w:rsid w:val="3D2321D5"/>
    <w:rsid w:val="3D3F437B"/>
    <w:rsid w:val="3D582333"/>
    <w:rsid w:val="3D631D18"/>
    <w:rsid w:val="3D84424D"/>
    <w:rsid w:val="3D853F47"/>
    <w:rsid w:val="3D9B0FF3"/>
    <w:rsid w:val="3D9E12A1"/>
    <w:rsid w:val="3DB836BF"/>
    <w:rsid w:val="3DB92275"/>
    <w:rsid w:val="3DBF54D1"/>
    <w:rsid w:val="3DD0070F"/>
    <w:rsid w:val="3DD0314B"/>
    <w:rsid w:val="3DD24540"/>
    <w:rsid w:val="3DDF1454"/>
    <w:rsid w:val="3DFA21F0"/>
    <w:rsid w:val="3DFF6D97"/>
    <w:rsid w:val="3E0A6273"/>
    <w:rsid w:val="3E115461"/>
    <w:rsid w:val="3E13331B"/>
    <w:rsid w:val="3E2B7DC8"/>
    <w:rsid w:val="3E4C2268"/>
    <w:rsid w:val="3E5553EF"/>
    <w:rsid w:val="3E5D2E08"/>
    <w:rsid w:val="3E65120B"/>
    <w:rsid w:val="3E6825AB"/>
    <w:rsid w:val="3E990BCE"/>
    <w:rsid w:val="3EA74100"/>
    <w:rsid w:val="3EC4153C"/>
    <w:rsid w:val="3ECA6D2C"/>
    <w:rsid w:val="3ED71CC0"/>
    <w:rsid w:val="3EF350CD"/>
    <w:rsid w:val="3F042A7D"/>
    <w:rsid w:val="3F0C16B6"/>
    <w:rsid w:val="3F373E09"/>
    <w:rsid w:val="3F396430"/>
    <w:rsid w:val="3F3D51AB"/>
    <w:rsid w:val="3F4477A4"/>
    <w:rsid w:val="3F46049A"/>
    <w:rsid w:val="3F472EC2"/>
    <w:rsid w:val="3F483449"/>
    <w:rsid w:val="3F4C559B"/>
    <w:rsid w:val="3F6A7B5D"/>
    <w:rsid w:val="3F6B44A9"/>
    <w:rsid w:val="3F773B55"/>
    <w:rsid w:val="3F7A145A"/>
    <w:rsid w:val="3F7C1359"/>
    <w:rsid w:val="3F7D78FA"/>
    <w:rsid w:val="3F80503B"/>
    <w:rsid w:val="3F8C483D"/>
    <w:rsid w:val="3F9738B9"/>
    <w:rsid w:val="3FA91189"/>
    <w:rsid w:val="3FB54320"/>
    <w:rsid w:val="3FD40286"/>
    <w:rsid w:val="3FD85B95"/>
    <w:rsid w:val="3FE03F00"/>
    <w:rsid w:val="3FE1730C"/>
    <w:rsid w:val="3FEE7D66"/>
    <w:rsid w:val="3FF178F9"/>
    <w:rsid w:val="3FF611F8"/>
    <w:rsid w:val="40006203"/>
    <w:rsid w:val="400470FF"/>
    <w:rsid w:val="401A0A3D"/>
    <w:rsid w:val="402906F9"/>
    <w:rsid w:val="402E0D38"/>
    <w:rsid w:val="40322DDA"/>
    <w:rsid w:val="404439DB"/>
    <w:rsid w:val="40457334"/>
    <w:rsid w:val="404A1C06"/>
    <w:rsid w:val="404B5E62"/>
    <w:rsid w:val="405E6311"/>
    <w:rsid w:val="407C4056"/>
    <w:rsid w:val="40805696"/>
    <w:rsid w:val="40945BD7"/>
    <w:rsid w:val="40957C0F"/>
    <w:rsid w:val="40A47108"/>
    <w:rsid w:val="40BE0ADD"/>
    <w:rsid w:val="40C07E55"/>
    <w:rsid w:val="40C70E3E"/>
    <w:rsid w:val="40D519B8"/>
    <w:rsid w:val="40E368A3"/>
    <w:rsid w:val="40EE50F7"/>
    <w:rsid w:val="40F9491B"/>
    <w:rsid w:val="40FE0F0E"/>
    <w:rsid w:val="410406EE"/>
    <w:rsid w:val="4114508A"/>
    <w:rsid w:val="411A2CA9"/>
    <w:rsid w:val="411B0C9D"/>
    <w:rsid w:val="411C1CDD"/>
    <w:rsid w:val="412239C6"/>
    <w:rsid w:val="413A7C8B"/>
    <w:rsid w:val="414C285D"/>
    <w:rsid w:val="4159217C"/>
    <w:rsid w:val="417F3C04"/>
    <w:rsid w:val="4180210E"/>
    <w:rsid w:val="418A2F70"/>
    <w:rsid w:val="41963683"/>
    <w:rsid w:val="41B33AA7"/>
    <w:rsid w:val="41BD7303"/>
    <w:rsid w:val="41BD7330"/>
    <w:rsid w:val="41DB349A"/>
    <w:rsid w:val="41E13113"/>
    <w:rsid w:val="41EE076D"/>
    <w:rsid w:val="41F50133"/>
    <w:rsid w:val="42102483"/>
    <w:rsid w:val="421D3B80"/>
    <w:rsid w:val="421E197A"/>
    <w:rsid w:val="42220C2D"/>
    <w:rsid w:val="423D1EF4"/>
    <w:rsid w:val="42500DFE"/>
    <w:rsid w:val="42553004"/>
    <w:rsid w:val="42596597"/>
    <w:rsid w:val="427113AE"/>
    <w:rsid w:val="427F1BDB"/>
    <w:rsid w:val="428B1BDB"/>
    <w:rsid w:val="428E0BC9"/>
    <w:rsid w:val="429121FE"/>
    <w:rsid w:val="42A20517"/>
    <w:rsid w:val="42B35F10"/>
    <w:rsid w:val="42BF495A"/>
    <w:rsid w:val="42E6012C"/>
    <w:rsid w:val="42E63401"/>
    <w:rsid w:val="42E64AEA"/>
    <w:rsid w:val="42F33C51"/>
    <w:rsid w:val="42FA5A16"/>
    <w:rsid w:val="4324415B"/>
    <w:rsid w:val="432B2BDD"/>
    <w:rsid w:val="433B24A0"/>
    <w:rsid w:val="434C6777"/>
    <w:rsid w:val="434E0A89"/>
    <w:rsid w:val="43765934"/>
    <w:rsid w:val="4381452A"/>
    <w:rsid w:val="438172BC"/>
    <w:rsid w:val="438C3F40"/>
    <w:rsid w:val="438D7205"/>
    <w:rsid w:val="438E11E5"/>
    <w:rsid w:val="43A049F8"/>
    <w:rsid w:val="43A31501"/>
    <w:rsid w:val="43A51A0F"/>
    <w:rsid w:val="43A63ED9"/>
    <w:rsid w:val="43C64FAF"/>
    <w:rsid w:val="43CA4ED5"/>
    <w:rsid w:val="43D3039E"/>
    <w:rsid w:val="43DD7542"/>
    <w:rsid w:val="43E211B7"/>
    <w:rsid w:val="43FB73B9"/>
    <w:rsid w:val="440C749E"/>
    <w:rsid w:val="440F5CB7"/>
    <w:rsid w:val="4410164C"/>
    <w:rsid w:val="44135E3D"/>
    <w:rsid w:val="4421190E"/>
    <w:rsid w:val="44387A96"/>
    <w:rsid w:val="443F6059"/>
    <w:rsid w:val="4440389E"/>
    <w:rsid w:val="44404FD8"/>
    <w:rsid w:val="44465094"/>
    <w:rsid w:val="44467B33"/>
    <w:rsid w:val="44471594"/>
    <w:rsid w:val="44507687"/>
    <w:rsid w:val="4457742A"/>
    <w:rsid w:val="446108C6"/>
    <w:rsid w:val="446774AD"/>
    <w:rsid w:val="44792257"/>
    <w:rsid w:val="44850AB5"/>
    <w:rsid w:val="44983E14"/>
    <w:rsid w:val="44C1607A"/>
    <w:rsid w:val="44C75133"/>
    <w:rsid w:val="44D101C0"/>
    <w:rsid w:val="44D37D84"/>
    <w:rsid w:val="44D44F89"/>
    <w:rsid w:val="44E7070D"/>
    <w:rsid w:val="44E909DF"/>
    <w:rsid w:val="44E96140"/>
    <w:rsid w:val="45025FB2"/>
    <w:rsid w:val="45033F5E"/>
    <w:rsid w:val="45151EC2"/>
    <w:rsid w:val="452D6EC8"/>
    <w:rsid w:val="452E7CA8"/>
    <w:rsid w:val="453533CB"/>
    <w:rsid w:val="453D6EB5"/>
    <w:rsid w:val="45461E81"/>
    <w:rsid w:val="454C3C2C"/>
    <w:rsid w:val="455D6C0E"/>
    <w:rsid w:val="456237E3"/>
    <w:rsid w:val="45646473"/>
    <w:rsid w:val="45674650"/>
    <w:rsid w:val="457572C5"/>
    <w:rsid w:val="45785DAE"/>
    <w:rsid w:val="458D79A0"/>
    <w:rsid w:val="458F1616"/>
    <w:rsid w:val="45996092"/>
    <w:rsid w:val="45A20D7F"/>
    <w:rsid w:val="45A96BB7"/>
    <w:rsid w:val="45AA51C1"/>
    <w:rsid w:val="45B23381"/>
    <w:rsid w:val="45B70AB6"/>
    <w:rsid w:val="45BE1896"/>
    <w:rsid w:val="45C374F7"/>
    <w:rsid w:val="45CF5588"/>
    <w:rsid w:val="45D660FC"/>
    <w:rsid w:val="45E8693B"/>
    <w:rsid w:val="45F15FEC"/>
    <w:rsid w:val="45FD2A9F"/>
    <w:rsid w:val="46185997"/>
    <w:rsid w:val="463203C1"/>
    <w:rsid w:val="46480C46"/>
    <w:rsid w:val="464E5B22"/>
    <w:rsid w:val="465719BA"/>
    <w:rsid w:val="46591D60"/>
    <w:rsid w:val="466A2D2D"/>
    <w:rsid w:val="46A01807"/>
    <w:rsid w:val="46B2658C"/>
    <w:rsid w:val="46C53057"/>
    <w:rsid w:val="46C831B4"/>
    <w:rsid w:val="46DD6135"/>
    <w:rsid w:val="46EF36C1"/>
    <w:rsid w:val="46F000E9"/>
    <w:rsid w:val="46F138E0"/>
    <w:rsid w:val="46F63CD4"/>
    <w:rsid w:val="470D6DF4"/>
    <w:rsid w:val="471609FC"/>
    <w:rsid w:val="47304268"/>
    <w:rsid w:val="47314B84"/>
    <w:rsid w:val="47332FF5"/>
    <w:rsid w:val="473F2635"/>
    <w:rsid w:val="4753398A"/>
    <w:rsid w:val="47537F64"/>
    <w:rsid w:val="476676F8"/>
    <w:rsid w:val="476A63AC"/>
    <w:rsid w:val="477E441C"/>
    <w:rsid w:val="477E64CE"/>
    <w:rsid w:val="478A2625"/>
    <w:rsid w:val="478D0FC4"/>
    <w:rsid w:val="47995509"/>
    <w:rsid w:val="479F0965"/>
    <w:rsid w:val="47AB2786"/>
    <w:rsid w:val="47B64E1A"/>
    <w:rsid w:val="47BA075C"/>
    <w:rsid w:val="47BE498F"/>
    <w:rsid w:val="47BE6D02"/>
    <w:rsid w:val="47CF6EED"/>
    <w:rsid w:val="47DA3EE6"/>
    <w:rsid w:val="47E80D20"/>
    <w:rsid w:val="47F66132"/>
    <w:rsid w:val="47FE205C"/>
    <w:rsid w:val="48064ED6"/>
    <w:rsid w:val="48074D90"/>
    <w:rsid w:val="480F163E"/>
    <w:rsid w:val="48217EC1"/>
    <w:rsid w:val="48286180"/>
    <w:rsid w:val="48294664"/>
    <w:rsid w:val="4843730A"/>
    <w:rsid w:val="484636CE"/>
    <w:rsid w:val="484E10BE"/>
    <w:rsid w:val="485F529B"/>
    <w:rsid w:val="486503BD"/>
    <w:rsid w:val="48662799"/>
    <w:rsid w:val="48897354"/>
    <w:rsid w:val="4893018E"/>
    <w:rsid w:val="48945E7F"/>
    <w:rsid w:val="489770C9"/>
    <w:rsid w:val="489839F7"/>
    <w:rsid w:val="48B1073E"/>
    <w:rsid w:val="48CB623B"/>
    <w:rsid w:val="48DE33BE"/>
    <w:rsid w:val="48E24991"/>
    <w:rsid w:val="48E555AD"/>
    <w:rsid w:val="490D0375"/>
    <w:rsid w:val="490F4371"/>
    <w:rsid w:val="493059FB"/>
    <w:rsid w:val="49413E94"/>
    <w:rsid w:val="4953099D"/>
    <w:rsid w:val="495B752B"/>
    <w:rsid w:val="495D5A00"/>
    <w:rsid w:val="49656C49"/>
    <w:rsid w:val="4968007F"/>
    <w:rsid w:val="497B7EDF"/>
    <w:rsid w:val="498474AC"/>
    <w:rsid w:val="49887BA1"/>
    <w:rsid w:val="4989236D"/>
    <w:rsid w:val="49AD5396"/>
    <w:rsid w:val="49AF5C87"/>
    <w:rsid w:val="49D62DD0"/>
    <w:rsid w:val="49D82CFA"/>
    <w:rsid w:val="49DF154D"/>
    <w:rsid w:val="49DF7B2A"/>
    <w:rsid w:val="49E577AC"/>
    <w:rsid w:val="49ED3805"/>
    <w:rsid w:val="49F444EB"/>
    <w:rsid w:val="49F4463F"/>
    <w:rsid w:val="4A285F26"/>
    <w:rsid w:val="4A3029FF"/>
    <w:rsid w:val="4A3F7033"/>
    <w:rsid w:val="4A495F64"/>
    <w:rsid w:val="4A54799B"/>
    <w:rsid w:val="4A5F5DCB"/>
    <w:rsid w:val="4A6103B5"/>
    <w:rsid w:val="4A6361B0"/>
    <w:rsid w:val="4A697A5C"/>
    <w:rsid w:val="4A6D5817"/>
    <w:rsid w:val="4A6D5A21"/>
    <w:rsid w:val="4A764CF9"/>
    <w:rsid w:val="4A780E6E"/>
    <w:rsid w:val="4A7D61F3"/>
    <w:rsid w:val="4A82613E"/>
    <w:rsid w:val="4A833C14"/>
    <w:rsid w:val="4A9C4AA6"/>
    <w:rsid w:val="4ABC5926"/>
    <w:rsid w:val="4AC13BA7"/>
    <w:rsid w:val="4AD43CC2"/>
    <w:rsid w:val="4AD618B2"/>
    <w:rsid w:val="4AD91448"/>
    <w:rsid w:val="4B03568E"/>
    <w:rsid w:val="4B054C48"/>
    <w:rsid w:val="4B073250"/>
    <w:rsid w:val="4B081AAA"/>
    <w:rsid w:val="4B157281"/>
    <w:rsid w:val="4B1B4D9A"/>
    <w:rsid w:val="4B244692"/>
    <w:rsid w:val="4B355D80"/>
    <w:rsid w:val="4B407DB7"/>
    <w:rsid w:val="4B43338C"/>
    <w:rsid w:val="4B475260"/>
    <w:rsid w:val="4B4B43B9"/>
    <w:rsid w:val="4B596AA2"/>
    <w:rsid w:val="4B6865B5"/>
    <w:rsid w:val="4B6D4929"/>
    <w:rsid w:val="4B8455EB"/>
    <w:rsid w:val="4B845D24"/>
    <w:rsid w:val="4B9506C1"/>
    <w:rsid w:val="4BA40904"/>
    <w:rsid w:val="4BA57A4B"/>
    <w:rsid w:val="4BBA1147"/>
    <w:rsid w:val="4C037012"/>
    <w:rsid w:val="4C1447CB"/>
    <w:rsid w:val="4C2C12C3"/>
    <w:rsid w:val="4C3008D0"/>
    <w:rsid w:val="4C3679C6"/>
    <w:rsid w:val="4C390B55"/>
    <w:rsid w:val="4C5C5F9D"/>
    <w:rsid w:val="4C7A5603"/>
    <w:rsid w:val="4C8111CA"/>
    <w:rsid w:val="4C8220ED"/>
    <w:rsid w:val="4C93647E"/>
    <w:rsid w:val="4C961F41"/>
    <w:rsid w:val="4CA334F9"/>
    <w:rsid w:val="4CAB4709"/>
    <w:rsid w:val="4CC37326"/>
    <w:rsid w:val="4CCF5635"/>
    <w:rsid w:val="4CD27DDB"/>
    <w:rsid w:val="4CD60F91"/>
    <w:rsid w:val="4CD90E26"/>
    <w:rsid w:val="4CD951A0"/>
    <w:rsid w:val="4CDD0DC9"/>
    <w:rsid w:val="4CE05184"/>
    <w:rsid w:val="4CE524B9"/>
    <w:rsid w:val="4CE61651"/>
    <w:rsid w:val="4CF2752F"/>
    <w:rsid w:val="4D271487"/>
    <w:rsid w:val="4D2A7EDF"/>
    <w:rsid w:val="4D2E3A04"/>
    <w:rsid w:val="4D4F28F0"/>
    <w:rsid w:val="4D636650"/>
    <w:rsid w:val="4D665A27"/>
    <w:rsid w:val="4D821B8C"/>
    <w:rsid w:val="4D890E9D"/>
    <w:rsid w:val="4D8F7DD5"/>
    <w:rsid w:val="4D901638"/>
    <w:rsid w:val="4D9F6363"/>
    <w:rsid w:val="4DB961EC"/>
    <w:rsid w:val="4DC7030A"/>
    <w:rsid w:val="4DD80CDF"/>
    <w:rsid w:val="4DDF5EBD"/>
    <w:rsid w:val="4DDF6B8F"/>
    <w:rsid w:val="4DF236E4"/>
    <w:rsid w:val="4DF75681"/>
    <w:rsid w:val="4DFA0703"/>
    <w:rsid w:val="4DFC0584"/>
    <w:rsid w:val="4DFC6802"/>
    <w:rsid w:val="4E253F05"/>
    <w:rsid w:val="4E2773C5"/>
    <w:rsid w:val="4E2B207B"/>
    <w:rsid w:val="4E2E6E41"/>
    <w:rsid w:val="4E634FF9"/>
    <w:rsid w:val="4E67354A"/>
    <w:rsid w:val="4E73266B"/>
    <w:rsid w:val="4E7929BA"/>
    <w:rsid w:val="4E7B6778"/>
    <w:rsid w:val="4E8C6E0D"/>
    <w:rsid w:val="4E8F6622"/>
    <w:rsid w:val="4EA847B3"/>
    <w:rsid w:val="4ED15497"/>
    <w:rsid w:val="4ED4741A"/>
    <w:rsid w:val="4EE315DE"/>
    <w:rsid w:val="4EEE643C"/>
    <w:rsid w:val="4EFA26B4"/>
    <w:rsid w:val="4EFD28C2"/>
    <w:rsid w:val="4F2E1296"/>
    <w:rsid w:val="4F382DF5"/>
    <w:rsid w:val="4F3B2DCB"/>
    <w:rsid w:val="4F3C0C95"/>
    <w:rsid w:val="4F3E350F"/>
    <w:rsid w:val="4F4452A2"/>
    <w:rsid w:val="4F4E3061"/>
    <w:rsid w:val="4F4F77CD"/>
    <w:rsid w:val="4F7D3F49"/>
    <w:rsid w:val="4F7E44D9"/>
    <w:rsid w:val="4F874A20"/>
    <w:rsid w:val="4FAF78E4"/>
    <w:rsid w:val="4FC4279F"/>
    <w:rsid w:val="4FC4795B"/>
    <w:rsid w:val="4FD25C82"/>
    <w:rsid w:val="4FD6135A"/>
    <w:rsid w:val="4FE00F0B"/>
    <w:rsid w:val="4FF379A4"/>
    <w:rsid w:val="4FFF16B7"/>
    <w:rsid w:val="500217A5"/>
    <w:rsid w:val="50050787"/>
    <w:rsid w:val="50220E8F"/>
    <w:rsid w:val="50340163"/>
    <w:rsid w:val="5048540C"/>
    <w:rsid w:val="50500572"/>
    <w:rsid w:val="505C064C"/>
    <w:rsid w:val="50693ADF"/>
    <w:rsid w:val="506D5405"/>
    <w:rsid w:val="50926CEC"/>
    <w:rsid w:val="50950C9A"/>
    <w:rsid w:val="5095105C"/>
    <w:rsid w:val="509C604E"/>
    <w:rsid w:val="50A902A0"/>
    <w:rsid w:val="50AC4899"/>
    <w:rsid w:val="50B67110"/>
    <w:rsid w:val="50BE3330"/>
    <w:rsid w:val="50E920BD"/>
    <w:rsid w:val="50EE3B03"/>
    <w:rsid w:val="50F82A75"/>
    <w:rsid w:val="51053257"/>
    <w:rsid w:val="513149E8"/>
    <w:rsid w:val="5142037F"/>
    <w:rsid w:val="51634A9A"/>
    <w:rsid w:val="51695A58"/>
    <w:rsid w:val="517073FB"/>
    <w:rsid w:val="517D332A"/>
    <w:rsid w:val="51852DBA"/>
    <w:rsid w:val="518E3D0C"/>
    <w:rsid w:val="51906CB3"/>
    <w:rsid w:val="51985C27"/>
    <w:rsid w:val="51A26CE5"/>
    <w:rsid w:val="51A811F2"/>
    <w:rsid w:val="51A947E6"/>
    <w:rsid w:val="51B716DB"/>
    <w:rsid w:val="51CB7DF7"/>
    <w:rsid w:val="51D9122E"/>
    <w:rsid w:val="51F3033C"/>
    <w:rsid w:val="52000723"/>
    <w:rsid w:val="52003972"/>
    <w:rsid w:val="5201513B"/>
    <w:rsid w:val="52047653"/>
    <w:rsid w:val="521265C8"/>
    <w:rsid w:val="521C6DEF"/>
    <w:rsid w:val="522B77E3"/>
    <w:rsid w:val="52302A73"/>
    <w:rsid w:val="52384E06"/>
    <w:rsid w:val="52387C4A"/>
    <w:rsid w:val="52535BCC"/>
    <w:rsid w:val="52595712"/>
    <w:rsid w:val="525F00AD"/>
    <w:rsid w:val="5261576A"/>
    <w:rsid w:val="52623D08"/>
    <w:rsid w:val="52757A71"/>
    <w:rsid w:val="527C7722"/>
    <w:rsid w:val="52863AC7"/>
    <w:rsid w:val="52923265"/>
    <w:rsid w:val="529E3592"/>
    <w:rsid w:val="529E7E5B"/>
    <w:rsid w:val="52A12B15"/>
    <w:rsid w:val="52BF212E"/>
    <w:rsid w:val="52D92354"/>
    <w:rsid w:val="52DD6E6C"/>
    <w:rsid w:val="52F6155C"/>
    <w:rsid w:val="52F9655C"/>
    <w:rsid w:val="53145A66"/>
    <w:rsid w:val="531460EC"/>
    <w:rsid w:val="5315385C"/>
    <w:rsid w:val="531600F1"/>
    <w:rsid w:val="53270126"/>
    <w:rsid w:val="533162A1"/>
    <w:rsid w:val="5342491C"/>
    <w:rsid w:val="53590888"/>
    <w:rsid w:val="5396277D"/>
    <w:rsid w:val="53A67021"/>
    <w:rsid w:val="53B86A58"/>
    <w:rsid w:val="53BC41A7"/>
    <w:rsid w:val="53C56D73"/>
    <w:rsid w:val="53CC7CB4"/>
    <w:rsid w:val="53D233D8"/>
    <w:rsid w:val="53DD44AD"/>
    <w:rsid w:val="53E002AC"/>
    <w:rsid w:val="53EE54EE"/>
    <w:rsid w:val="53F35FE1"/>
    <w:rsid w:val="53FF5EFB"/>
    <w:rsid w:val="54217E20"/>
    <w:rsid w:val="542875FB"/>
    <w:rsid w:val="54386A1E"/>
    <w:rsid w:val="544822BD"/>
    <w:rsid w:val="544A2FED"/>
    <w:rsid w:val="5471184B"/>
    <w:rsid w:val="54947768"/>
    <w:rsid w:val="5499178F"/>
    <w:rsid w:val="54A72BAF"/>
    <w:rsid w:val="54AF5270"/>
    <w:rsid w:val="54B1543D"/>
    <w:rsid w:val="54C24136"/>
    <w:rsid w:val="54C27769"/>
    <w:rsid w:val="54D72DD5"/>
    <w:rsid w:val="54EF11F6"/>
    <w:rsid w:val="5511700B"/>
    <w:rsid w:val="55157F87"/>
    <w:rsid w:val="5519173E"/>
    <w:rsid w:val="552F5634"/>
    <w:rsid w:val="552F7491"/>
    <w:rsid w:val="5534121F"/>
    <w:rsid w:val="55390B69"/>
    <w:rsid w:val="55394479"/>
    <w:rsid w:val="553B71F6"/>
    <w:rsid w:val="553F1E51"/>
    <w:rsid w:val="555358A3"/>
    <w:rsid w:val="556C23A9"/>
    <w:rsid w:val="556D2EBB"/>
    <w:rsid w:val="5579725C"/>
    <w:rsid w:val="55890B98"/>
    <w:rsid w:val="55962D75"/>
    <w:rsid w:val="559F30F0"/>
    <w:rsid w:val="55A84BFE"/>
    <w:rsid w:val="55A90EEB"/>
    <w:rsid w:val="55AC0E8C"/>
    <w:rsid w:val="55B12039"/>
    <w:rsid w:val="55B16A87"/>
    <w:rsid w:val="55B45F63"/>
    <w:rsid w:val="55B90C0A"/>
    <w:rsid w:val="55BE344A"/>
    <w:rsid w:val="55D63591"/>
    <w:rsid w:val="55F50340"/>
    <w:rsid w:val="55FC1FD2"/>
    <w:rsid w:val="560A087F"/>
    <w:rsid w:val="56122C31"/>
    <w:rsid w:val="561974BB"/>
    <w:rsid w:val="561A6B08"/>
    <w:rsid w:val="56281E78"/>
    <w:rsid w:val="562A4387"/>
    <w:rsid w:val="56334986"/>
    <w:rsid w:val="563608EB"/>
    <w:rsid w:val="56392A3D"/>
    <w:rsid w:val="56394FFE"/>
    <w:rsid w:val="56533581"/>
    <w:rsid w:val="56556A86"/>
    <w:rsid w:val="565A2E32"/>
    <w:rsid w:val="567A23C9"/>
    <w:rsid w:val="568858B4"/>
    <w:rsid w:val="568E05E7"/>
    <w:rsid w:val="56AE6CD3"/>
    <w:rsid w:val="56CF1ADE"/>
    <w:rsid w:val="56D06D32"/>
    <w:rsid w:val="56DF5DDF"/>
    <w:rsid w:val="56E65CAA"/>
    <w:rsid w:val="56FA2C95"/>
    <w:rsid w:val="56FF69BB"/>
    <w:rsid w:val="570619B5"/>
    <w:rsid w:val="57062473"/>
    <w:rsid w:val="57075BF9"/>
    <w:rsid w:val="57082B77"/>
    <w:rsid w:val="570B33EC"/>
    <w:rsid w:val="57172D90"/>
    <w:rsid w:val="57260DE0"/>
    <w:rsid w:val="57313A9F"/>
    <w:rsid w:val="57386662"/>
    <w:rsid w:val="574F03D9"/>
    <w:rsid w:val="5752615F"/>
    <w:rsid w:val="575F76B1"/>
    <w:rsid w:val="576F699C"/>
    <w:rsid w:val="57715EA0"/>
    <w:rsid w:val="57850AAF"/>
    <w:rsid w:val="57866EBB"/>
    <w:rsid w:val="57A21B1B"/>
    <w:rsid w:val="57AC3CC3"/>
    <w:rsid w:val="57AD6121"/>
    <w:rsid w:val="57B123DF"/>
    <w:rsid w:val="57BC62D0"/>
    <w:rsid w:val="57DB7459"/>
    <w:rsid w:val="57EB5D12"/>
    <w:rsid w:val="580612DF"/>
    <w:rsid w:val="58290DC5"/>
    <w:rsid w:val="583170EE"/>
    <w:rsid w:val="58527FC8"/>
    <w:rsid w:val="58647470"/>
    <w:rsid w:val="58723020"/>
    <w:rsid w:val="587303D7"/>
    <w:rsid w:val="58806C98"/>
    <w:rsid w:val="58961943"/>
    <w:rsid w:val="58AE2DC2"/>
    <w:rsid w:val="58B45DE2"/>
    <w:rsid w:val="58BA52C3"/>
    <w:rsid w:val="58BE1F2C"/>
    <w:rsid w:val="58CB0566"/>
    <w:rsid w:val="58D411FE"/>
    <w:rsid w:val="58E40C92"/>
    <w:rsid w:val="58E57753"/>
    <w:rsid w:val="58EE5697"/>
    <w:rsid w:val="58F70910"/>
    <w:rsid w:val="590E217B"/>
    <w:rsid w:val="59121580"/>
    <w:rsid w:val="591433D5"/>
    <w:rsid w:val="59234152"/>
    <w:rsid w:val="59294B5B"/>
    <w:rsid w:val="59616C7A"/>
    <w:rsid w:val="59715673"/>
    <w:rsid w:val="597E05D4"/>
    <w:rsid w:val="5999312B"/>
    <w:rsid w:val="59A41CA5"/>
    <w:rsid w:val="59A801F0"/>
    <w:rsid w:val="59B2180F"/>
    <w:rsid w:val="59BE6FFE"/>
    <w:rsid w:val="59DD5217"/>
    <w:rsid w:val="59F01613"/>
    <w:rsid w:val="59F82FAA"/>
    <w:rsid w:val="59FA6DBB"/>
    <w:rsid w:val="5A120547"/>
    <w:rsid w:val="5A2F034B"/>
    <w:rsid w:val="5A334CA4"/>
    <w:rsid w:val="5A4C460E"/>
    <w:rsid w:val="5A4D497B"/>
    <w:rsid w:val="5A5046F7"/>
    <w:rsid w:val="5A805270"/>
    <w:rsid w:val="5A874A8D"/>
    <w:rsid w:val="5A97386D"/>
    <w:rsid w:val="5A9835E7"/>
    <w:rsid w:val="5A9A2F72"/>
    <w:rsid w:val="5AB250D9"/>
    <w:rsid w:val="5ABB4FF8"/>
    <w:rsid w:val="5ABB571F"/>
    <w:rsid w:val="5AC35820"/>
    <w:rsid w:val="5AC8519D"/>
    <w:rsid w:val="5AEB0ABF"/>
    <w:rsid w:val="5B045EB1"/>
    <w:rsid w:val="5B062A42"/>
    <w:rsid w:val="5B2A3919"/>
    <w:rsid w:val="5B3A093D"/>
    <w:rsid w:val="5B463F06"/>
    <w:rsid w:val="5B4C6B49"/>
    <w:rsid w:val="5B691FD4"/>
    <w:rsid w:val="5B7C4AB2"/>
    <w:rsid w:val="5B926846"/>
    <w:rsid w:val="5BA57414"/>
    <w:rsid w:val="5BB02F60"/>
    <w:rsid w:val="5BB8544A"/>
    <w:rsid w:val="5BCF6A0C"/>
    <w:rsid w:val="5BE7551C"/>
    <w:rsid w:val="5BF46E77"/>
    <w:rsid w:val="5C1C73FB"/>
    <w:rsid w:val="5C2A2C70"/>
    <w:rsid w:val="5C2D1728"/>
    <w:rsid w:val="5C51394C"/>
    <w:rsid w:val="5C72662A"/>
    <w:rsid w:val="5C7B1930"/>
    <w:rsid w:val="5C8117D5"/>
    <w:rsid w:val="5C960E86"/>
    <w:rsid w:val="5CA75F8F"/>
    <w:rsid w:val="5CC0624D"/>
    <w:rsid w:val="5CC15D47"/>
    <w:rsid w:val="5CC826A5"/>
    <w:rsid w:val="5CCF109C"/>
    <w:rsid w:val="5CD94291"/>
    <w:rsid w:val="5CDA1AB9"/>
    <w:rsid w:val="5CDD1120"/>
    <w:rsid w:val="5CDE7166"/>
    <w:rsid w:val="5CE23177"/>
    <w:rsid w:val="5CE86B44"/>
    <w:rsid w:val="5CF3631E"/>
    <w:rsid w:val="5CFA65D6"/>
    <w:rsid w:val="5CFD25D5"/>
    <w:rsid w:val="5D033BE7"/>
    <w:rsid w:val="5D072237"/>
    <w:rsid w:val="5D3C2E5D"/>
    <w:rsid w:val="5D443C03"/>
    <w:rsid w:val="5D5B37D9"/>
    <w:rsid w:val="5D604509"/>
    <w:rsid w:val="5D703211"/>
    <w:rsid w:val="5D985CD5"/>
    <w:rsid w:val="5D9E1D99"/>
    <w:rsid w:val="5DA116D4"/>
    <w:rsid w:val="5DAA7B12"/>
    <w:rsid w:val="5DAD470E"/>
    <w:rsid w:val="5DC85EB7"/>
    <w:rsid w:val="5DCB715C"/>
    <w:rsid w:val="5DD33B7E"/>
    <w:rsid w:val="5DE03167"/>
    <w:rsid w:val="5DFC0FC1"/>
    <w:rsid w:val="5E005E6E"/>
    <w:rsid w:val="5E050024"/>
    <w:rsid w:val="5E0503F5"/>
    <w:rsid w:val="5E0D60E8"/>
    <w:rsid w:val="5E135FCC"/>
    <w:rsid w:val="5E1649E7"/>
    <w:rsid w:val="5E4D7B9D"/>
    <w:rsid w:val="5E7A21C6"/>
    <w:rsid w:val="5E8C001D"/>
    <w:rsid w:val="5E8D672F"/>
    <w:rsid w:val="5E8D747D"/>
    <w:rsid w:val="5E9138DC"/>
    <w:rsid w:val="5E963CA0"/>
    <w:rsid w:val="5EA51C4A"/>
    <w:rsid w:val="5EA762EA"/>
    <w:rsid w:val="5EA92062"/>
    <w:rsid w:val="5EC461DB"/>
    <w:rsid w:val="5EC64E6D"/>
    <w:rsid w:val="5EE44A5F"/>
    <w:rsid w:val="5EE81D52"/>
    <w:rsid w:val="5EEB1665"/>
    <w:rsid w:val="5EEF0698"/>
    <w:rsid w:val="5F172ED3"/>
    <w:rsid w:val="5F2A0360"/>
    <w:rsid w:val="5F3D3A6B"/>
    <w:rsid w:val="5F635AAB"/>
    <w:rsid w:val="5F903222"/>
    <w:rsid w:val="5FB223E4"/>
    <w:rsid w:val="5FB34363"/>
    <w:rsid w:val="5FB60D38"/>
    <w:rsid w:val="5FC32EFB"/>
    <w:rsid w:val="5FCB0E07"/>
    <w:rsid w:val="5FD62FEA"/>
    <w:rsid w:val="5FDD424F"/>
    <w:rsid w:val="5FDF6B44"/>
    <w:rsid w:val="5FE86D52"/>
    <w:rsid w:val="5FF13B6D"/>
    <w:rsid w:val="5FF31011"/>
    <w:rsid w:val="600F52EB"/>
    <w:rsid w:val="60152B0C"/>
    <w:rsid w:val="602F3A6C"/>
    <w:rsid w:val="60326087"/>
    <w:rsid w:val="603424E2"/>
    <w:rsid w:val="606A0777"/>
    <w:rsid w:val="608655C1"/>
    <w:rsid w:val="608A1A1F"/>
    <w:rsid w:val="609465DD"/>
    <w:rsid w:val="60A10BD7"/>
    <w:rsid w:val="60A70C71"/>
    <w:rsid w:val="60AC1E26"/>
    <w:rsid w:val="60BB23E5"/>
    <w:rsid w:val="60EC31DD"/>
    <w:rsid w:val="60F15AD3"/>
    <w:rsid w:val="60FF0995"/>
    <w:rsid w:val="6113109E"/>
    <w:rsid w:val="611C4400"/>
    <w:rsid w:val="611D6D37"/>
    <w:rsid w:val="6127216E"/>
    <w:rsid w:val="612826A2"/>
    <w:rsid w:val="61445488"/>
    <w:rsid w:val="61492D94"/>
    <w:rsid w:val="614B240F"/>
    <w:rsid w:val="61767A26"/>
    <w:rsid w:val="6182292A"/>
    <w:rsid w:val="618F5965"/>
    <w:rsid w:val="61954B1F"/>
    <w:rsid w:val="61966006"/>
    <w:rsid w:val="61A41EF3"/>
    <w:rsid w:val="61AB0240"/>
    <w:rsid w:val="61C15EC5"/>
    <w:rsid w:val="61E37639"/>
    <w:rsid w:val="61E80983"/>
    <w:rsid w:val="61EF14EF"/>
    <w:rsid w:val="62562501"/>
    <w:rsid w:val="62567799"/>
    <w:rsid w:val="625C154B"/>
    <w:rsid w:val="6267747A"/>
    <w:rsid w:val="62710306"/>
    <w:rsid w:val="627574D8"/>
    <w:rsid w:val="62812FAA"/>
    <w:rsid w:val="628759A7"/>
    <w:rsid w:val="628E5630"/>
    <w:rsid w:val="62903706"/>
    <w:rsid w:val="629358D4"/>
    <w:rsid w:val="62966942"/>
    <w:rsid w:val="62AC1B8A"/>
    <w:rsid w:val="62BC587D"/>
    <w:rsid w:val="62C551EA"/>
    <w:rsid w:val="62C570C0"/>
    <w:rsid w:val="62D17FA8"/>
    <w:rsid w:val="62D24915"/>
    <w:rsid w:val="62EB02B5"/>
    <w:rsid w:val="62EB04C8"/>
    <w:rsid w:val="62F77154"/>
    <w:rsid w:val="63077B2A"/>
    <w:rsid w:val="630F0EC2"/>
    <w:rsid w:val="6318550E"/>
    <w:rsid w:val="63203694"/>
    <w:rsid w:val="63353BCF"/>
    <w:rsid w:val="6346028B"/>
    <w:rsid w:val="63461D37"/>
    <w:rsid w:val="6351368D"/>
    <w:rsid w:val="637D1ECB"/>
    <w:rsid w:val="638958B7"/>
    <w:rsid w:val="63A921DA"/>
    <w:rsid w:val="63B0199A"/>
    <w:rsid w:val="63BA052F"/>
    <w:rsid w:val="63BE0AD3"/>
    <w:rsid w:val="63CD3785"/>
    <w:rsid w:val="63DD029E"/>
    <w:rsid w:val="63E0115C"/>
    <w:rsid w:val="63F221BC"/>
    <w:rsid w:val="63F6567C"/>
    <w:rsid w:val="63FA2B04"/>
    <w:rsid w:val="64032C6B"/>
    <w:rsid w:val="64087A7B"/>
    <w:rsid w:val="640B57D3"/>
    <w:rsid w:val="641A5836"/>
    <w:rsid w:val="641D4AB5"/>
    <w:rsid w:val="64235A38"/>
    <w:rsid w:val="64421735"/>
    <w:rsid w:val="644C2AE2"/>
    <w:rsid w:val="64526450"/>
    <w:rsid w:val="645273BE"/>
    <w:rsid w:val="64585427"/>
    <w:rsid w:val="645B2788"/>
    <w:rsid w:val="646F5CE5"/>
    <w:rsid w:val="64807610"/>
    <w:rsid w:val="64AF56A1"/>
    <w:rsid w:val="64B72E0C"/>
    <w:rsid w:val="64B86B2D"/>
    <w:rsid w:val="64CB244A"/>
    <w:rsid w:val="64E216B1"/>
    <w:rsid w:val="64E31C9A"/>
    <w:rsid w:val="64FE0A7A"/>
    <w:rsid w:val="65042353"/>
    <w:rsid w:val="652314F5"/>
    <w:rsid w:val="652D26C7"/>
    <w:rsid w:val="65571136"/>
    <w:rsid w:val="65604F99"/>
    <w:rsid w:val="65682F42"/>
    <w:rsid w:val="6569254B"/>
    <w:rsid w:val="656A39BF"/>
    <w:rsid w:val="65772C72"/>
    <w:rsid w:val="6584208A"/>
    <w:rsid w:val="65947981"/>
    <w:rsid w:val="659A4539"/>
    <w:rsid w:val="65BD1F08"/>
    <w:rsid w:val="65C32871"/>
    <w:rsid w:val="65D51FB2"/>
    <w:rsid w:val="65DA4CF7"/>
    <w:rsid w:val="65DF0CA7"/>
    <w:rsid w:val="65E24BB0"/>
    <w:rsid w:val="65E56573"/>
    <w:rsid w:val="65FD42E0"/>
    <w:rsid w:val="66014227"/>
    <w:rsid w:val="660E3E13"/>
    <w:rsid w:val="661632D0"/>
    <w:rsid w:val="661C5600"/>
    <w:rsid w:val="66206B4D"/>
    <w:rsid w:val="663658B2"/>
    <w:rsid w:val="663A7D46"/>
    <w:rsid w:val="66530A5C"/>
    <w:rsid w:val="665836A7"/>
    <w:rsid w:val="665F1CB9"/>
    <w:rsid w:val="66616803"/>
    <w:rsid w:val="666F643C"/>
    <w:rsid w:val="667E108E"/>
    <w:rsid w:val="66B0498A"/>
    <w:rsid w:val="66C34609"/>
    <w:rsid w:val="66CD3EC1"/>
    <w:rsid w:val="66F00016"/>
    <w:rsid w:val="66F44096"/>
    <w:rsid w:val="66FD571E"/>
    <w:rsid w:val="66FE0404"/>
    <w:rsid w:val="671604B0"/>
    <w:rsid w:val="67187ECE"/>
    <w:rsid w:val="671E6D8D"/>
    <w:rsid w:val="67313F47"/>
    <w:rsid w:val="67320624"/>
    <w:rsid w:val="673E76D0"/>
    <w:rsid w:val="674D58C9"/>
    <w:rsid w:val="67504513"/>
    <w:rsid w:val="677C68AC"/>
    <w:rsid w:val="678B6958"/>
    <w:rsid w:val="67915463"/>
    <w:rsid w:val="67A16DDF"/>
    <w:rsid w:val="67AD71F1"/>
    <w:rsid w:val="67B21532"/>
    <w:rsid w:val="67B558B7"/>
    <w:rsid w:val="67B72B89"/>
    <w:rsid w:val="67B96881"/>
    <w:rsid w:val="680500F2"/>
    <w:rsid w:val="680A12F6"/>
    <w:rsid w:val="681339B0"/>
    <w:rsid w:val="682928D9"/>
    <w:rsid w:val="6830025F"/>
    <w:rsid w:val="683318FD"/>
    <w:rsid w:val="683D77C1"/>
    <w:rsid w:val="68566D09"/>
    <w:rsid w:val="6859391B"/>
    <w:rsid w:val="686310AA"/>
    <w:rsid w:val="68675C25"/>
    <w:rsid w:val="68694A1F"/>
    <w:rsid w:val="687077F8"/>
    <w:rsid w:val="68727727"/>
    <w:rsid w:val="68786E71"/>
    <w:rsid w:val="687D65FA"/>
    <w:rsid w:val="688B4389"/>
    <w:rsid w:val="68A0671B"/>
    <w:rsid w:val="68B25BA3"/>
    <w:rsid w:val="68B47F81"/>
    <w:rsid w:val="68B93CC3"/>
    <w:rsid w:val="68B960C7"/>
    <w:rsid w:val="68DE2EBC"/>
    <w:rsid w:val="68E34A57"/>
    <w:rsid w:val="692C1C8F"/>
    <w:rsid w:val="69320D51"/>
    <w:rsid w:val="69384D87"/>
    <w:rsid w:val="694164B1"/>
    <w:rsid w:val="69452AD1"/>
    <w:rsid w:val="6949691B"/>
    <w:rsid w:val="694B590C"/>
    <w:rsid w:val="694F16CF"/>
    <w:rsid w:val="696B2CBA"/>
    <w:rsid w:val="696F7F2A"/>
    <w:rsid w:val="697069D6"/>
    <w:rsid w:val="698B577F"/>
    <w:rsid w:val="69972F92"/>
    <w:rsid w:val="69981827"/>
    <w:rsid w:val="69A60607"/>
    <w:rsid w:val="69B87748"/>
    <w:rsid w:val="69C23B52"/>
    <w:rsid w:val="69E44896"/>
    <w:rsid w:val="69F15826"/>
    <w:rsid w:val="6A033E82"/>
    <w:rsid w:val="6A096FA5"/>
    <w:rsid w:val="6A29758A"/>
    <w:rsid w:val="6A366A3A"/>
    <w:rsid w:val="6A400097"/>
    <w:rsid w:val="6A426C8D"/>
    <w:rsid w:val="6A451B01"/>
    <w:rsid w:val="6A5C592C"/>
    <w:rsid w:val="6A62775F"/>
    <w:rsid w:val="6A647822"/>
    <w:rsid w:val="6A68006A"/>
    <w:rsid w:val="6A6A371E"/>
    <w:rsid w:val="6A6E1944"/>
    <w:rsid w:val="6A6E23B2"/>
    <w:rsid w:val="6A8B285D"/>
    <w:rsid w:val="6A8F1412"/>
    <w:rsid w:val="6A903551"/>
    <w:rsid w:val="6A944812"/>
    <w:rsid w:val="6A9F203B"/>
    <w:rsid w:val="6AAF4D7F"/>
    <w:rsid w:val="6AB11699"/>
    <w:rsid w:val="6AB853DB"/>
    <w:rsid w:val="6AC537B8"/>
    <w:rsid w:val="6ADE3F6B"/>
    <w:rsid w:val="6AF705A5"/>
    <w:rsid w:val="6AFD6866"/>
    <w:rsid w:val="6AFF3CC9"/>
    <w:rsid w:val="6B0B793A"/>
    <w:rsid w:val="6B132234"/>
    <w:rsid w:val="6B2D7B77"/>
    <w:rsid w:val="6B3462B2"/>
    <w:rsid w:val="6B5670CE"/>
    <w:rsid w:val="6B782986"/>
    <w:rsid w:val="6B7B079E"/>
    <w:rsid w:val="6B7E1823"/>
    <w:rsid w:val="6B807383"/>
    <w:rsid w:val="6B902E71"/>
    <w:rsid w:val="6BA12017"/>
    <w:rsid w:val="6BA55399"/>
    <w:rsid w:val="6BAC3169"/>
    <w:rsid w:val="6BBC293F"/>
    <w:rsid w:val="6BC97482"/>
    <w:rsid w:val="6BDC781D"/>
    <w:rsid w:val="6BDE7AE6"/>
    <w:rsid w:val="6BEF1E2F"/>
    <w:rsid w:val="6C0B1393"/>
    <w:rsid w:val="6C11344C"/>
    <w:rsid w:val="6C20576E"/>
    <w:rsid w:val="6C33202D"/>
    <w:rsid w:val="6C380E3A"/>
    <w:rsid w:val="6C3E00B9"/>
    <w:rsid w:val="6C3F4006"/>
    <w:rsid w:val="6C557826"/>
    <w:rsid w:val="6C5A0E3F"/>
    <w:rsid w:val="6C6106EC"/>
    <w:rsid w:val="6C680298"/>
    <w:rsid w:val="6C6D5838"/>
    <w:rsid w:val="6C763848"/>
    <w:rsid w:val="6C7B0CBE"/>
    <w:rsid w:val="6C7B1D21"/>
    <w:rsid w:val="6C7B67DB"/>
    <w:rsid w:val="6C8A5926"/>
    <w:rsid w:val="6C952553"/>
    <w:rsid w:val="6C9F051B"/>
    <w:rsid w:val="6CAE5EF5"/>
    <w:rsid w:val="6CC20B71"/>
    <w:rsid w:val="6CC22FFA"/>
    <w:rsid w:val="6CC74771"/>
    <w:rsid w:val="6CD010B4"/>
    <w:rsid w:val="6CF879DA"/>
    <w:rsid w:val="6CFC6C1B"/>
    <w:rsid w:val="6CFE2E1D"/>
    <w:rsid w:val="6D0112C8"/>
    <w:rsid w:val="6D1B0BFF"/>
    <w:rsid w:val="6D207157"/>
    <w:rsid w:val="6D3671B7"/>
    <w:rsid w:val="6D386EAE"/>
    <w:rsid w:val="6D3E5422"/>
    <w:rsid w:val="6D3F05CF"/>
    <w:rsid w:val="6D492790"/>
    <w:rsid w:val="6D55344D"/>
    <w:rsid w:val="6D5563A1"/>
    <w:rsid w:val="6D5859AA"/>
    <w:rsid w:val="6D77332B"/>
    <w:rsid w:val="6D7B66EA"/>
    <w:rsid w:val="6D7C5122"/>
    <w:rsid w:val="6D7FE236"/>
    <w:rsid w:val="6D8222DF"/>
    <w:rsid w:val="6DA31C40"/>
    <w:rsid w:val="6DA41436"/>
    <w:rsid w:val="6DB51690"/>
    <w:rsid w:val="6DCA1943"/>
    <w:rsid w:val="6DCB4E90"/>
    <w:rsid w:val="6DCF3D5B"/>
    <w:rsid w:val="6DDE5E7F"/>
    <w:rsid w:val="6DED0138"/>
    <w:rsid w:val="6DF74044"/>
    <w:rsid w:val="6E090523"/>
    <w:rsid w:val="6E0C6214"/>
    <w:rsid w:val="6E1556F6"/>
    <w:rsid w:val="6E205FD6"/>
    <w:rsid w:val="6E236EB2"/>
    <w:rsid w:val="6E2F26AE"/>
    <w:rsid w:val="6E471F93"/>
    <w:rsid w:val="6E4A4688"/>
    <w:rsid w:val="6E4B18D2"/>
    <w:rsid w:val="6E4E7458"/>
    <w:rsid w:val="6E585B4D"/>
    <w:rsid w:val="6E5E7234"/>
    <w:rsid w:val="6E6F2871"/>
    <w:rsid w:val="6E7921E8"/>
    <w:rsid w:val="6E871171"/>
    <w:rsid w:val="6E9B03C3"/>
    <w:rsid w:val="6E9F5E9B"/>
    <w:rsid w:val="6EAA17BE"/>
    <w:rsid w:val="6EB8323D"/>
    <w:rsid w:val="6EC34EA0"/>
    <w:rsid w:val="6ECE341F"/>
    <w:rsid w:val="6ECF6A6C"/>
    <w:rsid w:val="6ED22FAC"/>
    <w:rsid w:val="6EE91ECE"/>
    <w:rsid w:val="6EEB3AF6"/>
    <w:rsid w:val="6EEE4ED9"/>
    <w:rsid w:val="6EF62F3F"/>
    <w:rsid w:val="6EFD4DC3"/>
    <w:rsid w:val="6F222A98"/>
    <w:rsid w:val="6F2F0685"/>
    <w:rsid w:val="6F523436"/>
    <w:rsid w:val="6F6052EA"/>
    <w:rsid w:val="6F7166F6"/>
    <w:rsid w:val="6F933322"/>
    <w:rsid w:val="6F940239"/>
    <w:rsid w:val="6FA27D4C"/>
    <w:rsid w:val="6FA74871"/>
    <w:rsid w:val="6FB241F8"/>
    <w:rsid w:val="6FCC5990"/>
    <w:rsid w:val="6FDC4FC3"/>
    <w:rsid w:val="6FDC65C4"/>
    <w:rsid w:val="6FEA46F4"/>
    <w:rsid w:val="6FFB7662"/>
    <w:rsid w:val="6FFE4791"/>
    <w:rsid w:val="6FFF779B"/>
    <w:rsid w:val="70073084"/>
    <w:rsid w:val="70094ED2"/>
    <w:rsid w:val="7014330B"/>
    <w:rsid w:val="70176BEA"/>
    <w:rsid w:val="703D7CE6"/>
    <w:rsid w:val="704863BD"/>
    <w:rsid w:val="70570FF5"/>
    <w:rsid w:val="705A7660"/>
    <w:rsid w:val="70894A34"/>
    <w:rsid w:val="709A0611"/>
    <w:rsid w:val="709C1327"/>
    <w:rsid w:val="70A13A33"/>
    <w:rsid w:val="70AF0B0E"/>
    <w:rsid w:val="70C86AB0"/>
    <w:rsid w:val="70DE6288"/>
    <w:rsid w:val="710A3193"/>
    <w:rsid w:val="711102D2"/>
    <w:rsid w:val="71136358"/>
    <w:rsid w:val="712004F5"/>
    <w:rsid w:val="71316600"/>
    <w:rsid w:val="7148570A"/>
    <w:rsid w:val="714B6FA9"/>
    <w:rsid w:val="71535404"/>
    <w:rsid w:val="715541A6"/>
    <w:rsid w:val="716B4A4F"/>
    <w:rsid w:val="717B05A6"/>
    <w:rsid w:val="71840E5C"/>
    <w:rsid w:val="7184489C"/>
    <w:rsid w:val="718E11EA"/>
    <w:rsid w:val="71902AE4"/>
    <w:rsid w:val="719961B4"/>
    <w:rsid w:val="719F428B"/>
    <w:rsid w:val="71A53B18"/>
    <w:rsid w:val="71A73234"/>
    <w:rsid w:val="71B06E02"/>
    <w:rsid w:val="71CA1C04"/>
    <w:rsid w:val="71D05742"/>
    <w:rsid w:val="71D266D1"/>
    <w:rsid w:val="71D912D4"/>
    <w:rsid w:val="71E45DDB"/>
    <w:rsid w:val="71E65233"/>
    <w:rsid w:val="71EC44BB"/>
    <w:rsid w:val="71F20DEA"/>
    <w:rsid w:val="7229032E"/>
    <w:rsid w:val="723430FA"/>
    <w:rsid w:val="72357A4A"/>
    <w:rsid w:val="72693ACB"/>
    <w:rsid w:val="726D1B57"/>
    <w:rsid w:val="72953F04"/>
    <w:rsid w:val="72990018"/>
    <w:rsid w:val="729D1560"/>
    <w:rsid w:val="72AC57F5"/>
    <w:rsid w:val="72B27CB2"/>
    <w:rsid w:val="72CA1C8E"/>
    <w:rsid w:val="72CC0955"/>
    <w:rsid w:val="72E47980"/>
    <w:rsid w:val="72F50F9C"/>
    <w:rsid w:val="72F62DED"/>
    <w:rsid w:val="730078FC"/>
    <w:rsid w:val="730A3E35"/>
    <w:rsid w:val="731B32C3"/>
    <w:rsid w:val="733A5DD6"/>
    <w:rsid w:val="733B309E"/>
    <w:rsid w:val="736C188B"/>
    <w:rsid w:val="736E2E36"/>
    <w:rsid w:val="7374077A"/>
    <w:rsid w:val="73770931"/>
    <w:rsid w:val="73892A07"/>
    <w:rsid w:val="73894AC4"/>
    <w:rsid w:val="738C335A"/>
    <w:rsid w:val="73BE8F6C"/>
    <w:rsid w:val="73CA5314"/>
    <w:rsid w:val="73D24CA1"/>
    <w:rsid w:val="73DA31F2"/>
    <w:rsid w:val="73DA6821"/>
    <w:rsid w:val="73DF7FDA"/>
    <w:rsid w:val="740F1C62"/>
    <w:rsid w:val="74237620"/>
    <w:rsid w:val="742C2582"/>
    <w:rsid w:val="744E4DF4"/>
    <w:rsid w:val="74583EB6"/>
    <w:rsid w:val="74835319"/>
    <w:rsid w:val="74880490"/>
    <w:rsid w:val="74A01E17"/>
    <w:rsid w:val="74B61DDC"/>
    <w:rsid w:val="74BB2697"/>
    <w:rsid w:val="74BB3096"/>
    <w:rsid w:val="74C70189"/>
    <w:rsid w:val="74C84547"/>
    <w:rsid w:val="74CE2B0B"/>
    <w:rsid w:val="74CE3F4C"/>
    <w:rsid w:val="74D472B5"/>
    <w:rsid w:val="74E50E19"/>
    <w:rsid w:val="74F1655B"/>
    <w:rsid w:val="74F35FA9"/>
    <w:rsid w:val="74F41941"/>
    <w:rsid w:val="750758DC"/>
    <w:rsid w:val="751E00B5"/>
    <w:rsid w:val="752F1C4F"/>
    <w:rsid w:val="75341056"/>
    <w:rsid w:val="753D613E"/>
    <w:rsid w:val="753F14FE"/>
    <w:rsid w:val="75506001"/>
    <w:rsid w:val="755D5A0A"/>
    <w:rsid w:val="75670AA9"/>
    <w:rsid w:val="756D3B06"/>
    <w:rsid w:val="75724C91"/>
    <w:rsid w:val="75752FAA"/>
    <w:rsid w:val="75866981"/>
    <w:rsid w:val="7587423B"/>
    <w:rsid w:val="758A609D"/>
    <w:rsid w:val="759C3C2D"/>
    <w:rsid w:val="759E1D8F"/>
    <w:rsid w:val="75A35A28"/>
    <w:rsid w:val="75B81F99"/>
    <w:rsid w:val="75CF43C8"/>
    <w:rsid w:val="75DE1737"/>
    <w:rsid w:val="75EF43A6"/>
    <w:rsid w:val="75F8689A"/>
    <w:rsid w:val="75FA20BE"/>
    <w:rsid w:val="75FF7F78"/>
    <w:rsid w:val="76003BE2"/>
    <w:rsid w:val="760A29C7"/>
    <w:rsid w:val="760F2C9B"/>
    <w:rsid w:val="76343CA5"/>
    <w:rsid w:val="763D4F16"/>
    <w:rsid w:val="76514AC5"/>
    <w:rsid w:val="76564A88"/>
    <w:rsid w:val="76635A18"/>
    <w:rsid w:val="7684666A"/>
    <w:rsid w:val="768704C9"/>
    <w:rsid w:val="7687368A"/>
    <w:rsid w:val="769431A0"/>
    <w:rsid w:val="769C0E3E"/>
    <w:rsid w:val="76A007D6"/>
    <w:rsid w:val="76A33DD6"/>
    <w:rsid w:val="76AF60AC"/>
    <w:rsid w:val="76B145E2"/>
    <w:rsid w:val="76BB69C2"/>
    <w:rsid w:val="76BC4508"/>
    <w:rsid w:val="76C23869"/>
    <w:rsid w:val="76D24148"/>
    <w:rsid w:val="76D46CA8"/>
    <w:rsid w:val="76DB2CAA"/>
    <w:rsid w:val="76ED78FA"/>
    <w:rsid w:val="76F26DE2"/>
    <w:rsid w:val="77016E10"/>
    <w:rsid w:val="771016D8"/>
    <w:rsid w:val="7733706B"/>
    <w:rsid w:val="773A0EE5"/>
    <w:rsid w:val="77530965"/>
    <w:rsid w:val="77653B81"/>
    <w:rsid w:val="7769030A"/>
    <w:rsid w:val="777727FC"/>
    <w:rsid w:val="777D3BB6"/>
    <w:rsid w:val="778511BB"/>
    <w:rsid w:val="77877C60"/>
    <w:rsid w:val="778A36EA"/>
    <w:rsid w:val="77BA0EA6"/>
    <w:rsid w:val="77C2448A"/>
    <w:rsid w:val="77C822DD"/>
    <w:rsid w:val="77EA751B"/>
    <w:rsid w:val="77EC1A75"/>
    <w:rsid w:val="78174088"/>
    <w:rsid w:val="781836F9"/>
    <w:rsid w:val="7822163F"/>
    <w:rsid w:val="78374B57"/>
    <w:rsid w:val="783C589D"/>
    <w:rsid w:val="784A3CD3"/>
    <w:rsid w:val="78576DA0"/>
    <w:rsid w:val="78615480"/>
    <w:rsid w:val="786D24FD"/>
    <w:rsid w:val="787B3CB6"/>
    <w:rsid w:val="78812164"/>
    <w:rsid w:val="78826FCA"/>
    <w:rsid w:val="788529EA"/>
    <w:rsid w:val="788C2661"/>
    <w:rsid w:val="78A07E89"/>
    <w:rsid w:val="78A703AF"/>
    <w:rsid w:val="78AC1E9F"/>
    <w:rsid w:val="78BE211E"/>
    <w:rsid w:val="78C51852"/>
    <w:rsid w:val="78CD7A8E"/>
    <w:rsid w:val="78FC3F71"/>
    <w:rsid w:val="79063F3E"/>
    <w:rsid w:val="7927654D"/>
    <w:rsid w:val="79407621"/>
    <w:rsid w:val="79493484"/>
    <w:rsid w:val="794E03FE"/>
    <w:rsid w:val="79503A9F"/>
    <w:rsid w:val="795D308D"/>
    <w:rsid w:val="796850A8"/>
    <w:rsid w:val="79730CEE"/>
    <w:rsid w:val="79984D53"/>
    <w:rsid w:val="79A633BA"/>
    <w:rsid w:val="79AC79FB"/>
    <w:rsid w:val="79AD1192"/>
    <w:rsid w:val="79D37B8A"/>
    <w:rsid w:val="79FE700A"/>
    <w:rsid w:val="7A02599B"/>
    <w:rsid w:val="7A1547FF"/>
    <w:rsid w:val="7A1751EE"/>
    <w:rsid w:val="7A1A1242"/>
    <w:rsid w:val="7A477139"/>
    <w:rsid w:val="7A481EBA"/>
    <w:rsid w:val="7A4C4C76"/>
    <w:rsid w:val="7A4F2B81"/>
    <w:rsid w:val="7A5507C4"/>
    <w:rsid w:val="7A58575B"/>
    <w:rsid w:val="7A8B1C79"/>
    <w:rsid w:val="7A9F1116"/>
    <w:rsid w:val="7AB42307"/>
    <w:rsid w:val="7AC02597"/>
    <w:rsid w:val="7ACD1F36"/>
    <w:rsid w:val="7AD62AFA"/>
    <w:rsid w:val="7ADC07B4"/>
    <w:rsid w:val="7AE9154A"/>
    <w:rsid w:val="7AF810EF"/>
    <w:rsid w:val="7AF9721F"/>
    <w:rsid w:val="7AFA5C24"/>
    <w:rsid w:val="7B097BDE"/>
    <w:rsid w:val="7B2677BD"/>
    <w:rsid w:val="7B2E06D9"/>
    <w:rsid w:val="7B376C34"/>
    <w:rsid w:val="7B3A0A78"/>
    <w:rsid w:val="7B4714E2"/>
    <w:rsid w:val="7B484A08"/>
    <w:rsid w:val="7B675BAF"/>
    <w:rsid w:val="7B7816E8"/>
    <w:rsid w:val="7B812DFB"/>
    <w:rsid w:val="7B845591"/>
    <w:rsid w:val="7B973A2E"/>
    <w:rsid w:val="7BA4035D"/>
    <w:rsid w:val="7BA62EDA"/>
    <w:rsid w:val="7BA65D51"/>
    <w:rsid w:val="7BB85132"/>
    <w:rsid w:val="7BBF53C8"/>
    <w:rsid w:val="7BC37918"/>
    <w:rsid w:val="7BC44B32"/>
    <w:rsid w:val="7BC709D2"/>
    <w:rsid w:val="7BC90C1C"/>
    <w:rsid w:val="7BC970DB"/>
    <w:rsid w:val="7BD16478"/>
    <w:rsid w:val="7BDD0E17"/>
    <w:rsid w:val="7BE04FE4"/>
    <w:rsid w:val="7BE85E4B"/>
    <w:rsid w:val="7BEE1BB0"/>
    <w:rsid w:val="7C021D23"/>
    <w:rsid w:val="7C047AE7"/>
    <w:rsid w:val="7C0C4CCC"/>
    <w:rsid w:val="7C0E1E70"/>
    <w:rsid w:val="7C15390B"/>
    <w:rsid w:val="7C1B3232"/>
    <w:rsid w:val="7C596A1E"/>
    <w:rsid w:val="7C602641"/>
    <w:rsid w:val="7C716C10"/>
    <w:rsid w:val="7C8D6CF0"/>
    <w:rsid w:val="7CA333D6"/>
    <w:rsid w:val="7CB138FF"/>
    <w:rsid w:val="7CC16371"/>
    <w:rsid w:val="7CC26FFD"/>
    <w:rsid w:val="7CDC699E"/>
    <w:rsid w:val="7CF521B3"/>
    <w:rsid w:val="7D051146"/>
    <w:rsid w:val="7D0D36EE"/>
    <w:rsid w:val="7D1563E6"/>
    <w:rsid w:val="7D3E0B18"/>
    <w:rsid w:val="7D3E70D3"/>
    <w:rsid w:val="7D5C3EB4"/>
    <w:rsid w:val="7D5F0804"/>
    <w:rsid w:val="7D663E6F"/>
    <w:rsid w:val="7D715FE9"/>
    <w:rsid w:val="7D71615B"/>
    <w:rsid w:val="7D745762"/>
    <w:rsid w:val="7D912F29"/>
    <w:rsid w:val="7D9E00BD"/>
    <w:rsid w:val="7DB14677"/>
    <w:rsid w:val="7DBB030B"/>
    <w:rsid w:val="7DBD0F25"/>
    <w:rsid w:val="7DC46119"/>
    <w:rsid w:val="7DC5730E"/>
    <w:rsid w:val="7DCA57F6"/>
    <w:rsid w:val="7DCD5EDF"/>
    <w:rsid w:val="7DD64891"/>
    <w:rsid w:val="7DD73BA6"/>
    <w:rsid w:val="7DD74E45"/>
    <w:rsid w:val="7DDA1DE0"/>
    <w:rsid w:val="7DDC0ABF"/>
    <w:rsid w:val="7DE70E2F"/>
    <w:rsid w:val="7DF10515"/>
    <w:rsid w:val="7E015D51"/>
    <w:rsid w:val="7E1C6248"/>
    <w:rsid w:val="7E1C6CCF"/>
    <w:rsid w:val="7E2B263C"/>
    <w:rsid w:val="7E2B5B66"/>
    <w:rsid w:val="7E3D6F9A"/>
    <w:rsid w:val="7E3E37D9"/>
    <w:rsid w:val="7E5514BB"/>
    <w:rsid w:val="7E704832"/>
    <w:rsid w:val="7E761F9C"/>
    <w:rsid w:val="7E7933A7"/>
    <w:rsid w:val="7E800C15"/>
    <w:rsid w:val="7E865AC4"/>
    <w:rsid w:val="7E8F2119"/>
    <w:rsid w:val="7E953617"/>
    <w:rsid w:val="7EB37E4A"/>
    <w:rsid w:val="7EC23181"/>
    <w:rsid w:val="7ED06E49"/>
    <w:rsid w:val="7EF1686D"/>
    <w:rsid w:val="7F0A4EC1"/>
    <w:rsid w:val="7F0B7F23"/>
    <w:rsid w:val="7F183AC4"/>
    <w:rsid w:val="7F3948E4"/>
    <w:rsid w:val="7F3E07EB"/>
    <w:rsid w:val="7F495CF9"/>
    <w:rsid w:val="7F541FBD"/>
    <w:rsid w:val="7F593177"/>
    <w:rsid w:val="7F651B80"/>
    <w:rsid w:val="7F675F3B"/>
    <w:rsid w:val="7F775663"/>
    <w:rsid w:val="7F96147F"/>
    <w:rsid w:val="7F9711EC"/>
    <w:rsid w:val="7F9814CA"/>
    <w:rsid w:val="7FAC48D8"/>
    <w:rsid w:val="7FB53AF5"/>
    <w:rsid w:val="7FC5136D"/>
    <w:rsid w:val="7FD3310D"/>
    <w:rsid w:val="7FDA10F0"/>
    <w:rsid w:val="7FE972EC"/>
    <w:rsid w:val="7FFF5B2E"/>
    <w:rsid w:val="9AED9B59"/>
    <w:rsid w:val="F73D94DF"/>
    <w:rsid w:val="FBBE76B1"/>
    <w:rsid w:val="FFED2E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2" w:lineRule="auto"/>
      <w:outlineLvl w:val="1"/>
    </w:pPr>
    <w:rPr>
      <w:rFonts w:ascii="Arial" w:hAnsi="Arial" w:eastAsia="??"/>
      <w:b/>
      <w:sz w:val="32"/>
      <w:szCs w:val="28"/>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hAnsi="Tahoma"/>
      <w:b/>
      <w:kern w:val="0"/>
      <w:sz w:val="24"/>
      <w:u w:val="single"/>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tabs>
        <w:tab w:val="left" w:pos="360"/>
        <w:tab w:val="left" w:pos="454"/>
        <w:tab w:val="left" w:pos="720"/>
      </w:tabs>
      <w:spacing w:after="156" w:afterLines="50"/>
      <w:ind w:left="454" w:hanging="284"/>
      <w:jc w:val="left"/>
    </w:pPr>
    <w:rPr>
      <w:kern w:val="0"/>
      <w:sz w:val="24"/>
    </w:rPr>
  </w:style>
  <w:style w:type="paragraph" w:styleId="6">
    <w:name w:val="Normal Indent"/>
    <w:basedOn w:val="1"/>
    <w:next w:val="1"/>
    <w:qFormat/>
    <w:uiPriority w:val="0"/>
    <w:pPr>
      <w:spacing w:line="300" w:lineRule="auto"/>
      <w:ind w:firstLine="420"/>
    </w:pPr>
  </w:style>
  <w:style w:type="paragraph" w:styleId="7">
    <w:name w:val="annotation text"/>
    <w:basedOn w:val="1"/>
    <w:link w:val="44"/>
    <w:qFormat/>
    <w:uiPriority w:val="0"/>
    <w:pPr>
      <w:jc w:val="left"/>
    </w:pPr>
    <w:rPr>
      <w:szCs w:val="24"/>
    </w:rPr>
  </w:style>
  <w:style w:type="paragraph" w:styleId="8">
    <w:name w:val="Body Text"/>
    <w:basedOn w:val="1"/>
    <w:next w:val="9"/>
    <w:link w:val="41"/>
    <w:qFormat/>
    <w:uiPriority w:val="0"/>
    <w:pPr>
      <w:spacing w:after="120"/>
    </w:pPr>
    <w:rPr>
      <w:rFonts w:eastAsia="??"/>
      <w:sz w:val="28"/>
      <w:szCs w:val="28"/>
    </w:rPr>
  </w:style>
  <w:style w:type="paragraph" w:styleId="9">
    <w:name w:val="Body Text First Indent"/>
    <w:basedOn w:val="8"/>
    <w:next w:val="1"/>
    <w:qFormat/>
    <w:uiPriority w:val="0"/>
    <w:pPr>
      <w:ind w:firstLine="420" w:firstLineChars="100"/>
    </w:pPr>
    <w:rPr>
      <w:szCs w:val="24"/>
    </w:rPr>
  </w:style>
  <w:style w:type="paragraph" w:styleId="10">
    <w:name w:val="Body Text Indent"/>
    <w:basedOn w:val="1"/>
    <w:next w:val="11"/>
    <w:link w:val="45"/>
    <w:qFormat/>
    <w:uiPriority w:val="0"/>
    <w:pPr>
      <w:spacing w:after="120"/>
      <w:ind w:left="420" w:leftChars="200"/>
    </w:pPr>
  </w:style>
  <w:style w:type="paragraph" w:styleId="11">
    <w:name w:val="Body Text First Indent 2"/>
    <w:basedOn w:val="10"/>
    <w:next w:val="1"/>
    <w:link w:val="54"/>
    <w:qFormat/>
    <w:uiPriority w:val="0"/>
    <w:pPr>
      <w:ind w:firstLine="420" w:firstLineChars="200"/>
    </w:p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toc 3"/>
    <w:basedOn w:val="1"/>
    <w:next w:val="1"/>
    <w:qFormat/>
    <w:uiPriority w:val="0"/>
    <w:pPr>
      <w:ind w:left="840" w:leftChars="400"/>
    </w:pPr>
  </w:style>
  <w:style w:type="paragraph" w:styleId="14">
    <w:name w:val="Plain Text"/>
    <w:basedOn w:val="1"/>
    <w:next w:val="15"/>
    <w:link w:val="46"/>
    <w:qFormat/>
    <w:uiPriority w:val="0"/>
    <w:rPr>
      <w:rFonts w:ascii="宋体" w:hAnsi="Courier New" w:eastAsia="仿宋_GB2312"/>
      <w:sz w:val="30"/>
    </w:rPr>
  </w:style>
  <w:style w:type="paragraph" w:styleId="15">
    <w:name w:val="toc 2"/>
    <w:basedOn w:val="1"/>
    <w:next w:val="1"/>
    <w:qFormat/>
    <w:uiPriority w:val="39"/>
    <w:pPr>
      <w:tabs>
        <w:tab w:val="right" w:leader="middleDot" w:pos="8948"/>
      </w:tabs>
      <w:spacing w:before="60" w:after="60"/>
      <w:ind w:left="210"/>
    </w:pPr>
    <w:rPr>
      <w:smallCaps/>
    </w:rPr>
  </w:style>
  <w:style w:type="paragraph" w:styleId="16">
    <w:name w:val="toc 8"/>
    <w:basedOn w:val="1"/>
    <w:next w:val="1"/>
    <w:qFormat/>
    <w:uiPriority w:val="0"/>
    <w:pPr>
      <w:ind w:left="1470"/>
    </w:pPr>
    <w:rPr>
      <w:rFonts w:ascii="仿宋_GB2312" w:hAnsi="Calibri" w:eastAsia="仿宋_GB2312"/>
      <w:sz w:val="18"/>
      <w:szCs w:val="18"/>
    </w:rPr>
  </w:style>
  <w:style w:type="paragraph" w:styleId="17">
    <w:name w:val="Body Text Indent 2"/>
    <w:basedOn w:val="1"/>
    <w:link w:val="47"/>
    <w:qFormat/>
    <w:uiPriority w:val="0"/>
    <w:pPr>
      <w:spacing w:line="500" w:lineRule="exact"/>
      <w:ind w:left="105" w:firstLine="465" w:firstLineChars="166"/>
    </w:pPr>
    <w:rPr>
      <w:sz w:val="28"/>
    </w:rPr>
  </w:style>
  <w:style w:type="paragraph" w:styleId="18">
    <w:name w:val="Balloon Text"/>
    <w:basedOn w:val="1"/>
    <w:link w:val="48"/>
    <w:qFormat/>
    <w:uiPriority w:val="0"/>
    <w:rPr>
      <w:sz w:val="18"/>
      <w:szCs w:val="18"/>
    </w:rPr>
  </w:style>
  <w:style w:type="paragraph" w:styleId="19">
    <w:name w:val="footer"/>
    <w:basedOn w:val="1"/>
    <w:next w:val="15"/>
    <w:link w:val="49"/>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List"/>
    <w:basedOn w:val="1"/>
    <w:qFormat/>
    <w:uiPriority w:val="0"/>
    <w:pPr>
      <w:ind w:left="200" w:hanging="200" w:hangingChars="200"/>
    </w:pPr>
  </w:style>
  <w:style w:type="paragraph" w:styleId="23">
    <w:name w:val="toc 6"/>
    <w:basedOn w:val="1"/>
    <w:next w:val="1"/>
    <w:qFormat/>
    <w:uiPriority w:val="0"/>
    <w:pPr>
      <w:ind w:left="1000" w:leftChars="1000"/>
    </w:pPr>
  </w:style>
  <w:style w:type="paragraph" w:styleId="24">
    <w:name w:val="Body Text Indent 3"/>
    <w:basedOn w:val="1"/>
    <w:link w:val="51"/>
    <w:qFormat/>
    <w:uiPriority w:val="0"/>
    <w:pPr>
      <w:spacing w:after="120"/>
      <w:ind w:left="420" w:leftChars="200"/>
    </w:pPr>
    <w:rPr>
      <w:sz w:val="16"/>
      <w:szCs w:val="16"/>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link w:val="52"/>
    <w:qFormat/>
    <w:uiPriority w:val="0"/>
    <w:pPr>
      <w:jc w:val="center"/>
    </w:pPr>
    <w:rPr>
      <w:rFonts w:ascii="Calibri" w:hAnsi="Calibri"/>
      <w:sz w:val="30"/>
      <w:szCs w:val="30"/>
    </w:rPr>
  </w:style>
  <w:style w:type="paragraph" w:styleId="27">
    <w:name w:val="annotation subject"/>
    <w:basedOn w:val="7"/>
    <w:next w:val="7"/>
    <w:link w:val="53"/>
    <w:qFormat/>
    <w:uiPriority w:val="0"/>
    <w:rPr>
      <w:b/>
      <w:bCs/>
    </w:rPr>
  </w:style>
  <w:style w:type="table" w:styleId="29">
    <w:name w:val="Table Grid"/>
    <w:basedOn w:val="2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style>
  <w:style w:type="character" w:styleId="33">
    <w:name w:val="Emphasis"/>
    <w:basedOn w:val="30"/>
    <w:qFormat/>
    <w:uiPriority w:val="0"/>
    <w:rPr>
      <w:i/>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character" w:styleId="36">
    <w:name w:val="HTML Sample"/>
    <w:basedOn w:val="30"/>
    <w:qFormat/>
    <w:uiPriority w:val="0"/>
    <w:rPr>
      <w:rFonts w:ascii="Courier New" w:hAnsi="Courier New"/>
    </w:rPr>
  </w:style>
  <w:style w:type="paragraph" w:customStyle="1" w:styleId="37">
    <w:name w:val="正文1"/>
    <w:next w:val="1"/>
    <w:qFormat/>
    <w:uiPriority w:val="0"/>
    <w:pPr>
      <w:jc w:val="both"/>
    </w:pPr>
    <w:rPr>
      <w:rFonts w:ascii="Calibri" w:hAnsi="Calibri" w:eastAsia="宋体" w:cs="宋体"/>
      <w:kern w:val="2"/>
      <w:sz w:val="21"/>
      <w:szCs w:val="21"/>
      <w:lang w:val="en-US" w:eastAsia="zh-CN" w:bidi="ar-SA"/>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正文首行缩进 21"/>
    <w:basedOn w:val="40"/>
    <w:qFormat/>
    <w:uiPriority w:val="0"/>
    <w:pPr>
      <w:ind w:firstLine="420"/>
    </w:pPr>
  </w:style>
  <w:style w:type="paragraph" w:customStyle="1" w:styleId="40">
    <w:name w:val="正文文本缩进1"/>
    <w:basedOn w:val="1"/>
    <w:qFormat/>
    <w:uiPriority w:val="0"/>
    <w:pPr>
      <w:ind w:firstLine="200"/>
    </w:pPr>
    <w:rPr>
      <w:rFonts w:ascii="仿宋_GB2312" w:eastAsia="仿宋_GB2312"/>
      <w:sz w:val="32"/>
    </w:rPr>
  </w:style>
  <w:style w:type="character" w:customStyle="1" w:styleId="41">
    <w:name w:val="正文文本 字符"/>
    <w:link w:val="8"/>
    <w:qFormat/>
    <w:uiPriority w:val="0"/>
    <w:rPr>
      <w:rFonts w:eastAsia="??"/>
      <w:kern w:val="2"/>
      <w:sz w:val="28"/>
      <w:szCs w:val="28"/>
      <w:lang w:val="en-US" w:eastAsia="zh-CN" w:bidi="ar-SA"/>
    </w:rPr>
  </w:style>
  <w:style w:type="character" w:customStyle="1" w:styleId="42">
    <w:name w:val="标题 1 字符"/>
    <w:link w:val="2"/>
    <w:qFormat/>
    <w:uiPriority w:val="9"/>
    <w:rPr>
      <w:b/>
      <w:bCs/>
      <w:kern w:val="44"/>
      <w:sz w:val="44"/>
      <w:szCs w:val="44"/>
    </w:rPr>
  </w:style>
  <w:style w:type="character" w:customStyle="1" w:styleId="43">
    <w:name w:val="标题 2 字符"/>
    <w:link w:val="3"/>
    <w:qFormat/>
    <w:uiPriority w:val="0"/>
    <w:rPr>
      <w:rFonts w:ascii="Arial" w:hAnsi="Arial" w:eastAsia="??"/>
      <w:b/>
      <w:kern w:val="2"/>
      <w:sz w:val="32"/>
      <w:szCs w:val="28"/>
      <w:lang w:val="en-US" w:eastAsia="zh-CN" w:bidi="ar-SA"/>
    </w:rPr>
  </w:style>
  <w:style w:type="character" w:customStyle="1" w:styleId="44">
    <w:name w:val="批注文字 字符"/>
    <w:link w:val="7"/>
    <w:qFormat/>
    <w:uiPriority w:val="0"/>
    <w:rPr>
      <w:kern w:val="2"/>
      <w:sz w:val="21"/>
      <w:szCs w:val="24"/>
    </w:rPr>
  </w:style>
  <w:style w:type="character" w:customStyle="1" w:styleId="45">
    <w:name w:val="正文文本缩进 字符"/>
    <w:link w:val="10"/>
    <w:qFormat/>
    <w:uiPriority w:val="0"/>
    <w:rPr>
      <w:kern w:val="2"/>
      <w:sz w:val="21"/>
    </w:rPr>
  </w:style>
  <w:style w:type="character" w:customStyle="1" w:styleId="46">
    <w:name w:val="纯文本 字符"/>
    <w:link w:val="14"/>
    <w:qFormat/>
    <w:uiPriority w:val="0"/>
    <w:rPr>
      <w:rFonts w:ascii="宋体" w:hAnsi="Courier New" w:eastAsia="仿宋_GB2312"/>
      <w:kern w:val="2"/>
      <w:sz w:val="30"/>
      <w:lang w:val="en-US" w:eastAsia="zh-CN" w:bidi="ar-SA"/>
    </w:rPr>
  </w:style>
  <w:style w:type="character" w:customStyle="1" w:styleId="47">
    <w:name w:val="正文文本缩进 2 字符"/>
    <w:link w:val="17"/>
    <w:qFormat/>
    <w:uiPriority w:val="0"/>
    <w:rPr>
      <w:kern w:val="2"/>
      <w:sz w:val="28"/>
    </w:rPr>
  </w:style>
  <w:style w:type="character" w:customStyle="1" w:styleId="48">
    <w:name w:val="批注框文本 字符"/>
    <w:link w:val="18"/>
    <w:qFormat/>
    <w:uiPriority w:val="0"/>
    <w:rPr>
      <w:kern w:val="2"/>
      <w:sz w:val="18"/>
      <w:szCs w:val="18"/>
    </w:rPr>
  </w:style>
  <w:style w:type="character" w:customStyle="1" w:styleId="49">
    <w:name w:val="页脚 字符"/>
    <w:link w:val="19"/>
    <w:qFormat/>
    <w:uiPriority w:val="99"/>
    <w:rPr>
      <w:kern w:val="2"/>
      <w:sz w:val="18"/>
      <w:szCs w:val="18"/>
    </w:rPr>
  </w:style>
  <w:style w:type="character" w:customStyle="1" w:styleId="50">
    <w:name w:val="页眉 字符"/>
    <w:link w:val="20"/>
    <w:qFormat/>
    <w:uiPriority w:val="99"/>
    <w:rPr>
      <w:kern w:val="2"/>
      <w:sz w:val="18"/>
      <w:szCs w:val="18"/>
    </w:rPr>
  </w:style>
  <w:style w:type="character" w:customStyle="1" w:styleId="51">
    <w:name w:val="正文文本缩进 3 字符"/>
    <w:link w:val="24"/>
    <w:qFormat/>
    <w:uiPriority w:val="0"/>
    <w:rPr>
      <w:kern w:val="2"/>
      <w:sz w:val="16"/>
      <w:szCs w:val="16"/>
    </w:rPr>
  </w:style>
  <w:style w:type="character" w:customStyle="1" w:styleId="52">
    <w:name w:val="标题 字符"/>
    <w:link w:val="26"/>
    <w:qFormat/>
    <w:uiPriority w:val="0"/>
    <w:rPr>
      <w:rFonts w:ascii="Calibri" w:hAnsi="Calibri"/>
      <w:kern w:val="2"/>
      <w:sz w:val="30"/>
      <w:szCs w:val="30"/>
    </w:rPr>
  </w:style>
  <w:style w:type="character" w:customStyle="1" w:styleId="53">
    <w:name w:val="批注主题 字符"/>
    <w:link w:val="27"/>
    <w:qFormat/>
    <w:uiPriority w:val="0"/>
    <w:rPr>
      <w:b/>
      <w:bCs/>
      <w:kern w:val="2"/>
      <w:sz w:val="21"/>
      <w:szCs w:val="24"/>
    </w:rPr>
  </w:style>
  <w:style w:type="character" w:customStyle="1" w:styleId="54">
    <w:name w:val="正文文本首行缩进 2 字符"/>
    <w:link w:val="11"/>
    <w:qFormat/>
    <w:uiPriority w:val="0"/>
  </w:style>
  <w:style w:type="paragraph" w:customStyle="1" w:styleId="55">
    <w:name w:val="表格文字"/>
    <w:basedOn w:val="14"/>
    <w:next w:val="8"/>
    <w:qFormat/>
    <w:uiPriority w:val="0"/>
    <w:pPr>
      <w:adjustRightInd w:val="0"/>
      <w:spacing w:line="420" w:lineRule="atLeast"/>
      <w:textAlignment w:val="baseline"/>
    </w:pPr>
    <w:rPr>
      <w:rFonts w:ascii="Calibri" w:hAnsi="Calibri"/>
      <w:sz w:val="28"/>
    </w:rPr>
  </w:style>
  <w:style w:type="character" w:customStyle="1" w:styleId="56">
    <w:name w:val="apple-style-span"/>
    <w:qFormat/>
    <w:uiPriority w:val="0"/>
    <w:rPr>
      <w:rFonts w:ascii="Tahoma" w:hAnsi="Tahoma"/>
      <w:sz w:val="24"/>
      <w:szCs w:val="20"/>
    </w:rPr>
  </w:style>
  <w:style w:type="character" w:customStyle="1" w:styleId="57">
    <w:name w:val="font51"/>
    <w:qFormat/>
    <w:uiPriority w:val="0"/>
    <w:rPr>
      <w:rFonts w:hint="eastAsia" w:ascii="宋体" w:hAnsi="宋体" w:eastAsia="宋体" w:cs="宋体"/>
      <w:color w:val="000000"/>
      <w:sz w:val="22"/>
      <w:szCs w:val="22"/>
      <w:u w:val="none"/>
    </w:rPr>
  </w:style>
  <w:style w:type="character" w:customStyle="1" w:styleId="58">
    <w:name w:val="NormalCharacter"/>
    <w:qFormat/>
    <w:uiPriority w:val="0"/>
    <w:rPr>
      <w:rFonts w:ascii="Calibri" w:hAnsi="Calibri" w:eastAsia="宋体"/>
    </w:rPr>
  </w:style>
  <w:style w:type="character" w:customStyle="1" w:styleId="59">
    <w:name w:val="font01"/>
    <w:qFormat/>
    <w:uiPriority w:val="0"/>
    <w:rPr>
      <w:rFonts w:hint="eastAsia" w:ascii="宋体" w:hAnsi="宋体" w:eastAsia="宋体" w:cs="宋体"/>
      <w:b/>
      <w:color w:val="000000"/>
      <w:sz w:val="40"/>
      <w:szCs w:val="40"/>
      <w:u w:val="none"/>
    </w:rPr>
  </w:style>
  <w:style w:type="character" w:customStyle="1" w:styleId="60">
    <w:name w:val="font9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b/>
      <w:color w:val="000000"/>
      <w:sz w:val="22"/>
      <w:szCs w:val="22"/>
      <w:u w:val="none"/>
    </w:rPr>
  </w:style>
  <w:style w:type="character" w:customStyle="1" w:styleId="62">
    <w:name w:val="font112"/>
    <w:qFormat/>
    <w:uiPriority w:val="0"/>
    <w:rPr>
      <w:rFonts w:hint="eastAsia" w:ascii="宋体" w:hAnsi="宋体" w:eastAsia="宋体" w:cs="宋体"/>
      <w:color w:val="000000"/>
      <w:sz w:val="22"/>
      <w:szCs w:val="22"/>
      <w:u w:val="none"/>
    </w:rPr>
  </w:style>
  <w:style w:type="character" w:customStyle="1" w:styleId="63">
    <w:name w:val="font61"/>
    <w:qFormat/>
    <w:uiPriority w:val="0"/>
    <w:rPr>
      <w:rFonts w:hint="default" w:ascii="Times New Roman" w:hAnsi="Times New Roman" w:cs="Times New Roman"/>
      <w:color w:val="000000"/>
      <w:sz w:val="20"/>
      <w:szCs w:val="20"/>
      <w:u w:val="none"/>
    </w:rPr>
  </w:style>
  <w:style w:type="character" w:customStyle="1" w:styleId="64">
    <w:name w:val="font81"/>
    <w:qFormat/>
    <w:uiPriority w:val="0"/>
    <w:rPr>
      <w:rFonts w:hint="eastAsia" w:ascii="宋体" w:hAnsi="宋体" w:eastAsia="宋体" w:cs="宋体"/>
      <w:color w:val="000000"/>
      <w:sz w:val="20"/>
      <w:szCs w:val="20"/>
      <w:u w:val="none"/>
    </w:rPr>
  </w:style>
  <w:style w:type="character" w:customStyle="1" w:styleId="65">
    <w:name w:val="Char Char7"/>
    <w:qFormat/>
    <w:uiPriority w:val="0"/>
    <w:rPr>
      <w:rFonts w:ascii="??" w:hAnsi="??" w:eastAsia="??" w:cs="宋体"/>
      <w:kern w:val="2"/>
      <w:sz w:val="24"/>
      <w:szCs w:val="28"/>
    </w:rPr>
  </w:style>
  <w:style w:type="character" w:customStyle="1" w:styleId="66">
    <w:name w:val="font71"/>
    <w:qFormat/>
    <w:uiPriority w:val="0"/>
    <w:rPr>
      <w:rFonts w:ascii="Arial" w:hAnsi="Arial" w:cs="Arial"/>
      <w:color w:val="000000"/>
      <w:sz w:val="20"/>
      <w:szCs w:val="20"/>
      <w:u w:val="none"/>
    </w:rPr>
  </w:style>
  <w:style w:type="paragraph" w:customStyle="1" w:styleId="67">
    <w:name w:val="中等深浅列表 2 - 强调文字颜色 41"/>
    <w:basedOn w:val="1"/>
    <w:qFormat/>
    <w:uiPriority w:val="34"/>
    <w:pPr>
      <w:ind w:firstLine="420" w:firstLineChars="200"/>
    </w:pPr>
    <w:rPr>
      <w:rFonts w:ascii="Calibri" w:hAnsi="Calibri"/>
      <w:szCs w:val="22"/>
    </w:rPr>
  </w:style>
  <w:style w:type="paragraph" w:customStyle="1" w:styleId="68">
    <w:name w:val="正文样式"/>
    <w:basedOn w:val="1"/>
    <w:qFormat/>
    <w:uiPriority w:val="0"/>
    <w:pPr>
      <w:spacing w:before="156" w:beforeLines="50" w:line="312" w:lineRule="auto"/>
      <w:ind w:firstLine="200" w:firstLineChars="200"/>
    </w:pPr>
    <w:rPr>
      <w:rFonts w:ascii="Calibri" w:hAnsi="Calibri"/>
      <w:sz w:val="24"/>
      <w:szCs w:val="24"/>
    </w:rPr>
  </w:style>
  <w:style w:type="paragraph" w:customStyle="1" w:styleId="69">
    <w:name w:val="p16"/>
    <w:basedOn w:val="1"/>
    <w:qFormat/>
    <w:uiPriority w:val="0"/>
    <w:pPr>
      <w:widowControl/>
    </w:pPr>
    <w:rPr>
      <w:rFonts w:ascii="宋体" w:hAnsi="宋体" w:cs="宋体"/>
      <w:kern w:val="0"/>
      <w:sz w:val="30"/>
      <w:szCs w:val="30"/>
    </w:rPr>
  </w:style>
  <w:style w:type="paragraph" w:customStyle="1" w:styleId="70">
    <w:name w:val="_Style 8"/>
    <w:basedOn w:val="1"/>
    <w:next w:val="71"/>
    <w:qFormat/>
    <w:uiPriority w:val="34"/>
    <w:pPr>
      <w:ind w:firstLine="420" w:firstLineChars="200"/>
    </w:pPr>
    <w:rPr>
      <w:rFonts w:ascii="Calibri" w:hAnsi="Calibri"/>
      <w:szCs w:val="22"/>
    </w:rPr>
  </w:style>
  <w:style w:type="paragraph" w:styleId="71">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72">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rPr>
  </w:style>
  <w:style w:type="paragraph" w:customStyle="1" w:styleId="73">
    <w:name w:val="newnew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newne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78">
    <w:name w:val="Body text|1"/>
    <w:basedOn w:val="1"/>
    <w:qFormat/>
    <w:uiPriority w:val="0"/>
    <w:pPr>
      <w:spacing w:line="413" w:lineRule="auto"/>
    </w:pPr>
    <w:rPr>
      <w:rFonts w:ascii="宋体" w:hAnsi="宋体" w:cs="宋体"/>
      <w:sz w:val="20"/>
      <w:lang w:val="zh-CN" w:bidi="zh-CN"/>
    </w:rPr>
  </w:style>
  <w:style w:type="paragraph" w:customStyle="1" w:styleId="79">
    <w:name w:val="xl35"/>
    <w:basedOn w:val="1"/>
    <w:qFormat/>
    <w:uiPriority w:val="0"/>
    <w:pPr>
      <w:widowControl/>
      <w:spacing w:before="100" w:beforeAutospacing="1" w:after="100" w:afterAutospacing="1"/>
      <w:jc w:val="right"/>
      <w:textAlignment w:val="center"/>
    </w:pPr>
    <w:rPr>
      <w:rFonts w:ascii="宋体" w:hAnsi="宋体"/>
      <w:kern w:val="0"/>
      <w:sz w:val="18"/>
    </w:rPr>
  </w:style>
  <w:style w:type="paragraph" w:customStyle="1" w:styleId="80">
    <w:name w:val="正文2"/>
    <w:basedOn w:val="1"/>
    <w:qFormat/>
    <w:uiPriority w:val="0"/>
    <w:pPr>
      <w:adjustRightInd w:val="0"/>
      <w:spacing w:line="318" w:lineRule="atLeast"/>
      <w:ind w:left="369" w:firstLine="369"/>
      <w:textAlignment w:val="baseline"/>
    </w:pPr>
    <w:rPr>
      <w:rFonts w:ascii="宋体"/>
    </w:rPr>
  </w:style>
  <w:style w:type="paragraph" w:customStyle="1" w:styleId="81">
    <w:name w:val="List Paragraph1"/>
    <w:basedOn w:val="1"/>
    <w:qFormat/>
    <w:uiPriority w:val="34"/>
    <w:pPr>
      <w:ind w:firstLine="420" w:firstLineChars="200"/>
    </w:pPr>
  </w:style>
  <w:style w:type="paragraph" w:customStyle="1" w:styleId="82">
    <w:name w:val="reader-word-layer reader-word-s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84">
    <w:name w:val="Char"/>
    <w:basedOn w:val="1"/>
    <w:qFormat/>
    <w:uiPriority w:val="0"/>
    <w:rPr>
      <w:szCs w:val="24"/>
    </w:rPr>
  </w:style>
  <w:style w:type="paragraph" w:customStyle="1" w:styleId="85">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86">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p0"/>
    <w:basedOn w:val="1"/>
    <w:qFormat/>
    <w:uiPriority w:val="0"/>
    <w:pPr>
      <w:widowControl/>
    </w:pPr>
    <w:rPr>
      <w:kern w:val="0"/>
      <w:szCs w:val="21"/>
    </w:rPr>
  </w:style>
  <w:style w:type="table" w:customStyle="1" w:styleId="89">
    <w:name w:val="网格型1"/>
    <w:basedOn w:val="28"/>
    <w:qFormat/>
    <w:uiPriority w:val="59"/>
    <w:rPr>
      <w:rFonts w:ascii="Calibri" w:hAnsi="Calibri" w:cs="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0">
    <w:name w:val="章正文"/>
    <w:basedOn w:val="1"/>
    <w:qFormat/>
    <w:uiPriority w:val="0"/>
    <w:pPr>
      <w:spacing w:before="156" w:beforeLines="50" w:after="120" w:line="300" w:lineRule="auto"/>
      <w:ind w:firstLine="480"/>
    </w:pPr>
    <w:rPr>
      <w:rFonts w:ascii="Helvetica" w:hAnsi="Helvetica"/>
      <w:kern w:val="0"/>
      <w:sz w:val="24"/>
      <w:szCs w:val="24"/>
    </w:rPr>
  </w:style>
  <w:style w:type="paragraph" w:customStyle="1" w:styleId="91">
    <w:name w:val="正文（首行缩进2字符）"/>
    <w:basedOn w:val="1"/>
    <w:qFormat/>
    <w:uiPriority w:val="0"/>
    <w:pPr>
      <w:spacing w:line="360" w:lineRule="auto"/>
      <w:ind w:firstLine="420" w:firstLineChars="200"/>
    </w:pPr>
    <w:rPr>
      <w:szCs w:val="21"/>
    </w:rPr>
  </w:style>
  <w:style w:type="paragraph" w:customStyle="1" w:styleId="92">
    <w:name w:val="文档正文"/>
    <w:basedOn w:val="1"/>
    <w:qFormat/>
    <w:uiPriority w:val="0"/>
    <w:rPr>
      <w:rFonts w:ascii="宋体" w:hAnsi="宋体" w:cs="Arial"/>
      <w:bCs/>
      <w:szCs w:val="21"/>
    </w:rPr>
  </w:style>
  <w:style w:type="paragraph" w:customStyle="1" w:styleId="93">
    <w:name w:val="ZY-A-正文内容"/>
    <w:basedOn w:val="1"/>
    <w:qFormat/>
    <w:uiPriority w:val="0"/>
    <w:pPr>
      <w:widowControl/>
      <w:tabs>
        <w:tab w:val="left" w:pos="0"/>
      </w:tabs>
      <w:spacing w:line="360" w:lineRule="auto"/>
      <w:ind w:firstLine="560" w:firstLineChars="200"/>
    </w:pPr>
    <w:rPr>
      <w:rFonts w:hint="eastAsia" w:eastAsia="仿宋_GB2312" w:cstheme="minorBidi"/>
      <w:szCs w:val="21"/>
    </w:rPr>
  </w:style>
  <w:style w:type="paragraph" w:customStyle="1" w:styleId="94">
    <w:name w:val="ZY-附录表格正文"/>
    <w:basedOn w:val="1"/>
    <w:qFormat/>
    <w:uiPriority w:val="0"/>
    <w:pPr>
      <w:widowControl/>
      <w:jc w:val="center"/>
    </w:pPr>
    <w:rPr>
      <w:rFonts w:hint="eastAsia" w:ascii="黑体" w:hAnsi="黑体" w:eastAsia="黑体" w:cs="宋体"/>
      <w:kern w:val="0"/>
      <w:sz w:val="20"/>
    </w:rPr>
  </w:style>
  <w:style w:type="paragraph" w:customStyle="1" w:styleId="95">
    <w:name w:val="Revision"/>
    <w:hidden/>
    <w:semiHidden/>
    <w:qFormat/>
    <w:uiPriority w:val="99"/>
    <w:rPr>
      <w:rFonts w:ascii="Times New Roman" w:hAnsi="Times New Roman" w:eastAsia="宋体" w:cs="Times New Roman"/>
      <w:kern w:val="2"/>
      <w:sz w:val="21"/>
      <w:lang w:val="en-US" w:eastAsia="zh-CN" w:bidi="ar-SA"/>
    </w:rPr>
  </w:style>
  <w:style w:type="paragraph" w:customStyle="1" w:styleId="96">
    <w:name w:val="Table Paragraph"/>
    <w:basedOn w:val="1"/>
    <w:qFormat/>
    <w:uiPriority w:val="0"/>
    <w:rPr>
      <w:rFonts w:ascii="宋体" w:hAnsi="宋体" w:cs="宋体"/>
      <w:lang w:val="zh-CN" w:bidi="zh-CN"/>
    </w:rPr>
  </w:style>
  <w:style w:type="paragraph" w:customStyle="1" w:styleId="97">
    <w:name w:val="WPSOffice手动目录 1"/>
    <w:qFormat/>
    <w:uiPriority w:val="0"/>
    <w:pPr>
      <w:ind w:leftChars="0"/>
    </w:pPr>
    <w:rPr>
      <w:rFonts w:ascii="Times New Roman" w:hAnsi="Times New Roman" w:eastAsia="宋体" w:cs="Times New Roman"/>
      <w:sz w:val="20"/>
      <w:szCs w:val="20"/>
    </w:rPr>
  </w:style>
  <w:style w:type="paragraph" w:customStyle="1" w:styleId="98">
    <w:name w:val="Normal Indent1"/>
    <w:basedOn w:val="1"/>
    <w:qFormat/>
    <w:uiPriority w:val="0"/>
    <w:pPr>
      <w:ind w:firstLine="420"/>
    </w:pPr>
  </w:style>
  <w:style w:type="paragraph" w:customStyle="1" w:styleId="99">
    <w:name w:val="WPSOffice手动目录 2"/>
    <w:qFormat/>
    <w:uiPriority w:val="0"/>
    <w:pPr>
      <w:ind w:leftChars="200"/>
    </w:pPr>
    <w:rPr>
      <w:rFonts w:ascii="Times New Roman" w:hAnsi="Times New Roman" w:eastAsia="宋体" w:cs="Times New Roman"/>
      <w:sz w:val="20"/>
      <w:szCs w:val="20"/>
    </w:rPr>
  </w:style>
  <w:style w:type="paragraph" w:customStyle="1" w:styleId="100">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4482</Words>
  <Characters>5071</Characters>
  <Lines>1</Lines>
  <Paragraphs>1</Paragraphs>
  <TotalTime>125</TotalTime>
  <ScaleCrop>false</ScaleCrop>
  <LinksUpToDate>false</LinksUpToDate>
  <CharactersWithSpaces>5470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2022-08-14T02:00:00Z</dcterms:created>
  <dc:creator>Administrator</dc:creator>
  <cp:lastModifiedBy>YL粥</cp:lastModifiedBy>
  <cp:lastPrinted>2023-12-15T22:44:00Z</cp:lastPrinted>
  <dcterms:modified xsi:type="dcterms:W3CDTF">2025-07-15T08:39:38Z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D9097816E7C2423FB73AC91557196CD9_13</vt:lpwstr>
  </property>
  <property fmtid="{D5CDD505-2E9C-101B-9397-08002B2CF9AE}" pid="4" name="commondata">
    <vt:lpwstr>eyJoZGlkIjoiMTY3NmVmZDMzNjIyYzhhNDE2N2E5MmI0Mzg3OGM1YTYifQ==</vt:lpwstr>
  </property>
  <property fmtid="{D5CDD505-2E9C-101B-9397-08002B2CF9AE}" pid="5" name="KSOTemplateDocerSaveRecord">
    <vt:lpwstr>eyJoZGlkIjoiZmI5NGE2ZDg5MGM0N2FlODY3YmVjOTJiZTBkZWNhOTUiLCJ1c2VySWQiOiIyNTI0MDIzMzkifQ==</vt:lpwstr>
  </property>
</Properties>
</file>