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B1BD7">
      <w:pPr>
        <w:pStyle w:val="2"/>
        <w:rPr>
          <w:rFonts w:hint="eastAsia" w:ascii="仿宋_GB2312" w:hAnsi="仿宋_GB2312" w:eastAsia="仿宋_GB2312" w:cs="仿宋_GB2312"/>
          <w:color w:val="000000"/>
          <w:highlight w:val="none"/>
        </w:rPr>
      </w:pPr>
    </w:p>
    <w:p w14:paraId="348AF19F">
      <w:pPr>
        <w:jc w:val="center"/>
        <w:rPr>
          <w:rFonts w:hint="eastAsia" w:ascii="仿宋_GB2312" w:hAnsi="仿宋_GB2312" w:eastAsia="仿宋_GB2312" w:cs="仿宋_GB2312"/>
          <w:color w:val="000000"/>
          <w:sz w:val="32"/>
          <w:szCs w:val="32"/>
          <w:highlight w:val="none"/>
        </w:rPr>
      </w:pPr>
    </w:p>
    <w:p w14:paraId="2AB87A25">
      <w:pPr>
        <w:jc w:val="center"/>
        <w:rPr>
          <w:rFonts w:hint="eastAsia" w:ascii="仿宋_GB2312" w:hAnsi="仿宋_GB2312" w:eastAsia="仿宋_GB2312" w:cs="仿宋_GB2312"/>
          <w:b/>
          <w:color w:val="000000"/>
          <w:sz w:val="36"/>
          <w:szCs w:val="36"/>
          <w:highlight w:val="none"/>
          <w:lang w:eastAsia="zh-CN"/>
        </w:rPr>
      </w:pPr>
      <w:r>
        <w:rPr>
          <w:rFonts w:hint="eastAsia" w:ascii="仿宋_GB2312" w:hAnsi="仿宋_GB2312" w:eastAsia="仿宋_GB2312" w:cs="仿宋_GB2312"/>
          <w:b/>
          <w:color w:val="000000"/>
          <w:sz w:val="36"/>
          <w:szCs w:val="36"/>
          <w:highlight w:val="none"/>
          <w:lang w:eastAsia="zh-CN"/>
        </w:rPr>
        <w:t>舟山第一小学勾山校区新建学校触控一体机采购</w:t>
      </w:r>
    </w:p>
    <w:p w14:paraId="2DEF8D2A">
      <w:pPr>
        <w:tabs>
          <w:tab w:val="left" w:pos="5985"/>
        </w:tabs>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b/>
      </w:r>
    </w:p>
    <w:p w14:paraId="0089A166">
      <w:pPr>
        <w:pStyle w:val="12"/>
        <w:jc w:val="center"/>
        <w:rPr>
          <w:rFonts w:hint="eastAsia" w:ascii="仿宋_GB2312" w:hAnsi="仿宋_GB2312" w:eastAsia="仿宋_GB2312" w:cs="仿宋_GB2312"/>
          <w:color w:val="000000"/>
          <w:highlight w:val="none"/>
        </w:rPr>
      </w:pPr>
    </w:p>
    <w:p w14:paraId="68E3125D">
      <w:pPr>
        <w:jc w:val="center"/>
        <w:rPr>
          <w:rFonts w:hint="eastAsia" w:ascii="仿宋_GB2312" w:hAnsi="仿宋_GB2312" w:eastAsia="仿宋_GB2312" w:cs="仿宋_GB2312"/>
          <w:color w:val="000000"/>
          <w:sz w:val="24"/>
          <w:szCs w:val="24"/>
          <w:highlight w:val="none"/>
        </w:rPr>
      </w:pPr>
    </w:p>
    <w:p w14:paraId="7F6D1204">
      <w:pPr>
        <w:jc w:val="center"/>
        <w:rPr>
          <w:rFonts w:hint="eastAsia" w:ascii="仿宋_GB2312" w:hAnsi="仿宋_GB2312" w:eastAsia="仿宋_GB2312" w:cs="仿宋_GB2312"/>
          <w:color w:val="000000"/>
          <w:sz w:val="24"/>
          <w:szCs w:val="24"/>
          <w:highlight w:val="none"/>
        </w:rPr>
      </w:pPr>
    </w:p>
    <w:p w14:paraId="261A9991">
      <w:pPr>
        <w:spacing w:line="600" w:lineRule="exact"/>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公开招标文件</w:t>
      </w:r>
    </w:p>
    <w:p w14:paraId="2177E38D">
      <w:pPr>
        <w:spacing w:line="600" w:lineRule="exact"/>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（电子招投标）</w:t>
      </w:r>
    </w:p>
    <w:p w14:paraId="2DE0A14C">
      <w:pPr>
        <w:spacing w:line="600" w:lineRule="exact"/>
        <w:jc w:val="center"/>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rPr>
        <w:t>编号:</w:t>
      </w:r>
      <w:r>
        <w:rPr>
          <w:rFonts w:hint="eastAsia" w:ascii="仿宋_GB2312" w:hAnsi="仿宋_GB2312" w:eastAsia="仿宋_GB2312" w:cs="仿宋_GB2312"/>
          <w:color w:val="000000"/>
          <w:sz w:val="30"/>
          <w:szCs w:val="30"/>
          <w:highlight w:val="none"/>
          <w:lang w:eastAsia="zh-CN"/>
        </w:rPr>
        <w:t>ZSZFCG2025-ZB-014</w:t>
      </w:r>
    </w:p>
    <w:p w14:paraId="04182F75">
      <w:pPr>
        <w:spacing w:line="600" w:lineRule="exact"/>
        <w:jc w:val="center"/>
        <w:rPr>
          <w:rFonts w:hint="eastAsia" w:ascii="仿宋_GB2312" w:hAnsi="仿宋_GB2312" w:eastAsia="仿宋_GB2312" w:cs="仿宋_GB2312"/>
          <w:color w:val="000000"/>
          <w:sz w:val="30"/>
          <w:szCs w:val="30"/>
          <w:highlight w:val="none"/>
        </w:rPr>
      </w:pPr>
    </w:p>
    <w:p w14:paraId="7CE08AD7">
      <w:pPr>
        <w:spacing w:line="600" w:lineRule="exact"/>
        <w:jc w:val="center"/>
        <w:rPr>
          <w:rFonts w:hint="eastAsia" w:ascii="仿宋_GB2312" w:hAnsi="仿宋_GB2312" w:eastAsia="仿宋_GB2312" w:cs="仿宋_GB2312"/>
          <w:color w:val="000000"/>
          <w:sz w:val="30"/>
          <w:szCs w:val="30"/>
          <w:highlight w:val="none"/>
        </w:rPr>
      </w:pPr>
    </w:p>
    <w:p w14:paraId="78448BB2">
      <w:pPr>
        <w:spacing w:line="600" w:lineRule="exact"/>
        <w:jc w:val="center"/>
        <w:rPr>
          <w:rFonts w:hint="eastAsia" w:ascii="仿宋_GB2312" w:hAnsi="仿宋_GB2312" w:eastAsia="仿宋_GB2312" w:cs="仿宋_GB2312"/>
          <w:color w:val="000000"/>
          <w:sz w:val="30"/>
          <w:szCs w:val="30"/>
          <w:highlight w:val="none"/>
        </w:rPr>
      </w:pPr>
    </w:p>
    <w:p w14:paraId="5ADD857A">
      <w:pPr>
        <w:spacing w:line="600" w:lineRule="exact"/>
        <w:jc w:val="center"/>
        <w:rPr>
          <w:rFonts w:hint="eastAsia" w:ascii="仿宋_GB2312" w:hAnsi="仿宋_GB2312" w:eastAsia="仿宋_GB2312" w:cs="仿宋_GB2312"/>
          <w:color w:val="000000"/>
          <w:sz w:val="30"/>
          <w:szCs w:val="30"/>
          <w:highlight w:val="none"/>
        </w:rPr>
      </w:pPr>
    </w:p>
    <w:p w14:paraId="4F9110FC">
      <w:pPr>
        <w:adjustRightInd w:val="0"/>
        <w:snapToGrid w:val="0"/>
        <w:spacing w:line="600" w:lineRule="exact"/>
        <w:jc w:val="center"/>
        <w:rPr>
          <w:rFonts w:hint="eastAsia" w:ascii="仿宋_GB2312" w:hAnsi="仿宋_GB2312" w:eastAsia="仿宋_GB2312" w:cs="仿宋_GB2312"/>
          <w:color w:val="000000"/>
          <w:sz w:val="30"/>
          <w:szCs w:val="30"/>
          <w:highlight w:val="none"/>
          <w:shd w:val="clear" w:color="auto" w:fill="FFFFFF"/>
          <w:lang w:eastAsia="zh-CN"/>
        </w:rPr>
      </w:pPr>
      <w:r>
        <w:rPr>
          <w:rFonts w:hint="eastAsia" w:ascii="仿宋_GB2312" w:hAnsi="仿宋_GB2312" w:eastAsia="仿宋_GB2312" w:cs="仿宋_GB2312"/>
          <w:color w:val="000000"/>
          <w:sz w:val="30"/>
          <w:szCs w:val="30"/>
          <w:highlight w:val="none"/>
          <w:shd w:val="clear" w:color="auto" w:fill="FFFFFF"/>
          <w:lang w:eastAsia="zh-CN"/>
        </w:rPr>
        <w:t>舟山第一小学勾山校区</w:t>
      </w:r>
    </w:p>
    <w:p w14:paraId="5BAEF3E7">
      <w:pPr>
        <w:adjustRightInd w:val="0"/>
        <w:snapToGrid w:val="0"/>
        <w:spacing w:line="600" w:lineRule="exact"/>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舟山市公共资源交易中心</w:t>
      </w:r>
    </w:p>
    <w:p w14:paraId="38C6255F">
      <w:pPr>
        <w:adjustRightInd w:val="0"/>
        <w:snapToGrid w:val="0"/>
        <w:spacing w:line="600" w:lineRule="exact"/>
        <w:jc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202</w:t>
      </w:r>
      <w:r>
        <w:rPr>
          <w:rFonts w:hint="eastAsia" w:ascii="仿宋_GB2312" w:hAnsi="仿宋_GB2312" w:eastAsia="仿宋_GB2312" w:cs="仿宋_GB2312"/>
          <w:color w:val="000000"/>
          <w:sz w:val="30"/>
          <w:szCs w:val="30"/>
          <w:highlight w:val="none"/>
          <w:lang w:val="en-US" w:eastAsia="zh-CN"/>
        </w:rPr>
        <w:t>5</w:t>
      </w:r>
      <w:r>
        <w:rPr>
          <w:rFonts w:hint="eastAsia" w:ascii="仿宋_GB2312" w:hAnsi="仿宋_GB2312" w:eastAsia="仿宋_GB2312" w:cs="仿宋_GB2312"/>
          <w:color w:val="000000"/>
          <w:sz w:val="30"/>
          <w:szCs w:val="30"/>
          <w:highlight w:val="none"/>
        </w:rPr>
        <w:t>年</w:t>
      </w:r>
      <w:r>
        <w:rPr>
          <w:rFonts w:hint="eastAsia" w:ascii="仿宋_GB2312" w:hAnsi="仿宋_GB2312" w:eastAsia="仿宋_GB2312" w:cs="仿宋_GB2312"/>
          <w:color w:val="000000"/>
          <w:sz w:val="30"/>
          <w:szCs w:val="30"/>
          <w:highlight w:val="none"/>
          <w:lang w:val="en-US" w:eastAsia="zh-CN"/>
        </w:rPr>
        <w:t>6</w:t>
      </w:r>
      <w:r>
        <w:rPr>
          <w:rFonts w:hint="eastAsia" w:ascii="仿宋_GB2312" w:hAnsi="仿宋_GB2312" w:eastAsia="仿宋_GB2312" w:cs="仿宋_GB2312"/>
          <w:color w:val="000000"/>
          <w:sz w:val="30"/>
          <w:szCs w:val="30"/>
          <w:highlight w:val="none"/>
        </w:rPr>
        <w:t>月</w:t>
      </w:r>
    </w:p>
    <w:p w14:paraId="57121D5A">
      <w:pPr>
        <w:adjustRightInd w:val="0"/>
        <w:snapToGrid w:val="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br w:type="page"/>
      </w:r>
      <w:bookmarkStart w:id="0" w:name="_Hlt67893495"/>
      <w:bookmarkEnd w:id="0"/>
    </w:p>
    <w:p w14:paraId="65D2AC91">
      <w:pPr>
        <w:rPr>
          <w:rFonts w:hint="eastAsia" w:ascii="仿宋_GB2312" w:hAnsi="仿宋_GB2312" w:eastAsia="仿宋_GB2312" w:cs="仿宋_GB2312"/>
          <w:color w:val="000000"/>
          <w:sz w:val="24"/>
          <w:szCs w:val="24"/>
          <w:highlight w:val="none"/>
        </w:rPr>
      </w:pPr>
    </w:p>
    <w:p w14:paraId="0322250A">
      <w:pPr>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目录</w:t>
      </w:r>
    </w:p>
    <w:p w14:paraId="683C99C7">
      <w:pPr>
        <w:rPr>
          <w:rFonts w:hint="eastAsia" w:ascii="仿宋_GB2312" w:hAnsi="仿宋_GB2312" w:eastAsia="仿宋_GB2312" w:cs="仿宋_GB2312"/>
          <w:color w:val="000000"/>
          <w:sz w:val="28"/>
          <w:szCs w:val="28"/>
          <w:highlight w:val="none"/>
        </w:rPr>
      </w:pPr>
    </w:p>
    <w:p w14:paraId="6CDE4689">
      <w:pPr>
        <w:spacing w:line="360" w:lineRule="auto"/>
        <w:rPr>
          <w:rFonts w:hint="eastAsia" w:ascii="仿宋_GB2312" w:hAnsi="仿宋_GB2312" w:eastAsia="仿宋_GB2312" w:cs="仿宋_GB2312"/>
          <w:color w:val="000000"/>
          <w:sz w:val="28"/>
          <w:szCs w:val="28"/>
          <w:highlight w:val="none"/>
        </w:rPr>
      </w:pPr>
    </w:p>
    <w:p w14:paraId="6612C1F3">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第一部分  招标公告</w:t>
      </w:r>
    </w:p>
    <w:p w14:paraId="1CD8E851">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第二部分  投标人须知</w:t>
      </w:r>
    </w:p>
    <w:p w14:paraId="73516820">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第三部分  采购需求</w:t>
      </w:r>
    </w:p>
    <w:p w14:paraId="2E07BB33">
      <w:pPr>
        <w:spacing w:line="360" w:lineRule="auto"/>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第四部分  评标办法</w:t>
      </w:r>
    </w:p>
    <w:p w14:paraId="53B5D3D8">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sz w:val="28"/>
          <w:szCs w:val="28"/>
          <w:highlight w:val="none"/>
        </w:rPr>
        <w:t>第</w:t>
      </w:r>
      <w:r>
        <w:rPr>
          <w:rFonts w:hint="eastAsia" w:ascii="仿宋_GB2312" w:hAnsi="仿宋_GB2312" w:eastAsia="仿宋_GB2312" w:cs="仿宋_GB2312"/>
          <w:color w:val="auto"/>
          <w:sz w:val="28"/>
          <w:szCs w:val="28"/>
          <w:highlight w:val="none"/>
        </w:rPr>
        <w:t>五部分  拟签订的合同文本</w:t>
      </w:r>
    </w:p>
    <w:p w14:paraId="72EF31B6">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第六部分  应提交的有关格式范例</w:t>
      </w:r>
    </w:p>
    <w:p w14:paraId="291B2B5C">
      <w:pPr>
        <w:rPr>
          <w:rFonts w:hint="eastAsia" w:ascii="仿宋_GB2312" w:hAnsi="仿宋_GB2312" w:eastAsia="仿宋_GB2312" w:cs="仿宋_GB2312"/>
          <w:color w:val="auto"/>
          <w:sz w:val="24"/>
          <w:szCs w:val="24"/>
          <w:highlight w:val="none"/>
        </w:rPr>
      </w:pPr>
      <w:bookmarkStart w:id="1" w:name="_Hlt91233176"/>
      <w:bookmarkEnd w:id="1"/>
      <w:bookmarkStart w:id="2" w:name="_Toc91899869"/>
    </w:p>
    <w:p w14:paraId="73619FFD">
      <w:pPr>
        <w:rPr>
          <w:rFonts w:hint="eastAsia" w:ascii="仿宋_GB2312" w:hAnsi="仿宋_GB2312" w:eastAsia="仿宋_GB2312" w:cs="仿宋_GB2312"/>
          <w:color w:val="auto"/>
          <w:sz w:val="24"/>
          <w:szCs w:val="24"/>
          <w:highlight w:val="none"/>
        </w:rPr>
      </w:pPr>
    </w:p>
    <w:p w14:paraId="09141AF4">
      <w:pPr>
        <w:rPr>
          <w:rFonts w:hint="eastAsia" w:ascii="仿宋_GB2312" w:hAnsi="仿宋_GB2312" w:eastAsia="仿宋_GB2312" w:cs="仿宋_GB2312"/>
          <w:color w:val="auto"/>
          <w:sz w:val="24"/>
          <w:szCs w:val="24"/>
          <w:highlight w:val="none"/>
        </w:rPr>
      </w:pPr>
    </w:p>
    <w:p w14:paraId="4C932243">
      <w:pPr>
        <w:rPr>
          <w:rFonts w:hint="eastAsia" w:ascii="仿宋_GB2312" w:hAnsi="仿宋_GB2312" w:eastAsia="仿宋_GB2312" w:cs="仿宋_GB2312"/>
          <w:color w:val="auto"/>
          <w:sz w:val="24"/>
          <w:szCs w:val="24"/>
          <w:highlight w:val="none"/>
        </w:rPr>
      </w:pPr>
    </w:p>
    <w:p w14:paraId="1AF7CD2F">
      <w:pPr>
        <w:rPr>
          <w:rFonts w:hint="eastAsia" w:ascii="仿宋_GB2312" w:hAnsi="仿宋_GB2312" w:eastAsia="仿宋_GB2312" w:cs="仿宋_GB2312"/>
          <w:color w:val="auto"/>
          <w:sz w:val="24"/>
          <w:szCs w:val="24"/>
          <w:highlight w:val="none"/>
        </w:rPr>
      </w:pPr>
    </w:p>
    <w:p w14:paraId="2C334433">
      <w:pPr>
        <w:rPr>
          <w:rFonts w:hint="eastAsia" w:ascii="仿宋_GB2312" w:hAnsi="仿宋_GB2312" w:eastAsia="仿宋_GB2312" w:cs="仿宋_GB2312"/>
          <w:color w:val="auto"/>
          <w:sz w:val="24"/>
          <w:szCs w:val="24"/>
          <w:highlight w:val="none"/>
        </w:rPr>
      </w:pPr>
    </w:p>
    <w:p w14:paraId="0F869E99">
      <w:pPr>
        <w:rPr>
          <w:rFonts w:hint="eastAsia" w:ascii="仿宋_GB2312" w:hAnsi="仿宋_GB2312" w:eastAsia="仿宋_GB2312" w:cs="仿宋_GB2312"/>
          <w:color w:val="auto"/>
          <w:sz w:val="24"/>
          <w:szCs w:val="24"/>
          <w:highlight w:val="none"/>
        </w:rPr>
      </w:pPr>
    </w:p>
    <w:p w14:paraId="0886CB41">
      <w:pPr>
        <w:rPr>
          <w:rFonts w:hint="eastAsia" w:ascii="仿宋_GB2312" w:hAnsi="仿宋_GB2312" w:eastAsia="仿宋_GB2312" w:cs="仿宋_GB2312"/>
          <w:color w:val="auto"/>
          <w:sz w:val="24"/>
          <w:szCs w:val="24"/>
          <w:highlight w:val="none"/>
        </w:rPr>
      </w:pPr>
    </w:p>
    <w:p w14:paraId="7149CDC1">
      <w:pPr>
        <w:rPr>
          <w:rFonts w:hint="eastAsia" w:ascii="仿宋_GB2312" w:hAnsi="仿宋_GB2312" w:eastAsia="仿宋_GB2312" w:cs="仿宋_GB2312"/>
          <w:color w:val="auto"/>
          <w:sz w:val="24"/>
          <w:szCs w:val="24"/>
          <w:highlight w:val="none"/>
        </w:rPr>
      </w:pPr>
    </w:p>
    <w:p w14:paraId="22DD358F">
      <w:pPr>
        <w:rPr>
          <w:rFonts w:hint="eastAsia" w:ascii="仿宋_GB2312" w:hAnsi="仿宋_GB2312" w:eastAsia="仿宋_GB2312" w:cs="仿宋_GB2312"/>
          <w:color w:val="auto"/>
          <w:sz w:val="24"/>
          <w:szCs w:val="24"/>
          <w:highlight w:val="none"/>
        </w:rPr>
      </w:pPr>
    </w:p>
    <w:p w14:paraId="35AB0D40">
      <w:pPr>
        <w:rPr>
          <w:rFonts w:hint="eastAsia" w:ascii="仿宋_GB2312" w:hAnsi="仿宋_GB2312" w:eastAsia="仿宋_GB2312" w:cs="仿宋_GB2312"/>
          <w:color w:val="auto"/>
          <w:sz w:val="24"/>
          <w:szCs w:val="24"/>
          <w:highlight w:val="none"/>
        </w:rPr>
      </w:pPr>
    </w:p>
    <w:p w14:paraId="79704B7E">
      <w:pPr>
        <w:rPr>
          <w:rFonts w:hint="eastAsia" w:ascii="仿宋_GB2312" w:hAnsi="仿宋_GB2312" w:eastAsia="仿宋_GB2312" w:cs="仿宋_GB2312"/>
          <w:color w:val="auto"/>
          <w:sz w:val="24"/>
          <w:szCs w:val="24"/>
          <w:highlight w:val="none"/>
        </w:rPr>
      </w:pPr>
    </w:p>
    <w:p w14:paraId="1E370FC9">
      <w:pPr>
        <w:rPr>
          <w:rFonts w:hint="eastAsia" w:ascii="仿宋_GB2312" w:hAnsi="仿宋_GB2312" w:eastAsia="仿宋_GB2312" w:cs="仿宋_GB2312"/>
          <w:color w:val="auto"/>
          <w:sz w:val="24"/>
          <w:szCs w:val="24"/>
          <w:highlight w:val="none"/>
        </w:rPr>
      </w:pPr>
    </w:p>
    <w:p w14:paraId="573E9B1B">
      <w:pPr>
        <w:rPr>
          <w:rFonts w:hint="eastAsia" w:ascii="仿宋_GB2312" w:hAnsi="仿宋_GB2312" w:eastAsia="仿宋_GB2312" w:cs="仿宋_GB2312"/>
          <w:color w:val="auto"/>
          <w:sz w:val="24"/>
          <w:szCs w:val="24"/>
          <w:highlight w:val="none"/>
        </w:rPr>
      </w:pPr>
    </w:p>
    <w:p w14:paraId="78EE0F63">
      <w:pPr>
        <w:ind w:firstLine="3360" w:firstLineChars="1400"/>
        <w:outlineLvl w:val="0"/>
        <w:rPr>
          <w:rFonts w:hint="eastAsia" w:ascii="仿宋_GB2312" w:hAnsi="仿宋_GB2312" w:eastAsia="仿宋_GB2312" w:cs="仿宋_GB2312"/>
          <w:b/>
          <w:color w:val="auto"/>
          <w:sz w:val="28"/>
          <w:szCs w:val="28"/>
          <w:highlight w:val="none"/>
        </w:rPr>
      </w:pPr>
      <w:bookmarkStart w:id="3" w:name="第一部分"/>
      <w:r>
        <w:rPr>
          <w:rFonts w:hint="eastAsia" w:ascii="仿宋_GB2312" w:hAnsi="仿宋_GB2312" w:eastAsia="仿宋_GB2312" w:cs="仿宋_GB2312"/>
          <w:color w:val="auto"/>
          <w:sz w:val="24"/>
          <w:szCs w:val="24"/>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_GB2312" w:hAnsi="仿宋_GB2312" w:eastAsia="仿宋_GB2312" w:cs="仿宋_GB2312"/>
          <w:color w:val="auto"/>
          <w:sz w:val="32"/>
          <w:szCs w:val="32"/>
          <w:highlight w:val="none"/>
        </w:rPr>
        <w:t>第一部分</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招标公告</w:t>
      </w:r>
    </w:p>
    <w:p w14:paraId="09655BE4">
      <w:pPr>
        <w:spacing w:line="420" w:lineRule="exact"/>
        <w:ind w:firstLine="482" w:firstLineChars="200"/>
        <w:contextualSpacing/>
        <w:rPr>
          <w:rFonts w:hint="eastAsia" w:ascii="仿宋_GB2312" w:hAnsi="仿宋_GB2312" w:eastAsia="仿宋_GB2312" w:cs="仿宋_GB2312"/>
          <w:b/>
          <w:color w:val="auto"/>
          <w:sz w:val="24"/>
          <w:szCs w:val="24"/>
          <w:highlight w:val="none"/>
        </w:rPr>
      </w:pPr>
    </w:p>
    <w:p w14:paraId="05146EC7">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eastAsia="zh-CN"/>
        </w:rPr>
        <w:t>舟山第一小学勾山校区新建学校触控一体机采购项目</w:t>
      </w:r>
      <w:r>
        <w:rPr>
          <w:rFonts w:hint="eastAsia" w:ascii="仿宋_GB2312" w:hAnsi="仿宋_GB2312" w:eastAsia="仿宋_GB2312" w:cs="仿宋_GB2312"/>
          <w:color w:val="auto"/>
          <w:sz w:val="24"/>
          <w:szCs w:val="24"/>
          <w:highlight w:val="none"/>
        </w:rPr>
        <w:t>的潜在投标人应在政采云平台</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"https://www.zcygov.cn/）获取（下载）招标文件，并于2024年8月9日9点%2015分00秒" </w:instrText>
      </w:r>
      <w:r>
        <w:rPr>
          <w:rFonts w:hint="eastAsia" w:ascii="仿宋_GB2312" w:hAnsi="仿宋_GB2312" w:eastAsia="仿宋_GB2312" w:cs="仿宋_GB2312"/>
          <w:b w:val="0"/>
          <w:bCs w:val="0"/>
          <w:color w:val="auto"/>
          <w:highlight w:val="none"/>
        </w:rPr>
        <w:fldChar w:fldCharType="separate"/>
      </w:r>
      <w:r>
        <w:rPr>
          <w:rStyle w:val="31"/>
          <w:rFonts w:hint="eastAsia" w:ascii="仿宋_GB2312" w:hAnsi="仿宋_GB2312" w:eastAsia="仿宋_GB2312" w:cs="仿宋_GB2312"/>
          <w:b w:val="0"/>
          <w:bCs w:val="0"/>
          <w:color w:val="auto"/>
          <w:sz w:val="24"/>
          <w:szCs w:val="24"/>
          <w:highlight w:val="none"/>
        </w:rPr>
        <w:t>https://www.zcygov.cn/）获取（下载）招标文件，并于</w:t>
      </w:r>
      <w:r>
        <w:rPr>
          <w:rStyle w:val="31"/>
          <w:rFonts w:hint="eastAsia" w:ascii="仿宋_GB2312" w:hAnsi="仿宋_GB2312" w:eastAsia="仿宋_GB2312" w:cs="仿宋_GB2312"/>
          <w:b w:val="0"/>
          <w:bCs w:val="0"/>
          <w:color w:val="auto"/>
          <w:sz w:val="24"/>
          <w:szCs w:val="24"/>
          <w:highlight w:val="none"/>
        </w:rPr>
        <w:t>202</w:t>
      </w:r>
      <w:r>
        <w:rPr>
          <w:rStyle w:val="31"/>
          <w:rFonts w:hint="eastAsia" w:ascii="仿宋_GB2312" w:hAnsi="仿宋_GB2312" w:eastAsia="仿宋_GB2312" w:cs="仿宋_GB2312"/>
          <w:b w:val="0"/>
          <w:bCs w:val="0"/>
          <w:color w:val="auto"/>
          <w:sz w:val="24"/>
          <w:szCs w:val="24"/>
          <w:highlight w:val="none"/>
          <w:lang w:val="en-US" w:eastAsia="zh-CN"/>
        </w:rPr>
        <w:t>5</w:t>
      </w:r>
      <w:r>
        <w:rPr>
          <w:rStyle w:val="31"/>
          <w:rFonts w:hint="eastAsia" w:ascii="仿宋_GB2312" w:hAnsi="仿宋_GB2312" w:eastAsia="仿宋_GB2312" w:cs="仿宋_GB2312"/>
          <w:b w:val="0"/>
          <w:bCs w:val="0"/>
          <w:color w:val="auto"/>
          <w:sz w:val="24"/>
          <w:szCs w:val="24"/>
          <w:highlight w:val="none"/>
        </w:rPr>
        <w:t>年</w:t>
      </w:r>
      <w:r>
        <w:rPr>
          <w:rStyle w:val="31"/>
          <w:rFonts w:hint="eastAsia" w:ascii="仿宋_GB2312" w:hAnsi="仿宋_GB2312" w:eastAsia="仿宋_GB2312" w:cs="仿宋_GB2312"/>
          <w:b w:val="0"/>
          <w:bCs w:val="0"/>
          <w:color w:val="auto"/>
          <w:sz w:val="24"/>
          <w:szCs w:val="24"/>
          <w:highlight w:val="none"/>
          <w:lang w:val="en-US" w:eastAsia="zh-CN"/>
        </w:rPr>
        <w:t>7</w:t>
      </w:r>
      <w:r>
        <w:rPr>
          <w:rStyle w:val="31"/>
          <w:rFonts w:hint="eastAsia" w:ascii="仿宋_GB2312" w:hAnsi="仿宋_GB2312" w:eastAsia="仿宋_GB2312" w:cs="仿宋_GB2312"/>
          <w:b w:val="0"/>
          <w:bCs w:val="0"/>
          <w:color w:val="auto"/>
          <w:sz w:val="24"/>
          <w:szCs w:val="24"/>
          <w:highlight w:val="none"/>
        </w:rPr>
        <w:t>月</w:t>
      </w:r>
      <w:r>
        <w:rPr>
          <w:rStyle w:val="31"/>
          <w:rFonts w:hint="eastAsia" w:ascii="仿宋_GB2312" w:hAnsi="仿宋_GB2312" w:eastAsia="仿宋_GB2312" w:cs="仿宋_GB2312"/>
          <w:b w:val="0"/>
          <w:bCs w:val="0"/>
          <w:color w:val="auto"/>
          <w:sz w:val="24"/>
          <w:szCs w:val="24"/>
          <w:highlight w:val="none"/>
          <w:lang w:val="en-US" w:eastAsia="zh-CN"/>
        </w:rPr>
        <w:t>15</w:t>
      </w:r>
      <w:r>
        <w:rPr>
          <w:rStyle w:val="31"/>
          <w:rFonts w:hint="eastAsia" w:ascii="仿宋_GB2312" w:hAnsi="仿宋_GB2312" w:eastAsia="仿宋_GB2312" w:cs="仿宋_GB2312"/>
          <w:b w:val="0"/>
          <w:bCs w:val="0"/>
          <w:color w:val="auto"/>
          <w:sz w:val="24"/>
          <w:szCs w:val="24"/>
          <w:highlight w:val="none"/>
        </w:rPr>
        <w:t>日</w:t>
      </w:r>
      <w:r>
        <w:rPr>
          <w:rStyle w:val="31"/>
          <w:rFonts w:hint="eastAsia" w:ascii="仿宋_GB2312" w:hAnsi="仿宋_GB2312" w:eastAsia="仿宋_GB2312" w:cs="仿宋_GB2312"/>
          <w:b w:val="0"/>
          <w:bCs w:val="0"/>
          <w:color w:val="auto"/>
          <w:sz w:val="24"/>
          <w:szCs w:val="24"/>
          <w:highlight w:val="none"/>
        </w:rPr>
        <w:t>9点 15分00秒</w:t>
      </w:r>
      <w:r>
        <w:rPr>
          <w:rStyle w:val="31"/>
          <w:rFonts w:hint="eastAsia" w:ascii="仿宋_GB2312" w:hAnsi="仿宋_GB2312" w:eastAsia="仿宋_GB2312" w:cs="仿宋_GB2312"/>
          <w:b w:val="0"/>
          <w:bCs w:val="0"/>
          <w:color w:val="auto"/>
          <w:sz w:val="24"/>
          <w:szCs w:val="24"/>
          <w:highlight w:val="none"/>
        </w:rPr>
        <w:fldChar w:fldCharType="end"/>
      </w:r>
      <w:r>
        <w:rPr>
          <w:rFonts w:hint="eastAsia" w:ascii="仿宋_GB2312" w:hAnsi="仿宋_GB2312" w:eastAsia="仿宋_GB2312" w:cs="仿宋_GB2312"/>
          <w:color w:val="auto"/>
          <w:sz w:val="24"/>
          <w:szCs w:val="24"/>
          <w:highlight w:val="none"/>
        </w:rPr>
        <w:t>（北京时间）前递交（上传）投标文件。</w:t>
      </w:r>
    </w:p>
    <w:p w14:paraId="2128A578">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一、项目基本情况</w:t>
      </w:r>
    </w:p>
    <w:p w14:paraId="67258DF2">
      <w:pPr>
        <w:spacing w:line="420" w:lineRule="exact"/>
        <w:ind w:firstLine="480" w:firstLineChars="200"/>
        <w:contextualSpacing/>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eastAsia="zh-CN"/>
        </w:rPr>
        <w:t>ZSZFCG2025-ZB-014</w:t>
      </w:r>
      <w:bookmarkStart w:id="508" w:name="_GoBack"/>
      <w:bookmarkEnd w:id="508"/>
    </w:p>
    <w:p w14:paraId="27691576">
      <w:pPr>
        <w:spacing w:line="420" w:lineRule="exact"/>
        <w:ind w:firstLine="480" w:firstLineChars="200"/>
        <w:contextualSpacing/>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Cs/>
          <w:color w:val="auto"/>
          <w:sz w:val="24"/>
          <w:szCs w:val="24"/>
          <w:highlight w:val="none"/>
          <w:lang w:eastAsia="zh-CN"/>
        </w:rPr>
        <w:t>舟山第一小学勾山校区新建学校触控一体机采购</w:t>
      </w:r>
    </w:p>
    <w:p w14:paraId="516B3FB9">
      <w:pPr>
        <w:spacing w:line="420" w:lineRule="exact"/>
        <w:ind w:firstLine="480" w:firstLineChars="200"/>
        <w:contextualSpacing/>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预算金额（元）：836000</w:t>
      </w:r>
      <w:r>
        <w:rPr>
          <w:rFonts w:hint="eastAsia" w:ascii="仿宋_GB2312" w:hAnsi="仿宋_GB2312" w:eastAsia="仿宋_GB2312" w:cs="仿宋_GB2312"/>
          <w:bCs/>
          <w:color w:val="auto"/>
          <w:sz w:val="24"/>
          <w:szCs w:val="24"/>
          <w:highlight w:val="none"/>
          <w:lang w:val="en-US" w:eastAsia="zh-CN"/>
        </w:rPr>
        <w:t xml:space="preserve"> </w:t>
      </w:r>
    </w:p>
    <w:p w14:paraId="0075B797">
      <w:pPr>
        <w:spacing w:line="420" w:lineRule="exact"/>
        <w:ind w:firstLine="480" w:firstLineChars="200"/>
        <w:contextualSpacing/>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最高限价（元）：</w:t>
      </w:r>
      <w:r>
        <w:rPr>
          <w:rFonts w:hint="eastAsia" w:ascii="仿宋_GB2312" w:hAnsi="仿宋_GB2312" w:eastAsia="仿宋_GB2312" w:cs="仿宋_GB2312"/>
          <w:bCs/>
          <w:color w:val="auto"/>
          <w:sz w:val="24"/>
          <w:szCs w:val="24"/>
          <w:highlight w:val="none"/>
          <w:lang w:val="en-US" w:eastAsia="zh-CN"/>
        </w:rPr>
        <w:t>700000</w:t>
      </w:r>
    </w:p>
    <w:p w14:paraId="0D32DFB0">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采购需求：详见招标文件第三部分采购需求</w:t>
      </w:r>
    </w:p>
    <w:p w14:paraId="0F63A5C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合同履约期限：详见采购文件</w:t>
      </w:r>
    </w:p>
    <w:p w14:paraId="1F6A162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本项目接受联合体投标：</w:t>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auto"/>
          <w:sz w:val="24"/>
          <w:szCs w:val="24"/>
          <w:highlight w:val="none"/>
        </w:rPr>
        <w:t>是。</w:t>
      </w:r>
    </w:p>
    <w:p w14:paraId="18FAEEBB">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二、申请人的资格要求：</w:t>
      </w:r>
    </w:p>
    <w:p w14:paraId="396848B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177E0DB4">
      <w:pPr>
        <w:spacing w:line="420" w:lineRule="exact"/>
        <w:ind w:firstLine="552"/>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w:t>
      </w:r>
    </w:p>
    <w:p w14:paraId="0FB29CD5">
      <w:pPr>
        <w:spacing w:line="420" w:lineRule="exact"/>
        <w:ind w:firstLine="42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auto"/>
          <w:sz w:val="24"/>
          <w:szCs w:val="24"/>
          <w:highlight w:val="none"/>
        </w:rPr>
        <w:t>无</w:t>
      </w:r>
    </w:p>
    <w:p w14:paraId="72D4830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专门面向中小企业</w:t>
      </w:r>
    </w:p>
    <w:p w14:paraId="5E79F270">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货物全部由符合政策要求的中小企业制造，提供中小企业声明函；</w:t>
      </w:r>
    </w:p>
    <w:p w14:paraId="16E22B88">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☐货物全部由符合政策要求的小微企业制造，提供中小企业声明函；</w:t>
      </w:r>
    </w:p>
    <w:p w14:paraId="4C47A5FC">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☐服务全部由符合政策要求的中小企业承接，提供中小企业声明函；</w:t>
      </w:r>
    </w:p>
    <w:p w14:paraId="16A852DB">
      <w:pPr>
        <w:spacing w:line="420" w:lineRule="exact"/>
        <w:ind w:firstLine="960" w:firstLineChars="4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☐服务全部由符合政策要求的小微企业承接，提供中小企业声明函；</w:t>
      </w:r>
    </w:p>
    <w:p w14:paraId="05AFF72D">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以联合体形式参加，提供联合协议和中小企业声明函，联合协议中中小企业合同金额应当达到%，小微企业合同金额应当达到%;如果供应商本身提供所有标的均由中小企业制造、承建或承接，视同符合了资格条件，无需再与其他中小企业组成联合体参加政府采购活动，无需提供联合协议；</w:t>
      </w:r>
    </w:p>
    <w:p w14:paraId="0553B0BA">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☐要求合同分包，提供分包意向协议和中小企业声明函，分包意向协议中，中小微企业合同份额为合同总金额的   %，如果供应商本身提供所有标的均由中小微企业制造、承建或承接，视同符合了资格条件，无需再向中小微企业分包，无需提供分包意向协议；</w:t>
      </w:r>
    </w:p>
    <w:p w14:paraId="02B99908">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3.本项目的特定资格要求：无</w:t>
      </w:r>
    </w:p>
    <w:p w14:paraId="48DF7ED9">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FC5749">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三、获取招标文件</w:t>
      </w:r>
    </w:p>
    <w:p w14:paraId="38ABCD96">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时间：/至</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，每天上午00:00至12:00 ，下午12:00至23:59（北京时间，线上获取法定节假日均可，线下获取文件法定节假日除外的工作时间）</w:t>
      </w:r>
    </w:p>
    <w:p w14:paraId="7D846A5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地点（网址）：政采云平台（https://www.zcygov.cn/）</w:t>
      </w:r>
    </w:p>
    <w:p w14:paraId="61DD470E">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方式：供应商登录政采云平台https://www.zcygov.cn/在线申请获取采购文件（进入“项目采购”应用，在获取采购文件菜单中选择项目，申请获取采购文件）。</w:t>
      </w:r>
    </w:p>
    <w:p w14:paraId="66B9C33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售价（元）：0 </w:t>
      </w:r>
      <w:r>
        <w:rPr>
          <w:rFonts w:hint="eastAsia" w:ascii="仿宋_GB2312" w:hAnsi="仿宋_GB2312" w:eastAsia="仿宋_GB2312" w:cs="仿宋_GB2312"/>
          <w:color w:val="auto"/>
          <w:sz w:val="24"/>
          <w:szCs w:val="24"/>
          <w:highlight w:val="none"/>
        </w:rPr>
        <w:tab/>
      </w:r>
    </w:p>
    <w:p w14:paraId="0A1E08DE">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四、提交投标文件截止时间、开标时间和地点</w:t>
      </w:r>
    </w:p>
    <w:p w14:paraId="001D8EC2">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提交投标文件截止时间：</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9点15分 （北京时间）</w:t>
      </w:r>
    </w:p>
    <w:p w14:paraId="008B9DC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投标地点（网址）：政采云平台（https://www.zcygov.cn/） </w:t>
      </w:r>
    </w:p>
    <w:p w14:paraId="1E872B2B">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开标时间：</w:t>
      </w:r>
      <w:r>
        <w:rPr>
          <w:rFonts w:hint="eastAsia" w:ascii="仿宋_GB2312" w:hAnsi="仿宋_GB2312" w:eastAsia="仿宋_GB2312" w:cs="仿宋_GB2312"/>
          <w:color w:val="auto"/>
          <w:sz w:val="24"/>
          <w:szCs w:val="24"/>
          <w:highlight w:val="none"/>
        </w:rPr>
        <w:t>202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15</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rPr>
        <w:t xml:space="preserve">9点15分 </w:t>
      </w:r>
    </w:p>
    <w:p w14:paraId="1ABDC703">
      <w:pPr>
        <w:spacing w:line="420" w:lineRule="exact"/>
        <w:ind w:firstLine="480" w:firstLineChars="200"/>
        <w:contextualSpacing/>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开标地点（网址）：政采云平台（https://www.zcygov.cn/）</w:t>
      </w:r>
    </w:p>
    <w:p w14:paraId="3104AD50">
      <w:pPr>
        <w:spacing w:line="420" w:lineRule="exact"/>
        <w:ind w:firstLine="482" w:firstLineChars="200"/>
        <w:contextualSpacing/>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五、公告期限</w:t>
      </w:r>
    </w:p>
    <w:p w14:paraId="30BCBB1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自本公告发布之日起5个工作日。</w:t>
      </w:r>
    </w:p>
    <w:p w14:paraId="655FCBED">
      <w:pPr>
        <w:spacing w:line="420" w:lineRule="exact"/>
        <w:ind w:firstLine="482"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六、其他补充事宜</w:t>
      </w:r>
    </w:p>
    <w:p w14:paraId="62A8782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48F133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180682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DCAE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25787934">
      <w:pPr>
        <w:spacing w:line="420" w:lineRule="exact"/>
        <w:ind w:firstLine="602" w:firstLineChars="25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七、对本次采购提出询问、质疑、投诉，请按以下方式联系</w:t>
      </w:r>
    </w:p>
    <w:p w14:paraId="166ED544">
      <w:pPr>
        <w:spacing w:line="360" w:lineRule="auto"/>
        <w:ind w:left="479" w:leftChars="228"/>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1.采购人信息</w:t>
      </w:r>
    </w:p>
    <w:p w14:paraId="1DCF93C4">
      <w:pPr>
        <w:spacing w:line="360" w:lineRule="auto"/>
        <w:ind w:left="479" w:leftChars="228"/>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rPr>
        <w:t>名称:</w:t>
      </w:r>
      <w:r>
        <w:rPr>
          <w:rFonts w:hint="eastAsia" w:ascii="仿宋_GB2312" w:hAnsi="仿宋_GB2312" w:eastAsia="仿宋_GB2312" w:cs="仿宋_GB2312"/>
          <w:color w:val="000000"/>
          <w:sz w:val="24"/>
          <w:highlight w:val="none"/>
          <w:lang w:eastAsia="zh-CN"/>
        </w:rPr>
        <w:t>舟山第一小学勾山校区</w:t>
      </w:r>
    </w:p>
    <w:p w14:paraId="248C3CED">
      <w:pPr>
        <w:spacing w:line="360" w:lineRule="auto"/>
        <w:ind w:left="479" w:leftChars="228"/>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地址:临城工业园区四道1号</w:t>
      </w:r>
    </w:p>
    <w:p w14:paraId="1D9C6BD1">
      <w:pPr>
        <w:spacing w:line="360" w:lineRule="auto"/>
        <w:ind w:left="479" w:leftChars="228"/>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传真:</w:t>
      </w:r>
      <w:r>
        <w:rPr>
          <w:rFonts w:hint="eastAsia" w:ascii="仿宋_GB2312" w:hAnsi="仿宋_GB2312" w:eastAsia="仿宋_GB2312" w:cs="仿宋_GB2312"/>
          <w:color w:val="000000"/>
          <w:sz w:val="24"/>
          <w:szCs w:val="24"/>
          <w:highlight w:val="none"/>
        </w:rPr>
        <w:t>/</w:t>
      </w:r>
    </w:p>
    <w:p w14:paraId="4C4EBC26">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项目联系人（询问）:  梅志刚</w:t>
      </w:r>
    </w:p>
    <w:p w14:paraId="6B2895D5">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项目联系方式（询问）：13857200371</w:t>
      </w:r>
    </w:p>
    <w:p w14:paraId="42B5312F">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质疑联系人： 朱剑锋 </w:t>
      </w:r>
    </w:p>
    <w:p w14:paraId="2E82FE3B">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质疑联系方式：13967206829</w:t>
      </w:r>
    </w:p>
    <w:p w14:paraId="32C57207">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2.采购代理机构信息</w:t>
      </w:r>
    </w:p>
    <w:p w14:paraId="4C574C10">
      <w:pPr>
        <w:spacing w:line="360" w:lineRule="auto"/>
        <w:ind w:firstLine="48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名称：舟山市公共资源交易中心</w:t>
      </w:r>
    </w:p>
    <w:p w14:paraId="44AA55FC">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地址：舟山市新城翁山路555号四楼（大宗商品交易中心同幢西边）</w:t>
      </w:r>
    </w:p>
    <w:p w14:paraId="2A4DDE82">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 xml:space="preserve">传真：/             </w:t>
      </w:r>
    </w:p>
    <w:p w14:paraId="065CFB34">
      <w:pPr>
        <w:spacing w:line="360" w:lineRule="auto"/>
        <w:ind w:firstLine="480" w:firstLineChars="200"/>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rPr>
        <w:t>项目联系人（询问）：</w:t>
      </w:r>
      <w:r>
        <w:rPr>
          <w:rFonts w:hint="eastAsia" w:ascii="仿宋_GB2312" w:hAnsi="仿宋_GB2312" w:eastAsia="仿宋_GB2312" w:cs="仿宋_GB2312"/>
          <w:color w:val="000000"/>
          <w:sz w:val="24"/>
          <w:highlight w:val="none"/>
          <w:lang w:eastAsia="zh-CN"/>
        </w:rPr>
        <w:t>陈女士</w:t>
      </w:r>
    </w:p>
    <w:p w14:paraId="08506E39">
      <w:pPr>
        <w:spacing w:line="360" w:lineRule="auto"/>
        <w:ind w:firstLine="480" w:firstLineChars="200"/>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rPr>
        <w:t>项目联系方式（询问）：</w:t>
      </w:r>
      <w:r>
        <w:rPr>
          <w:rFonts w:hint="eastAsia" w:ascii="仿宋_GB2312" w:hAnsi="仿宋_GB2312" w:eastAsia="仿宋_GB2312" w:cs="仿宋_GB2312"/>
          <w:color w:val="000000"/>
          <w:sz w:val="24"/>
          <w:highlight w:val="none"/>
          <w:lang w:val="en-US" w:eastAsia="zh-CN"/>
        </w:rPr>
        <w:t>0580-2280952</w:t>
      </w:r>
    </w:p>
    <w:p w14:paraId="0CFFA6D5">
      <w:pPr>
        <w:spacing w:line="360" w:lineRule="auto"/>
        <w:ind w:firstLine="480" w:firstLineChars="200"/>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质疑联系人：丁先生</w:t>
      </w:r>
    </w:p>
    <w:p w14:paraId="0A82728C">
      <w:pPr>
        <w:spacing w:line="420" w:lineRule="exact"/>
        <w:ind w:firstLine="480"/>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质疑联系方式：0580-2280948　</w:t>
      </w:r>
    </w:p>
    <w:p w14:paraId="1ACF0FAF">
      <w:pPr>
        <w:numPr>
          <w:ilvl w:val="0"/>
          <w:numId w:val="2"/>
        </w:numPr>
        <w:spacing w:line="420" w:lineRule="exact"/>
        <w:ind w:firstLine="48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同级政府采购监督管理部门</w:t>
      </w:r>
    </w:p>
    <w:p w14:paraId="4EB7767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名称：舟山市财政局政府采购监管处</w:t>
      </w:r>
    </w:p>
    <w:p w14:paraId="00D65A0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地址：舟山市定海区新城海天大道681号</w:t>
      </w:r>
    </w:p>
    <w:p w14:paraId="69601A1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传真：0580-2282591</w:t>
      </w:r>
    </w:p>
    <w:p w14:paraId="200B7B5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联系人：王女士</w:t>
      </w:r>
    </w:p>
    <w:p w14:paraId="5E5B1A7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监督投诉电话：0580-2282591</w:t>
      </w:r>
    </w:p>
    <w:p w14:paraId="5C7ACD1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45A040B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CA问题联系电话（人工）：汇信CA 400-888-4636；天谷CA 400-087-8198。</w:t>
      </w:r>
    </w:p>
    <w:p w14:paraId="674B6CCD">
      <w:pPr>
        <w:spacing w:line="540" w:lineRule="exact"/>
        <w:contextualSpacing/>
        <w:rPr>
          <w:rFonts w:hint="eastAsia" w:ascii="仿宋_GB2312" w:hAnsi="仿宋_GB2312" w:eastAsia="仿宋_GB2312" w:cs="仿宋_GB2312"/>
          <w:color w:val="000000"/>
          <w:sz w:val="28"/>
          <w:szCs w:val="28"/>
          <w:highlight w:val="none"/>
        </w:rPr>
      </w:pPr>
    </w:p>
    <w:p w14:paraId="0E9E00E2">
      <w:pPr>
        <w:ind w:firstLine="2380" w:firstLineChars="850"/>
        <w:outlineLvl w:val="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 w:val="28"/>
          <w:szCs w:val="28"/>
          <w:highlight w:val="none"/>
        </w:rPr>
        <w:br w:type="page"/>
      </w:r>
      <w:r>
        <w:rPr>
          <w:rFonts w:hint="eastAsia" w:ascii="仿宋_GB2312" w:hAnsi="仿宋_GB2312" w:eastAsia="仿宋_GB2312" w:cs="仿宋_GB2312"/>
          <w:color w:val="000000"/>
          <w:sz w:val="32"/>
          <w:szCs w:val="32"/>
          <w:highlight w:val="none"/>
        </w:rPr>
        <w:t>第二部分</w:t>
      </w:r>
      <w:bookmarkEnd w:id="8"/>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投标人须知</w:t>
      </w:r>
      <w:bookmarkEnd w:id="9"/>
    </w:p>
    <w:p w14:paraId="19E2E24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前附表</w:t>
      </w:r>
    </w:p>
    <w:tbl>
      <w:tblPr>
        <w:tblStyle w:val="2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4139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6F2CCC01">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78B86F6">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9B52422">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本项目的特别规定</w:t>
            </w:r>
          </w:p>
        </w:tc>
      </w:tr>
      <w:tr w14:paraId="7ECFA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9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2259F33">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AB3B887">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90626C">
            <w:pPr>
              <w:spacing w:line="40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rPr>
              <w:t>有关本项目实施所需的所有费用（含税费）均计入报价。</w:t>
            </w:r>
            <w:r>
              <w:rPr>
                <w:rFonts w:hint="eastAsia" w:ascii="仿宋_GB2312" w:hAnsi="仿宋_GB2312" w:eastAsia="仿宋_GB2312" w:cs="仿宋_GB2312"/>
                <w:b/>
                <w:color w:val="000000"/>
                <w:sz w:val="24"/>
                <w:szCs w:val="24"/>
                <w:highlight w:val="none"/>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000000"/>
                <w:sz w:val="24"/>
                <w:szCs w:val="24"/>
                <w:highlight w:val="none"/>
              </w:rPr>
              <w:t>投标文件中价格全部采用人民币报价。招标文件未列明，而投标人认为必需的费用也需列入报价。</w:t>
            </w:r>
            <w:r>
              <w:rPr>
                <w:rFonts w:hint="eastAsia" w:ascii="仿宋_GB2312" w:hAnsi="仿宋_GB2312" w:eastAsia="仿宋_GB2312" w:cs="仿宋_GB2312"/>
                <w:b/>
                <w:color w:val="000000"/>
                <w:sz w:val="24"/>
                <w:szCs w:val="24"/>
                <w:highlight w:val="none"/>
              </w:rPr>
              <w:t>提醒：验收时检测费用由采购人承担，不包含在投标总价中。</w:t>
            </w:r>
          </w:p>
          <w:p w14:paraId="7FAA22DC">
            <w:pPr>
              <w:spacing w:line="40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投标报价出现下列情形的，投标无效：</w:t>
            </w:r>
          </w:p>
          <w:p w14:paraId="3594CEFC">
            <w:pPr>
              <w:spacing w:line="40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1.投标文件出现不是唯一的、有选择性投标报价的；</w:t>
            </w:r>
          </w:p>
          <w:p w14:paraId="0CFE45A1">
            <w:pPr>
              <w:spacing w:line="40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2.投标报价超过招标文件中规定的预算金额或者最高限价的;</w:t>
            </w:r>
          </w:p>
          <w:p w14:paraId="767816F8">
            <w:pPr>
              <w:spacing w:line="40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3.报价明显低于其他通过符合性审查投标人的报价，有可能影响产品质量或者不能诚信履约的，未能按要求提供书面说明或者提交相关证明材料证明其报价合理性的;</w:t>
            </w:r>
          </w:p>
          <w:p w14:paraId="49F92961">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4.投标人对根据修正原则修正后的报价不确认的。</w:t>
            </w:r>
          </w:p>
        </w:tc>
      </w:tr>
      <w:tr w14:paraId="3A3AB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9E2993">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C2334FE">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B4236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A同意将非主、非关键性的</w:t>
            </w:r>
            <w:r>
              <w:rPr>
                <w:rFonts w:hint="eastAsia" w:ascii="仿宋_GB2312" w:hAnsi="仿宋_GB2312" w:eastAsia="仿宋_GB2312" w:cs="仿宋_GB2312"/>
                <w:color w:val="000000"/>
                <w:sz w:val="24"/>
                <w:szCs w:val="24"/>
                <w:highlight w:val="none"/>
                <w:u w:val="single"/>
                <w:lang w:val="en-US" w:eastAsia="zh-CN"/>
              </w:rPr>
              <w:t>设备安装调试分</w:t>
            </w:r>
            <w:r>
              <w:rPr>
                <w:rFonts w:hint="eastAsia" w:ascii="仿宋_GB2312" w:hAnsi="仿宋_GB2312" w:eastAsia="仿宋_GB2312" w:cs="仿宋_GB2312"/>
                <w:color w:val="000000"/>
                <w:sz w:val="24"/>
                <w:szCs w:val="24"/>
                <w:highlight w:val="none"/>
              </w:rPr>
              <w:t>包。</w:t>
            </w:r>
          </w:p>
          <w:p w14:paraId="3274B8E1">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本项目上述允许分包的合同份额所占合同总金额小于30%。</w:t>
            </w:r>
          </w:p>
          <w:p w14:paraId="7BFD0B9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sym w:font="Wingdings" w:char="00A8"/>
            </w:r>
            <w:r>
              <w:rPr>
                <w:rFonts w:hint="eastAsia" w:ascii="仿宋_GB2312" w:hAnsi="仿宋_GB2312" w:eastAsia="仿宋_GB2312" w:cs="仿宋_GB2312"/>
                <w:color w:val="000000"/>
                <w:sz w:val="24"/>
                <w:szCs w:val="24"/>
                <w:highlight w:val="none"/>
              </w:rPr>
              <w:t>B不同意分包。</w:t>
            </w:r>
          </w:p>
          <w:p w14:paraId="2EF9F268">
            <w:pPr>
              <w:pStyle w:val="12"/>
              <w:ind w:firstLine="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注：不得限制大中型企业向小微企业合理分包。</w:t>
            </w:r>
          </w:p>
        </w:tc>
      </w:tr>
      <w:tr w14:paraId="12825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14:paraId="1D90EF8E">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14:paraId="0A5914A8">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2FAA1948">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（1）资格证明文件：见招标文件第二部分11.1。</w:t>
            </w:r>
          </w:p>
          <w:p w14:paraId="4D0B9ADF">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投标人未提供有效的资格证明文件的，视为投标人不具备招标文件中规定的资格要求，投标无效。</w:t>
            </w:r>
          </w:p>
        </w:tc>
      </w:tr>
      <w:tr w14:paraId="4D3D5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trPr>
        <w:tc>
          <w:tcPr>
            <w:tcW w:w="629" w:type="dxa"/>
            <w:vMerge w:val="continue"/>
            <w:tcBorders>
              <w:left w:val="single" w:color="auto" w:sz="4" w:space="0"/>
              <w:bottom w:val="single" w:color="auto" w:sz="4" w:space="0"/>
              <w:right w:val="single" w:color="auto" w:sz="4" w:space="0"/>
            </w:tcBorders>
            <w:noWrap w:val="0"/>
            <w:vAlign w:val="top"/>
          </w:tcPr>
          <w:p w14:paraId="55AC7586">
            <w:pPr>
              <w:spacing w:line="540" w:lineRule="exact"/>
              <w:contextualSpacing/>
              <w:rPr>
                <w:rFonts w:hint="eastAsia" w:ascii="仿宋_GB2312" w:hAnsi="仿宋_GB2312" w:eastAsia="仿宋_GB2312" w:cs="仿宋_GB2312"/>
                <w:color w:val="000000"/>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677493B8">
            <w:pPr>
              <w:spacing w:line="400" w:lineRule="exact"/>
              <w:contextualSpacing/>
              <w:rPr>
                <w:rFonts w:hint="eastAsia" w:ascii="仿宋_GB2312" w:hAnsi="仿宋_GB2312" w:eastAsia="仿宋_GB2312" w:cs="仿宋_GB2312"/>
                <w:color w:val="000000"/>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07D1E40E">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（2）资信证明文件：根据招标文件第四部分评标标准提供。</w:t>
            </w:r>
          </w:p>
        </w:tc>
      </w:tr>
      <w:tr w14:paraId="41B7F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F8AEE8">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183222F">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E2699D7">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A不组织。</w:t>
            </w:r>
          </w:p>
          <w:p w14:paraId="275E286A">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☐B组织，时间： ,地点：，联系人：，联系方式：。</w:t>
            </w:r>
          </w:p>
        </w:tc>
      </w:tr>
      <w:tr w14:paraId="2DA25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994DD99">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74664B">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B01C648">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A不要求提供。</w:t>
            </w:r>
          </w:p>
          <w:p w14:paraId="59D3289B">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☐B要求提供，</w:t>
            </w:r>
          </w:p>
          <w:p w14:paraId="5D4B0D47">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color w:val="000000"/>
                <w:kern w:val="0"/>
                <w:sz w:val="24"/>
                <w:highlight w:val="none"/>
              </w:rPr>
              <w:t>（1</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napToGrid w:val="0"/>
                <w:kern w:val="28"/>
                <w:sz w:val="24"/>
                <w:highlight w:val="none"/>
              </w:rPr>
              <w:t>样品</w:t>
            </w:r>
            <w:r>
              <w:rPr>
                <w:rFonts w:hint="eastAsia" w:ascii="仿宋_GB2312" w:hAnsi="仿宋_GB2312" w:eastAsia="仿宋_GB2312" w:cs="仿宋_GB2312"/>
                <w:kern w:val="0"/>
                <w:sz w:val="24"/>
                <w:highlight w:val="none"/>
              </w:rPr>
              <w:t>；</w:t>
            </w:r>
          </w:p>
          <w:p w14:paraId="21FD8A1F">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（2）</w:t>
            </w:r>
            <w:r>
              <w:rPr>
                <w:rFonts w:hint="eastAsia" w:ascii="仿宋_GB2312" w:hAnsi="仿宋_GB2312" w:eastAsia="仿宋_GB2312" w:cs="仿宋_GB2312"/>
                <w:snapToGrid w:val="0"/>
                <w:kern w:val="28"/>
                <w:sz w:val="24"/>
                <w:highlight w:val="none"/>
              </w:rPr>
              <w:t>样品制作的标准和要求</w:t>
            </w:r>
            <w:r>
              <w:rPr>
                <w:rFonts w:hint="eastAsia" w:ascii="仿宋_GB2312" w:hAnsi="仿宋_GB2312" w:eastAsia="仿宋_GB2312" w:cs="仿宋_GB2312"/>
                <w:kern w:val="0"/>
                <w:sz w:val="24"/>
                <w:highlight w:val="none"/>
              </w:rPr>
              <w:t>；</w:t>
            </w:r>
          </w:p>
          <w:p w14:paraId="1FAF1515">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（3）样品的评审方法以及评审标准</w:t>
            </w:r>
            <w:r>
              <w:rPr>
                <w:rFonts w:hint="eastAsia" w:ascii="仿宋_GB2312" w:hAnsi="仿宋_GB2312" w:eastAsia="仿宋_GB2312" w:cs="仿宋_GB2312"/>
                <w:snapToGrid w:val="0"/>
                <w:kern w:val="28"/>
                <w:sz w:val="24"/>
                <w:highlight w:val="none"/>
              </w:rPr>
              <w:t>：详见</w:t>
            </w:r>
            <w:r>
              <w:rPr>
                <w:rFonts w:hint="eastAsia" w:ascii="仿宋_GB2312" w:hAnsi="仿宋_GB2312" w:eastAsia="仿宋_GB2312" w:cs="仿宋_GB2312"/>
                <w:sz w:val="24"/>
                <w:highlight w:val="none"/>
                <w:u w:val="single"/>
              </w:rPr>
              <w:t>评标办法</w:t>
            </w:r>
            <w:r>
              <w:rPr>
                <w:rFonts w:hint="eastAsia" w:ascii="仿宋_GB2312" w:hAnsi="仿宋_GB2312" w:eastAsia="仿宋_GB2312" w:cs="仿宋_GB2312"/>
                <w:kern w:val="0"/>
                <w:sz w:val="24"/>
                <w:highlight w:val="none"/>
              </w:rPr>
              <w:t>；</w:t>
            </w:r>
          </w:p>
          <w:p w14:paraId="644F363A">
            <w:pPr>
              <w:spacing w:line="400" w:lineRule="exac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（4）是否需要随样品提交检测报告：☐否；☐是，检测机构的要求</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；检测内容</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0"/>
                <w:sz w:val="24"/>
                <w:highlight w:val="none"/>
              </w:rPr>
              <w:t>。</w:t>
            </w:r>
          </w:p>
          <w:p w14:paraId="2642613C">
            <w:pPr>
              <w:spacing w:line="40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（5）提供样品的时间：</w:t>
            </w:r>
            <w:r>
              <w:rPr>
                <w:rFonts w:hint="eastAsia" w:ascii="仿宋_GB2312" w:hAnsi="仿宋_GB2312" w:eastAsia="仿宋_GB2312" w:cs="仿宋_GB2312"/>
                <w:kern w:val="0"/>
                <w:sz w:val="24"/>
                <w:highlight w:val="none"/>
              </w:rPr>
              <w:t>；地点：；联系人</w:t>
            </w:r>
            <w:r>
              <w:rPr>
                <w:rFonts w:hint="eastAsia" w:ascii="仿宋_GB2312" w:hAnsi="仿宋_GB2312" w:eastAsia="仿宋_GB2312" w:cs="仿宋_GB2312"/>
                <w:sz w:val="24"/>
                <w:highlight w:val="none"/>
              </w:rPr>
              <w:t>：，</w:t>
            </w:r>
            <w:r>
              <w:rPr>
                <w:rFonts w:hint="eastAsia" w:ascii="仿宋_GB2312" w:hAnsi="仿宋_GB2312" w:eastAsia="仿宋_GB2312" w:cs="仿宋_GB2312"/>
                <w:kern w:val="28"/>
                <w:sz w:val="24"/>
                <w:highlight w:val="none"/>
              </w:rPr>
              <w:t>联系电话：</w:t>
            </w:r>
            <w:r>
              <w:rPr>
                <w:rFonts w:hint="eastAsia" w:ascii="仿宋_GB2312" w:hAnsi="仿宋_GB2312" w:eastAsia="仿宋_GB2312" w:cs="仿宋_GB2312"/>
                <w:sz w:val="24"/>
                <w:highlight w:val="none"/>
              </w:rPr>
              <w:t>。请投标人在上述时间内提供样品并按规定位置安装完毕。超过截止时间的，采购人或采购代理机构将不予接收，并将清场并封闭样品现场。</w:t>
            </w:r>
          </w:p>
          <w:p w14:paraId="26005C51">
            <w:pPr>
              <w:spacing w:line="400" w:lineRule="exact"/>
              <w:rPr>
                <w:rFonts w:hint="eastAsia" w:ascii="仿宋_GB2312" w:hAnsi="仿宋_GB2312" w:eastAsia="仿宋_GB2312" w:cs="仿宋_GB2312"/>
                <w:color w:val="000000"/>
                <w:sz w:val="24"/>
                <w:highlight w:val="none"/>
              </w:rPr>
            </w:pPr>
            <w:r>
              <w:rPr>
                <w:rFonts w:hint="eastAsia" w:ascii="仿宋_GB2312" w:hAnsi="仿宋_GB2312" w:eastAsia="仿宋_GB2312" w:cs="仿宋_GB2312"/>
                <w:sz w:val="24"/>
                <w:highlight w:val="none"/>
              </w:rPr>
              <w:t>（6）采购活动结束后，对于未中标人提供的样品，采购人、采购代理机构将通知未中标人在规定的时间</w:t>
            </w:r>
            <w:r>
              <w:rPr>
                <w:rFonts w:hint="eastAsia" w:ascii="仿宋_GB2312" w:hAnsi="仿宋_GB2312" w:eastAsia="仿宋_GB2312" w:cs="仿宋_GB2312"/>
                <w:color w:val="000000"/>
                <w:sz w:val="24"/>
                <w:highlight w:val="none"/>
              </w:rPr>
              <w:t>内取回，逾期未取回的，采购人、采购代理机构不负保管义务；对于中标人提供的样品，采购人将进行保管、封存，并作为履约验收的参考。</w:t>
            </w:r>
          </w:p>
          <w:p w14:paraId="631B0FE8">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highlight w:val="none"/>
              </w:rPr>
              <w:t>（7）制作、运输、安装和保管样品所发生的一切费用由投标人自理。</w:t>
            </w:r>
          </w:p>
        </w:tc>
      </w:tr>
      <w:tr w14:paraId="2834C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AF58E57">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E4DEBE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B8BADA2">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☐A不组织。</w:t>
            </w:r>
          </w:p>
          <w:p w14:paraId="6ACFDDDC">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B组织。</w:t>
            </w:r>
          </w:p>
          <w:p w14:paraId="68896970">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（1）在评标时安排每个投标人进行方案讲解演示。每个投标人时间不超过</w:t>
            </w:r>
            <w:r>
              <w:rPr>
                <w:rFonts w:hint="eastAsia" w:ascii="仿宋_GB2312" w:hAnsi="仿宋_GB2312" w:eastAsia="仿宋_GB2312" w:cs="仿宋_GB2312"/>
                <w:color w:val="000000"/>
                <w:sz w:val="24"/>
                <w:szCs w:val="24"/>
                <w:highlight w:val="none"/>
                <w:u w:val="single"/>
                <w:lang w:val="en-US" w:eastAsia="zh-CN"/>
              </w:rPr>
              <w:t>15</w:t>
            </w:r>
            <w:r>
              <w:rPr>
                <w:rFonts w:hint="eastAsia" w:ascii="仿宋_GB2312" w:hAnsi="仿宋_GB2312" w:eastAsia="仿宋_GB2312" w:cs="仿宋_GB2312"/>
                <w:color w:val="000000"/>
                <w:sz w:val="24"/>
                <w:szCs w:val="24"/>
                <w:highlight w:val="none"/>
              </w:rPr>
              <w:t>分钟，讲解次序以投标文件解密时间先后次序为准，讲解演示人员不超过</w:t>
            </w:r>
            <w:r>
              <w:rPr>
                <w:rFonts w:hint="eastAsia" w:ascii="仿宋_GB2312" w:hAnsi="仿宋_GB2312" w:eastAsia="仿宋_GB2312" w:cs="仿宋_GB2312"/>
                <w:color w:val="000000"/>
                <w:sz w:val="24"/>
                <w:szCs w:val="24"/>
                <w:highlight w:val="none"/>
                <w:u w:val="single"/>
              </w:rPr>
              <w:t>3</w:t>
            </w:r>
            <w:r>
              <w:rPr>
                <w:rFonts w:hint="eastAsia" w:ascii="仿宋_GB2312" w:hAnsi="仿宋_GB2312" w:eastAsia="仿宋_GB2312" w:cs="仿宋_GB2312"/>
                <w:color w:val="000000"/>
                <w:sz w:val="24"/>
                <w:szCs w:val="24"/>
                <w:highlight w:val="none"/>
              </w:rPr>
              <w:t>人。讲解演示结束后按要求解答评标委员会提问。</w:t>
            </w:r>
          </w:p>
          <w:p w14:paraId="0F55DA32">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（2）方案讲解演示可选择以下其中一种方式：</w:t>
            </w:r>
          </w:p>
          <w:p w14:paraId="1A531ED6">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政采云平台在线讲解演示。政采云平台在线讲解需投标人根据政采云平台操作要求做好准备工作，提前完善软硬件配置环境。</w:t>
            </w:r>
          </w:p>
          <w:p w14:paraId="44A30E67">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☐交易中心现场讲解演示。现场讲解地点为，讲解演示所用电脑等设备由投标人自备。现场讲解演示人员进场时提供讲解人员名单（加盖公章）及身份证明，否则不得讲解演示。</w:t>
            </w:r>
          </w:p>
          <w:p w14:paraId="5F510A17">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BC72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9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65EC7ED8">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0F4B64E">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BF4B0A8">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sz w:val="24"/>
                <w:szCs w:val="24"/>
                <w:highlight w:val="none"/>
              </w:rPr>
              <w:t>本项目不允许采购进口产品。</w:t>
            </w:r>
          </w:p>
          <w:p w14:paraId="270E17DA">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EA42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B08E851">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DA7BAEB">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515A4B">
            <w:pPr>
              <w:pStyle w:val="12"/>
              <w:rPr>
                <w:rFonts w:hint="eastAsia" w:ascii="仿宋_GB2312" w:hAnsi="仿宋_GB2312" w:eastAsia="仿宋_GB2312" w:cs="仿宋_GB2312"/>
                <w:color w:val="000000"/>
                <w:szCs w:val="24"/>
                <w:highlight w:val="none"/>
                <w:lang w:eastAsia="zh-CN"/>
              </w:rPr>
            </w:pPr>
            <w:r>
              <w:rPr>
                <w:rFonts w:hint="eastAsia" w:ascii="仿宋_GB2312" w:hAnsi="仿宋_GB2312" w:eastAsia="仿宋_GB2312" w:cs="仿宋_GB2312"/>
                <w:color w:val="000000"/>
                <w:szCs w:val="24"/>
                <w:highlight w:val="none"/>
              </w:rPr>
              <w:t>货物类，单一产品或核心产品为：</w:t>
            </w:r>
            <w:r>
              <w:rPr>
                <w:rFonts w:hint="eastAsia" w:ascii="仿宋_GB2312" w:hAnsi="仿宋_GB2312" w:eastAsia="仿宋_GB2312" w:cs="仿宋_GB2312"/>
                <w:color w:val="000000"/>
                <w:kern w:val="0"/>
                <w:sz w:val="24"/>
                <w:szCs w:val="24"/>
                <w:highlight w:val="none"/>
                <w:u w:val="single"/>
                <w:lang w:bidi="ar"/>
              </w:rPr>
              <w:t>★</w:t>
            </w:r>
            <w:r>
              <w:rPr>
                <w:rFonts w:hint="eastAsia" w:ascii="仿宋_GB2312" w:hAnsi="仿宋_GB2312" w:eastAsia="仿宋_GB2312" w:cs="仿宋_GB2312"/>
                <w:color w:val="000000"/>
                <w:kern w:val="0"/>
                <w:sz w:val="24"/>
                <w:szCs w:val="24"/>
                <w:highlight w:val="none"/>
                <w:u w:val="single"/>
                <w:lang w:val="en-US" w:eastAsia="zh-CN" w:bidi="ar"/>
              </w:rPr>
              <w:t>智慧黑板1（</w:t>
            </w:r>
            <w:r>
              <w:rPr>
                <w:rFonts w:hint="eastAsia" w:ascii="仿宋_GB2312" w:hAnsi="仿宋_GB2312" w:eastAsia="仿宋_GB2312" w:cs="仿宋_GB2312"/>
                <w:color w:val="000000"/>
                <w:kern w:val="0"/>
                <w:sz w:val="24"/>
                <w:szCs w:val="24"/>
                <w:highlight w:val="none"/>
                <w:u w:val="single"/>
                <w:lang w:bidi="ar"/>
              </w:rPr>
              <w:t>智慧屏</w:t>
            </w:r>
            <w:r>
              <w:rPr>
                <w:rFonts w:hint="eastAsia" w:ascii="仿宋_GB2312" w:hAnsi="仿宋_GB2312" w:eastAsia="仿宋_GB2312" w:cs="仿宋_GB2312"/>
                <w:color w:val="000000"/>
                <w:kern w:val="0"/>
                <w:sz w:val="24"/>
                <w:szCs w:val="24"/>
                <w:highlight w:val="none"/>
                <w:u w:val="single"/>
                <w:lang w:val="en-US" w:eastAsia="zh-CN" w:bidi="ar"/>
              </w:rPr>
              <w:t>+</w:t>
            </w:r>
            <w:r>
              <w:rPr>
                <w:rFonts w:hint="eastAsia" w:ascii="仿宋_GB2312" w:hAnsi="仿宋_GB2312" w:eastAsia="仿宋_GB2312" w:cs="仿宋_GB2312"/>
                <w:color w:val="000000"/>
                <w:kern w:val="0"/>
                <w:sz w:val="24"/>
                <w:szCs w:val="24"/>
                <w:highlight w:val="none"/>
                <w:u w:val="single"/>
                <w:lang w:bidi="ar"/>
              </w:rPr>
              <w:t>光能黑板</w:t>
            </w:r>
            <w:r>
              <w:rPr>
                <w:rFonts w:hint="eastAsia" w:ascii="仿宋_GB2312" w:hAnsi="仿宋_GB2312" w:eastAsia="仿宋_GB2312" w:cs="仿宋_GB2312"/>
                <w:color w:val="000000"/>
                <w:kern w:val="0"/>
                <w:sz w:val="24"/>
                <w:szCs w:val="24"/>
                <w:highlight w:val="none"/>
                <w:u w:val="single"/>
                <w:lang w:eastAsia="zh-CN" w:bidi="ar"/>
              </w:rPr>
              <w:t>）、★智慧黑板</w:t>
            </w:r>
            <w:r>
              <w:rPr>
                <w:rFonts w:hint="eastAsia" w:ascii="仿宋_GB2312" w:hAnsi="仿宋_GB2312" w:eastAsia="仿宋_GB2312" w:cs="仿宋_GB2312"/>
                <w:color w:val="000000"/>
                <w:kern w:val="0"/>
                <w:sz w:val="24"/>
                <w:szCs w:val="24"/>
                <w:highlight w:val="none"/>
                <w:u w:val="single"/>
                <w:lang w:val="en-US" w:eastAsia="zh-CN" w:bidi="ar"/>
              </w:rPr>
              <w:t>2</w:t>
            </w:r>
            <w:r>
              <w:rPr>
                <w:rFonts w:hint="eastAsia" w:ascii="仿宋_GB2312" w:hAnsi="仿宋_GB2312" w:eastAsia="仿宋_GB2312" w:cs="仿宋_GB2312"/>
                <w:color w:val="000000"/>
                <w:kern w:val="0"/>
                <w:sz w:val="24"/>
                <w:szCs w:val="24"/>
                <w:highlight w:val="none"/>
                <w:u w:val="single"/>
                <w:lang w:eastAsia="zh-CN" w:bidi="ar"/>
              </w:rPr>
              <w:t>（智慧屏+光能黑板）</w:t>
            </w:r>
          </w:p>
        </w:tc>
      </w:tr>
      <w:tr w14:paraId="752E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24155D">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61A22A9">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EE5C6B2">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采购标的：详见采购需求，所属行业：详见采购需求。</w:t>
            </w:r>
          </w:p>
        </w:tc>
      </w:tr>
      <w:tr w14:paraId="78B71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B84A737">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6463607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4A86D1C">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依据国家确定的认证机构出具的、处于有效期之内的节能产品认证证书，对获得证书的产品实施政府优先采购或强制采购；其中，</w:t>
            </w:r>
          </w:p>
          <w:p w14:paraId="2E08B191">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 xml:space="preserve">对 </w:t>
            </w:r>
            <w:r>
              <w:rPr>
                <w:rFonts w:hint="eastAsia" w:ascii="仿宋_GB2312" w:hAnsi="仿宋_GB2312" w:eastAsia="仿宋_GB2312" w:cs="仿宋_GB2312"/>
                <w:color w:val="000000"/>
                <w:szCs w:val="24"/>
                <w:highlight w:val="none"/>
              </w:rPr>
              <w:t>：</w:t>
            </w:r>
            <w:r>
              <w:rPr>
                <w:rFonts w:hint="eastAsia" w:ascii="仿宋_GB2312" w:hAnsi="仿宋_GB2312" w:eastAsia="仿宋_GB2312" w:cs="仿宋_GB2312"/>
                <w:color w:val="000000"/>
                <w:kern w:val="0"/>
                <w:sz w:val="24"/>
                <w:szCs w:val="24"/>
                <w:highlight w:val="none"/>
                <w:u w:val="single"/>
                <w:lang w:bidi="ar"/>
              </w:rPr>
              <w:t>★</w:t>
            </w:r>
            <w:r>
              <w:rPr>
                <w:rFonts w:hint="eastAsia" w:ascii="仿宋_GB2312" w:hAnsi="仿宋_GB2312" w:eastAsia="仿宋_GB2312" w:cs="仿宋_GB2312"/>
                <w:color w:val="000000"/>
                <w:kern w:val="0"/>
                <w:sz w:val="24"/>
                <w:szCs w:val="24"/>
                <w:highlight w:val="none"/>
                <w:u w:val="single"/>
                <w:lang w:val="en-US" w:eastAsia="zh-CN" w:bidi="ar"/>
              </w:rPr>
              <w:t>智慧黑板1（</w:t>
            </w:r>
            <w:r>
              <w:rPr>
                <w:rFonts w:hint="eastAsia" w:ascii="仿宋_GB2312" w:hAnsi="仿宋_GB2312" w:eastAsia="仿宋_GB2312" w:cs="仿宋_GB2312"/>
                <w:color w:val="000000"/>
                <w:kern w:val="0"/>
                <w:sz w:val="24"/>
                <w:szCs w:val="24"/>
                <w:highlight w:val="none"/>
                <w:u w:val="single"/>
                <w:lang w:bidi="ar"/>
              </w:rPr>
              <w:t>智慧屏</w:t>
            </w:r>
            <w:r>
              <w:rPr>
                <w:rFonts w:hint="eastAsia" w:ascii="仿宋_GB2312" w:hAnsi="仿宋_GB2312" w:eastAsia="仿宋_GB2312" w:cs="仿宋_GB2312"/>
                <w:color w:val="000000"/>
                <w:kern w:val="0"/>
                <w:sz w:val="24"/>
                <w:szCs w:val="24"/>
                <w:highlight w:val="none"/>
                <w:u w:val="single"/>
                <w:lang w:val="en-US" w:eastAsia="zh-CN" w:bidi="ar"/>
              </w:rPr>
              <w:t>+</w:t>
            </w:r>
            <w:r>
              <w:rPr>
                <w:rFonts w:hint="eastAsia" w:ascii="仿宋_GB2312" w:hAnsi="仿宋_GB2312" w:eastAsia="仿宋_GB2312" w:cs="仿宋_GB2312"/>
                <w:color w:val="000000"/>
                <w:kern w:val="0"/>
                <w:sz w:val="24"/>
                <w:szCs w:val="24"/>
                <w:highlight w:val="none"/>
                <w:u w:val="single"/>
                <w:lang w:bidi="ar"/>
              </w:rPr>
              <w:t>光能黑板</w:t>
            </w:r>
            <w:r>
              <w:rPr>
                <w:rFonts w:hint="eastAsia" w:ascii="仿宋_GB2312" w:hAnsi="仿宋_GB2312" w:eastAsia="仿宋_GB2312" w:cs="仿宋_GB2312"/>
                <w:color w:val="000000"/>
                <w:kern w:val="0"/>
                <w:sz w:val="24"/>
                <w:szCs w:val="24"/>
                <w:highlight w:val="none"/>
                <w:u w:val="single"/>
                <w:lang w:eastAsia="zh-CN" w:bidi="ar"/>
              </w:rPr>
              <w:t>）、★智慧黑板</w:t>
            </w:r>
            <w:r>
              <w:rPr>
                <w:rFonts w:hint="eastAsia" w:ascii="仿宋_GB2312" w:hAnsi="仿宋_GB2312" w:eastAsia="仿宋_GB2312" w:cs="仿宋_GB2312"/>
                <w:color w:val="000000"/>
                <w:kern w:val="0"/>
                <w:sz w:val="24"/>
                <w:szCs w:val="24"/>
                <w:highlight w:val="none"/>
                <w:u w:val="single"/>
                <w:lang w:val="en-US" w:eastAsia="zh-CN" w:bidi="ar"/>
              </w:rPr>
              <w:t>2</w:t>
            </w:r>
            <w:r>
              <w:rPr>
                <w:rFonts w:hint="eastAsia" w:ascii="仿宋_GB2312" w:hAnsi="仿宋_GB2312" w:eastAsia="仿宋_GB2312" w:cs="仿宋_GB2312"/>
                <w:color w:val="000000"/>
                <w:kern w:val="0"/>
                <w:sz w:val="24"/>
                <w:szCs w:val="24"/>
                <w:highlight w:val="none"/>
                <w:u w:val="single"/>
                <w:lang w:eastAsia="zh-CN" w:bidi="ar"/>
              </w:rPr>
              <w:t>（智慧屏+光能黑板）</w:t>
            </w:r>
            <w:r>
              <w:rPr>
                <w:rFonts w:hint="eastAsia" w:ascii="仿宋_GB2312" w:hAnsi="仿宋_GB2312" w:eastAsia="仿宋_GB2312" w:cs="仿宋_GB2312"/>
                <w:color w:val="000000"/>
                <w:sz w:val="24"/>
                <w:szCs w:val="24"/>
                <w:highlight w:val="none"/>
              </w:rPr>
              <w:t>实施政府优先采购，详见评分标准；</w:t>
            </w:r>
          </w:p>
          <w:p w14:paraId="20B94644">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实施政府强制采购，投标人就相应的投标产品未提供国家确定的认证机构出具的、处于有效期之内的节能产品认证证书的，投标无效。</w:t>
            </w:r>
          </w:p>
          <w:p w14:paraId="359734DB">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依据国家确定的认证机构出具的、处于有效期之内的环境标志产品认证证书，对获得证书的</w:t>
            </w:r>
            <w:r>
              <w:rPr>
                <w:rFonts w:hint="eastAsia" w:ascii="仿宋_GB2312" w:hAnsi="仿宋_GB2312" w:eastAsia="仿宋_GB2312" w:cs="仿宋_GB2312"/>
                <w:color w:val="000000"/>
                <w:szCs w:val="24"/>
                <w:highlight w:val="none"/>
              </w:rPr>
              <w:t>：</w:t>
            </w:r>
            <w:r>
              <w:rPr>
                <w:rFonts w:hint="eastAsia" w:ascii="仿宋_GB2312" w:hAnsi="仿宋_GB2312" w:eastAsia="仿宋_GB2312" w:cs="仿宋_GB2312"/>
                <w:color w:val="000000"/>
                <w:kern w:val="0"/>
                <w:sz w:val="24"/>
                <w:szCs w:val="24"/>
                <w:highlight w:val="none"/>
                <w:u w:val="single"/>
                <w:lang w:bidi="ar"/>
              </w:rPr>
              <w:t>★</w:t>
            </w:r>
            <w:r>
              <w:rPr>
                <w:rFonts w:hint="eastAsia" w:ascii="仿宋_GB2312" w:hAnsi="仿宋_GB2312" w:eastAsia="仿宋_GB2312" w:cs="仿宋_GB2312"/>
                <w:color w:val="000000"/>
                <w:kern w:val="0"/>
                <w:sz w:val="24"/>
                <w:szCs w:val="24"/>
                <w:highlight w:val="none"/>
                <w:u w:val="single"/>
                <w:lang w:val="en-US" w:eastAsia="zh-CN" w:bidi="ar"/>
              </w:rPr>
              <w:t>智慧黑板1（</w:t>
            </w:r>
            <w:r>
              <w:rPr>
                <w:rFonts w:hint="eastAsia" w:ascii="仿宋_GB2312" w:hAnsi="仿宋_GB2312" w:eastAsia="仿宋_GB2312" w:cs="仿宋_GB2312"/>
                <w:color w:val="000000"/>
                <w:kern w:val="0"/>
                <w:sz w:val="24"/>
                <w:szCs w:val="24"/>
                <w:highlight w:val="none"/>
                <w:u w:val="single"/>
                <w:lang w:bidi="ar"/>
              </w:rPr>
              <w:t>智慧屏</w:t>
            </w:r>
            <w:r>
              <w:rPr>
                <w:rFonts w:hint="eastAsia" w:ascii="仿宋_GB2312" w:hAnsi="仿宋_GB2312" w:eastAsia="仿宋_GB2312" w:cs="仿宋_GB2312"/>
                <w:color w:val="000000"/>
                <w:kern w:val="0"/>
                <w:sz w:val="24"/>
                <w:szCs w:val="24"/>
                <w:highlight w:val="none"/>
                <w:u w:val="single"/>
                <w:lang w:val="en-US" w:eastAsia="zh-CN" w:bidi="ar"/>
              </w:rPr>
              <w:t>+</w:t>
            </w:r>
            <w:r>
              <w:rPr>
                <w:rFonts w:hint="eastAsia" w:ascii="仿宋_GB2312" w:hAnsi="仿宋_GB2312" w:eastAsia="仿宋_GB2312" w:cs="仿宋_GB2312"/>
                <w:color w:val="000000"/>
                <w:kern w:val="0"/>
                <w:sz w:val="24"/>
                <w:szCs w:val="24"/>
                <w:highlight w:val="none"/>
                <w:u w:val="single"/>
                <w:lang w:bidi="ar"/>
              </w:rPr>
              <w:t>光能黑板</w:t>
            </w:r>
            <w:r>
              <w:rPr>
                <w:rFonts w:hint="eastAsia" w:ascii="仿宋_GB2312" w:hAnsi="仿宋_GB2312" w:eastAsia="仿宋_GB2312" w:cs="仿宋_GB2312"/>
                <w:color w:val="000000"/>
                <w:kern w:val="0"/>
                <w:sz w:val="24"/>
                <w:szCs w:val="24"/>
                <w:highlight w:val="none"/>
                <w:u w:val="single"/>
                <w:lang w:eastAsia="zh-CN" w:bidi="ar"/>
              </w:rPr>
              <w:t>）、★智慧黑板</w:t>
            </w:r>
            <w:r>
              <w:rPr>
                <w:rFonts w:hint="eastAsia" w:ascii="仿宋_GB2312" w:hAnsi="仿宋_GB2312" w:eastAsia="仿宋_GB2312" w:cs="仿宋_GB2312"/>
                <w:color w:val="000000"/>
                <w:kern w:val="0"/>
                <w:sz w:val="24"/>
                <w:szCs w:val="24"/>
                <w:highlight w:val="none"/>
                <w:u w:val="single"/>
                <w:lang w:val="en-US" w:eastAsia="zh-CN" w:bidi="ar"/>
              </w:rPr>
              <w:t>2</w:t>
            </w:r>
            <w:r>
              <w:rPr>
                <w:rFonts w:hint="eastAsia" w:ascii="仿宋_GB2312" w:hAnsi="仿宋_GB2312" w:eastAsia="仿宋_GB2312" w:cs="仿宋_GB2312"/>
                <w:color w:val="000000"/>
                <w:kern w:val="0"/>
                <w:sz w:val="24"/>
                <w:szCs w:val="24"/>
                <w:highlight w:val="none"/>
                <w:u w:val="single"/>
                <w:lang w:eastAsia="zh-CN" w:bidi="ar"/>
              </w:rPr>
              <w:t>（智慧屏+光能黑板）</w:t>
            </w:r>
            <w:r>
              <w:rPr>
                <w:rFonts w:hint="eastAsia" w:ascii="仿宋_GB2312" w:hAnsi="仿宋_GB2312" w:eastAsia="仿宋_GB2312" w:cs="仿宋_GB2312"/>
                <w:color w:val="000000"/>
                <w:sz w:val="24"/>
                <w:szCs w:val="24"/>
                <w:highlight w:val="none"/>
              </w:rPr>
              <w:t>实施政府优先采购，详见评分标准。</w:t>
            </w:r>
          </w:p>
          <w:p w14:paraId="205BE2C3">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☐无。</w:t>
            </w:r>
          </w:p>
        </w:tc>
      </w:tr>
      <w:tr w14:paraId="25E2B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41" w:hRule="atLeast"/>
          <w:tblHeader/>
        </w:trPr>
        <w:tc>
          <w:tcPr>
            <w:tcW w:w="629" w:type="dxa"/>
            <w:tcBorders>
              <w:top w:val="single" w:color="auto" w:sz="4" w:space="0"/>
              <w:left w:val="single" w:color="000000" w:sz="8" w:space="0"/>
              <w:right w:val="single" w:color="000000" w:sz="2" w:space="0"/>
            </w:tcBorders>
            <w:noWrap w:val="0"/>
            <w:vAlign w:val="center"/>
          </w:tcPr>
          <w:p w14:paraId="657BD476">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2895AAA7">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政采贷</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0E712060">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00963254">
            <w:pPr>
              <w:pStyle w:val="10"/>
              <w:spacing w:line="4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01F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507198A1">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B170250">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C49114C">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备份投标文件的送达地点和签收人员详见招标文件第二部分15.3.；15.4。采购人、采购代理机构不强制或变相强制投标人提交备份投标文件。</w:t>
            </w:r>
          </w:p>
        </w:tc>
      </w:tr>
      <w:tr w14:paraId="377B7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2D17AC7">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F08941A">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DD89C80">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是否需要履约保证金: </w:t>
            </w:r>
            <w:r>
              <w:rPr>
                <w:rFonts w:hint="eastAsia" w:ascii="仿宋_GB2312" w:hAnsi="仿宋_GB2312" w:eastAsia="仿宋_GB2312" w:cs="仿宋_GB2312"/>
                <w:sz w:val="24"/>
                <w:szCs w:val="24"/>
                <w:highlight w:val="none"/>
              </w:rPr>
              <w:sym w:font="Wingdings" w:char="00A8"/>
            </w:r>
            <w:r>
              <w:rPr>
                <w:rFonts w:hint="eastAsia" w:ascii="仿宋_GB2312" w:hAnsi="仿宋_GB2312" w:eastAsia="仿宋_GB2312" w:cs="仿宋_GB2312"/>
                <w:sz w:val="24"/>
                <w:szCs w:val="24"/>
                <w:highlight w:val="none"/>
              </w:rPr>
              <w:t>是</w:t>
            </w:r>
            <w:r>
              <w:rPr>
                <w:rFonts w:hint="eastAsia"/>
                <w:highlight w:val="none"/>
                <w:lang w:val="en-US" w:eastAsia="zh-CN"/>
              </w:rPr>
              <w:t>√</w:t>
            </w:r>
            <w:r>
              <w:rPr>
                <w:rFonts w:hint="eastAsia" w:ascii="仿宋_GB2312" w:hAnsi="仿宋_GB2312" w:eastAsia="仿宋_GB2312" w:cs="仿宋_GB2312"/>
                <w:sz w:val="24"/>
                <w:szCs w:val="24"/>
                <w:highlight w:val="none"/>
              </w:rPr>
              <w:t>否</w:t>
            </w:r>
          </w:p>
        </w:tc>
      </w:tr>
      <w:tr w14:paraId="657D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3FBD46BC">
            <w:pPr>
              <w:spacing w:line="400" w:lineRule="exact"/>
              <w:contextualSpacing/>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36FA022">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AE48911">
            <w:pPr>
              <w:spacing w:line="400" w:lineRule="exact"/>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联合体投标的，联合体各方分别提供与联合体协议中规定的分工内容相应的业绩证明材料，业绩数量以提供材料较少的一方为准。</w:t>
            </w:r>
          </w:p>
          <w:p w14:paraId="6D1E9F23">
            <w:pPr>
              <w:spacing w:line="400" w:lineRule="exac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☐联合体投标的，联合体各方均需按招标文件第四部分评标办法提供资信证明文件，否则视为不符合相关要求。</w:t>
            </w:r>
          </w:p>
          <w:p w14:paraId="5CBE61B6">
            <w:pPr>
              <w:pStyle w:val="10"/>
              <w:spacing w:line="40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sz w:val="24"/>
                <w:szCs w:val="24"/>
                <w:highlight w:val="none"/>
              </w:rPr>
              <w:t>联合体投标的，联合体中有一方或者联合体成员根据分工按招标文件第四部分评标办法提供资信证明文件的，视为符合了相关要求。</w:t>
            </w:r>
          </w:p>
        </w:tc>
      </w:tr>
      <w:bookmarkEnd w:id="10"/>
    </w:tbl>
    <w:p w14:paraId="4897C172">
      <w:pPr>
        <w:spacing w:line="420" w:lineRule="exact"/>
        <w:ind w:firstLine="472" w:firstLineChars="196"/>
        <w:contextualSpacing/>
        <w:rPr>
          <w:rFonts w:hint="eastAsia" w:ascii="仿宋_GB2312" w:hAnsi="仿宋_GB2312" w:eastAsia="仿宋_GB2312" w:cs="仿宋_GB2312"/>
          <w:b/>
          <w:color w:val="000000"/>
          <w:sz w:val="24"/>
          <w:szCs w:val="24"/>
          <w:highlight w:val="none"/>
        </w:rPr>
      </w:pPr>
      <w:bookmarkStart w:id="11" w:name="第三部分"/>
      <w:bookmarkStart w:id="12" w:name="_Toc164416483"/>
      <w:r>
        <w:rPr>
          <w:rFonts w:hint="eastAsia" w:ascii="仿宋_GB2312" w:hAnsi="仿宋_GB2312" w:eastAsia="仿宋_GB2312" w:cs="仿宋_GB2312"/>
          <w:b/>
          <w:color w:val="000000"/>
          <w:sz w:val="24"/>
          <w:szCs w:val="24"/>
          <w:highlight w:val="none"/>
        </w:rPr>
        <w:t>一、总则</w:t>
      </w:r>
    </w:p>
    <w:p w14:paraId="65DAA61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1.适用范围</w:t>
      </w:r>
    </w:p>
    <w:p w14:paraId="4309E3E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本招标文件适用于该项目的招标、投标、开标、资格审查及信用信息查询、评标、定标、合同、验收等行为（法律、法规另有规定的，从其规定）。</w:t>
      </w:r>
    </w:p>
    <w:p w14:paraId="5899C7D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2.定义</w:t>
      </w:r>
    </w:p>
    <w:p w14:paraId="306D9BF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 “采购人”系指招标公告中载明的本项目的采购人。</w:t>
      </w:r>
    </w:p>
    <w:p w14:paraId="768DBF3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 “采购代理机构”系指招标公告中载明的本项目的采购代理机构。</w:t>
      </w:r>
    </w:p>
    <w:p w14:paraId="3BD9D4D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 “投标人”系指是指响应招标、参加投标竞争的法人、其他组织或者自然人。</w:t>
      </w:r>
    </w:p>
    <w:p w14:paraId="2B5C803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 “负责人”系指法人企业的法定负责人，或其他组织为法律、行政法规规定代表单位行使职权的主要负责人，或自然人本人。</w:t>
      </w:r>
    </w:p>
    <w:p w14:paraId="3EA9D4E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857EA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2.6“电子交易平台”是指本项目政府采购活动所依托的政府采购云平台（https://www.zcygov.cn/）。</w:t>
      </w:r>
    </w:p>
    <w:p w14:paraId="40DE402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2.7 “▲”系指实质性要求条款，“</w:t>
      </w:r>
      <w:r>
        <w:rPr>
          <w:rFonts w:hint="eastAsia" w:ascii="仿宋_GB2312" w:hAnsi="仿宋_GB2312" w:eastAsia="仿宋_GB2312" w:cs="仿宋_GB2312"/>
          <w:color w:val="000000"/>
          <w:szCs w:val="21"/>
          <w:highlight w:val="none"/>
        </w:rPr>
        <w:t>★</w:t>
      </w:r>
      <w:r>
        <w:rPr>
          <w:rFonts w:hint="eastAsia" w:ascii="仿宋_GB2312" w:hAnsi="仿宋_GB2312" w:eastAsia="仿宋_GB2312" w:cs="仿宋_GB2312"/>
          <w:color w:val="000000"/>
          <w:sz w:val="24"/>
          <w:szCs w:val="24"/>
          <w:highlight w:val="none"/>
        </w:rPr>
        <w:t>”系产品采购项目中单一产品或核心产品，“</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sz w:val="24"/>
          <w:szCs w:val="24"/>
          <w:highlight w:val="none"/>
        </w:rPr>
        <w:t>”系指适用本项目的要求，“☐”系指不适用本项目的要求。</w:t>
      </w:r>
    </w:p>
    <w:p w14:paraId="19722EB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 采购项目需要落实的政府采购政策</w:t>
      </w:r>
    </w:p>
    <w:p w14:paraId="1921456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4B4F3B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 支持绿色发展。</w:t>
      </w:r>
    </w:p>
    <w:p w14:paraId="59B5701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B86C5D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3.2.2 修缮、装修类项目采购建材的，采购人应将绿色建筑和绿色建材性能、指标等作为实质性条件纳入招标文件和合同。</w:t>
      </w:r>
    </w:p>
    <w:p w14:paraId="04F7D92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AD980A7">
      <w:pPr>
        <w:pStyle w:val="10"/>
        <w:spacing w:line="42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2CEF1D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3.3支持中小企业发展</w:t>
      </w:r>
    </w:p>
    <w:p w14:paraId="1987FEE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9B6886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符合中小企业划分标准的个体工商户，在政府采购活动中视同中小企业。</w:t>
      </w:r>
    </w:p>
    <w:p w14:paraId="1D66493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3.3.2在政府采购活动中，投标人提供的货物、工程或者服务符合下列情形的，享受中小企业扶持政策：</w:t>
      </w:r>
    </w:p>
    <w:p w14:paraId="05789D7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3.3.2.1在货物采购项目中，货物由中小企业制造，即货物由中小企业生产且使用该中小企业商号或者注册商标；</w:t>
      </w:r>
    </w:p>
    <w:p w14:paraId="550A4EE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3.3.2.2在工程采购项目中，工程由中小企业承建，即工程施工单位为中小企业；</w:t>
      </w:r>
    </w:p>
    <w:p w14:paraId="49C0EEF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3.3.2.3在服务采购项目中，服务由中小企业承接，即提供服务的人员为中小企业依照《中华人民共和国劳动合同法》订立劳动合同的从业人员。</w:t>
      </w:r>
    </w:p>
    <w:p w14:paraId="4336152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在货物采购项目中，投标人提供的货物既有中小企业制造货物，也有大型企业制造货物的，不享受中小企业扶持政策。</w:t>
      </w:r>
    </w:p>
    <w:p w14:paraId="6AE8925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以联合体形式参加政府采购活动，联合体各方均为中小企业的，联合体视同中小企业。其中，联合体各方均为小微企业的，联合体视同小微企业。</w:t>
      </w:r>
    </w:p>
    <w:p w14:paraId="4BE3C74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3.3.3对于未预留份额专门面向中小企业的政府采购项目，以及预留份额政府采购项目中的非预留部分标项，对小型和微型企业的投标报价给予</w:t>
      </w:r>
      <w:r>
        <w:rPr>
          <w:rFonts w:hint="eastAsia" w:ascii="仿宋_GB2312" w:hAnsi="仿宋_GB2312" w:eastAsia="仿宋_GB2312" w:cs="仿宋_GB2312"/>
          <w:color w:val="000000"/>
          <w:sz w:val="24"/>
          <w:szCs w:val="24"/>
          <w:highlight w:val="none"/>
          <w:u w:val="single"/>
        </w:rPr>
        <w:t>10%</w:t>
      </w:r>
      <w:r>
        <w:rPr>
          <w:rFonts w:hint="eastAsia" w:ascii="仿宋_GB2312" w:hAnsi="仿宋_GB2312" w:eastAsia="仿宋_GB2312" w:cs="仿宋_GB2312"/>
          <w:color w:val="000000"/>
          <w:sz w:val="24"/>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hint="eastAsia" w:ascii="仿宋_GB2312" w:hAnsi="仿宋_GB2312" w:eastAsia="仿宋_GB2312" w:cs="仿宋_GB2312"/>
          <w:color w:val="000000"/>
          <w:sz w:val="24"/>
          <w:szCs w:val="24"/>
          <w:highlight w:val="none"/>
          <w:u w:val="single"/>
        </w:rPr>
        <w:t>4%</w:t>
      </w:r>
      <w:r>
        <w:rPr>
          <w:rFonts w:hint="eastAsia" w:ascii="仿宋_GB2312" w:hAnsi="仿宋_GB2312" w:eastAsia="仿宋_GB2312" w:cs="仿宋_GB2312"/>
          <w:color w:val="000000"/>
          <w:sz w:val="24"/>
          <w:szCs w:val="24"/>
          <w:highlight w:val="none"/>
        </w:rPr>
        <w:t>的扣除，用扣除后的价格参加评审。组成联合体或者接受分包的小微企业与联合体内其他企业、分包企业之间存在直接控股、管理关系的，不享受价格扣除优惠政策。专门面向中小企业采购的项目或者采购包，不再执行价格评审优惠的扶持政策。</w:t>
      </w:r>
    </w:p>
    <w:p w14:paraId="01617A4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3.3.4符合《关于促进残疾人就业政府采购政策的通知》（财库〔2017〕141号）规定的条件并提供《残疾人福利性单位声明函》（附件1）的残疾人福利性单位视同小型、微型企业；</w:t>
      </w:r>
    </w:p>
    <w:p w14:paraId="7ECDA34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B08E8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A6CAE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3.3.7中小企业享受扶持政策获得政府采购合同的，小微企业不得将合同分包给大中型企业，中型企业不得将合同分包给大型企业。</w:t>
      </w:r>
    </w:p>
    <w:p w14:paraId="1D498BD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3.4支持创新发展</w:t>
      </w:r>
    </w:p>
    <w:p w14:paraId="252B54F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 采购人优先采购被认定为首台套产品和“制造精品”的自主创新产品。</w:t>
      </w:r>
    </w:p>
    <w:p w14:paraId="60F87E1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C5EEF6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3.5平等对待内外资企业和符合条件的破产重整企业</w:t>
      </w:r>
    </w:p>
    <w:p w14:paraId="612B4D7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平等对待内外资企业和符合条件的破产重整企业，切实保障企业公平竞争，平等维护企业的合法利益。</w:t>
      </w:r>
    </w:p>
    <w:p w14:paraId="1F44F40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3.6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附件。</w:t>
      </w:r>
    </w:p>
    <w:p w14:paraId="482166E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 询问、质疑、投诉</w:t>
      </w:r>
    </w:p>
    <w:p w14:paraId="7C58437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在线询问、质疑、投诉。根据《浙江省财政厅关于进一步促进政府采购公平竞争打造最优营商环境的通知》（浙财采监（2021）22号）文件关于“健全行政裁决机制”要求，鼓励供应商询问线上提起，路径为：政采云-项目采购-询问质疑投诉-询问列表；鼓励供应商质疑线上提起，路径为：政采云-项目采购-询问质疑投诉-质疑列表。质疑供应商对线上质疑答复不满意的，可线上提起投诉，路径为：浙江政务服务网-政府采购投诉处理-在线办理。</w:t>
      </w:r>
    </w:p>
    <w:p w14:paraId="3571F2F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4.2供应商询问</w:t>
      </w:r>
    </w:p>
    <w:p w14:paraId="46727E5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0216B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4.3供应商质疑</w:t>
      </w:r>
    </w:p>
    <w:p w14:paraId="5D79931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4.3.1提出质疑的供应商应当是参与所质疑项目采购活动的供应商。潜在供应商已依法获取其可质疑的招标文件的，可以对该文件提出质疑。</w:t>
      </w:r>
    </w:p>
    <w:p w14:paraId="0934F36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4.3.2供应商认为招标文件、采购过程和中标结果使自己的权益受到损害的，可以在知道或者应知其权益受到损害之日起七个工作日内，以书面形式或线上向采购人或者采购代理机构提出质疑，否则，采购人或者采购代理机构不予受理：</w:t>
      </w:r>
    </w:p>
    <w:p w14:paraId="77B1588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4.3.2.1对招标文件提出质疑的，质疑期限为供应商获得招标文件之日或者招标文件公告期限届满之日起计算。供应商获得招标文件在公告期限届满之日后的，应当自招标文件公告期限届满之日起计算，且应当在采购响应截止时间之前提出，否则采购人或者采购代理机构不予受理。对招标文件中特定资格条件、采购需求、评分办法提出的质疑，原则上由采购人负责答复；对招标文件中其他内容提出的质疑，原则上由采购代理机构负责答复。</w:t>
      </w:r>
    </w:p>
    <w:p w14:paraId="2032D233">
      <w:pPr>
        <w:spacing w:line="360" w:lineRule="auto"/>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4.3.2.2对采购过程提出质疑的，质疑期限为各采购程序环节结束之日起计算。对同一采购程序环节的质疑，供应商须在法定质疑期内一次性提出。对采购过程中有关现场考察或开标前答疑会事项提出的质疑，原则上由采购人负责答复；对采购过程中其它事项提出的质疑，原则上由采购代理机构负责答复。</w:t>
      </w:r>
    </w:p>
    <w:p w14:paraId="0115B056">
      <w:pPr>
        <w:spacing w:line="360" w:lineRule="auto"/>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4.3.2.3对采购结果提出质疑的，质疑期限自采购结果公告期限届满之日起计算。对采购结果提出质疑的，采购代理机构负责答复。</w:t>
      </w:r>
    </w:p>
    <w:p w14:paraId="5F2647F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4.3.3供应商提出质疑应当提交质疑函和必要的证明材料。质疑函应当包括下列内容：</w:t>
      </w:r>
    </w:p>
    <w:p w14:paraId="3B4D773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4.3.3.1供应商的姓名或者名称、地址、邮编、联系人及联系电话；</w:t>
      </w:r>
    </w:p>
    <w:p w14:paraId="43BA7F3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4.3.3.2质疑项目的名称、编号；</w:t>
      </w:r>
    </w:p>
    <w:p w14:paraId="3DED6CB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4.3.3.3具体、明确的质疑事项和与质疑事项相关的请求；</w:t>
      </w:r>
    </w:p>
    <w:p w14:paraId="725F02E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4.3.3.4事实依据；</w:t>
      </w:r>
    </w:p>
    <w:p w14:paraId="73634BA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4.3.3.5必要的法律依据；</w:t>
      </w:r>
    </w:p>
    <w:p w14:paraId="7D4CDAB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4.3.3.6提出质疑的日期。</w:t>
      </w:r>
    </w:p>
    <w:p w14:paraId="3D62F0E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供应商线下提交质疑函的，质疑函需一式三份。供应商为自然人的，应当由本人签字；供应商为法人或者其他组织的，应当由法定代表人、主要负责人，或者其授权代表签字或者盖章，并加盖公章。</w:t>
      </w:r>
    </w:p>
    <w:p w14:paraId="7D0B1AD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质疑函范本及制作说明详见附件2。</w:t>
      </w:r>
    </w:p>
    <w:p w14:paraId="1542573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4.3.4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答复后5个工作日内，在浙江政府采购网的“其他公告”栏目公开质疑答复，答复内容应当完整。质疑函作为附件上传。</w:t>
      </w:r>
    </w:p>
    <w:p w14:paraId="15DE5FC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4.3.5询问或者质疑事项可能影响采购结果的，采购人应当暂停签订合同，已经签订合同的，应当中止履行合同。</w:t>
      </w:r>
    </w:p>
    <w:p w14:paraId="1EF15F9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4.4供应商投诉</w:t>
      </w:r>
    </w:p>
    <w:p w14:paraId="6BD1DFE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8086AA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4.4.2供应商投诉的事项不得超出已质疑事项的范围，基于质疑答复内容提出的投诉事项除外。</w:t>
      </w:r>
    </w:p>
    <w:p w14:paraId="11FD599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4.4.3供应商投诉应当有明确的请求和必要的证明材料。</w:t>
      </w:r>
    </w:p>
    <w:p w14:paraId="1959A89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4.4.5 以联合体形式参加政府采购活动的，其投诉应当由组成联合体的所有供应商共同提出。</w:t>
      </w:r>
    </w:p>
    <w:p w14:paraId="4AB3F44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投诉书范本及制作说明详见附件3。</w:t>
      </w:r>
    </w:p>
    <w:p w14:paraId="6FA317B9">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二、招标文件的构成、澄清、修改</w:t>
      </w:r>
    </w:p>
    <w:p w14:paraId="2551B84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5．招标文件的构成</w:t>
      </w:r>
    </w:p>
    <w:p w14:paraId="3807B37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 招标文件包括下列文件及附件：</w:t>
      </w:r>
    </w:p>
    <w:p w14:paraId="4E36483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5.1.1招标公告；</w:t>
      </w:r>
    </w:p>
    <w:p w14:paraId="3DA7883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5.1.2投标人须知；</w:t>
      </w:r>
    </w:p>
    <w:p w14:paraId="6AEE6EF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5.1.3采购需求；</w:t>
      </w:r>
    </w:p>
    <w:p w14:paraId="491CEC3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5.1.4评标办法；</w:t>
      </w:r>
    </w:p>
    <w:p w14:paraId="365B6D6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5.1.5拟签订的合同文本；</w:t>
      </w:r>
    </w:p>
    <w:p w14:paraId="5D03F5E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5.1.6应提交的有关格式范例。</w:t>
      </w:r>
    </w:p>
    <w:p w14:paraId="6B5D211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5.2与本项目有关的澄清或者修改的内容为招标文件的组成部分。</w:t>
      </w:r>
    </w:p>
    <w:p w14:paraId="1A5D5C5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 招标文件的澄清、修改</w:t>
      </w:r>
    </w:p>
    <w:p w14:paraId="590E15A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6.1已获取招标文件的潜在投标人，若有问题需要澄清，应于投标截止时间前，以书面形式向采购代理机构提出。</w:t>
      </w:r>
    </w:p>
    <w:p w14:paraId="197CAF6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CC576B">
      <w:pPr>
        <w:spacing w:line="42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三、投标</w:t>
      </w:r>
    </w:p>
    <w:p w14:paraId="2ADE79B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 招标文件的获取</w:t>
      </w:r>
    </w:p>
    <w:p w14:paraId="611C98C4">
      <w:pPr>
        <w:spacing w:line="42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详见招标公告中获取招标文件的时间期限、地点、方式及招标文件售价。</w:t>
      </w:r>
    </w:p>
    <w:p w14:paraId="5C5B5E7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8.开标前答疑会或现场考察</w:t>
      </w:r>
    </w:p>
    <w:p w14:paraId="0ACFE75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采购人组织潜在投标人现场考察或者召开开标前答疑会的，潜在投标人按第二部分投标人须知前附表的规定参加现场考察或者开标前答疑会。</w:t>
      </w:r>
    </w:p>
    <w:p w14:paraId="3E89B79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9.投标保证金</w:t>
      </w:r>
    </w:p>
    <w:p w14:paraId="5317739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本项目不需缴纳投标保证金。</w:t>
      </w:r>
    </w:p>
    <w:p w14:paraId="7AB5F65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10. 投标文件的语言</w:t>
      </w:r>
    </w:p>
    <w:p w14:paraId="22EB6C6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投标文件及投标人与采购有关的来往通知、函件和文件均应使用中文。</w:t>
      </w:r>
    </w:p>
    <w:p w14:paraId="7A1378F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 投标文件的组成</w:t>
      </w:r>
    </w:p>
    <w:p w14:paraId="346AADE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11.1资格文件：</w:t>
      </w:r>
    </w:p>
    <w:p w14:paraId="48E9130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11.1.1符合参加政府采购活动应当具备的一般条件的承诺函；</w:t>
      </w:r>
    </w:p>
    <w:p w14:paraId="5A66FFE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11.1.2落实政府采购政策需满足的资格要求（如果有）;</w:t>
      </w:r>
    </w:p>
    <w:p w14:paraId="6B44281B">
      <w:pPr>
        <w:spacing w:line="420" w:lineRule="exact"/>
        <w:ind w:firstLine="465"/>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11.1.3本项目的特定资格要求（如果有）；</w:t>
      </w:r>
    </w:p>
    <w:p w14:paraId="71F3EB8E">
      <w:pPr>
        <w:spacing w:line="420" w:lineRule="exact"/>
        <w:ind w:firstLine="465"/>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11.1.4联合协议（如果有）；</w:t>
      </w:r>
    </w:p>
    <w:p w14:paraId="1B31B76F">
      <w:pPr>
        <w:spacing w:line="420" w:lineRule="exact"/>
        <w:ind w:firstLine="465"/>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11.1.5分包意向协议（如果有）。</w:t>
      </w:r>
    </w:p>
    <w:p w14:paraId="6278CDB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  商务技术文件：</w:t>
      </w:r>
    </w:p>
    <w:p w14:paraId="2FDC589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11.2.1投标函；</w:t>
      </w:r>
    </w:p>
    <w:p w14:paraId="0F1084C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11.2.2授权委托书或法定代表人（单位负责人）身份证明；</w:t>
      </w:r>
    </w:p>
    <w:p w14:paraId="4C43948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11.2.3联合协议（如果有）；</w:t>
      </w:r>
    </w:p>
    <w:p w14:paraId="0BED8C3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11.2.4分包意向协议（如果有）；</w:t>
      </w:r>
    </w:p>
    <w:p w14:paraId="0E8B1FF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11.2.5符合性审查资料；</w:t>
      </w:r>
    </w:p>
    <w:p w14:paraId="7806015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11.2.6拟投入的项目班子格式；</w:t>
      </w:r>
    </w:p>
    <w:p w14:paraId="43D4571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11.2.7评标标准相应的商务技术资料；</w:t>
      </w:r>
    </w:p>
    <w:p w14:paraId="3B0AC1D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11.2.8投标标的清单（如果有）；</w:t>
      </w:r>
    </w:p>
    <w:p w14:paraId="0C8C90F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11.2.9商务技术偏离表（如果有）；</w:t>
      </w:r>
    </w:p>
    <w:p w14:paraId="6D59A66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11.2.10政府采购供应商廉洁自律承诺书。</w:t>
      </w:r>
    </w:p>
    <w:p w14:paraId="0F9FA3F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11.3报价文件：</w:t>
      </w:r>
    </w:p>
    <w:p w14:paraId="77F674D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11.3.1开标一览表（报价表）；</w:t>
      </w:r>
    </w:p>
    <w:p w14:paraId="4076C66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11.3.2中小企业声明函；</w:t>
      </w:r>
    </w:p>
    <w:p w14:paraId="263E20D8">
      <w:pPr>
        <w:spacing w:line="420" w:lineRule="exact"/>
        <w:ind w:firstLine="480" w:firstLineChars="200"/>
        <w:contextualSpacing/>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11.3.3详细阐述关于不影响产品质量或者诚信履约的具体原因（如果报价低于项目预算50%的）。</w:t>
      </w:r>
    </w:p>
    <w:p w14:paraId="1D34A71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12.投标文件的编制</w:t>
      </w:r>
    </w:p>
    <w:p w14:paraId="4BE60E5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3A1BD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12.2投标人进行电子投标应安装客户端软件—“政采云电子交易客户端”，并按照招标文件和电子交易平台的要求编制并加密投标文件。投标人未按规定加密的投标文件，电子交易平台将拒收并提示。</w:t>
      </w:r>
    </w:p>
    <w:p w14:paraId="2178983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12.3使用“政采云电子交易客户端”需要提前申领CA数字证书，申领流程请自行前往“浙江政府采购网-下载专区-电子交易客户端-CA驱动和申领流程”进行查阅。</w:t>
      </w:r>
    </w:p>
    <w:p w14:paraId="47D4E3B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13.投标文件的签署、盖章</w:t>
      </w:r>
    </w:p>
    <w:p w14:paraId="2AAF21E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13.1投标文件按照招标文件第六部分格式要求进行签署、盖章。▲</w:t>
      </w:r>
      <w:r>
        <w:rPr>
          <w:rFonts w:hint="eastAsia" w:ascii="仿宋_GB2312" w:hAnsi="仿宋_GB2312" w:eastAsia="仿宋_GB2312" w:cs="仿宋_GB2312"/>
          <w:b/>
          <w:color w:val="000000"/>
          <w:sz w:val="24"/>
          <w:szCs w:val="24"/>
          <w:highlight w:val="none"/>
        </w:rPr>
        <w:t>投标人的投标文件未按照招标文件要求签署、盖章的，其投标无效</w:t>
      </w:r>
      <w:r>
        <w:rPr>
          <w:rFonts w:hint="eastAsia" w:ascii="仿宋_GB2312" w:hAnsi="仿宋_GB2312" w:eastAsia="仿宋_GB2312" w:cs="仿宋_GB2312"/>
          <w:color w:val="000000"/>
          <w:sz w:val="24"/>
          <w:szCs w:val="24"/>
          <w:highlight w:val="none"/>
        </w:rPr>
        <w:t>。</w:t>
      </w:r>
    </w:p>
    <w:p w14:paraId="78BE349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6370B3F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13.3招标文件对投标文件签署、盖章的要求适用于电子签名。</w:t>
      </w:r>
    </w:p>
    <w:p w14:paraId="6085E5D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14.投标文件的提交、补充、修改、撤回</w:t>
      </w:r>
    </w:p>
    <w:p w14:paraId="5ED8307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82AD1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C06B3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76172B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15.备份投标文件</w:t>
      </w:r>
    </w:p>
    <w:p w14:paraId="78296D3F">
      <w:pPr>
        <w:spacing w:line="42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197B610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15.2备份投标文件须在“政采云投标客户端”制作生成，并储存在介质存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72CD327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15.3直接提交备份投标文件的，投标人应于开标当日投标截止时间前将备份投标文件按要求密封和标记后送达舟山市新城翁山路555号四楼（大宗商品交易中心同幢西边）4楼政府采购窗口；送达时间以签收人签收时间为准（签收人：曹女士，联系电话：0580-2281591）。采购代理机构将拒绝接受逾期送达的备份投标文件。</w:t>
      </w:r>
    </w:p>
    <w:p w14:paraId="0CE64DC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15.4以邮政快递方式递交备份投标文件的，投标人应先将备份投标文件按要求密封和标记，再进行邮政快递包装后邮寄。备份投标文件须在投标截止时间之前送达舟山市翁山路555号4楼4024室；送达时间以签收人签收时间为准（签收人：曹女士，联系电话：0580-2281591）。采购代理机构将拒绝接受逾期送达的备份投标文件。邮寄过程中，电子备份投标文件发生泄露、遗失、损坏或延期送达等情况的，由投标人自行负责。</w:t>
      </w:r>
    </w:p>
    <w:p w14:paraId="3226F38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15.5投标人仅提交备份投标文件，没有在电子交易平台传输递交投标文件的，投标无效。</w:t>
      </w:r>
    </w:p>
    <w:p w14:paraId="24CD4B8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16.投标文件的无效处理</w:t>
      </w:r>
    </w:p>
    <w:p w14:paraId="5AEB4E9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有招标文件第四部分4.2项规定的情形之一的，投标无效。</w:t>
      </w:r>
    </w:p>
    <w:p w14:paraId="16E5A94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17.投标有效期</w:t>
      </w:r>
    </w:p>
    <w:p w14:paraId="0EA2C311">
      <w:pPr>
        <w:spacing w:line="420" w:lineRule="exact"/>
        <w:ind w:firstLine="480"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color w:val="000000"/>
          <w:sz w:val="24"/>
          <w:szCs w:val="24"/>
          <w:highlight w:val="none"/>
        </w:rPr>
        <w:t>17.1投标有效期为从提交投标文件的截止之日起90天。▲</w:t>
      </w:r>
      <w:r>
        <w:rPr>
          <w:rFonts w:hint="eastAsia" w:ascii="仿宋_GB2312" w:hAnsi="仿宋_GB2312" w:eastAsia="仿宋_GB2312" w:cs="仿宋_GB2312"/>
          <w:b/>
          <w:color w:val="000000"/>
          <w:sz w:val="24"/>
          <w:szCs w:val="24"/>
          <w:highlight w:val="none"/>
        </w:rPr>
        <w:t>投标人的投标文件中承诺的投标有效期少于招标文件中载明的投标有效期的，投标无效。</w:t>
      </w:r>
    </w:p>
    <w:p w14:paraId="743DF68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17.2投标文件合格投递后，自投标截止日期起，在投标有效期内有效。</w:t>
      </w:r>
    </w:p>
    <w:p w14:paraId="172EFCB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4535C29">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四、开标、资格审查与信用信息查询</w:t>
      </w:r>
    </w:p>
    <w:p w14:paraId="55AC7C2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18.开标</w:t>
      </w:r>
    </w:p>
    <w:p w14:paraId="33A420F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18.1采购代理机构按照招标文件规定的时间通过电子交易平台组织开标，所有投标人均应当准时在线参加。</w:t>
      </w:r>
    </w:p>
    <w:p w14:paraId="45AFE571">
      <w:pPr>
        <w:spacing w:line="42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6AEF0B0">
      <w:pPr>
        <w:spacing w:line="42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18.3</w:t>
      </w:r>
      <w:r>
        <w:rPr>
          <w:rFonts w:hint="eastAsia" w:ascii="仿宋_GB2312" w:hAnsi="仿宋_GB2312" w:eastAsia="仿宋_GB2312" w:cs="仿宋_GB2312"/>
          <w:b/>
          <w:color w:val="000000"/>
          <w:sz w:val="24"/>
          <w:szCs w:val="24"/>
          <w:highlight w:val="none"/>
        </w:rPr>
        <w:t>投标文件未按时解密，投标人提供了备份投标文件的，以备份投标文件作为依据，否则视为投标文件撤回。投标文件已按时解密的，备份投标文件自动失效。</w:t>
      </w:r>
    </w:p>
    <w:p w14:paraId="303BF2D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19.资格审查</w:t>
      </w:r>
    </w:p>
    <w:p w14:paraId="0C364E8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19.1开标后，采购人将依法对投标人的资格进行审查。</w:t>
      </w:r>
    </w:p>
    <w:p w14:paraId="07C9506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19.2采购人依据法律法规和招标文件的规定，对投标人的基本资格条件、特定资格条件进行审查。</w:t>
      </w:r>
    </w:p>
    <w:p w14:paraId="3AACCD5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19.3投标人未按照招标文件要求提供与基本资格条件、特定资格条件相应的有效资格证明材料的，视为投标人不具备招标文件中规定的资格要求，其投标无效。</w:t>
      </w:r>
    </w:p>
    <w:p w14:paraId="40CD21F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19.4对未通过资格审查的投标人，采购人或采购代理机构告知其未通过的原因。</w:t>
      </w:r>
    </w:p>
    <w:p w14:paraId="19B9BAD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19.5合格投标人不足3家的，不再评标。</w:t>
      </w:r>
    </w:p>
    <w:p w14:paraId="7960F36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20.信用信息查询</w:t>
      </w:r>
    </w:p>
    <w:p w14:paraId="22CDF18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20.1信用信息查询渠道及截止时间：采购代理机构将通过“信用中国”网站(www.creditchina.gov.cn)、中国政府采购网(www.ccgp.gov.cn)渠道查询投标人投标截止时间当天的信用记录。</w:t>
      </w:r>
    </w:p>
    <w:p w14:paraId="3A0D6F8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20.2信用信息查询记录和证据留存的具体方式：现场查询的投标人的信用记录、查询结果经确认后将与采购文件一起存档。</w:t>
      </w:r>
    </w:p>
    <w:p w14:paraId="35A8ED1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20.3信用信息的使用规则：经查询列入失信被执行人名单、重大税收违法失信主体、政府采购严重违法失信行为记录名单、参加政府采购活动前三年内在经营活动中有重大违法记录的投标人将被拒绝参与政府采购活动。</w:t>
      </w:r>
    </w:p>
    <w:p w14:paraId="7CAD436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A005D8">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五、评标</w:t>
      </w:r>
    </w:p>
    <w:p w14:paraId="61FBFDAE">
      <w:pPr>
        <w:spacing w:line="420" w:lineRule="exact"/>
        <w:ind w:firstLine="480" w:firstLineChars="200"/>
        <w:contextualSpacing/>
        <w:rPr>
          <w:rFonts w:hint="eastAsia" w:ascii="仿宋_GB2312" w:hAnsi="仿宋_GB2312" w:eastAsia="仿宋_GB2312" w:cs="仿宋_GB2312"/>
          <w:color w:val="000000"/>
          <w:sz w:val="24"/>
          <w:szCs w:val="24"/>
          <w:highlight w:val="none"/>
        </w:rPr>
      </w:pPr>
      <w:bookmarkStart w:id="13" w:name="_Toc91899903"/>
      <w:r>
        <w:rPr>
          <w:rFonts w:hint="eastAsia" w:ascii="仿宋_GB2312" w:hAnsi="仿宋_GB2312" w:eastAsia="仿宋_GB2312" w:cs="仿宋_GB2312"/>
          <w:color w:val="000000"/>
          <w:sz w:val="24"/>
          <w:szCs w:val="24"/>
          <w:highlight w:val="none"/>
        </w:rPr>
        <w:t>21. 评标委员会将根据招标文件和有关规定，履行评标工作职责，并按照评标办法及评分标准，全面衡量各投标人对招标文件的响应情况。对实质上响应招标文件的投标人，按照评审得分由高到低排序，并按顺序提出授标建议。评标办法详见招标文件第四部分。本项目由采购人授权评审委员会（谈判小组、询价小组）根据中标（成交）候选人名单及排序，直接确定中标人（成交供应商）。</w:t>
      </w:r>
    </w:p>
    <w:p w14:paraId="7EB4CC03">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六、定标</w:t>
      </w:r>
    </w:p>
    <w:p w14:paraId="49E5E2E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22.确定中标供应商</w:t>
      </w:r>
    </w:p>
    <w:p w14:paraId="14DA304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候选人撤销投标（响应）文件不能成为采购人不确认采购结果的正当理由（采购文件中明确）。中标、成交通知书和中标、成交结果公告应当在规定时间内同时发出。</w:t>
      </w:r>
    </w:p>
    <w:p w14:paraId="3A4A431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23.中标通知与中标结果公告</w:t>
      </w:r>
    </w:p>
    <w:p w14:paraId="39C8E8D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23.1自中标人确定之日起2个工作日内，采购代理机构通过电子交易平台向中标人发出中标通知书，同时编制发布采购结果公告。采购代理机构也可以以纸质形式进行中标通知。</w:t>
      </w:r>
    </w:p>
    <w:p w14:paraId="7647838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45D30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23.3公告期限为1个工作日。</w:t>
      </w:r>
    </w:p>
    <w:p w14:paraId="671D64B7">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七、合同授予</w:t>
      </w:r>
    </w:p>
    <w:p w14:paraId="13F9C16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 合同主要条款详见第五部分拟签订的合同文本。</w:t>
      </w:r>
    </w:p>
    <w:p w14:paraId="7D075DE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 合同的签订</w:t>
      </w:r>
    </w:p>
    <w:p w14:paraId="77F751AA">
      <w:pPr>
        <w:spacing w:line="420" w:lineRule="exact"/>
        <w:ind w:firstLine="480" w:firstLineChars="200"/>
        <w:contextualSpacing/>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采购人与中标供应商按照采购文件确定的事项签订政府采购合同，并及时上传发布。</w:t>
      </w:r>
    </w:p>
    <w:p w14:paraId="63DD520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25.2中标人按规定的日期、时间、地点，由法定代表人或其授权代表与采购人代表签订合同。如中标人为联合体的，由联合体成员各方法定代表人或其授权代表与采购人代表签订合同。</w:t>
      </w:r>
    </w:p>
    <w:p w14:paraId="186F044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25.3中标供应商拒绝与采购人签订合同的，采购人可以按照评审报告推荐的中标或者成交候选人名单排序，确定下一候选人为中标供应商，也可以重新开展政府采购活动。</w:t>
      </w:r>
    </w:p>
    <w:p w14:paraId="5B47B88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25.4中标供应商放弃中标资格导致重新采购的，应当承担支付专家评审费等费用在内的赔偿责任。</w:t>
      </w:r>
    </w:p>
    <w:p w14:paraId="55EBE8B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25.5采购合同由采购人与中标供应商根据招标文件、投标文件等内容通过政府采购电子交易平台在线签订，自动备案。</w:t>
      </w:r>
    </w:p>
    <w:p w14:paraId="2E7CFEF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26. 履约保证金</w:t>
      </w:r>
    </w:p>
    <w:p w14:paraId="2D6EEEA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18A9E1F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BE2CE2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27. 预付款</w:t>
      </w:r>
    </w:p>
    <w:p w14:paraId="669315C7">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AE9ED6F">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八、电子交易活动的中止</w:t>
      </w:r>
    </w:p>
    <w:p w14:paraId="5DD71FE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 电子交易活动的中止。采购过程中出现以下情形，导致电子交易平台无法正常运行，或者无法保证电子交易的公平、公正和安全时，采购代理机构可中止电子交易活动：</w:t>
      </w:r>
    </w:p>
    <w:p w14:paraId="2B4F987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28.1电子交易平台发生故障而无法登录访问的；</w:t>
      </w:r>
    </w:p>
    <w:p w14:paraId="4898EC5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28.2电子交易平台应用或数据库出现错误，不能进行正常操作的；</w:t>
      </w:r>
    </w:p>
    <w:p w14:paraId="7EAC491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28.3电子交易平台发现严重安全漏洞，有潜在泄密危险的；</w:t>
      </w:r>
    </w:p>
    <w:p w14:paraId="5E8A542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28.4病毒发作导致不能进行正常操作的；</w:t>
      </w:r>
    </w:p>
    <w:p w14:paraId="6E9445F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28.5其他无法保证电子交易的公平、公正和安全的情况。</w:t>
      </w:r>
    </w:p>
    <w:p w14:paraId="6AF5672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B5D5EE1">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九、验收</w:t>
      </w:r>
    </w:p>
    <w:p w14:paraId="3BA43D7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30.验收</w:t>
      </w:r>
    </w:p>
    <w:p w14:paraId="72831E9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1F09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30.2采购人可以邀请参加本项目的其他投标人或者第三方机构参与验收。参与验收的投标人或者第三方机构的意见作为验收书的参考资料一并存档。</w:t>
      </w:r>
    </w:p>
    <w:p w14:paraId="212F2DC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C83D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7B580880">
      <w:pPr>
        <w:spacing w:line="540" w:lineRule="exact"/>
        <w:contextualSpacing/>
        <w:rPr>
          <w:rFonts w:hint="eastAsia" w:ascii="仿宋_GB2312" w:hAnsi="仿宋_GB2312" w:eastAsia="仿宋_GB2312" w:cs="仿宋_GB2312"/>
          <w:color w:val="000000"/>
          <w:sz w:val="24"/>
          <w:szCs w:val="24"/>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117"/>
        </w:sectPr>
      </w:pPr>
      <w:bookmarkStart w:id="14" w:name="_Hlt68072998"/>
      <w:bookmarkEnd w:id="14"/>
      <w:bookmarkStart w:id="15" w:name="_Hlt74714665"/>
      <w:bookmarkEnd w:id="15"/>
      <w:bookmarkStart w:id="16" w:name="_Hlt68073093"/>
      <w:bookmarkEnd w:id="16"/>
      <w:bookmarkStart w:id="17" w:name="_Hlt75236011"/>
      <w:bookmarkEnd w:id="17"/>
      <w:bookmarkStart w:id="18" w:name="_Hlt68403820"/>
      <w:bookmarkEnd w:id="18"/>
      <w:bookmarkStart w:id="19" w:name="_Hlt74730295"/>
      <w:bookmarkEnd w:id="19"/>
      <w:bookmarkStart w:id="20" w:name="_Hlt74707468"/>
      <w:bookmarkEnd w:id="20"/>
      <w:bookmarkStart w:id="21" w:name="_Hlt75236101"/>
      <w:bookmarkEnd w:id="21"/>
      <w:bookmarkStart w:id="22" w:name="_Hlt68072990"/>
      <w:bookmarkEnd w:id="22"/>
      <w:bookmarkStart w:id="23" w:name="_Hlt74729768"/>
      <w:bookmarkEnd w:id="23"/>
      <w:bookmarkStart w:id="24" w:name="_Hlt75236290"/>
      <w:bookmarkEnd w:id="24"/>
      <w:bookmarkStart w:id="25" w:name="_Hlt68057669"/>
      <w:bookmarkEnd w:id="25"/>
    </w:p>
    <w:bookmarkEnd w:id="11"/>
    <w:bookmarkEnd w:id="12"/>
    <w:p w14:paraId="534EF1A2">
      <w:pPr>
        <w:jc w:val="center"/>
        <w:outlineLvl w:val="0"/>
        <w:rPr>
          <w:rFonts w:hint="eastAsia" w:ascii="仿宋_GB2312" w:hAnsi="仿宋_GB2312" w:eastAsia="仿宋_GB2312" w:cs="仿宋_GB2312"/>
          <w:b/>
          <w:color w:val="000000"/>
          <w:sz w:val="32"/>
          <w:szCs w:val="32"/>
          <w:highlight w:val="none"/>
        </w:rPr>
      </w:pPr>
      <w:bookmarkStart w:id="26" w:name="第四部分"/>
      <w:r>
        <w:rPr>
          <w:rFonts w:hint="eastAsia" w:ascii="仿宋_GB2312" w:hAnsi="仿宋_GB2312" w:eastAsia="仿宋_GB2312" w:cs="仿宋_GB2312"/>
          <w:b/>
          <w:color w:val="000000"/>
          <w:sz w:val="32"/>
          <w:szCs w:val="32"/>
          <w:highlight w:val="none"/>
        </w:rPr>
        <w:t>第三部分</w:t>
      </w:r>
      <w:r>
        <w:rPr>
          <w:rFonts w:hint="eastAsia" w:ascii="仿宋_GB2312" w:hAnsi="仿宋_GB2312" w:eastAsia="仿宋_GB2312" w:cs="仿宋_GB2312"/>
          <w:b/>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rPr>
        <w:t>采购需求</w:t>
      </w:r>
    </w:p>
    <w:p w14:paraId="2342AD02">
      <w:pPr>
        <w:pStyle w:val="2"/>
        <w:keepNext w:val="0"/>
        <w:pageBreakBefore w:val="0"/>
        <w:widowControl w:val="0"/>
        <w:tabs>
          <w:tab w:val="left" w:pos="-420"/>
        </w:tabs>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一、项目背景</w:t>
      </w:r>
    </w:p>
    <w:p w14:paraId="4FF3E05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在“十四五”规划和教育数字化战略行动的引领下，我国中小学教学正从单纯的网络应用与云服务阶段，转向以智能化设备和深度融合教学模式为核心的新阶段。本项目聚焦“智慧黑板+高清展台”两大硬件，引入智能交互、多屏联动与实时数据反馈，构建集资源呈现、师生互动、教学评估和管理治理于一体的闭环教学场景。此外，平台支持课前精准资源推送、课中互动答题与分组讨论、课后大数据分析与个性化学习报告，全面覆盖教学全流程；同时，通过统一运维监控与权限分级管理，保障设备稳定运行与数据安全，为教师专业发展与校本教研提供决策支持，助力打造高效、可持续的优质数字课堂。</w:t>
      </w:r>
    </w:p>
    <w:p w14:paraId="59F18546">
      <w:pPr>
        <w:pStyle w:val="2"/>
        <w:keepNext w:val="0"/>
        <w:pageBreakBefore w:val="0"/>
        <w:widowControl w:val="0"/>
        <w:numPr>
          <w:ilvl w:val="0"/>
          <w:numId w:val="3"/>
        </w:numPr>
        <w:tabs>
          <w:tab w:val="left" w:pos="-420"/>
        </w:tabs>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项目建设目标</w:t>
      </w:r>
    </w:p>
    <w:p w14:paraId="2192C65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深入贯彻落实国家关于教育现代化和信息化的战略部署，积极响应“优质教育人人可享”的发展目标，本项目聚焦于通过数字化手段推动教育高质量发展。项目旨在通过在普通教室中安装智慧黑板和高清展台，构建智能化教学环境，优化教学资源管理，提升教学质量和管理效能，推动教育公平与创新。</w:t>
      </w:r>
    </w:p>
    <w:p w14:paraId="16CEDCE2">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智慧教学环境升级：</w:t>
      </w:r>
      <w:r>
        <w:rPr>
          <w:rFonts w:hint="eastAsia" w:ascii="仿宋_GB2312" w:hAnsi="仿宋_GB2312" w:eastAsia="仿宋_GB2312" w:cs="仿宋_GB2312"/>
          <w:sz w:val="24"/>
          <w:szCs w:val="24"/>
          <w:highlight w:val="none"/>
        </w:rPr>
        <w:t>通过在教室内安装智慧黑板和高清展台，构建智能化教学环境。智慧黑板集成了触控互动、高清显示和传统书写功能，支持多媒体教学和实时互动，提升课堂的生动性和学生的参与度。</w:t>
      </w:r>
    </w:p>
    <w:p w14:paraId="18FC7A3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教学资源数字化：</w:t>
      </w:r>
      <w:r>
        <w:rPr>
          <w:rFonts w:hint="eastAsia" w:ascii="仿宋_GB2312" w:hAnsi="仿宋_GB2312" w:eastAsia="仿宋_GB2312" w:cs="仿宋_GB2312"/>
          <w:sz w:val="24"/>
          <w:szCs w:val="24"/>
          <w:highlight w:val="none"/>
        </w:rPr>
        <w:t>利用智慧黑板和高清展台，实现教学资源的全面数字化管理。教师可通过设备展示课件、视频等多种教学内容，方便教学资料的存储、调用和共享，提高教学效率。</w:t>
      </w:r>
    </w:p>
    <w:p w14:paraId="28E90E42">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教学管理智能化：</w:t>
      </w:r>
      <w:r>
        <w:rPr>
          <w:rFonts w:hint="eastAsia" w:ascii="仿宋_GB2312" w:hAnsi="仿宋_GB2312" w:eastAsia="仿宋_GB2312" w:cs="仿宋_GB2312"/>
          <w:sz w:val="24"/>
          <w:szCs w:val="24"/>
          <w:highlight w:val="none"/>
        </w:rPr>
        <w:t>通过智慧黑板和高清展台的应用，辅助教学管理的智能化。设备可记录教学过程，便于教学质量的评估和反馈，支持教学数据的分析，为教学决策提供依据。</w:t>
      </w:r>
    </w:p>
    <w:p w14:paraId="0FD4CD00">
      <w:pPr>
        <w:pStyle w:val="2"/>
        <w:keepNext w:val="0"/>
        <w:pageBreakBefore w:val="0"/>
        <w:widowControl w:val="0"/>
        <w:numPr>
          <w:ilvl w:val="0"/>
          <w:numId w:val="3"/>
        </w:numPr>
        <w:tabs>
          <w:tab w:val="left" w:pos="-420"/>
        </w:tabs>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项目建设内容</w:t>
      </w:r>
    </w:p>
    <w:p w14:paraId="71C9365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主要覆盖</w:t>
      </w:r>
      <w:r>
        <w:rPr>
          <w:rFonts w:hint="eastAsia" w:ascii="仿宋_GB2312" w:hAnsi="仿宋_GB2312" w:eastAsia="仿宋_GB2312" w:cs="仿宋_GB2312"/>
          <w:sz w:val="24"/>
          <w:szCs w:val="24"/>
          <w:highlight w:val="none"/>
          <w:lang w:val="en-US" w:eastAsia="zh-CN"/>
        </w:rPr>
        <w:t>18</w:t>
      </w:r>
      <w:r>
        <w:rPr>
          <w:rFonts w:hint="eastAsia" w:ascii="仿宋_GB2312" w:hAnsi="仿宋_GB2312" w:eastAsia="仿宋_GB2312" w:cs="仿宋_GB2312"/>
          <w:sz w:val="24"/>
          <w:szCs w:val="24"/>
          <w:highlight w:val="none"/>
        </w:rPr>
        <w:t>个普通教室，</w:t>
      </w:r>
      <w:r>
        <w:rPr>
          <w:rFonts w:hint="eastAsia" w:ascii="仿宋_GB2312" w:hAnsi="仿宋_GB2312" w:eastAsia="仿宋_GB2312" w:cs="仿宋_GB2312"/>
          <w:sz w:val="24"/>
          <w:szCs w:val="24"/>
          <w:highlight w:val="none"/>
          <w:lang w:val="en-US" w:eastAsia="zh-CN"/>
        </w:rPr>
        <w:t>14个专用教室，</w:t>
      </w:r>
      <w:r>
        <w:rPr>
          <w:rFonts w:hint="eastAsia" w:ascii="仿宋_GB2312" w:hAnsi="仿宋_GB2312" w:eastAsia="仿宋_GB2312" w:cs="仿宋_GB2312"/>
          <w:sz w:val="24"/>
          <w:szCs w:val="24"/>
          <w:highlight w:val="none"/>
        </w:rPr>
        <w:t>采购智慧黑板、高清展台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电子班牌</w:t>
      </w:r>
      <w:r>
        <w:rPr>
          <w:rFonts w:hint="eastAsia" w:ascii="仿宋_GB2312" w:hAnsi="仿宋_GB2312" w:eastAsia="仿宋_GB2312" w:cs="仿宋_GB2312"/>
          <w:sz w:val="24"/>
          <w:szCs w:val="24"/>
          <w:highlight w:val="none"/>
        </w:rPr>
        <w:t>设备。</w:t>
      </w:r>
    </w:p>
    <w:p w14:paraId="4F3784EC">
      <w:pPr>
        <w:pStyle w:val="58"/>
        <w:pageBreakBefore w:val="0"/>
        <w:widowControl w:val="0"/>
        <w:kinsoku/>
        <w:wordWrap/>
        <w:overflowPunct/>
        <w:topLinePunct w:val="0"/>
        <w:autoSpaceDE/>
        <w:autoSpaceDN/>
        <w:bidi w:val="0"/>
        <w:adjustRightInd/>
        <w:snapToGrid/>
        <w:spacing w:line="360" w:lineRule="auto"/>
        <w:ind w:firstLine="422"/>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具体建设内容如下：</w:t>
      </w:r>
    </w:p>
    <w:p w14:paraId="539AE0E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主要涉及普通教室智慧黑板、高清展台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电子班牌</w:t>
      </w:r>
      <w:r>
        <w:rPr>
          <w:rFonts w:hint="eastAsia" w:ascii="仿宋_GB2312" w:hAnsi="仿宋_GB2312" w:eastAsia="仿宋_GB2312" w:cs="仿宋_GB2312"/>
          <w:sz w:val="24"/>
          <w:szCs w:val="24"/>
          <w:highlight w:val="none"/>
        </w:rPr>
        <w:t>等设备采购。</w:t>
      </w:r>
    </w:p>
    <w:p w14:paraId="2F3473F5">
      <w:pPr>
        <w:pStyle w:val="2"/>
        <w:rPr>
          <w:rFonts w:hint="eastAsia"/>
          <w:highlight w:val="none"/>
        </w:rPr>
      </w:pPr>
    </w:p>
    <w:p w14:paraId="7A3294C9">
      <w:pPr>
        <w:pStyle w:val="2"/>
        <w:keepNext w:val="0"/>
        <w:pageBreakBefore w:val="0"/>
        <w:widowControl w:val="0"/>
        <w:numPr>
          <w:ilvl w:val="0"/>
          <w:numId w:val="3"/>
        </w:numPr>
        <w:tabs>
          <w:tab w:val="left" w:pos="-420"/>
        </w:tabs>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采购清单</w:t>
      </w:r>
    </w:p>
    <w:p w14:paraId="0182DA03">
      <w:pPr>
        <w:rPr>
          <w:rFonts w:hint="eastAsia" w:ascii="仿宋_GB2312" w:hAnsi="仿宋_GB2312" w:eastAsia="仿宋_GB2312" w:cs="仿宋_GB2312"/>
          <w:sz w:val="24"/>
          <w:szCs w:val="24"/>
          <w:highlight w:val="none"/>
        </w:rPr>
      </w:pPr>
    </w:p>
    <w:tbl>
      <w:tblPr>
        <w:tblStyle w:val="26"/>
        <w:tblW w:w="8633" w:type="dxa"/>
        <w:tblInd w:w="137" w:type="dxa"/>
        <w:tblLayout w:type="fixed"/>
        <w:tblCellMar>
          <w:top w:w="0" w:type="dxa"/>
          <w:left w:w="108" w:type="dxa"/>
          <w:bottom w:w="0" w:type="dxa"/>
          <w:right w:w="108" w:type="dxa"/>
        </w:tblCellMar>
      </w:tblPr>
      <w:tblGrid>
        <w:gridCol w:w="956"/>
        <w:gridCol w:w="3852"/>
        <w:gridCol w:w="864"/>
        <w:gridCol w:w="888"/>
        <w:gridCol w:w="24"/>
        <w:gridCol w:w="2049"/>
      </w:tblGrid>
      <w:tr w14:paraId="13401163">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34A">
            <w:pPr>
              <w:widowControl/>
              <w:spacing w:line="360" w:lineRule="auto"/>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kern w:val="0"/>
                <w:sz w:val="24"/>
                <w:szCs w:val="24"/>
                <w:highlight w:val="none"/>
                <w:lang w:bidi="ar"/>
              </w:rPr>
              <w:t>序号</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2914">
            <w:pPr>
              <w:widowControl/>
              <w:spacing w:line="360" w:lineRule="auto"/>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kern w:val="0"/>
                <w:sz w:val="24"/>
                <w:szCs w:val="24"/>
                <w:highlight w:val="none"/>
                <w:lang w:bidi="ar"/>
              </w:rPr>
              <w:t>设备名称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B645">
            <w:pPr>
              <w:widowControl/>
              <w:spacing w:line="360" w:lineRule="auto"/>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kern w:val="0"/>
                <w:sz w:val="24"/>
                <w:szCs w:val="24"/>
                <w:highlight w:val="none"/>
                <w:lang w:bidi="ar"/>
              </w:rPr>
              <w:t>单位</w:t>
            </w:r>
          </w:p>
        </w:tc>
        <w:tc>
          <w:tcPr>
            <w:tcW w:w="888" w:type="dxa"/>
            <w:tcBorders>
              <w:top w:val="single" w:color="000000" w:sz="4" w:space="0"/>
              <w:left w:val="single" w:color="000000" w:sz="4" w:space="0"/>
              <w:bottom w:val="single" w:color="000000" w:sz="4" w:space="0"/>
              <w:right w:val="single" w:color="auto" w:sz="4" w:space="0"/>
            </w:tcBorders>
            <w:shd w:val="clear" w:color="auto" w:fill="auto"/>
            <w:vAlign w:val="center"/>
          </w:tcPr>
          <w:p w14:paraId="33AD8109">
            <w:pPr>
              <w:widowControl/>
              <w:spacing w:line="360" w:lineRule="auto"/>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kern w:val="0"/>
                <w:sz w:val="24"/>
                <w:szCs w:val="24"/>
                <w:highlight w:val="none"/>
                <w:lang w:bidi="ar"/>
              </w:rPr>
              <w:t>数量</w:t>
            </w:r>
          </w:p>
        </w:tc>
        <w:tc>
          <w:tcPr>
            <w:tcW w:w="207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D326A9C">
            <w:pPr>
              <w:widowControl/>
              <w:spacing w:line="360" w:lineRule="auto"/>
              <w:jc w:val="center"/>
              <w:textAlignment w:val="center"/>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所属行业</w:t>
            </w:r>
          </w:p>
        </w:tc>
      </w:tr>
      <w:tr w14:paraId="45DA9DC8">
        <w:tblPrEx>
          <w:tblCellMar>
            <w:top w:w="0" w:type="dxa"/>
            <w:left w:w="108" w:type="dxa"/>
            <w:bottom w:w="0" w:type="dxa"/>
            <w:right w:w="108" w:type="dxa"/>
          </w:tblCellMar>
        </w:tblPrEx>
        <w:trPr>
          <w:trHeight w:val="567" w:hRule="atLeast"/>
        </w:trPr>
        <w:tc>
          <w:tcPr>
            <w:tcW w:w="86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4381E2">
            <w:pPr>
              <w:widowControl/>
              <w:tabs>
                <w:tab w:val="left" w:pos="3113"/>
              </w:tabs>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ab/>
            </w:r>
            <w:r>
              <w:rPr>
                <w:rFonts w:hint="eastAsia" w:ascii="仿宋_GB2312" w:hAnsi="仿宋_GB2312" w:eastAsia="仿宋_GB2312" w:cs="仿宋_GB2312"/>
                <w:color w:val="000000"/>
                <w:kern w:val="0"/>
                <w:sz w:val="24"/>
                <w:szCs w:val="24"/>
                <w:highlight w:val="none"/>
                <w:lang w:val="en-US" w:eastAsia="zh-CN" w:bidi="ar"/>
              </w:rPr>
              <w:t xml:space="preserve">    </w:t>
            </w:r>
            <w:r>
              <w:rPr>
                <w:rFonts w:hint="eastAsia" w:ascii="仿宋_GB2312" w:hAnsi="仿宋_GB2312" w:eastAsia="仿宋_GB2312" w:cs="仿宋_GB2312"/>
                <w:color w:val="000000"/>
                <w:kern w:val="0"/>
                <w:sz w:val="24"/>
                <w:szCs w:val="24"/>
                <w:highlight w:val="none"/>
                <w:lang w:bidi="ar"/>
              </w:rPr>
              <w:t>一、普通教室</w:t>
            </w:r>
          </w:p>
        </w:tc>
      </w:tr>
      <w:tr w14:paraId="21E2268E">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E409">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1</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1A11">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bidi="ar"/>
              </w:rPr>
              <w:t>★</w:t>
            </w:r>
            <w:r>
              <w:rPr>
                <w:rFonts w:hint="eastAsia" w:ascii="仿宋_GB2312" w:hAnsi="仿宋_GB2312" w:eastAsia="仿宋_GB2312" w:cs="仿宋_GB2312"/>
                <w:color w:val="000000"/>
                <w:kern w:val="0"/>
                <w:sz w:val="24"/>
                <w:szCs w:val="24"/>
                <w:highlight w:val="none"/>
                <w:lang w:val="en-US" w:eastAsia="zh-CN" w:bidi="ar"/>
              </w:rPr>
              <w:t>智慧黑板1（</w:t>
            </w:r>
            <w:r>
              <w:rPr>
                <w:rFonts w:hint="eastAsia" w:ascii="仿宋_GB2312" w:hAnsi="仿宋_GB2312" w:eastAsia="仿宋_GB2312" w:cs="仿宋_GB2312"/>
                <w:color w:val="000000"/>
                <w:kern w:val="0"/>
                <w:sz w:val="24"/>
                <w:szCs w:val="24"/>
                <w:highlight w:val="none"/>
                <w:lang w:bidi="ar"/>
              </w:rPr>
              <w:t>智慧屏</w:t>
            </w:r>
            <w:r>
              <w:rPr>
                <w:rFonts w:hint="eastAsia" w:ascii="仿宋_GB2312" w:hAnsi="仿宋_GB2312" w:eastAsia="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bidi="ar"/>
              </w:rPr>
              <w:t>光能黑板</w:t>
            </w:r>
            <w:r>
              <w:rPr>
                <w:rFonts w:hint="eastAsia" w:ascii="仿宋_GB2312" w:hAnsi="仿宋_GB2312" w:eastAsia="仿宋_GB2312" w:cs="仿宋_GB2312"/>
                <w:color w:val="000000"/>
                <w:kern w:val="0"/>
                <w:sz w:val="24"/>
                <w:szCs w:val="24"/>
                <w:highlight w:val="none"/>
                <w:lang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E1F">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台</w:t>
            </w:r>
          </w:p>
        </w:tc>
        <w:tc>
          <w:tcPr>
            <w:tcW w:w="9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C47432">
            <w:pPr>
              <w:widowControl/>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
              </w:rPr>
              <w:t>12</w:t>
            </w:r>
          </w:p>
        </w:tc>
        <w:tc>
          <w:tcPr>
            <w:tcW w:w="2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8CBB937">
            <w:pPr>
              <w:widowControl/>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工业</w:t>
            </w:r>
          </w:p>
        </w:tc>
      </w:tr>
      <w:tr w14:paraId="78334339">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F8A8">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0D0A">
            <w:pPr>
              <w:widowControl/>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w:t>
            </w:r>
            <w:r>
              <w:rPr>
                <w:rFonts w:hint="eastAsia" w:ascii="仿宋_GB2312" w:hAnsi="仿宋_GB2312" w:eastAsia="仿宋_GB2312" w:cs="仿宋_GB2312"/>
                <w:color w:val="000000"/>
                <w:kern w:val="0"/>
                <w:sz w:val="24"/>
                <w:szCs w:val="24"/>
                <w:highlight w:val="none"/>
                <w:lang w:val="en-US" w:eastAsia="zh-CN" w:bidi="ar"/>
              </w:rPr>
              <w:t>智慧黑板2（</w:t>
            </w:r>
            <w:r>
              <w:rPr>
                <w:rFonts w:hint="eastAsia" w:ascii="仿宋_GB2312" w:hAnsi="仿宋_GB2312" w:eastAsia="仿宋_GB2312" w:cs="仿宋_GB2312"/>
                <w:color w:val="000000"/>
                <w:kern w:val="0"/>
                <w:sz w:val="24"/>
                <w:szCs w:val="24"/>
                <w:highlight w:val="none"/>
                <w:lang w:bidi="ar"/>
              </w:rPr>
              <w:t>智慧屏</w:t>
            </w:r>
            <w:r>
              <w:rPr>
                <w:rFonts w:hint="eastAsia" w:ascii="仿宋_GB2312" w:hAnsi="仿宋_GB2312" w:eastAsia="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bidi="ar"/>
              </w:rPr>
              <w:t>推拉黑板</w:t>
            </w:r>
            <w:r>
              <w:rPr>
                <w:rFonts w:hint="eastAsia" w:ascii="仿宋_GB2312" w:hAnsi="仿宋_GB2312" w:eastAsia="仿宋_GB2312" w:cs="仿宋_GB2312"/>
                <w:color w:val="000000"/>
                <w:kern w:val="0"/>
                <w:sz w:val="24"/>
                <w:szCs w:val="24"/>
                <w:highlight w:val="none"/>
                <w:lang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176">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台</w:t>
            </w:r>
          </w:p>
        </w:tc>
        <w:tc>
          <w:tcPr>
            <w:tcW w:w="9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351FAFD">
            <w:pPr>
              <w:widowControl/>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20</w:t>
            </w:r>
          </w:p>
        </w:tc>
        <w:tc>
          <w:tcPr>
            <w:tcW w:w="2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203319AB">
            <w:pPr>
              <w:widowControl/>
              <w:jc w:val="center"/>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工业</w:t>
            </w:r>
          </w:p>
        </w:tc>
      </w:tr>
      <w:tr w14:paraId="6488B44D">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01F1">
            <w:pPr>
              <w:widowControl/>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bidi="ar"/>
              </w:rPr>
              <w:t>3</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30B9">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高清展台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0F8F">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只</w:t>
            </w:r>
          </w:p>
        </w:tc>
        <w:tc>
          <w:tcPr>
            <w:tcW w:w="9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AC7BF6F">
            <w:pPr>
              <w:widowControl/>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32</w:t>
            </w:r>
          </w:p>
        </w:tc>
        <w:tc>
          <w:tcPr>
            <w:tcW w:w="2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19DF0F1F">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工业</w:t>
            </w:r>
          </w:p>
        </w:tc>
      </w:tr>
      <w:tr w14:paraId="4E88AEB2">
        <w:tblPrEx>
          <w:tblCellMar>
            <w:top w:w="0" w:type="dxa"/>
            <w:left w:w="108" w:type="dxa"/>
            <w:bottom w:w="0" w:type="dxa"/>
            <w:right w:w="108" w:type="dxa"/>
          </w:tblCellMar>
        </w:tblPrEx>
        <w:trPr>
          <w:trHeight w:val="56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BEC">
            <w:pPr>
              <w:widowControl/>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4</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2FB7">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电子班牌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574B">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台</w:t>
            </w:r>
          </w:p>
        </w:tc>
        <w:tc>
          <w:tcPr>
            <w:tcW w:w="91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E5D3F4">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18</w:t>
            </w:r>
          </w:p>
        </w:tc>
        <w:tc>
          <w:tcPr>
            <w:tcW w:w="2049" w:type="dxa"/>
            <w:tcBorders>
              <w:top w:val="single" w:color="000000" w:sz="4" w:space="0"/>
              <w:left w:val="single" w:color="auto" w:sz="4" w:space="0"/>
              <w:bottom w:val="single" w:color="000000" w:sz="4" w:space="0"/>
              <w:right w:val="single" w:color="000000" w:sz="4" w:space="0"/>
            </w:tcBorders>
            <w:shd w:val="clear" w:color="auto" w:fill="auto"/>
            <w:vAlign w:val="center"/>
          </w:tcPr>
          <w:p w14:paraId="6DAC9250">
            <w:pPr>
              <w:widowControl/>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工业</w:t>
            </w:r>
          </w:p>
        </w:tc>
      </w:tr>
    </w:tbl>
    <w:p w14:paraId="7550FCB2">
      <w:pPr>
        <w:pStyle w:val="2"/>
        <w:keepNext w:val="0"/>
        <w:numPr>
          <w:ilvl w:val="0"/>
          <w:numId w:val="3"/>
        </w:numPr>
        <w:tabs>
          <w:tab w:val="left" w:pos="-420"/>
        </w:tabs>
        <w:spacing w:before="0" w:after="0" w:line="360" w:lineRule="exact"/>
        <w:ind w:firstLine="482" w:firstLineChars="200"/>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技术参数要求</w:t>
      </w:r>
    </w:p>
    <w:tbl>
      <w:tblPr>
        <w:tblStyle w:val="26"/>
        <w:tblpPr w:leftFromText="180" w:rightFromText="180" w:vertAnchor="text" w:horzAnchor="page" w:tblpX="1675" w:tblpY="363"/>
        <w:tblOverlap w:val="never"/>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11"/>
        <w:gridCol w:w="5436"/>
        <w:gridCol w:w="1180"/>
      </w:tblGrid>
      <w:tr w14:paraId="425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vAlign w:val="center"/>
          </w:tcPr>
          <w:p w14:paraId="3EFB1E1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color w:val="000000"/>
                <w:kern w:val="0"/>
                <w:sz w:val="24"/>
                <w:szCs w:val="24"/>
                <w:highlight w:val="none"/>
                <w:lang w:bidi="ar"/>
              </w:rPr>
              <w:t>序号</w:t>
            </w:r>
          </w:p>
        </w:tc>
        <w:tc>
          <w:tcPr>
            <w:tcW w:w="1511" w:type="dxa"/>
            <w:vAlign w:val="center"/>
          </w:tcPr>
          <w:p w14:paraId="42BF3CA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color w:val="000000"/>
                <w:kern w:val="0"/>
                <w:sz w:val="24"/>
                <w:szCs w:val="24"/>
                <w:highlight w:val="none"/>
                <w:lang w:bidi="ar"/>
              </w:rPr>
              <w:t>设备名称</w:t>
            </w:r>
          </w:p>
        </w:tc>
        <w:tc>
          <w:tcPr>
            <w:tcW w:w="5436" w:type="dxa"/>
            <w:vAlign w:val="center"/>
          </w:tcPr>
          <w:p w14:paraId="3D862DF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val="en-US" w:eastAsia="zh-CN" w:bidi="ar"/>
              </w:rPr>
              <w:t>性能</w:t>
            </w:r>
            <w:r>
              <w:rPr>
                <w:rFonts w:hint="eastAsia" w:ascii="仿宋_GB2312" w:hAnsi="仿宋_GB2312" w:eastAsia="仿宋_GB2312" w:cs="仿宋_GB2312"/>
                <w:b/>
                <w:bCs/>
                <w:color w:val="000000"/>
                <w:kern w:val="0"/>
                <w:sz w:val="24"/>
                <w:szCs w:val="24"/>
                <w:highlight w:val="none"/>
                <w:lang w:bidi="ar"/>
              </w:rPr>
              <w:t>参数</w:t>
            </w:r>
          </w:p>
        </w:tc>
        <w:tc>
          <w:tcPr>
            <w:tcW w:w="1180" w:type="dxa"/>
            <w:vAlign w:val="center"/>
          </w:tcPr>
          <w:p w14:paraId="5F9DC35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备注</w:t>
            </w:r>
          </w:p>
        </w:tc>
      </w:tr>
      <w:tr w14:paraId="50C28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645" w:type="dxa"/>
            <w:gridSpan w:val="4"/>
            <w:tcBorders>
              <w:top w:val="single" w:color="000000" w:sz="4" w:space="0"/>
              <w:left w:val="single" w:color="000000" w:sz="4" w:space="0"/>
              <w:bottom w:val="single" w:color="000000" w:sz="4" w:space="0"/>
              <w:right w:val="single" w:color="000000" w:sz="4" w:space="0"/>
            </w:tcBorders>
            <w:vAlign w:val="center"/>
          </w:tcPr>
          <w:p w14:paraId="453D03A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bCs/>
                <w:sz w:val="24"/>
                <w:szCs w:val="24"/>
                <w:highlight w:val="none"/>
              </w:rPr>
              <w:t>普通教室设施设备</w:t>
            </w:r>
          </w:p>
        </w:tc>
      </w:tr>
      <w:tr w14:paraId="0E7F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6" w:hRule="atLeast"/>
        </w:trPr>
        <w:tc>
          <w:tcPr>
            <w:tcW w:w="518" w:type="dxa"/>
            <w:tcBorders>
              <w:top w:val="single" w:color="000000" w:sz="4" w:space="0"/>
              <w:left w:val="single" w:color="000000" w:sz="4" w:space="0"/>
              <w:right w:val="single" w:color="000000" w:sz="4" w:space="0"/>
            </w:tcBorders>
            <w:vAlign w:val="center"/>
          </w:tcPr>
          <w:p w14:paraId="5165B46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p>
          <w:p w14:paraId="33EBAF3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 xml:space="preserve">      </w:t>
            </w:r>
          </w:p>
        </w:tc>
        <w:tc>
          <w:tcPr>
            <w:tcW w:w="1511" w:type="dxa"/>
            <w:tcBorders>
              <w:top w:val="single" w:color="000000" w:sz="4" w:space="0"/>
              <w:left w:val="single" w:color="000000" w:sz="4" w:space="0"/>
              <w:right w:val="single" w:color="000000" w:sz="4" w:space="0"/>
            </w:tcBorders>
            <w:vAlign w:val="center"/>
          </w:tcPr>
          <w:p w14:paraId="45C5BC1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智慧黑板1（</w:t>
            </w:r>
            <w:r>
              <w:rPr>
                <w:rFonts w:hint="eastAsia" w:ascii="仿宋_GB2312" w:hAnsi="仿宋_GB2312" w:eastAsia="仿宋_GB2312" w:cs="仿宋_GB2312"/>
                <w:color w:val="000000"/>
                <w:kern w:val="0"/>
                <w:sz w:val="24"/>
                <w:szCs w:val="24"/>
                <w:highlight w:val="none"/>
                <w:lang w:bidi="ar"/>
              </w:rPr>
              <w:t>智慧屏</w:t>
            </w:r>
            <w:r>
              <w:rPr>
                <w:rFonts w:hint="eastAsia" w:ascii="仿宋_GB2312" w:hAnsi="仿宋_GB2312" w:eastAsia="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bidi="ar"/>
              </w:rPr>
              <w:t>光能黑板</w:t>
            </w:r>
            <w:r>
              <w:rPr>
                <w:rFonts w:hint="eastAsia" w:ascii="仿宋_GB2312" w:hAnsi="仿宋_GB2312" w:eastAsia="仿宋_GB2312" w:cs="仿宋_GB2312"/>
                <w:color w:val="000000"/>
                <w:kern w:val="0"/>
                <w:sz w:val="24"/>
                <w:szCs w:val="24"/>
                <w:highlight w:val="none"/>
                <w:lang w:eastAsia="zh-CN" w:bidi="ar"/>
              </w:rPr>
              <w:t>）</w:t>
            </w:r>
          </w:p>
        </w:tc>
        <w:tc>
          <w:tcPr>
            <w:tcW w:w="5436" w:type="dxa"/>
            <w:tcBorders>
              <w:top w:val="single" w:color="000000" w:sz="4" w:space="0"/>
              <w:left w:val="single" w:color="000000" w:sz="4" w:space="0"/>
              <w:right w:val="single" w:color="000000" w:sz="4" w:space="0"/>
            </w:tcBorders>
            <w:vAlign w:val="center"/>
          </w:tcPr>
          <w:p w14:paraId="2345F65B">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整体采用ABA样式，左、右光能黑板+中间触控智慧屏的安装方式。单块光能黑板≥1140（长）*1165（高）mm。下边框具有可调节平台，尺寸可根据触控一体机高度进行调整，兼具置物功能。</w:t>
            </w: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具体如下：</w:t>
            </w:r>
          </w:p>
          <w:p w14:paraId="044F8E22">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b/>
                <w:bCs/>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bCs/>
                <w:color w:val="000000"/>
                <w:kern w:val="0"/>
                <w:sz w:val="24"/>
                <w:szCs w:val="24"/>
                <w:highlight w:val="none"/>
                <w:lang w:bidi="ar"/>
              </w:rPr>
              <w:t>智慧屏</w:t>
            </w:r>
            <w:r>
              <w:rPr>
                <w:rFonts w:hint="eastAsia" w:ascii="仿宋_GB2312" w:hAnsi="仿宋_GB2312" w:eastAsia="仿宋_GB2312" w:cs="仿宋_GB2312"/>
                <w:b/>
                <w:bCs/>
                <w:color w:val="000000"/>
                <w:kern w:val="0"/>
                <w:sz w:val="24"/>
                <w:szCs w:val="24"/>
                <w:highlight w:val="none"/>
                <w:lang w:val="en-US" w:eastAsia="zh-CN" w:bidi="ar"/>
              </w:rPr>
              <w:t>:</w:t>
            </w:r>
          </w:p>
          <w:p w14:paraId="4DCC8EF3">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一、系统集成与运行环境</w:t>
            </w:r>
          </w:p>
          <w:p w14:paraId="3B94D1A6">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1、系统内嵌安卓平台，版本不低于Android 14，具备≥2GB运行内存和≥8GB存储容量，可在无PC模块状态下独立运行白板书写、WPS、网页浏览等教学应用。</w:t>
            </w:r>
          </w:p>
          <w:p w14:paraId="573BB12F">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2、整机支持双系统协同运行，Windows通道具备文件互传能力，可支持多人同时将移动端文件投送至设备端展示。</w:t>
            </w:r>
          </w:p>
          <w:p w14:paraId="280936C9">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二、音视频能力</w:t>
            </w:r>
          </w:p>
          <w:p w14:paraId="04878747">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1、△设备顶部集成式布置≥4个非独立摄像头模组，其中≥3个为智能拼接摄像头，支持最高8192×2048分辨率图像输出与画面畸变矫正，单张图像拍摄像素不低于1600万像素。</w:t>
            </w:r>
          </w:p>
          <w:p w14:paraId="5E5D627E">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2、内置广角高清摄像头模块，满足教室全景拍摄需要，支持多路视频流并发输出，支持课堂远程巡课、教学数据采集和本地录制。</w:t>
            </w:r>
          </w:p>
          <w:p w14:paraId="3F98625A">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3、△整机内置自习工具，通过整机麦克风监测教室中学生音量大小，当学生音量大于阈值时，屏幕自动弹窗提醒进行自习纪律干预。</w:t>
            </w:r>
          </w:p>
          <w:p w14:paraId="5401E3B8">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4、音频系统采用2.2声道扬声器布置，顶部前向高音扬声器2个（功率10W），上向中低音扬声器2个（功率20W），总输出功率不低于60W。</w:t>
            </w:r>
          </w:p>
          <w:p w14:paraId="6789FF8E">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5、内置8阵列拾音麦克风，采集角度≥180°，有效拾音距离≥12米，支持空间音效采集与动态均衡调节、AI混响控制及噪音抑制优化。</w:t>
            </w:r>
          </w:p>
          <w:p w14:paraId="341DD223">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6、△支持人工智能画质调节模式，启用后当屏幕出现人物、建筑、夜景等元素时，自动调整画质参数；支持人工智能空间感知音效模式，通过内置麦克风采集环境声音自动生成符合当前环境的音量、音效。</w:t>
            </w:r>
          </w:p>
          <w:p w14:paraId="7713639A">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三、屏幕显示与护眼性能</w:t>
            </w:r>
          </w:p>
          <w:p w14:paraId="3DE0F173">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▲1、屏幕显示不小于86寸，显示面板为UHD超高清液晶屏，显示比例为16:9，物理分辨率不低于3840×2160。</w:t>
            </w:r>
          </w:p>
          <w:p w14:paraId="799B8ED5">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2、背光模组采用DC调光方式，支持亮度多级可调，在白色背景下最低亮度≤100nit，有效提升对比度及暗态舒适性。</w:t>
            </w:r>
          </w:p>
          <w:p w14:paraId="5FC37B36">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3、屏幕采用硬件级低蓝光技术，减少有害蓝光波段能量输出，提升护眼效果。</w:t>
            </w:r>
          </w:p>
          <w:p w14:paraId="695AADF1">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4、设备具备全通道“纸感护眼”模式，可根据显示画面实时进行纹理优化；同时支持环境亮度感应并自动调节显示亮度，用户可自主开启/关闭该功能。</w:t>
            </w:r>
          </w:p>
          <w:p w14:paraId="56CFE2E5">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四、无线连接与互动功能</w:t>
            </w:r>
          </w:p>
          <w:p w14:paraId="00405E10">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1、△整机集成双频WiFi 6无线网络模组（Android与Windows系统下均可使用），不接受外置接入方式，具备AP热点功能。</w:t>
            </w:r>
          </w:p>
          <w:p w14:paraId="40652A62">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2、△支持蓝牙Bluetooth 标准协议，PC端可主动发现并连接蓝牙外设（无需整机进入发现模式），支持与外部蓝牙音响等设备配对。</w:t>
            </w:r>
          </w:p>
          <w:p w14:paraId="0417CFA4">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五、人机交互与输入输出</w:t>
            </w:r>
          </w:p>
          <w:p w14:paraId="208586DE">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1、整体触控系统采用红外触控方案，触控分辨率不低于32768×32768，响应时间≤4ms，识别高度≤1.5mm。</w:t>
            </w:r>
          </w:p>
          <w:p w14:paraId="3D93C6A5">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2、整机接口配置如下：</w:t>
            </w:r>
          </w:p>
          <w:p w14:paraId="6938732B">
            <w:pPr>
              <w:keepNext w:val="0"/>
              <w:keepLines w:val="0"/>
              <w:pageBreakBefore w:val="0"/>
              <w:widowControl/>
              <w:kinsoku/>
              <w:wordWrap/>
              <w:overflowPunct/>
              <w:topLinePunct w:val="0"/>
              <w:autoSpaceDE/>
              <w:autoSpaceDN/>
              <w:bidi w:val="0"/>
              <w:adjustRightInd/>
              <w:snapToGrid/>
              <w:ind w:firstLine="240" w:firstLineChars="100"/>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侧置输入端口：≥2路HDMI、≥1路RS232、≥1路USB接口；</w:t>
            </w:r>
          </w:p>
          <w:p w14:paraId="35A7208C">
            <w:pPr>
              <w:keepNext w:val="0"/>
              <w:keepLines w:val="0"/>
              <w:pageBreakBefore w:val="0"/>
              <w:widowControl/>
              <w:kinsoku/>
              <w:wordWrap/>
              <w:overflowPunct/>
              <w:topLinePunct w:val="0"/>
              <w:autoSpaceDE/>
              <w:autoSpaceDN/>
              <w:bidi w:val="0"/>
              <w:adjustRightInd/>
              <w:snapToGrid/>
              <w:ind w:firstLine="240" w:firstLineChars="100"/>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侧置输出端口：≥1路音频输出、≥1路触控USB输出；</w:t>
            </w:r>
          </w:p>
          <w:p w14:paraId="67987239">
            <w:pPr>
              <w:keepNext w:val="0"/>
              <w:keepLines w:val="0"/>
              <w:pageBreakBefore w:val="0"/>
              <w:widowControl/>
              <w:kinsoku/>
              <w:wordWrap/>
              <w:overflowPunct/>
              <w:topLinePunct w:val="0"/>
              <w:autoSpaceDE/>
              <w:autoSpaceDN/>
              <w:bidi w:val="0"/>
              <w:adjustRightInd/>
              <w:snapToGrid/>
              <w:ind w:firstLine="240" w:firstLineChars="100"/>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前置输入端口：≥3路USB（含1路Type-C接口）。</w:t>
            </w:r>
          </w:p>
          <w:p w14:paraId="5E62ECF7">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3、整机两侧副屏支持板书或互动展示，可通过多种媒介进行书写，满足课堂完整内容展示需求。</w:t>
            </w:r>
          </w:p>
          <w:p w14:paraId="1429AE07">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六、结构设计与制造工艺</w:t>
            </w:r>
          </w:p>
          <w:p w14:paraId="1E060468">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1、整机采用一体化设计，外部无任何可见内部功能模块连接线。整机采用全金属外壳设计，边角采用弧形设计，表面无尖锐边缘或凸起。</w:t>
            </w:r>
          </w:p>
          <w:p w14:paraId="67E3D6A8">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2、整机外壳边缘采用金属圆角包边结构，背板整体为金属材质设计，具备良好的电磁屏蔽能力。</w:t>
            </w:r>
          </w:p>
          <w:p w14:paraId="2AAED2CF">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3、△整机嵌入式芯片内置</w:t>
            </w:r>
            <w: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t>不低于</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2TOPS AI算力，可用于AI图像、音频处理。</w:t>
            </w:r>
          </w:p>
          <w:p w14:paraId="0FDA18A2">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七、计算模块与性能配置</w:t>
            </w:r>
          </w:p>
          <w:p w14:paraId="3CEFB2A1">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1、△PC部分采用模块化嵌入设计，具备防尘结构，可抽拉安装且无需工具拆卸（按压式卡扣设计）。</w:t>
            </w:r>
          </w:p>
          <w:p w14:paraId="52A491AB">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2、与整机的连接采用万兆传输通道，数据传输速率≥10Gbps，确保高效交互。</w:t>
            </w:r>
          </w:p>
          <w:p w14:paraId="0E753C65">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3、PC模块核心配置如下：</w:t>
            </w:r>
          </w:p>
          <w:p w14:paraId="429A980D">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处理器：性能不低于四核八线或以上，主频2.0或以上，或同等或更高性能的其他处理器。</w:t>
            </w:r>
          </w:p>
          <w:p w14:paraId="3FC80EC1">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内存：≥8GB DDR4；</w:t>
            </w:r>
          </w:p>
          <w:p w14:paraId="78EAC865">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硬盘：≥256GB SSD；</w:t>
            </w:r>
          </w:p>
          <w:p w14:paraId="6216B311">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4、主板支持集成计算、音频及扩展模块，并可通过处理器或交换电路进行拓扑互联。</w:t>
            </w:r>
          </w:p>
          <w:p w14:paraId="1BE06E11">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5、△在配置管理平台使用终端设备时，支持统一互通的用户身份认证服务，账号登录进入云桌面镜像后，打开教学白板软件、学生行为评价软件的教学应用工具时无需再次输入账号密码重复登录</w:t>
            </w:r>
            <w:r>
              <w:rPr>
                <w:rFonts w:hint="eastAsia" w:ascii="仿宋_GB2312" w:hAnsi="仿宋_GB2312" w:eastAsia="仿宋_GB2312" w:cs="仿宋_GB2312"/>
                <w:color w:val="000000" w:themeColor="text1"/>
                <w:kern w:val="0"/>
                <w:sz w:val="24"/>
                <w:szCs w:val="24"/>
                <w:highlight w:val="none"/>
                <w:lang w:eastAsia="zh-CN" w:bidi="ar"/>
                <w14:textFill>
                  <w14:solidFill>
                    <w14:schemeClr w14:val="tx1"/>
                  </w14:solidFill>
                </w14:textFill>
              </w:rPr>
              <w:t>。</w:t>
            </w:r>
          </w:p>
          <w:p w14:paraId="0BEB4251">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6、△为了方便维护，支持当使用桌面镜像功能时发生系统无法启动、系统异常等情况，可通过手势在屏幕上调取触摸中控菜单，进行系统恢复至出厂默认状态，无需连接网络、无需连接管理平台、无需额外工具辅助</w:t>
            </w:r>
            <w:r>
              <w:rPr>
                <w:rFonts w:hint="eastAsia" w:ascii="仿宋_GB2312" w:hAnsi="仿宋_GB2312" w:eastAsia="仿宋_GB2312" w:cs="仿宋_GB2312"/>
                <w:color w:val="000000" w:themeColor="text1"/>
                <w:kern w:val="0"/>
                <w:sz w:val="24"/>
                <w:szCs w:val="24"/>
                <w:highlight w:val="none"/>
                <w:lang w:eastAsia="zh-CN" w:bidi="ar"/>
                <w14:textFill>
                  <w14:solidFill>
                    <w14:schemeClr w14:val="tx1"/>
                  </w14:solidFill>
                </w14:textFill>
              </w:rPr>
              <w:t>。</w:t>
            </w:r>
          </w:p>
          <w:p w14:paraId="5B5BE37B">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7、支持交互大屏在系统恢复后，公共数据分区（如D盘等非系统分区）的数据能够得到保留，不受还原影响，从而不影响教学使用</w:t>
            </w:r>
          </w:p>
          <w:p w14:paraId="6F32DF84">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8、△简化运维管理与网络规划复杂度，支持终端设备运行时无需运行独立的虚拟化系统，终端设备配置的IP与进入云桌面镜像后的IP能够保持一致，同一个终端无需使用多个IP。</w:t>
            </w:r>
          </w:p>
          <w:p w14:paraId="7839C8D7">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光能黑板：</w:t>
            </w:r>
          </w:p>
          <w:p w14:paraId="280FF633">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一、硬件要求</w:t>
            </w:r>
          </w:p>
          <w:p w14:paraId="74DB488C">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bidi="ar"/>
              </w:rPr>
              <w:t>、采用任何硬度适中的工具均可在板面进行书写，无需专用耗材，消除了粉笔粉尘对师生构成的健康隐患。单点书写、可擦次数达10万次。</w:t>
            </w:r>
          </w:p>
          <w:p w14:paraId="0347F4F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2</w:t>
            </w:r>
            <w:r>
              <w:rPr>
                <w:rFonts w:hint="eastAsia" w:ascii="仿宋_GB2312" w:hAnsi="仿宋_GB2312" w:eastAsia="仿宋_GB2312" w:cs="仿宋_GB2312"/>
                <w:color w:val="000000"/>
                <w:kern w:val="0"/>
                <w:sz w:val="24"/>
                <w:szCs w:val="24"/>
                <w:highlight w:val="none"/>
                <w:lang w:bidi="ar"/>
              </w:rPr>
              <w:t>、△光能黑板应无频闪、无背光，上膜不应产生眩光。板书笔迹可视距离≥40米，可视角度≥150°，对比度≥150:1。</w:t>
            </w:r>
          </w:p>
          <w:p w14:paraId="297B0434">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3、</w:t>
            </w:r>
            <w:r>
              <w:rPr>
                <w:rFonts w:hint="eastAsia" w:ascii="仿宋_GB2312" w:hAnsi="仿宋_GB2312" w:eastAsia="仿宋_GB2312" w:cs="仿宋_GB2312"/>
                <w:color w:val="000000"/>
                <w:kern w:val="0"/>
                <w:sz w:val="24"/>
                <w:szCs w:val="24"/>
                <w:highlight w:val="none"/>
                <w:lang w:bidi="ar"/>
              </w:rPr>
              <w:t>△光能黑板的光泽度不高于30光泽单位。</w:t>
            </w:r>
          </w:p>
          <w:p w14:paraId="5F8C11C1">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4</w:t>
            </w:r>
            <w:r>
              <w:rPr>
                <w:rFonts w:hint="eastAsia" w:ascii="仿宋_GB2312" w:hAnsi="仿宋_GB2312" w:eastAsia="仿宋_GB2312" w:cs="仿宋_GB2312"/>
                <w:color w:val="000000"/>
                <w:kern w:val="0"/>
                <w:sz w:val="24"/>
                <w:szCs w:val="24"/>
                <w:highlight w:val="none"/>
                <w:lang w:bidi="ar"/>
              </w:rPr>
              <w:t>、△书写膜的透光率不低于87%，雾度不高于40%。</w:t>
            </w:r>
          </w:p>
          <w:p w14:paraId="0AA483A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5</w:t>
            </w:r>
            <w:r>
              <w:rPr>
                <w:rFonts w:hint="eastAsia" w:ascii="仿宋_GB2312" w:hAnsi="仿宋_GB2312" w:eastAsia="仿宋_GB2312" w:cs="仿宋_GB2312"/>
                <w:color w:val="000000"/>
                <w:kern w:val="0"/>
                <w:sz w:val="24"/>
                <w:szCs w:val="24"/>
                <w:highlight w:val="none"/>
                <w:lang w:bidi="ar"/>
              </w:rPr>
              <w:t>、一键擦除：按下一键擦除按键，可实现板书的全部擦除，擦除后无明显残留痕迹。</w:t>
            </w:r>
          </w:p>
          <w:p w14:paraId="361899F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6</w:t>
            </w:r>
            <w:r>
              <w:rPr>
                <w:rFonts w:hint="eastAsia" w:ascii="仿宋_GB2312" w:hAnsi="仿宋_GB2312" w:eastAsia="仿宋_GB2312" w:cs="仿宋_GB2312"/>
                <w:color w:val="000000"/>
                <w:kern w:val="0"/>
                <w:sz w:val="24"/>
                <w:szCs w:val="24"/>
                <w:highlight w:val="none"/>
                <w:lang w:bidi="ar"/>
              </w:rPr>
              <w:t>、局部擦除：可使用板擦和手势对板书进行局部擦除。擦除精度小于10mm*10mm，擦除延时＜60ms。光能板具有独立供电装置，可在液晶屏关机的情况下独立使用，不影响局部擦除功能。</w:t>
            </w:r>
          </w:p>
          <w:p w14:paraId="568163D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7</w:t>
            </w:r>
            <w:r>
              <w:rPr>
                <w:rFonts w:hint="eastAsia" w:ascii="仿宋_GB2312" w:hAnsi="仿宋_GB2312" w:eastAsia="仿宋_GB2312" w:cs="仿宋_GB2312"/>
                <w:color w:val="000000"/>
                <w:kern w:val="0"/>
                <w:sz w:val="24"/>
                <w:szCs w:val="24"/>
                <w:highlight w:val="none"/>
                <w:lang w:bidi="ar"/>
              </w:rPr>
              <w:t>、板内设有电压补偿机制，可以通过手势按压书写板板面的特定位置，控制书写板内部电压高低，以调节擦除灵敏度。</w:t>
            </w:r>
          </w:p>
          <w:p w14:paraId="7A9D94BF">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8</w:t>
            </w:r>
            <w:r>
              <w:rPr>
                <w:rFonts w:hint="eastAsia" w:ascii="仿宋_GB2312" w:hAnsi="仿宋_GB2312" w:eastAsia="仿宋_GB2312" w:cs="仿宋_GB2312"/>
                <w:color w:val="000000"/>
                <w:kern w:val="0"/>
                <w:sz w:val="24"/>
                <w:szCs w:val="24"/>
                <w:highlight w:val="none"/>
                <w:lang w:bidi="ar"/>
              </w:rPr>
              <w:t>、△设备内提供的电池组保护电路，符合标准要求，并通过带二次锂电池的设备的充电安全防护。黑板通过恒定力和冲击试验，机械强度符合标准要求。</w:t>
            </w:r>
          </w:p>
          <w:p w14:paraId="6496BFC3">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9</w:t>
            </w:r>
            <w:r>
              <w:rPr>
                <w:rFonts w:hint="eastAsia" w:ascii="仿宋_GB2312" w:hAnsi="仿宋_GB2312" w:eastAsia="仿宋_GB2312" w:cs="仿宋_GB2312"/>
                <w:color w:val="000000"/>
                <w:kern w:val="0"/>
                <w:sz w:val="24"/>
                <w:szCs w:val="24"/>
                <w:highlight w:val="none"/>
                <w:lang w:bidi="ar"/>
              </w:rPr>
              <w:t>、黑板表面具有暗格，用以提供给师生在书写板书时的直线参照，可避免板书歪斜。黑板表面可吸附磁贴、磁扣等教学工具，便于老师教学使用。</w:t>
            </w:r>
          </w:p>
          <w:p w14:paraId="7731469B">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r>
              <w:rPr>
                <w:rFonts w:hint="eastAsia" w:ascii="仿宋_GB2312" w:hAnsi="仿宋_GB2312" w:eastAsia="仿宋_GB2312" w:cs="仿宋_GB2312"/>
                <w:color w:val="000000"/>
                <w:kern w:val="0"/>
                <w:sz w:val="24"/>
                <w:szCs w:val="24"/>
                <w:highlight w:val="none"/>
                <w:lang w:val="en-US" w:eastAsia="zh-CN" w:bidi="ar"/>
              </w:rPr>
              <w:t>0</w:t>
            </w:r>
            <w:r>
              <w:rPr>
                <w:rFonts w:hint="eastAsia" w:ascii="仿宋_GB2312" w:hAnsi="仿宋_GB2312" w:eastAsia="仿宋_GB2312" w:cs="仿宋_GB2312"/>
                <w:color w:val="000000"/>
                <w:kern w:val="0"/>
                <w:sz w:val="24"/>
                <w:szCs w:val="24"/>
                <w:highlight w:val="none"/>
                <w:lang w:bidi="ar"/>
              </w:rPr>
              <w:t>、△光能黑板通过低温-30℃，高温80℃，恒定湿热40℃、95%RH测试，产品外观无变形、损坏等现象，通电运行正常。</w:t>
            </w:r>
          </w:p>
          <w:p w14:paraId="76356DE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r>
              <w:rPr>
                <w:rFonts w:hint="eastAsia" w:ascii="仿宋_GB2312" w:hAnsi="仿宋_GB2312" w:eastAsia="仿宋_GB2312" w:cs="仿宋_GB2312"/>
                <w:color w:val="000000"/>
                <w:kern w:val="0"/>
                <w:sz w:val="24"/>
                <w:szCs w:val="24"/>
                <w:highlight w:val="none"/>
                <w:lang w:val="en-US" w:eastAsia="zh-CN" w:bidi="ar"/>
              </w:rPr>
              <w:t>1</w:t>
            </w:r>
            <w:r>
              <w:rPr>
                <w:rFonts w:hint="eastAsia" w:ascii="仿宋_GB2312" w:hAnsi="仿宋_GB2312" w:eastAsia="仿宋_GB2312" w:cs="仿宋_GB2312"/>
                <w:color w:val="000000"/>
                <w:kern w:val="0"/>
                <w:sz w:val="24"/>
                <w:szCs w:val="24"/>
                <w:highlight w:val="none"/>
                <w:lang w:bidi="ar"/>
              </w:rPr>
              <w:t>、边框采用铝合金材质，坚固耐用，具有较好的耐腐蚀特性。</w:t>
            </w:r>
          </w:p>
          <w:p w14:paraId="456D109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r>
              <w:rPr>
                <w:rFonts w:hint="eastAsia" w:ascii="仿宋_GB2312" w:hAnsi="仿宋_GB2312" w:eastAsia="仿宋_GB2312" w:cs="仿宋_GB2312"/>
                <w:color w:val="000000"/>
                <w:kern w:val="0"/>
                <w:sz w:val="24"/>
                <w:szCs w:val="24"/>
                <w:highlight w:val="none"/>
                <w:lang w:val="en-US" w:eastAsia="zh-CN" w:bidi="ar"/>
              </w:rPr>
              <w:t>2</w:t>
            </w:r>
            <w:r>
              <w:rPr>
                <w:rFonts w:hint="eastAsia" w:ascii="仿宋_GB2312" w:hAnsi="仿宋_GB2312" w:eastAsia="仿宋_GB2312" w:cs="仿宋_GB2312"/>
                <w:color w:val="000000"/>
                <w:kern w:val="0"/>
                <w:sz w:val="24"/>
                <w:szCs w:val="24"/>
                <w:highlight w:val="none"/>
                <w:lang w:bidi="ar"/>
              </w:rPr>
              <w:t>、采用一体式按键指示灯，可通过不同颜色、闪烁等方式表示擦除、电量不足等工作状态。每块光能黑板具备DC接口*2和USB接口*2，方便用户使用。</w:t>
            </w:r>
          </w:p>
          <w:p w14:paraId="754681E1">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r>
              <w:rPr>
                <w:rFonts w:hint="eastAsia" w:ascii="仿宋_GB2312" w:hAnsi="仿宋_GB2312" w:eastAsia="仿宋_GB2312" w:cs="仿宋_GB2312"/>
                <w:color w:val="000000"/>
                <w:kern w:val="0"/>
                <w:sz w:val="24"/>
                <w:szCs w:val="24"/>
                <w:highlight w:val="none"/>
                <w:lang w:val="en-US" w:eastAsia="zh-CN" w:bidi="ar"/>
              </w:rPr>
              <w:t>3</w:t>
            </w:r>
            <w:r>
              <w:rPr>
                <w:rFonts w:hint="eastAsia" w:ascii="仿宋_GB2312" w:hAnsi="仿宋_GB2312" w:eastAsia="仿宋_GB2312" w:cs="仿宋_GB2312"/>
                <w:color w:val="000000"/>
                <w:kern w:val="0"/>
                <w:sz w:val="24"/>
                <w:szCs w:val="24"/>
                <w:highlight w:val="none"/>
                <w:lang w:bidi="ar"/>
              </w:rPr>
              <w:t>、△光能黑板通过抗电强度1500V试验，无击穿现象，符合GB4943的安全要求。</w:t>
            </w:r>
          </w:p>
          <w:p w14:paraId="1728FF0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二、教学软件要求</w:t>
            </w:r>
          </w:p>
          <w:p w14:paraId="16F95F5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1、左、右光能黑板可与触控一体机进行互动，将光能黑板的内容与触控一体机无缝连接，教师在光能黑板上的书写内容可同步显示在触控一体机上。</w:t>
            </w:r>
          </w:p>
          <w:p w14:paraId="1BB3ACA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2、为便于老师记忆和操作，板书界面与电脑桌面/PPT课件之间，采用同一个按键来回切换，方便快捷。</w:t>
            </w:r>
          </w:p>
          <w:p w14:paraId="2D987B96">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3、光能黑板具有两种书写记录模式，支持单板书写记录内容为一个单页面，也可以支持多板同时书写时记录在一个页面上；</w:t>
            </w:r>
          </w:p>
          <w:p w14:paraId="54EFC7EF">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4、当不需要板书传输到软件显示界面时，可以使用分屏功能，断开黑板与大屏的传输，使其成为互不影响的多块黑板。</w:t>
            </w:r>
          </w:p>
          <w:p w14:paraId="2247CB6E">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5、设置不同的软件端笔迹颜色，可实现老师对于教学重点的标识及批注；</w:t>
            </w:r>
          </w:p>
          <w:p w14:paraId="52EDBFE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6、在保存的板书当中进行翻页，查找已经存储的板书内容。</w:t>
            </w:r>
            <w:r>
              <w:rPr>
                <w:rFonts w:hint="eastAsia" w:ascii="仿宋_GB2312" w:hAnsi="仿宋_GB2312" w:eastAsia="仿宋_GB2312" w:cs="仿宋_GB2312"/>
                <w:color w:val="000000"/>
                <w:kern w:val="0"/>
                <w:sz w:val="24"/>
                <w:szCs w:val="24"/>
                <w:highlight w:val="none"/>
                <w:lang w:bidi="ar"/>
              </w:rPr>
              <w:br w:type="textWrapping"/>
            </w:r>
            <w:r>
              <w:rPr>
                <w:rFonts w:hint="eastAsia" w:ascii="仿宋_GB2312" w:hAnsi="仿宋_GB2312" w:eastAsia="仿宋_GB2312" w:cs="仿宋_GB2312"/>
                <w:color w:val="000000"/>
                <w:kern w:val="0"/>
                <w:sz w:val="24"/>
                <w:szCs w:val="24"/>
                <w:highlight w:val="none"/>
                <w:lang w:bidi="ar"/>
              </w:rPr>
              <w:t>7、能直接预览所有存储的板书；</w:t>
            </w:r>
          </w:p>
          <w:p w14:paraId="5CC67F3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8、黑板的板书即时保存到软件当中，通过翻页可找回并显示，保存时不清除黑板的板书内容。</w:t>
            </w:r>
          </w:p>
          <w:p w14:paraId="318972A6">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9、对板书的电子文档进行分享，可以存储在本地PC端，同时生产二维码，便于师生扫码获取。</w:t>
            </w:r>
          </w:p>
          <w:p w14:paraId="11FDF53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10、可以对课堂的板书和讲解进行录制，生成视频文档，利于学生课后复习回放。</w:t>
            </w:r>
          </w:p>
          <w:p w14:paraId="20A1DBF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智能书写与交互工具：</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w:t>
            </w:r>
            <w:r>
              <w:rPr>
                <w:rFonts w:hint="eastAsia" w:ascii="仿宋_GB2312" w:hAnsi="仿宋_GB2312" w:eastAsia="仿宋_GB2312" w:cs="仿宋_GB2312"/>
                <w:sz w:val="24"/>
                <w:szCs w:val="24"/>
                <w:highlight w:val="none"/>
              </w:rPr>
              <w:t>多样化笔触支持</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：提供硬笔、毛笔、荧光笔、智能笔、激光笔、竹笔、对象笔、纹理笔，支持压感识别和侧锋/倾斜书写。</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w:t>
            </w:r>
            <w:r>
              <w:rPr>
                <w:rFonts w:hint="eastAsia" w:ascii="仿宋_GB2312" w:hAnsi="仿宋_GB2312" w:eastAsia="仿宋_GB2312" w:cs="仿宋_GB2312"/>
                <w:sz w:val="24"/>
                <w:szCs w:val="24"/>
                <w:highlight w:val="none"/>
              </w:rPr>
              <w:t>智能擦除机制</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：支持点擦除、区域擦除及全部擦除（清页操作）,并可支持在选择笔工具状态下直接通过手势识别动作实现擦除。</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w:t>
            </w:r>
            <w:r>
              <w:rPr>
                <w:rFonts w:hint="eastAsia" w:ascii="仿宋_GB2312" w:hAnsi="仿宋_GB2312" w:eastAsia="仿宋_GB2312" w:cs="仿宋_GB2312"/>
                <w:sz w:val="24"/>
                <w:szCs w:val="24"/>
                <w:highlight w:val="none"/>
              </w:rPr>
              <w:t>多点操作能力</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：支持同时对两个或以上的图片、音视频、图形对象进行多点缩放与旋转功能，支持三点以上同时书写操作。</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w:t>
            </w:r>
            <w:r>
              <w:rPr>
                <w:rFonts w:hint="eastAsia" w:ascii="仿宋_GB2312" w:hAnsi="仿宋_GB2312" w:eastAsia="仿宋_GB2312" w:cs="仿宋_GB2312"/>
                <w:sz w:val="24"/>
                <w:szCs w:val="24"/>
                <w:highlight w:val="none"/>
              </w:rPr>
              <w:t>多点操作能力</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：支持两到三个人在选择书写工具的状态下同时书写和擦除，互不影响，方便不同学生在屏幕上同时书写。</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5、</w:t>
            </w:r>
            <w:r>
              <w:rPr>
                <w:rFonts w:hint="eastAsia" w:ascii="仿宋_GB2312" w:hAnsi="仿宋_GB2312" w:eastAsia="仿宋_GB2312" w:cs="仿宋_GB2312"/>
                <w:sz w:val="24"/>
                <w:szCs w:val="24"/>
                <w:highlight w:val="none"/>
              </w:rPr>
              <w:t>多模式文本录入</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：提供键盘输入文本，并可对文本内容统一编辑与排版。</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6、</w:t>
            </w:r>
            <w:r>
              <w:rPr>
                <w:rFonts w:hint="eastAsia" w:ascii="仿宋_GB2312" w:hAnsi="仿宋_GB2312" w:eastAsia="仿宋_GB2312" w:cs="仿宋_GB2312"/>
                <w:sz w:val="24"/>
                <w:szCs w:val="24"/>
                <w:highlight w:val="none"/>
              </w:rPr>
              <w:t>手写文字识别</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：支持手写中文与英文自动识别。</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7、</w:t>
            </w:r>
            <w:r>
              <w:rPr>
                <w:rFonts w:hint="eastAsia" w:ascii="仿宋_GB2312" w:hAnsi="仿宋_GB2312" w:eastAsia="仿宋_GB2312" w:cs="仿宋_GB2312"/>
                <w:sz w:val="24"/>
                <w:szCs w:val="24"/>
                <w:highlight w:val="none"/>
              </w:rPr>
              <w:t>多手势交互支持</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：在书写状态下，支持多种手势的快捷操作，如选择对象、漫游、擦除等。</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8、</w:t>
            </w:r>
            <w:r>
              <w:rPr>
                <w:rFonts w:hint="eastAsia" w:ascii="仿宋_GB2312" w:hAnsi="仿宋_GB2312" w:eastAsia="仿宋_GB2312" w:cs="仿宋_GB2312"/>
                <w:sz w:val="24"/>
                <w:szCs w:val="24"/>
                <w:highlight w:val="none"/>
              </w:rPr>
              <w:t>学科化教学场景模式</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：提供语文、数学、英语、物理、化学教学场景，在各学科教学场景中提供相应的教学工具。</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9、</w:t>
            </w:r>
            <w:r>
              <w:rPr>
                <w:rFonts w:hint="eastAsia" w:ascii="仿宋_GB2312" w:hAnsi="仿宋_GB2312" w:eastAsia="仿宋_GB2312" w:cs="仿宋_GB2312"/>
                <w:sz w:val="24"/>
                <w:szCs w:val="24"/>
                <w:highlight w:val="none"/>
              </w:rPr>
              <w:t>教学辅助工具集成</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：提供遮幕、日历、时钟、聚光灯、屏幕截图、放大镜、计算器、屏幕录制、板中板、实物展台等教学展示的辅助功能；屏幕截图提供全屏截图、矩形截图、任意区域截图。</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10、</w:t>
            </w:r>
            <w:r>
              <w:rPr>
                <w:rFonts w:hint="eastAsia" w:ascii="仿宋_GB2312" w:hAnsi="仿宋_GB2312" w:eastAsia="仿宋_GB2312" w:cs="仿宋_GB2312"/>
                <w:sz w:val="24"/>
                <w:szCs w:val="24"/>
                <w:highlight w:val="none"/>
              </w:rPr>
              <w:t>Office文档嵌入与批注</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：提供PPT、Word、Excel文档的嵌入打开，演示、批注，及批注保存功能。</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11、</w:t>
            </w:r>
            <w:r>
              <w:rPr>
                <w:rFonts w:hint="eastAsia" w:ascii="仿宋_GB2312" w:hAnsi="仿宋_GB2312" w:eastAsia="仿宋_GB2312" w:cs="仿宋_GB2312"/>
                <w:sz w:val="24"/>
                <w:szCs w:val="24"/>
                <w:highlight w:val="none"/>
              </w:rPr>
              <w:t>教学资源标准化</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：资源必须符合新课程标准，涵盖新课标多种教材版本，根据学科知识点教学要求，规范分类各教学资源素材。</w:t>
            </w:r>
          </w:p>
          <w:p w14:paraId="3F2CFE60">
            <w:pPr>
              <w:keepNext w:val="0"/>
              <w:keepLines w:val="0"/>
              <w:pageBreakBefore w:val="0"/>
              <w:numPr>
                <w:ilvl w:val="0"/>
                <w:numId w:val="4"/>
              </w:numPr>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sz w:val="24"/>
                <w:szCs w:val="24"/>
                <w:highlight w:val="none"/>
              </w:rPr>
              <w:t>教学数据留痕与导出</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：支持书写轨迹保存导出、教案自动归档。</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p>
          <w:p w14:paraId="2E0795DF">
            <w:pPr>
              <w:keepNext w:val="0"/>
              <w:keepLines w:val="0"/>
              <w:pageBreakBefore w:val="0"/>
              <w:numPr>
                <w:ilvl w:val="0"/>
                <w:numId w:val="4"/>
              </w:numPr>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远程互动教学支持：</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1、软件支持微信扫码登录，无需输入帐号密码即可实现登录互动课堂。</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2、支持按键拨号形式，直接拨号呼叫连接动课堂连，实现远程教学。</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3、互动课堂视频界面支持至少两种画面设置，适应不同场景画面布局需求。</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4、线上教学应用提供不少于9个学科工具，支持语文、数学、英语等。</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5、支持用户在线打开云课件，无需下载，即可在线打开并展示课件及讲授。</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6、班级竞赛：支持互动课堂中可对本地班级、听课班级中表现好的班级发送点评奖励，每堂课可统计各班点评总分，并在课上一键展示最高得分的班级进行表扬。</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7、支持用户无需通过平台，直接创建网络教研，即时生成教研二维码，扫码可进行查看教研简介、发送点评等。</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 xml:space="preserve">8、具有多系统兼容性。除适配Windows操作系统外，至少能与主流国产操作系统（鸿蒙、UOS、麒麟、深度）其中一个适配并正常安装运行。 </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9、具有互动式教学课件资源，包含学科教育各学段教材版本全部教学章节、专题教育多个主题教育、特殊教育3大分类。</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10、课件定向分享：互动教学课件支持定向分享，分享者可将互动课件、课件组推送至指定接收方账号云空间，接收方可在云空间接收并打开分享课件。</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11、支持电子化听评课，支持在授课模式中发起授课评价，根据课程和评课表生成二维码，可选择是否分享课件，若选择分享课件，评课人通过扫码即可参与评课并获取课件。</w:t>
            </w:r>
          </w:p>
          <w:p w14:paraId="05E9FA37">
            <w:pPr>
              <w:keepNext w:val="0"/>
              <w:keepLines w:val="0"/>
              <w:pageBreakBefore w:val="0"/>
              <w:widowControl/>
              <w:numPr>
                <w:ilvl w:val="0"/>
                <w:numId w:val="4"/>
              </w:numPr>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b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为节约用电，具备自动待机功能，在无操作或无信号输入时，自动进入待机节能状态，时间间隔可自定义</w:t>
            </w:r>
            <w:r>
              <w:rPr>
                <w:rFonts w:hint="eastAsia" w:ascii="仿宋_GB2312" w:hAnsi="仿宋_GB2312" w:eastAsia="仿宋_GB2312" w:cs="仿宋_GB2312"/>
                <w:color w:val="000000" w:themeColor="text1"/>
                <w:kern w:val="0"/>
                <w:sz w:val="24"/>
                <w:szCs w:val="24"/>
                <w:highlight w:val="none"/>
                <w:lang w:eastAsia="zh-CN" w:bidi="ar"/>
                <w14:textFill>
                  <w14:solidFill>
                    <w14:schemeClr w14:val="tx1"/>
                  </w14:solidFill>
                </w14:textFill>
              </w:rPr>
              <w:t>。</w:t>
            </w:r>
          </w:p>
          <w:p w14:paraId="41964C5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pPr>
          </w:p>
          <w:p w14:paraId="7FFF711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终端集中</w:t>
            </w:r>
            <w:r>
              <w:rPr>
                <w:rFonts w:hint="eastAsia" w:ascii="仿宋_GB2312" w:hAnsi="仿宋_GB2312" w:eastAsia="仿宋_GB2312" w:cs="仿宋_GB2312"/>
                <w:b/>
                <w:bCs/>
                <w:color w:val="auto"/>
                <w:kern w:val="0"/>
                <w:sz w:val="24"/>
                <w:szCs w:val="24"/>
                <w:highlight w:val="none"/>
                <w:lang w:bidi="ar"/>
              </w:rPr>
              <w:t>管控：</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1、后台控制端采用B/S架构设计，可在Windows、Linux、Android、IOS等多种不同的操作系统上通过网页浏览器登陆进行操作，可控制在局域网或互联网内的一体机终端设备。</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2、教室受控端：使用校园集控系统的每个学校/区域拥有专属代码，该学校/区域的一体机设备只需接入互联网，并在受控端输入该代码进行连接，管理员即可在后台对设备进行远程管理。</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3、支持按照一体机安装的年级、班级，设置教室受控端的名称，方便管理员对应管理。</w:t>
            </w:r>
          </w:p>
          <w:p w14:paraId="40FA6C69">
            <w:pPr>
              <w:keepNext w:val="0"/>
              <w:keepLines w:val="0"/>
              <w:pageBreakBefore w:val="0"/>
              <w:widowControl/>
              <w:numPr>
                <w:ilvl w:val="0"/>
                <w:numId w:val="0"/>
              </w:numPr>
              <w:kinsoku/>
              <w:wordWrap/>
              <w:overflowPunct/>
              <w:topLinePunct w:val="0"/>
              <w:autoSpaceDE/>
              <w:autoSpaceDN/>
              <w:bidi w:val="0"/>
              <w:adjustRightInd/>
              <w:snapToGrid/>
              <w:ind w:leftChars="0"/>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color w:val="000000" w:themeColor="text1"/>
                <w:kern w:val="0"/>
                <w:sz w:val="24"/>
                <w:szCs w:val="24"/>
                <w:highlight w:val="none"/>
                <w:lang w:val="en-US" w:eastAsia="zh-CN" w:bidi="ar"/>
                <w14:textFill>
                  <w14:solidFill>
                    <w14:schemeClr w14:val="tx1"/>
                  </w14:solidFill>
                </w14:textFill>
              </w:rPr>
              <w:t>4、支持远程升级，及时给用户推送新版应用。</w:t>
            </w:r>
          </w:p>
          <w:p w14:paraId="2DEECC3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pPr>
          </w:p>
          <w:p w14:paraId="09247E6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校园数字</w:t>
            </w:r>
            <w:r>
              <w:rPr>
                <w:rFonts w:hint="eastAsia" w:ascii="仿宋_GB2312" w:hAnsi="仿宋_GB2312" w:eastAsia="仿宋_GB2312" w:cs="仿宋_GB2312"/>
                <w:b/>
                <w:bCs/>
                <w:color w:val="auto"/>
                <w:kern w:val="0"/>
                <w:sz w:val="24"/>
                <w:szCs w:val="24"/>
                <w:highlight w:val="none"/>
                <w:lang w:bidi="ar"/>
              </w:rPr>
              <w:t>化设备管理：</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1、远程监控：在控制端网页可实时监控已连接的一体机，可远程查看开关机状态、使用状态评估、整机温度、以及系统内存、硬盘空间等设备信息。</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2、远程设备控制：在控制端网页可对已连接的一体机进行实时控制，包括开关机、切换通道、更改图像及声音模式。</w:t>
            </w:r>
          </w:p>
          <w:p w14:paraId="7433FF29">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3.为方便管理，智能交互黑板具备锁屏功能，支持不少于密码锁屏、二维码锁屏2种及以上方式。</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4、弹窗AI拦截：支持一键开启全校班班通设备的不良弹窗AI拦截过滤能力，设备辅助管理软件实时监测弹出窗口。</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5、领导视窗：支持同时查看8个教室的实时摄像头画面、设备屏幕画面；并支持在一个显示界面同时查看单个教室内所有屏幕、所有摄像头的实时画面，以及所有麦克风的声音，完整还原课堂全貌。</w:t>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6、管理员分组：系统可将管理权限分配给多个管理员，共同管理受控范围内设备；顶级管理员可查看普通管理员进行的操作，并可对普通管理员进行权限管理，根据不同管理员职责开放适当权限。</w:t>
            </w:r>
          </w:p>
          <w:p w14:paraId="4C81159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7、支持电子化听评课，支持在授课模式中发起授课评价，根据课程和评课表生成二维码，可选择是否分享课件，若选择分享课件，评课人通过扫码即可参与评课并获取课件。</w:t>
            </w:r>
          </w:p>
          <w:p w14:paraId="6300F2D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sz w:val="24"/>
                <w:szCs w:val="24"/>
                <w:highlight w:val="none"/>
                <w:lang w:bidi="ar"/>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8、支持用户无需通过平台，直接创建网络教研，即时生成教研二维码，扫码可进行查看教研简介、发送点评等。</w:t>
            </w:r>
          </w:p>
        </w:tc>
        <w:tc>
          <w:tcPr>
            <w:tcW w:w="1180" w:type="dxa"/>
            <w:tcBorders>
              <w:top w:val="single" w:color="000000" w:sz="4" w:space="0"/>
              <w:left w:val="single" w:color="000000" w:sz="4" w:space="0"/>
              <w:bottom w:val="nil"/>
              <w:right w:val="single" w:color="000000" w:sz="4" w:space="0"/>
            </w:tcBorders>
            <w:vAlign w:val="center"/>
          </w:tcPr>
          <w:p w14:paraId="0DB5B22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sz w:val="24"/>
                <w:szCs w:val="24"/>
                <w:highlight w:val="none"/>
              </w:rPr>
            </w:pPr>
          </w:p>
        </w:tc>
      </w:tr>
      <w:tr w14:paraId="0B0F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8" w:type="dxa"/>
            <w:tcBorders>
              <w:top w:val="single" w:color="000000" w:sz="4" w:space="0"/>
              <w:left w:val="single" w:color="000000" w:sz="4" w:space="0"/>
              <w:bottom w:val="single" w:color="000000" w:sz="4" w:space="0"/>
              <w:right w:val="single" w:color="000000" w:sz="4" w:space="0"/>
            </w:tcBorders>
            <w:vAlign w:val="center"/>
          </w:tcPr>
          <w:p w14:paraId="3FBA126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vAlign w:val="center"/>
          </w:tcPr>
          <w:p w14:paraId="605FF53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智慧黑板2（</w:t>
            </w:r>
            <w:r>
              <w:rPr>
                <w:rFonts w:hint="eastAsia" w:ascii="仿宋_GB2312" w:hAnsi="仿宋_GB2312" w:eastAsia="仿宋_GB2312" w:cs="仿宋_GB2312"/>
                <w:color w:val="000000"/>
                <w:kern w:val="0"/>
                <w:sz w:val="24"/>
                <w:szCs w:val="24"/>
                <w:highlight w:val="none"/>
                <w:lang w:bidi="ar"/>
              </w:rPr>
              <w:t>智慧屏</w:t>
            </w:r>
            <w:r>
              <w:rPr>
                <w:rFonts w:hint="eastAsia" w:ascii="仿宋_GB2312" w:hAnsi="仿宋_GB2312" w:eastAsia="仿宋_GB2312" w:cs="仿宋_GB2312"/>
                <w:color w:val="000000"/>
                <w:kern w:val="0"/>
                <w:sz w:val="24"/>
                <w:szCs w:val="24"/>
                <w:highlight w:val="none"/>
                <w:lang w:val="en-US" w:eastAsia="zh-CN" w:bidi="ar"/>
              </w:rPr>
              <w:t>+</w:t>
            </w:r>
            <w:r>
              <w:rPr>
                <w:rFonts w:hint="eastAsia" w:ascii="仿宋_GB2312" w:hAnsi="仿宋_GB2312" w:eastAsia="仿宋_GB2312" w:cs="仿宋_GB2312"/>
                <w:color w:val="000000"/>
                <w:kern w:val="0"/>
                <w:sz w:val="24"/>
                <w:szCs w:val="24"/>
                <w:highlight w:val="none"/>
                <w:lang w:bidi="ar"/>
              </w:rPr>
              <w:t>推拉黑板</w:t>
            </w:r>
            <w:r>
              <w:rPr>
                <w:rFonts w:hint="eastAsia" w:ascii="仿宋_GB2312" w:hAnsi="仿宋_GB2312" w:eastAsia="仿宋_GB2312" w:cs="仿宋_GB2312"/>
                <w:color w:val="000000"/>
                <w:kern w:val="0"/>
                <w:sz w:val="24"/>
                <w:szCs w:val="24"/>
                <w:highlight w:val="none"/>
                <w:lang w:eastAsia="zh-CN" w:bidi="ar"/>
              </w:rPr>
              <w:t>）</w:t>
            </w:r>
          </w:p>
        </w:tc>
        <w:tc>
          <w:tcPr>
            <w:tcW w:w="5436" w:type="dxa"/>
            <w:tcBorders>
              <w:top w:val="single" w:color="000000" w:sz="4" w:space="0"/>
              <w:left w:val="single" w:color="000000" w:sz="4" w:space="0"/>
              <w:bottom w:val="single" w:color="000000" w:sz="4" w:space="0"/>
              <w:right w:val="single" w:color="000000" w:sz="4" w:space="0"/>
            </w:tcBorders>
            <w:vAlign w:val="center"/>
          </w:tcPr>
          <w:p w14:paraId="2741C6B6">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b/>
                <w:bCs/>
                <w:color w:val="000000"/>
                <w:kern w:val="0"/>
                <w:sz w:val="24"/>
                <w:szCs w:val="24"/>
                <w:highlight w:val="none"/>
                <w:lang w:val="en-US" w:eastAsia="zh-CN" w:bidi="ar"/>
              </w:rPr>
            </w:pPr>
            <w:r>
              <w:rPr>
                <w:rFonts w:hint="eastAsia" w:ascii="仿宋_GB2312" w:hAnsi="仿宋_GB2312" w:eastAsia="仿宋_GB2312" w:cs="仿宋_GB2312"/>
                <w:b/>
                <w:bCs/>
                <w:color w:val="000000"/>
                <w:kern w:val="0"/>
                <w:sz w:val="24"/>
                <w:szCs w:val="24"/>
                <w:highlight w:val="none"/>
                <w:lang w:val="en-US" w:eastAsia="zh-CN" w:bidi="ar"/>
              </w:rPr>
              <w:t>智慧屏：</w:t>
            </w:r>
          </w:p>
          <w:p w14:paraId="4E9BD549">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涉及性能参数与智慧黑板1（智慧屏+光能黑板）中的智能屏一致。</w:t>
            </w:r>
          </w:p>
          <w:p w14:paraId="0241CE4E">
            <w:pPr>
              <w:keepNext w:val="0"/>
              <w:keepLines w:val="0"/>
              <w:pageBreakBefore w:val="0"/>
              <w:widowControl/>
              <w:kinsoku/>
              <w:wordWrap/>
              <w:overflowPunct/>
              <w:topLinePunct w:val="0"/>
              <w:autoSpaceDE/>
              <w:autoSpaceDN/>
              <w:bidi w:val="0"/>
              <w:adjustRightInd/>
              <w:snapToGrid/>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val="en-US" w:eastAsia="zh-CN" w:bidi="ar"/>
              </w:rPr>
              <w:t>推拉黑板：</w:t>
            </w:r>
          </w:p>
          <w:p w14:paraId="70FA0F27">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1、△结构：双层结构，内层为两块固定书写板左右各一块，中间预留放置电子产品空间，外层为两块滑动书写板。</w:t>
            </w:r>
          </w:p>
          <w:p w14:paraId="44242E86">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2、尺寸：约4300mm×1255mm，可根据所配智慧屏大小适当调整，确保与智慧屏有效配套。</w:t>
            </w:r>
          </w:p>
          <w:p w14:paraId="3B199F2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3、△板面：采用金属烤漆书写板面，亚光、墨绿色，厚度≥0.3mm，光泽度≤12光泽单位，没有因黑板本身原因产生的眩光，书写流畅字迹清晰、色彩协调可视效果佳，有效的缓解学生视觉疲劳。</w:t>
            </w:r>
          </w:p>
          <w:p w14:paraId="60FA5D4C">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4、内板：正面无边框外漏，整体颜色一致，简洁美观，最大限度的增大书写面积。整块内板表面平整，硬度高，没有因黑板本身原因产生的眩光，书写流畅字迹清晰、色彩协调可视效果佳，有效的缓解学生视觉疲劳；板面表面附有一层透明保护膜，符合GB28231-2011《书写板安全卫生要求》。</w:t>
            </w:r>
          </w:p>
          <w:p w14:paraId="7FDA222B">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5、滑块：采用聚四氟乙烯材质，耐高温，耐腐蚀，自润滑，耐磨，滑块与外框紧密接触，有效避免内板前后晃动，具有滑动板拉动轻便顺畅、无滚动噪音等优点，书写体验度高。自阻尼设计，避免于滑动板书写时左右晃动。</w:t>
            </w:r>
          </w:p>
          <w:p w14:paraId="6E5DCB99">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6、边框：采用高强度电泳喷砂驼色铝合金型材，耐磨耐腐，经铜加速乙酸盐雾试验，保护等级≥10级；经耐磨性经落砂磨耗试验，落砂量≥3000g，未落穿至基材。</w:t>
            </w:r>
          </w:p>
          <w:p w14:paraId="1F588FB7">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7、包角：采用抗老化高强度ABS工程塑料注塑成型。采用外插式设计，能有效避免边框与框角留缝现象，整体性强。无尖角毛刺，符合GB 21027-2007《学生用品的安全通用要求》。</w:t>
            </w:r>
          </w:p>
          <w:p w14:paraId="18E77D2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bidi="ar"/>
              </w:rPr>
              <w:t>8、限位档：横框内部两侧安装可拆卸限位档，禁止安装于立框，避免滑动板推拉过程中撞击立框及夹手。限位档可反复多次拆装不滑丝，螺丝刀即可操作。</w:t>
            </w:r>
          </w:p>
        </w:tc>
        <w:tc>
          <w:tcPr>
            <w:tcW w:w="1180" w:type="dxa"/>
            <w:tcBorders>
              <w:top w:val="single" w:color="000000" w:sz="4" w:space="0"/>
              <w:left w:val="single" w:color="000000" w:sz="4" w:space="0"/>
              <w:bottom w:val="single" w:color="000000" w:sz="4" w:space="0"/>
              <w:right w:val="single" w:color="000000" w:sz="4" w:space="0"/>
            </w:tcBorders>
            <w:vAlign w:val="center"/>
          </w:tcPr>
          <w:p w14:paraId="03B9D43C">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sz w:val="24"/>
                <w:szCs w:val="24"/>
                <w:highlight w:val="none"/>
              </w:rPr>
            </w:pPr>
          </w:p>
        </w:tc>
      </w:tr>
      <w:tr w14:paraId="1EECE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8" w:type="dxa"/>
            <w:tcBorders>
              <w:top w:val="single" w:color="000000" w:sz="4" w:space="0"/>
              <w:left w:val="single" w:color="000000" w:sz="4" w:space="0"/>
              <w:bottom w:val="single" w:color="000000" w:sz="4" w:space="0"/>
              <w:right w:val="single" w:color="000000" w:sz="4" w:space="0"/>
            </w:tcBorders>
            <w:vAlign w:val="center"/>
          </w:tcPr>
          <w:p w14:paraId="7387BD2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vAlign w:val="center"/>
          </w:tcPr>
          <w:p w14:paraId="3970C7E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高清展台</w:t>
            </w:r>
          </w:p>
        </w:tc>
        <w:tc>
          <w:tcPr>
            <w:tcW w:w="5436" w:type="dxa"/>
            <w:tcBorders>
              <w:top w:val="single" w:color="000000" w:sz="4" w:space="0"/>
              <w:left w:val="single" w:color="000000" w:sz="4" w:space="0"/>
              <w:bottom w:val="single" w:color="000000" w:sz="4" w:space="0"/>
              <w:right w:val="single" w:color="000000" w:sz="4" w:space="0"/>
            </w:tcBorders>
            <w:vAlign w:val="center"/>
          </w:tcPr>
          <w:p w14:paraId="36B0D17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1、</w:t>
            </w:r>
            <w:r>
              <w:rPr>
                <w:rFonts w:hint="eastAsia" w:ascii="仿宋_GB2312" w:hAnsi="仿宋_GB2312" w:eastAsia="仿宋_GB2312" w:cs="仿宋_GB2312"/>
                <w:b/>
                <w:bCs/>
                <w:sz w:val="24"/>
                <w:szCs w:val="24"/>
                <w:highlight w:val="none"/>
              </w:rPr>
              <w:t>整机结构与制造工艺：</w:t>
            </w:r>
          </w:p>
          <w:p w14:paraId="38617E94">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1）采用高强度铝合金外壳，边角圆润无锐角，确保师生使用安全。</w:t>
            </w:r>
          </w:p>
          <w:p w14:paraId="0F41C943">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2）支持壁挂式安装，具备防盗、防破坏设计，适用于教室环境。</w:t>
            </w:r>
          </w:p>
          <w:p w14:paraId="69D2CC7B">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3）△开合式托板，展开后尺寸不小于A4纸张面积，收起后体积小巧，节省空间。</w:t>
            </w:r>
          </w:p>
          <w:p w14:paraId="56FB6CEA">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4）模块化设计，便于安装和维护，支持快速更换部件，减少维护时间。</w:t>
            </w:r>
          </w:p>
          <w:p w14:paraId="068E2BDF">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影像采集与图像清晰度</w:t>
            </w: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w:t>
            </w:r>
          </w:p>
          <w:p w14:paraId="1735BBD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bidi="ar"/>
                <w14:textFill>
                  <w14:solidFill>
                    <w14:schemeClr w14:val="tx1"/>
                  </w14:solidFill>
                </w14:textFill>
              </w:rPr>
              <w:t>1）摄像头可拍摄不少于800万像素数的照片，摄像头支持自动对焦，可拍摄A4画幅。</w:t>
            </w:r>
          </w:p>
          <w:p w14:paraId="0373F8EE">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2）△中心区域解析度不低于1600线，边缘区域不低于1400线，满足高清展示需求。</w:t>
            </w:r>
          </w:p>
          <w:p w14:paraId="5560D06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000000"/>
                <w:kern w:val="0"/>
                <w:sz w:val="24"/>
                <w:szCs w:val="24"/>
                <w:highlight w:val="none"/>
                <w:lang w:val="en-US" w:eastAsia="zh-CN" w:bidi="ar"/>
              </w:rPr>
              <w:t>3）图像色彩：24位及以上。</w:t>
            </w:r>
          </w:p>
          <w:p w14:paraId="1321836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3、</w:t>
            </w:r>
            <w:r>
              <w:rPr>
                <w:rFonts w:hint="eastAsia" w:ascii="仿宋_GB2312" w:hAnsi="仿宋_GB2312" w:eastAsia="仿宋_GB2312" w:cs="仿宋_GB2312"/>
                <w:b/>
                <w:bCs/>
                <w:sz w:val="24"/>
                <w:szCs w:val="24"/>
                <w:highlight w:val="none"/>
              </w:rPr>
              <w:t>智能光照与成像补光</w:t>
            </w:r>
            <w:r>
              <w:rPr>
                <w:rFonts w:hint="eastAsia" w:ascii="仿宋_GB2312" w:hAnsi="仿宋_GB2312" w:eastAsia="仿宋_GB2312" w:cs="仿宋_GB2312"/>
                <w:b/>
                <w:bCs/>
                <w:color w:val="000000"/>
                <w:kern w:val="0"/>
                <w:sz w:val="24"/>
                <w:szCs w:val="24"/>
                <w:highlight w:val="none"/>
                <w:lang w:bidi="ar"/>
              </w:rPr>
              <w:t>：</w:t>
            </w:r>
          </w:p>
          <w:p w14:paraId="07BBB296">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1）内置可调节亮度的LED补光灯，支持多级亮度调节，满足不同环境下的照明需求。</w:t>
            </w:r>
          </w:p>
          <w:p w14:paraId="46BECAA1">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4、</w:t>
            </w:r>
            <w:r>
              <w:rPr>
                <w:rFonts w:hint="eastAsia" w:ascii="仿宋_GB2312" w:hAnsi="仿宋_GB2312" w:eastAsia="仿宋_GB2312" w:cs="仿宋_GB2312"/>
                <w:b/>
                <w:bCs/>
                <w:sz w:val="24"/>
                <w:szCs w:val="24"/>
                <w:highlight w:val="none"/>
              </w:rPr>
              <w:t>人机交互与控制方式</w:t>
            </w:r>
            <w:r>
              <w:rPr>
                <w:rFonts w:hint="eastAsia" w:ascii="仿宋_GB2312" w:hAnsi="仿宋_GB2312" w:eastAsia="仿宋_GB2312" w:cs="仿宋_GB2312"/>
                <w:b/>
                <w:bCs/>
                <w:color w:val="000000"/>
                <w:kern w:val="0"/>
                <w:sz w:val="24"/>
                <w:szCs w:val="24"/>
                <w:highlight w:val="none"/>
                <w:lang w:bidi="ar"/>
              </w:rPr>
              <w:t>：</w:t>
            </w:r>
          </w:p>
          <w:p w14:paraId="20706DCA">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1）支持通过双击屏幕画面任意位置，即时改变对焦位置,可对立体物体的局部进行对焦。</w:t>
            </w:r>
          </w:p>
          <w:p w14:paraId="4F4C3E1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b/>
                <w:bCs/>
                <w:color w:val="000000"/>
                <w:kern w:val="0"/>
                <w:sz w:val="24"/>
                <w:szCs w:val="24"/>
                <w:highlight w:val="none"/>
                <w:lang w:bidi="ar"/>
              </w:rPr>
            </w:pPr>
            <w:r>
              <w:rPr>
                <w:rFonts w:hint="eastAsia" w:ascii="仿宋_GB2312" w:hAnsi="仿宋_GB2312" w:eastAsia="仿宋_GB2312" w:cs="仿宋_GB2312"/>
                <w:b/>
                <w:bCs/>
                <w:color w:val="000000"/>
                <w:kern w:val="0"/>
                <w:sz w:val="24"/>
                <w:szCs w:val="24"/>
                <w:highlight w:val="none"/>
                <w:lang w:bidi="ar"/>
              </w:rPr>
              <w:t>5、</w:t>
            </w:r>
            <w:r>
              <w:rPr>
                <w:rFonts w:hint="eastAsia" w:ascii="仿宋_GB2312" w:hAnsi="仿宋_GB2312" w:eastAsia="仿宋_GB2312" w:cs="仿宋_GB2312"/>
                <w:b/>
                <w:bCs/>
                <w:sz w:val="24"/>
                <w:szCs w:val="24"/>
                <w:highlight w:val="none"/>
                <w:lang w:val="en-US" w:eastAsia="zh-CN"/>
              </w:rPr>
              <w:t>安全管理</w:t>
            </w:r>
            <w:r>
              <w:rPr>
                <w:rFonts w:hint="eastAsia" w:ascii="仿宋_GB2312" w:hAnsi="仿宋_GB2312" w:eastAsia="仿宋_GB2312" w:cs="仿宋_GB2312"/>
                <w:b/>
                <w:bCs/>
                <w:color w:val="000000"/>
                <w:kern w:val="0"/>
                <w:sz w:val="24"/>
                <w:szCs w:val="24"/>
                <w:highlight w:val="none"/>
                <w:lang w:bidi="ar"/>
              </w:rPr>
              <w:t>：</w:t>
            </w:r>
          </w:p>
          <w:p w14:paraId="635A03F8">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b w:val="0"/>
                <w:color w:val="000000"/>
                <w:kern w:val="0"/>
                <w:sz w:val="24"/>
                <w:szCs w:val="24"/>
                <w:highlight w:val="none"/>
                <w:lang w:val="en-US" w:eastAsia="zh-CN" w:bidi="ar"/>
              </w:rPr>
              <w:t>1）整机具有安全锁。</w:t>
            </w:r>
          </w:p>
        </w:tc>
        <w:tc>
          <w:tcPr>
            <w:tcW w:w="1180" w:type="dxa"/>
            <w:tcBorders>
              <w:top w:val="single" w:color="000000" w:sz="4" w:space="0"/>
              <w:left w:val="single" w:color="000000" w:sz="4" w:space="0"/>
              <w:bottom w:val="single" w:color="000000" w:sz="4" w:space="0"/>
              <w:right w:val="single" w:color="000000" w:sz="4" w:space="0"/>
            </w:tcBorders>
            <w:vAlign w:val="center"/>
          </w:tcPr>
          <w:p w14:paraId="0F573084">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sz w:val="24"/>
                <w:szCs w:val="24"/>
                <w:highlight w:val="none"/>
              </w:rPr>
            </w:pPr>
          </w:p>
        </w:tc>
      </w:tr>
      <w:tr w14:paraId="7311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18" w:type="dxa"/>
            <w:tcBorders>
              <w:top w:val="single" w:color="000000" w:sz="4" w:space="0"/>
              <w:left w:val="single" w:color="000000" w:sz="4" w:space="0"/>
              <w:bottom w:val="single" w:color="000000" w:sz="4" w:space="0"/>
              <w:right w:val="single" w:color="000000" w:sz="4" w:space="0"/>
            </w:tcBorders>
            <w:vAlign w:val="center"/>
          </w:tcPr>
          <w:p w14:paraId="22DFF1E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vAlign w:val="center"/>
          </w:tcPr>
          <w:p w14:paraId="044FE4C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电子班牌</w:t>
            </w:r>
          </w:p>
        </w:tc>
        <w:tc>
          <w:tcPr>
            <w:tcW w:w="5436" w:type="dxa"/>
            <w:tcBorders>
              <w:top w:val="single" w:color="000000" w:sz="4" w:space="0"/>
              <w:left w:val="single" w:color="000000" w:sz="4" w:space="0"/>
              <w:bottom w:val="single" w:color="000000" w:sz="4" w:space="0"/>
              <w:right w:val="single" w:color="000000" w:sz="4" w:space="0"/>
            </w:tcBorders>
            <w:vAlign w:val="center"/>
          </w:tcPr>
          <w:p w14:paraId="5B6B88D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kern w:val="0"/>
                <w:sz w:val="24"/>
                <w:szCs w:val="24"/>
                <w:highlight w:val="none"/>
                <w:lang w:val="en-US" w:eastAsia="zh-CN" w:bidi="ar"/>
              </w:rPr>
              <w:t>1、电子班牌须与学校智慧校园平台无缝对接，兼容本校区智慧校园系统相关数据，数据包括（智慧校园提供的基础数据（如智慧安防、智慧餐饮等）、学生考勤数据、学生基础数据、班级数据、课表数据、教师任课数据等）。</w:t>
            </w:r>
          </w:p>
          <w:p w14:paraId="4499375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val="en-US" w:eastAsia="zh-CN" w:bidi="ar"/>
              </w:rPr>
              <w:t>2</w:t>
            </w:r>
            <w:r>
              <w:rPr>
                <w:rFonts w:hint="eastAsia" w:ascii="仿宋_GB2312" w:hAnsi="仿宋_GB2312" w:eastAsia="仿宋_GB2312" w:cs="仿宋_GB2312"/>
                <w:color w:val="000000"/>
                <w:kern w:val="0"/>
                <w:sz w:val="24"/>
                <w:szCs w:val="24"/>
                <w:highlight w:val="none"/>
                <w:lang w:bidi="ar"/>
              </w:rPr>
              <w:t>、屏幕：采用电容式触摸屏，支持≥10点触控。分辨率≥1920*1080</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显示比例16：9；可视角水平</w:t>
            </w:r>
            <w:r>
              <w:rPr>
                <w:rFonts w:hint="eastAsia" w:ascii="仿宋_GB2312" w:hAnsi="仿宋_GB2312" w:eastAsia="仿宋_GB2312" w:cs="仿宋_GB2312"/>
                <w:color w:val="000000"/>
                <w:kern w:val="0"/>
                <w:sz w:val="24"/>
                <w:szCs w:val="24"/>
                <w:highlight w:val="none"/>
                <w:lang w:val="en-US" w:eastAsia="zh-CN" w:bidi="ar"/>
              </w:rPr>
              <w:t>不少于</w:t>
            </w:r>
            <w:r>
              <w:rPr>
                <w:rFonts w:hint="eastAsia" w:ascii="仿宋_GB2312" w:hAnsi="仿宋_GB2312" w:eastAsia="仿宋_GB2312" w:cs="仿宋_GB2312"/>
                <w:color w:val="000000"/>
                <w:kern w:val="0"/>
                <w:sz w:val="24"/>
                <w:szCs w:val="24"/>
                <w:highlight w:val="none"/>
                <w:lang w:bidi="ar"/>
              </w:rPr>
              <w:t>178°，垂直不少于178°</w:t>
            </w:r>
            <w:r>
              <w:rPr>
                <w:rFonts w:hint="eastAsia" w:ascii="仿宋_GB2312" w:hAnsi="仿宋_GB2312" w:eastAsia="仿宋_GB2312" w:cs="仿宋_GB2312"/>
                <w:color w:val="000000"/>
                <w:kern w:val="0"/>
                <w:sz w:val="24"/>
                <w:szCs w:val="24"/>
                <w:highlight w:val="none"/>
                <w:lang w:eastAsia="zh-CN" w:bidi="ar"/>
              </w:rPr>
              <w:t>。</w:t>
            </w:r>
          </w:p>
          <w:p w14:paraId="44EC9491">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3、显示尺寸不小于 21.5英寸</w:t>
            </w:r>
            <w:r>
              <w:rPr>
                <w:rFonts w:hint="eastAsia" w:ascii="仿宋_GB2312" w:hAnsi="仿宋_GB2312" w:eastAsia="仿宋_GB2312" w:cs="仿宋_GB2312"/>
                <w:color w:val="000000"/>
                <w:kern w:val="0"/>
                <w:sz w:val="24"/>
                <w:szCs w:val="24"/>
                <w:highlight w:val="none"/>
                <w:lang w:eastAsia="zh-CN" w:bidi="ar"/>
              </w:rPr>
              <w:t>。</w:t>
            </w:r>
          </w:p>
          <w:p w14:paraId="430C4C9A">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4、屏幕可视区域不小于 476.06 mm (H) × 267.79 mm (V)</w:t>
            </w:r>
            <w:r>
              <w:rPr>
                <w:rFonts w:hint="eastAsia" w:ascii="仿宋_GB2312" w:hAnsi="仿宋_GB2312" w:eastAsia="仿宋_GB2312" w:cs="仿宋_GB2312"/>
                <w:color w:val="000000"/>
                <w:kern w:val="0"/>
                <w:sz w:val="24"/>
                <w:szCs w:val="24"/>
                <w:highlight w:val="none"/>
                <w:lang w:eastAsia="zh-CN" w:bidi="ar"/>
              </w:rPr>
              <w:t>。</w:t>
            </w:r>
          </w:p>
          <w:p w14:paraId="49E3863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5、背光源类型 TFT-LCD背光</w:t>
            </w:r>
            <w:r>
              <w:rPr>
                <w:rFonts w:hint="eastAsia" w:ascii="仿宋_GB2312" w:hAnsi="仿宋_GB2312" w:eastAsia="仿宋_GB2312" w:cs="仿宋_GB2312"/>
                <w:color w:val="000000"/>
                <w:kern w:val="0"/>
                <w:sz w:val="24"/>
                <w:szCs w:val="24"/>
                <w:highlight w:val="none"/>
                <w:lang w:eastAsia="zh-CN" w:bidi="ar"/>
              </w:rPr>
              <w:t>。</w:t>
            </w:r>
          </w:p>
          <w:p w14:paraId="54CD283E">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6、屏幕透光率≥90%。屏幕能抗强光干扰，在照度≥100K lx环境下可以正常工作。</w:t>
            </w:r>
          </w:p>
          <w:p w14:paraId="62F845F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7、像素间距</w:t>
            </w:r>
            <w:r>
              <w:rPr>
                <w:rFonts w:hint="eastAsia" w:ascii="仿宋_GB2312" w:hAnsi="仿宋_GB2312" w:eastAsia="仿宋_GB2312" w:cs="仿宋_GB2312"/>
                <w:color w:val="000000"/>
                <w:kern w:val="0"/>
                <w:sz w:val="24"/>
                <w:szCs w:val="24"/>
                <w:highlight w:val="none"/>
                <w:lang w:val="en-US" w:eastAsia="zh-CN" w:bidi="ar"/>
              </w:rPr>
              <w:t>不低于</w:t>
            </w:r>
            <w:r>
              <w:rPr>
                <w:rFonts w:hint="eastAsia" w:ascii="仿宋_GB2312" w:hAnsi="仿宋_GB2312" w:eastAsia="仿宋_GB2312" w:cs="仿宋_GB2312"/>
                <w:color w:val="000000"/>
                <w:kern w:val="0"/>
                <w:sz w:val="24"/>
                <w:szCs w:val="24"/>
                <w:highlight w:val="none"/>
                <w:lang w:bidi="ar"/>
              </w:rPr>
              <w:t xml:space="preserve"> 0.247 mm × 0.247 mm</w:t>
            </w:r>
            <w:r>
              <w:rPr>
                <w:rFonts w:hint="eastAsia" w:ascii="仿宋_GB2312" w:hAnsi="仿宋_GB2312" w:eastAsia="仿宋_GB2312" w:cs="仿宋_GB2312"/>
                <w:color w:val="000000"/>
                <w:kern w:val="0"/>
                <w:sz w:val="24"/>
                <w:szCs w:val="24"/>
                <w:highlight w:val="none"/>
                <w:lang w:eastAsia="zh-CN" w:bidi="ar"/>
              </w:rPr>
              <w:t>。</w:t>
            </w:r>
          </w:p>
          <w:p w14:paraId="699FEACA">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8、亮度不低于 600 cd/m²</w:t>
            </w:r>
            <w:r>
              <w:rPr>
                <w:rFonts w:hint="eastAsia" w:ascii="仿宋_GB2312" w:hAnsi="仿宋_GB2312" w:eastAsia="仿宋_GB2312" w:cs="仿宋_GB2312"/>
                <w:color w:val="000000"/>
                <w:kern w:val="0"/>
                <w:sz w:val="24"/>
                <w:szCs w:val="24"/>
                <w:highlight w:val="none"/>
                <w:lang w:eastAsia="zh-CN" w:bidi="ar"/>
              </w:rPr>
              <w:t>。</w:t>
            </w:r>
          </w:p>
          <w:p w14:paraId="36FF4916">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9、系统参数操作系统不低于 Android 12.0</w:t>
            </w:r>
            <w:r>
              <w:rPr>
                <w:rFonts w:hint="eastAsia" w:ascii="仿宋_GB2312" w:hAnsi="仿宋_GB2312" w:eastAsia="仿宋_GB2312" w:cs="仿宋_GB2312"/>
                <w:color w:val="000000"/>
                <w:kern w:val="0"/>
                <w:sz w:val="24"/>
                <w:szCs w:val="24"/>
                <w:highlight w:val="none"/>
                <w:lang w:eastAsia="zh-CN" w:bidi="ar"/>
              </w:rPr>
              <w:t>。</w:t>
            </w:r>
          </w:p>
          <w:p w14:paraId="7AA39493">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10、处理器不低于Cortex-A55，4核，主频</w:t>
            </w:r>
            <w:r>
              <w:rPr>
                <w:rFonts w:hint="eastAsia" w:ascii="仿宋_GB2312" w:hAnsi="仿宋_GB2312" w:eastAsia="仿宋_GB2312" w:cs="仿宋_GB2312"/>
                <w:color w:val="000000"/>
                <w:kern w:val="0"/>
                <w:sz w:val="24"/>
                <w:szCs w:val="24"/>
                <w:highlight w:val="none"/>
                <w:lang w:val="en-US" w:eastAsia="zh-CN" w:bidi="ar"/>
              </w:rPr>
              <w:t>不低于</w:t>
            </w:r>
            <w:r>
              <w:rPr>
                <w:rFonts w:hint="eastAsia" w:ascii="仿宋_GB2312" w:hAnsi="仿宋_GB2312" w:eastAsia="仿宋_GB2312" w:cs="仿宋_GB2312"/>
                <w:color w:val="000000"/>
                <w:kern w:val="0"/>
                <w:sz w:val="24"/>
                <w:szCs w:val="24"/>
                <w:highlight w:val="none"/>
                <w:lang w:bidi="ar"/>
              </w:rPr>
              <w:t>1.8 GHz</w:t>
            </w:r>
            <w:r>
              <w:rPr>
                <w:rFonts w:hint="eastAsia" w:ascii="仿宋_GB2312" w:hAnsi="仿宋_GB2312" w:eastAsia="仿宋_GB2312" w:cs="仿宋_GB2312"/>
                <w:color w:val="000000"/>
                <w:kern w:val="0"/>
                <w:sz w:val="24"/>
                <w:szCs w:val="24"/>
                <w:highlight w:val="none"/>
                <w:lang w:eastAsia="zh-CN" w:bidi="ar"/>
              </w:rPr>
              <w:t>。</w:t>
            </w:r>
          </w:p>
          <w:p w14:paraId="7087C575">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11、系统内存：≧2G内存；系统存储空间：内置≥16G</w:t>
            </w:r>
            <w:r>
              <w:rPr>
                <w:rFonts w:hint="eastAsia" w:ascii="仿宋_GB2312" w:hAnsi="仿宋_GB2312" w:eastAsia="仿宋_GB2312" w:cs="仿宋_GB2312"/>
                <w:color w:val="000000"/>
                <w:kern w:val="0"/>
                <w:sz w:val="24"/>
                <w:szCs w:val="24"/>
                <w:highlight w:val="none"/>
                <w:lang w:eastAsia="zh-CN" w:bidi="ar"/>
              </w:rPr>
              <w:t>。</w:t>
            </w:r>
            <w:r>
              <w:rPr>
                <w:rFonts w:hint="eastAsia" w:ascii="仿宋_GB2312" w:hAnsi="仿宋_GB2312" w:eastAsia="仿宋_GB2312" w:cs="仿宋_GB2312"/>
                <w:color w:val="000000"/>
                <w:kern w:val="0"/>
                <w:sz w:val="24"/>
                <w:szCs w:val="24"/>
                <w:highlight w:val="none"/>
                <w:lang w:bidi="ar"/>
              </w:rPr>
              <w:t xml:space="preserve"> </w:t>
            </w:r>
          </w:p>
          <w:p w14:paraId="23AF15AA">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12、△内置拾音器，具有回声消除功能，可抵消语音对讲的回声</w:t>
            </w:r>
            <w:r>
              <w:rPr>
                <w:rFonts w:hint="eastAsia" w:ascii="仿宋_GB2312" w:hAnsi="仿宋_GB2312" w:eastAsia="仿宋_GB2312" w:cs="仿宋_GB2312"/>
                <w:color w:val="000000"/>
                <w:kern w:val="0"/>
                <w:sz w:val="24"/>
                <w:szCs w:val="24"/>
                <w:highlight w:val="none"/>
                <w:lang w:eastAsia="zh-CN" w:bidi="ar"/>
              </w:rPr>
              <w:t>。</w:t>
            </w:r>
          </w:p>
          <w:p w14:paraId="0EDECD7D">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13、智能参数镜头</w:t>
            </w:r>
            <w:r>
              <w:rPr>
                <w:rFonts w:hint="eastAsia" w:ascii="仿宋_GB2312" w:hAnsi="仿宋_GB2312" w:eastAsia="仿宋_GB2312" w:cs="仿宋_GB2312"/>
                <w:color w:val="000000"/>
                <w:kern w:val="0"/>
                <w:sz w:val="24"/>
                <w:szCs w:val="24"/>
                <w:highlight w:val="none"/>
                <w:lang w:val="en-US" w:eastAsia="zh-CN" w:bidi="ar"/>
              </w:rPr>
              <w:t>不低于</w:t>
            </w:r>
            <w:r>
              <w:rPr>
                <w:rFonts w:hint="eastAsia" w:ascii="仿宋_GB2312" w:hAnsi="仿宋_GB2312" w:eastAsia="仿宋_GB2312" w:cs="仿宋_GB2312"/>
                <w:color w:val="000000"/>
                <w:kern w:val="0"/>
                <w:sz w:val="24"/>
                <w:szCs w:val="24"/>
                <w:highlight w:val="none"/>
                <w:lang w:bidi="ar"/>
              </w:rPr>
              <w:t>200万宽动态摄像头</w:t>
            </w:r>
            <w:r>
              <w:rPr>
                <w:rFonts w:hint="eastAsia" w:ascii="仿宋_GB2312" w:hAnsi="仿宋_GB2312" w:eastAsia="仿宋_GB2312" w:cs="仿宋_GB2312"/>
                <w:color w:val="000000"/>
                <w:kern w:val="0"/>
                <w:sz w:val="24"/>
                <w:szCs w:val="24"/>
                <w:highlight w:val="none"/>
                <w:lang w:eastAsia="zh-CN" w:bidi="ar"/>
              </w:rPr>
              <w:t>。</w:t>
            </w:r>
          </w:p>
          <w:p w14:paraId="147DE6C4">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14、人脸库不少于50000张，支持JPG图片格式</w:t>
            </w:r>
            <w:r>
              <w:rPr>
                <w:rFonts w:hint="eastAsia" w:ascii="仿宋_GB2312" w:hAnsi="仿宋_GB2312" w:eastAsia="仿宋_GB2312" w:cs="仿宋_GB2312"/>
                <w:color w:val="000000"/>
                <w:kern w:val="0"/>
                <w:sz w:val="24"/>
                <w:szCs w:val="24"/>
                <w:highlight w:val="none"/>
                <w:lang w:eastAsia="zh-CN" w:bidi="ar"/>
              </w:rPr>
              <w:t>。</w:t>
            </w:r>
          </w:p>
          <w:p w14:paraId="3D0AA314">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15、支持门禁接口，包含RS485（485+,485-,GND），韦根接口（W0，W1，GND），门锁（NC，COM，NO），门磁（SENSOR，GND），按钮（BTN，GND）信号</w:t>
            </w:r>
            <w:r>
              <w:rPr>
                <w:rFonts w:hint="eastAsia" w:ascii="仿宋_GB2312" w:hAnsi="仿宋_GB2312" w:eastAsia="仿宋_GB2312" w:cs="仿宋_GB2312"/>
                <w:color w:val="000000"/>
                <w:kern w:val="0"/>
                <w:sz w:val="24"/>
                <w:szCs w:val="24"/>
                <w:highlight w:val="none"/>
                <w:lang w:eastAsia="zh-CN" w:bidi="ar"/>
              </w:rPr>
              <w:t>。</w:t>
            </w:r>
          </w:p>
          <w:p w14:paraId="5C1F00BE">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16、△具有防雾功能。</w:t>
            </w:r>
          </w:p>
          <w:p w14:paraId="2C6C67FE">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17、△支持视力表功能，符合GB/T 11533-2011《标准对数视力表》标准要求</w:t>
            </w:r>
            <w:r>
              <w:rPr>
                <w:rFonts w:hint="eastAsia" w:ascii="仿宋_GB2312" w:hAnsi="仿宋_GB2312" w:eastAsia="仿宋_GB2312" w:cs="仿宋_GB2312"/>
                <w:color w:val="000000"/>
                <w:kern w:val="0"/>
                <w:sz w:val="24"/>
                <w:szCs w:val="24"/>
                <w:highlight w:val="none"/>
                <w:lang w:eastAsia="zh-CN" w:bidi="ar"/>
              </w:rPr>
              <w:t>。</w:t>
            </w:r>
          </w:p>
          <w:p w14:paraId="55DE557C">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18、可对视频、图片、打印的人脸照片进行过滤，支持活体检测，防假体准确率≥99%</w:t>
            </w:r>
            <w:r>
              <w:rPr>
                <w:rFonts w:hint="eastAsia" w:ascii="仿宋_GB2312" w:hAnsi="仿宋_GB2312" w:eastAsia="仿宋_GB2312" w:cs="仿宋_GB2312"/>
                <w:color w:val="000000"/>
                <w:kern w:val="0"/>
                <w:sz w:val="24"/>
                <w:szCs w:val="24"/>
                <w:highlight w:val="none"/>
                <w:lang w:eastAsia="zh-CN" w:bidi="ar"/>
              </w:rPr>
              <w:t>。</w:t>
            </w:r>
          </w:p>
          <w:p w14:paraId="4D826A8F">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kern w:val="0"/>
                <w:sz w:val="24"/>
                <w:szCs w:val="24"/>
                <w:highlight w:val="none"/>
                <w:lang w:eastAsia="zh-CN" w:bidi="ar"/>
              </w:rPr>
            </w:pPr>
            <w:r>
              <w:rPr>
                <w:rFonts w:hint="eastAsia" w:ascii="仿宋_GB2312" w:hAnsi="仿宋_GB2312" w:eastAsia="仿宋_GB2312" w:cs="仿宋_GB2312"/>
                <w:color w:val="000000"/>
                <w:kern w:val="0"/>
                <w:sz w:val="24"/>
                <w:szCs w:val="24"/>
                <w:highlight w:val="none"/>
                <w:lang w:bidi="ar"/>
              </w:rPr>
              <w:t>19、数据传输接口要求： 至少USB 2.0 × 2，内置Wi-Fi，蓝牙（BT 4.2），刷卡，门禁</w:t>
            </w:r>
            <w:r>
              <w:rPr>
                <w:rFonts w:hint="eastAsia" w:ascii="仿宋_GB2312" w:hAnsi="仿宋_GB2312" w:eastAsia="仿宋_GB2312" w:cs="仿宋_GB2312"/>
                <w:color w:val="000000"/>
                <w:kern w:val="0"/>
                <w:sz w:val="24"/>
                <w:szCs w:val="24"/>
                <w:highlight w:val="none"/>
                <w:lang w:eastAsia="zh-CN" w:bidi="ar"/>
              </w:rPr>
              <w:t>。</w:t>
            </w:r>
          </w:p>
          <w:p w14:paraId="0807EF60">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themeColor="text1"/>
                <w:kern w:val="0"/>
                <w:sz w:val="24"/>
                <w:szCs w:val="24"/>
                <w:highlight w:val="none"/>
                <w:lang w:eastAsia="zh-CN" w:bidi="ar"/>
                <w14:textFill>
                  <w14:solidFill>
                    <w14:schemeClr w14:val="tx1"/>
                  </w14:solidFill>
                </w14:textFill>
              </w:rPr>
            </w:pPr>
            <w:r>
              <w:rPr>
                <w:rFonts w:hint="eastAsia" w:ascii="仿宋_GB2312" w:hAnsi="仿宋_GB2312" w:eastAsia="仿宋_GB2312" w:cs="仿宋_GB2312"/>
                <w:color w:val="000000"/>
                <w:kern w:val="0"/>
                <w:sz w:val="24"/>
                <w:szCs w:val="24"/>
                <w:highlight w:val="none"/>
                <w:lang w:bidi="ar"/>
              </w:rPr>
              <w:t>20、△待机功耗 ≤ 0.5 W，功耗 ≤ 60 W</w:t>
            </w:r>
            <w:r>
              <w:rPr>
                <w:rFonts w:hint="eastAsia" w:ascii="仿宋_GB2312" w:hAnsi="仿宋_GB2312" w:eastAsia="仿宋_GB2312" w:cs="仿宋_GB2312"/>
                <w:color w:val="000000"/>
                <w:kern w:val="0"/>
                <w:sz w:val="24"/>
                <w:szCs w:val="24"/>
                <w:highlight w:val="none"/>
                <w:lang w:eastAsia="zh-CN" w:bidi="ar"/>
              </w:rPr>
              <w:t>。</w:t>
            </w:r>
          </w:p>
        </w:tc>
        <w:tc>
          <w:tcPr>
            <w:tcW w:w="1180" w:type="dxa"/>
            <w:tcBorders>
              <w:top w:val="single" w:color="000000" w:sz="4" w:space="0"/>
              <w:left w:val="single" w:color="000000" w:sz="4" w:space="0"/>
              <w:bottom w:val="single" w:color="000000" w:sz="4" w:space="0"/>
              <w:right w:val="single" w:color="000000" w:sz="4" w:space="0"/>
            </w:tcBorders>
            <w:vAlign w:val="center"/>
          </w:tcPr>
          <w:p w14:paraId="3376E3E2">
            <w:pPr>
              <w:keepNext w:val="0"/>
              <w:keepLines w:val="0"/>
              <w:pageBreakBefore w:val="0"/>
              <w:kinsoku/>
              <w:wordWrap/>
              <w:overflowPunct/>
              <w:topLinePunct w:val="0"/>
              <w:autoSpaceDE/>
              <w:autoSpaceDN/>
              <w:bidi w:val="0"/>
              <w:adjustRightInd/>
              <w:snapToGrid/>
              <w:jc w:val="left"/>
              <w:rPr>
                <w:rFonts w:hint="eastAsia" w:ascii="仿宋_GB2312" w:hAnsi="仿宋_GB2312" w:eastAsia="仿宋_GB2312" w:cs="仿宋_GB2312"/>
                <w:color w:val="000000"/>
                <w:sz w:val="24"/>
                <w:szCs w:val="24"/>
                <w:highlight w:val="none"/>
              </w:rPr>
            </w:pPr>
          </w:p>
        </w:tc>
      </w:tr>
    </w:tbl>
    <w:p w14:paraId="0007F499">
      <w:pPr>
        <w:rPr>
          <w:rFonts w:hint="eastAsia" w:ascii="仿宋_GB2312" w:hAnsi="仿宋_GB2312" w:eastAsia="仿宋_GB2312" w:cs="仿宋_GB2312"/>
          <w:b/>
          <w:bCs/>
          <w:color w:val="000000"/>
          <w:sz w:val="24"/>
          <w:szCs w:val="24"/>
          <w:highlight w:val="none"/>
        </w:rPr>
      </w:pPr>
    </w:p>
    <w:p w14:paraId="4C3F53F8">
      <w:pPr>
        <w:pStyle w:val="2"/>
        <w:keepNext w:val="0"/>
        <w:pageBreakBefore w:val="0"/>
        <w:widowControl w:val="0"/>
        <w:numPr>
          <w:ilvl w:val="0"/>
          <w:numId w:val="3"/>
        </w:numPr>
        <w:tabs>
          <w:tab w:val="left" w:pos="-420"/>
        </w:tabs>
        <w:kinsoku/>
        <w:wordWrap/>
        <w:overflowPunct/>
        <w:topLinePunct w:val="0"/>
        <w:autoSpaceDE/>
        <w:autoSpaceDN/>
        <w:bidi w:val="0"/>
        <w:spacing w:before="0" w:after="0" w:line="360" w:lineRule="auto"/>
        <w:ind w:firstLine="482"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项目要求</w:t>
      </w:r>
    </w:p>
    <w:p w14:paraId="34852863">
      <w:pPr>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p>
    <w:p w14:paraId="736B3687">
      <w:pPr>
        <w:keepNext w:val="0"/>
        <w:pageBreakBefore w:val="0"/>
        <w:widowControl w:val="0"/>
        <w:kinsoku/>
        <w:wordWrap/>
        <w:overflowPunct/>
        <w:topLinePunct w:val="0"/>
        <w:autoSpaceDE/>
        <w:autoSpaceDN/>
        <w:bidi w:val="0"/>
        <w:spacing w:line="360" w:lineRule="auto"/>
        <w:ind w:firstLine="241" w:firstLineChars="1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（1）服务要求</w:t>
      </w:r>
    </w:p>
    <w:p w14:paraId="7317CDB4">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1.采购文件中标有“▲”的技术指标不容许发生偏离，投标人需提供具有CMA、CNAS标识第三方检测机构检测报告或功能截图或产品彩页等证明材料；</w:t>
      </w:r>
    </w:p>
    <w:p w14:paraId="733B6B8C">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采购文件中标有“△”的技术指标需提供具有CMA、CNAS标识第三方检测机构检测报告或功能截图或产品彩页等证明材料；</w:t>
      </w:r>
    </w:p>
    <w:p w14:paraId="4999CF1F">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2.合同期内，中标单位应成立专门的团队，负责运维服务。指定专门的负责人负责与用户的对接及协调。设立专门的工作热线，接受用户的咨询。</w:t>
      </w:r>
    </w:p>
    <w:p w14:paraId="2CABBC71">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提供7*24小时不间断电话服务，提供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53690F45">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4.建立良好的故障申报流程，能顺利进行故障申告和故障监控，对每个故障能进行全程监控和管理。</w:t>
      </w:r>
    </w:p>
    <w:p w14:paraId="007BAA34">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5.同时中标人应提供以下服务项目（不限于此）：</w:t>
      </w:r>
    </w:p>
    <w:p w14:paraId="233D4218">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（1）投标人应提供完善的设备安装、调试服务。包括但不仅限于：提供安装、调试并</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在施工过程中所需的所有线缆及相关辅材配件；</w:t>
      </w:r>
    </w:p>
    <w:p w14:paraId="001D44DA">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（2）对采购人的验收工作，中标人须按采购人要求进行配合工作；</w:t>
      </w:r>
    </w:p>
    <w:p w14:paraId="7DE70BA9">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（3）施工期间，中标人应遵守有关部门的管理，并遵照相关的规定；</w:t>
      </w:r>
    </w:p>
    <w:p w14:paraId="23B75E40">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（4）提供相应的操作培训。</w:t>
      </w:r>
    </w:p>
    <w:p w14:paraId="4CA793A4">
      <w:pPr>
        <w:keepNext w:val="0"/>
        <w:pageBreakBefore w:val="0"/>
        <w:widowControl w:val="0"/>
        <w:kinsoku/>
        <w:wordWrap/>
        <w:overflowPunct/>
        <w:topLinePunct w:val="0"/>
        <w:autoSpaceDE/>
        <w:autoSpaceDN/>
        <w:bidi w:val="0"/>
        <w:spacing w:line="360" w:lineRule="auto"/>
        <w:ind w:firstLine="241" w:firstLineChars="100"/>
        <w:textAlignment w:val="auto"/>
        <w:rPr>
          <w:rFonts w:hint="eastAsia" w:ascii="仿宋_GB2312" w:hAnsi="仿宋_GB2312" w:eastAsia="仿宋_GB2312" w:cs="仿宋_GB2312"/>
          <w:b/>
          <w:bCs/>
          <w:sz w:val="24"/>
          <w:szCs w:val="24"/>
          <w:highlight w:val="none"/>
        </w:rPr>
      </w:pPr>
    </w:p>
    <w:p w14:paraId="53D7E4FA">
      <w:pPr>
        <w:keepNext w:val="0"/>
        <w:pageBreakBefore w:val="0"/>
        <w:widowControl w:val="0"/>
        <w:kinsoku/>
        <w:wordWrap/>
        <w:overflowPunct/>
        <w:topLinePunct w:val="0"/>
        <w:autoSpaceDE/>
        <w:autoSpaceDN/>
        <w:bidi w:val="0"/>
        <w:spacing w:line="360" w:lineRule="auto"/>
        <w:ind w:firstLine="241" w:firstLineChars="1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（2）安装、验收、服务期限</w:t>
      </w:r>
    </w:p>
    <w:p w14:paraId="1C7821F7">
      <w:pPr>
        <w:pStyle w:val="58"/>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1、建设周期：合同签订之日起60天内完成项目安装调试及初验，初验结束后项目进入试运行阶段，试运行时间不少于3个月，3个月后进行终验。本项目要求2025年10月底前通过项目终验。</w:t>
      </w:r>
    </w:p>
    <w:p w14:paraId="47BBBDB9">
      <w:pPr>
        <w:pStyle w:val="58"/>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2、施工及验收要求：</w:t>
      </w:r>
    </w:p>
    <w:p w14:paraId="086A3681">
      <w:pPr>
        <w:keepNext w:val="0"/>
        <w:pageBreakBefore w:val="0"/>
        <w:widowControl w:val="0"/>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bCs/>
          <w:sz w:val="24"/>
          <w:szCs w:val="24"/>
          <w:highlight w:val="none"/>
        </w:rPr>
        <w:t>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6DB9B399">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（2）投标人需派出3人及以上的项目团队人员</w:t>
      </w:r>
      <w:r>
        <w:rPr>
          <w:rFonts w:hint="eastAsia" w:ascii="仿宋_GB2312" w:hAnsi="仿宋_GB2312" w:eastAsia="仿宋_GB2312" w:cs="仿宋_GB2312"/>
          <w:color w:val="000000" w:themeColor="text1"/>
          <w:sz w:val="24"/>
          <w:szCs w:val="24"/>
          <w:highlight w:val="none"/>
          <w14:textFill>
            <w14:solidFill>
              <w14:schemeClr w14:val="tx1"/>
            </w14:solidFill>
          </w14:textFill>
        </w:rPr>
        <w:t>（含项目经理1名）。</w:t>
      </w:r>
      <w:r>
        <w:rPr>
          <w:rFonts w:hint="eastAsia" w:ascii="仿宋_GB2312" w:hAnsi="仿宋_GB2312" w:eastAsia="仿宋_GB2312" w:cs="仿宋_GB2312"/>
          <w:sz w:val="24"/>
          <w:szCs w:val="24"/>
          <w:highlight w:val="none"/>
        </w:rPr>
        <w:t>项目经理对项目的总体实施进行管控，投标人应根据采购人需求安排专业技术人员完成指定时间内相关设备安装、运行情况分析等工作。</w:t>
      </w:r>
    </w:p>
    <w:p w14:paraId="082BF264">
      <w:pPr>
        <w:keepNext w:val="0"/>
        <w:pageBreakBefore w:val="0"/>
        <w:widowControl w:val="0"/>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sz w:val="24"/>
          <w:szCs w:val="24"/>
          <w:highlight w:val="none"/>
        </w:rPr>
        <w:t>（3）采购人、监理单位和中标人须按照相关法律法规及招标文件要求、投标文件及承诺进行验收</w:t>
      </w:r>
      <w:r>
        <w:rPr>
          <w:rFonts w:hint="eastAsia" w:ascii="仿宋_GB2312" w:hAnsi="仿宋_GB2312" w:eastAsia="仿宋_GB2312" w:cs="仿宋_GB2312"/>
          <w:bCs/>
          <w:sz w:val="24"/>
          <w:szCs w:val="24"/>
          <w:highlight w:val="none"/>
        </w:rPr>
        <w:t>，中标人须按要求提供相应的验收资料。</w:t>
      </w:r>
    </w:p>
    <w:p w14:paraId="18FE98E8">
      <w:pPr>
        <w:pStyle w:val="58"/>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color w:val="000000"/>
          <w:sz w:val="24"/>
          <w:szCs w:val="24"/>
          <w:highlight w:val="none"/>
        </w:rPr>
        <w:t>售中、售后服务要求</w:t>
      </w:r>
      <w:r>
        <w:rPr>
          <w:rFonts w:hint="eastAsia" w:ascii="仿宋_GB2312" w:hAnsi="仿宋_GB2312" w:eastAsia="仿宋_GB2312" w:cs="仿宋_GB2312"/>
          <w:sz w:val="24"/>
          <w:szCs w:val="24"/>
          <w:highlight w:val="none"/>
        </w:rPr>
        <w:t>：</w:t>
      </w:r>
    </w:p>
    <w:p w14:paraId="7A3CC70E">
      <w:pPr>
        <w:keepNext w:val="0"/>
        <w:pageBreakBefore w:val="0"/>
        <w:widowControl w:val="0"/>
        <w:kinsoku/>
        <w:wordWrap/>
        <w:overflowPunct/>
        <w:topLinePunct w:val="0"/>
        <w:autoSpaceDE/>
        <w:autoSpaceDN/>
        <w:bidi w:val="0"/>
        <w:spacing w:line="360" w:lineRule="auto"/>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sz w:val="24"/>
          <w:szCs w:val="24"/>
          <w:highlight w:val="none"/>
        </w:rPr>
        <w:t>）中标人应在合同签订之日起5日内，需至少指派1名项目经理（具备3年及以上相应项目管理经验，提供相应社保证明）对</w:t>
      </w:r>
      <w:r>
        <w:rPr>
          <w:rFonts w:hint="eastAsia" w:ascii="仿宋_GB2312" w:hAnsi="仿宋_GB2312" w:eastAsia="仿宋_GB2312" w:cs="仿宋_GB2312"/>
          <w:color w:val="000000"/>
          <w:sz w:val="24"/>
          <w:szCs w:val="24"/>
          <w:highlight w:val="none"/>
        </w:rPr>
        <w:t xml:space="preserve">项目的总体实施进行施工现场管控；配置相应的实施团队驻守项目现场负责项目实施工作，确保项目正常运行，直至服务周期满。期间应服从采购人管理人员管理，并遵守现场的各项规章制度。 </w:t>
      </w:r>
    </w:p>
    <w:p w14:paraId="08AD6EEF">
      <w:pPr>
        <w:pStyle w:val="3"/>
        <w:keepNext w:val="0"/>
        <w:pageBreakBefore w:val="0"/>
        <w:widowControl w:val="0"/>
        <w:kinsoku/>
        <w:wordWrap/>
        <w:overflowPunct/>
        <w:topLinePunct w:val="0"/>
        <w:autoSpaceDE/>
        <w:autoSpaceDN/>
        <w:bidi w:val="0"/>
        <w:spacing w:line="360" w:lineRule="auto"/>
        <w:ind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（2）质保要求：投标人须提供针对本项目不少于三年保修承诺（项目终验通过之日起计算）。</w:t>
      </w:r>
    </w:p>
    <w:p w14:paraId="00856A45">
      <w:pPr>
        <w:pStyle w:val="2"/>
        <w:keepNext w:val="0"/>
        <w:pageBreakBefore w:val="0"/>
        <w:widowControl w:val="0"/>
        <w:numPr>
          <w:ilvl w:val="0"/>
          <w:numId w:val="3"/>
        </w:numPr>
        <w:tabs>
          <w:tab w:val="left" w:pos="-420"/>
        </w:tabs>
        <w:kinsoku/>
        <w:wordWrap/>
        <w:overflowPunct/>
        <w:topLinePunct w:val="0"/>
        <w:autoSpaceDE/>
        <w:autoSpaceDN/>
        <w:bidi w:val="0"/>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培训</w:t>
      </w:r>
    </w:p>
    <w:p w14:paraId="194A8953">
      <w:pPr>
        <w:keepNext w:val="0"/>
        <w:pageBreakBefore w:val="0"/>
        <w:widowControl w:val="0"/>
        <w:shd w:val="clear" w:color="auto" w:fill="FFFFFF"/>
        <w:kinsoku/>
        <w:wordWrap/>
        <w:overflowPunct/>
        <w:topLinePunct w:val="0"/>
        <w:autoSpaceDE/>
        <w:autoSpaceDN/>
        <w:bidi w:val="0"/>
        <w:adjustRightInd w:val="0"/>
        <w:spacing w:line="360" w:lineRule="auto"/>
        <w:ind w:firstLine="420"/>
        <w:jc w:val="left"/>
        <w:textAlignment w:val="auto"/>
        <w:rPr>
          <w:rFonts w:hint="eastAsia"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中标人应免费提供技术培训服务（包括授课费、资料费、参加培训人员的差旅食宿费）。投标人需在标书中列出详细的技术培训计划，包括培训课程、参加培训的人数、培训时间、培训地点等。</w:t>
      </w:r>
    </w:p>
    <w:p w14:paraId="5B82E7BB">
      <w:pPr>
        <w:pStyle w:val="2"/>
        <w:keepNext w:val="0"/>
        <w:pageBreakBefore w:val="0"/>
        <w:widowControl w:val="0"/>
        <w:numPr>
          <w:ilvl w:val="0"/>
          <w:numId w:val="3"/>
        </w:numPr>
        <w:tabs>
          <w:tab w:val="left" w:pos="-420"/>
        </w:tabs>
        <w:kinsoku/>
        <w:wordWrap/>
        <w:overflowPunct/>
        <w:topLinePunct w:val="0"/>
        <w:autoSpaceDE/>
        <w:autoSpaceDN/>
        <w:bidi w:val="0"/>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付款方式</w:t>
      </w:r>
    </w:p>
    <w:p w14:paraId="02881745">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（1）预付款：在合同生效后以及具备实施条件后的</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个工作日内，采购人根据供应商提供的正规发票，按财政部门规定的支付方式支付合同金额的40%给供应商。</w:t>
      </w:r>
    </w:p>
    <w:p w14:paraId="36EF19C6">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（2）剩余款项：项目通过终验后5个工作日内</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采购人根据供应商提供的正规发票，按财政部门规定的支付方式支付合同金额的60%。</w:t>
      </w:r>
    </w:p>
    <w:p w14:paraId="6725C8B7">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3201CAE4">
      <w:pPr>
        <w:pStyle w:val="2"/>
        <w:keepNext w:val="0"/>
        <w:pageBreakBefore w:val="0"/>
        <w:widowControl w:val="0"/>
        <w:numPr>
          <w:ilvl w:val="0"/>
          <w:numId w:val="3"/>
        </w:numPr>
        <w:tabs>
          <w:tab w:val="left" w:pos="-420"/>
        </w:tabs>
        <w:kinsoku/>
        <w:wordWrap/>
        <w:overflowPunct/>
        <w:topLinePunct w:val="0"/>
        <w:autoSpaceDE/>
        <w:autoSpaceDN/>
        <w:bidi w:val="0"/>
        <w:spacing w:before="0" w:after="0" w:line="360" w:lineRule="auto"/>
        <w:ind w:firstLine="482"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其他说明</w:t>
      </w:r>
    </w:p>
    <w:p w14:paraId="09D16639">
      <w:pPr>
        <w:keepNext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414B4092">
      <w:pPr>
        <w:keepNext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保密：中标单位应保证严守在履行本合同中以任何方式知悉的采购单位的商业、技术秘密和其他商业及技术信息，不得泄露、不正当使用或允许他人使用，项目团队应签订保密责任书。</w:t>
      </w:r>
    </w:p>
    <w:p w14:paraId="7EF8ECCA">
      <w:pPr>
        <w:keepNext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3、扩展性要求：确保在用户需求变更或增加时硬件设备可以灵活地扩展，随着业务需求的不断增长，系统能够通过硬件扩容或增加节点达到客户的性能指标要求，在免费运维期内二次建设不予收费。</w:t>
      </w:r>
    </w:p>
    <w:p w14:paraId="2EA0F3BA">
      <w:pPr>
        <w:pStyle w:val="96"/>
        <w:keepNext w:val="0"/>
        <w:pageBreakBefore w:val="0"/>
        <w:widowControl w:val="0"/>
        <w:kinsoku/>
        <w:wordWrap/>
        <w:overflowPunct/>
        <w:topLinePunct w:val="0"/>
        <w:autoSpaceDE/>
        <w:autoSpaceDN/>
        <w:bidi w:val="0"/>
        <w:spacing w:after="0" w:line="360" w:lineRule="auto"/>
        <w:ind w:left="0"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4、本项目如后续已建设功能有拓展升级需要，中标人须无条件配合升级。</w:t>
      </w:r>
    </w:p>
    <w:p w14:paraId="6FB2E13D">
      <w:pPr>
        <w:pStyle w:val="96"/>
        <w:keepNext w:val="0"/>
        <w:pageBreakBefore w:val="0"/>
        <w:widowControl w:val="0"/>
        <w:kinsoku/>
        <w:wordWrap/>
        <w:overflowPunct/>
        <w:topLinePunct w:val="0"/>
        <w:autoSpaceDE/>
        <w:autoSpaceDN/>
        <w:bidi w:val="0"/>
        <w:spacing w:after="0" w:line="360" w:lineRule="auto"/>
        <w:ind w:left="0" w:left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5、采购人认为响应人提供的产品和服务不能满足需求，可否决、终止本次采购。</w:t>
      </w:r>
    </w:p>
    <w:p w14:paraId="453A95A8">
      <w:pPr>
        <w:pStyle w:val="3"/>
        <w:keepNext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_GB2312" w:hAnsi="仿宋_GB2312" w:eastAsia="仿宋_GB2312" w:cs="仿宋_GB2312"/>
          <w:b/>
          <w:color w:val="000000" w:themeColor="text1"/>
          <w:kern w:val="0"/>
          <w:sz w:val="24"/>
          <w:szCs w:val="24"/>
          <w:highlight w:val="none"/>
          <w:lang w:val="en-US" w:eastAsia="zh-CN" w:bidi="ar-SA"/>
          <w14:textFill>
            <w14:solidFill>
              <w14:schemeClr w14:val="tx1"/>
            </w14:solidFill>
          </w14:textFill>
        </w:rPr>
      </w:pPr>
    </w:p>
    <w:p w14:paraId="0BDE6C1E">
      <w:pPr>
        <w:pStyle w:val="3"/>
        <w:keepNext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24050E9C">
      <w:pPr>
        <w:pStyle w:val="3"/>
        <w:spacing w:line="440" w:lineRule="exact"/>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18BFDF8">
      <w:pPr>
        <w:pStyle w:val="3"/>
        <w:spacing w:line="440" w:lineRule="exact"/>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44FF1824">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302127D">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1371A6D">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6EAA869F">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57376163">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F79A7D8">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46CFB680">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3D84DDD1">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24E8FC80">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64BF898E">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286FA4A2">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2FB3DF6">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27EABA29">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6C9BED1E">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18181492">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4DFFC4F9">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0A6CFFBD">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099E5903">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4181FACB">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6B698373">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28600943">
      <w:pPr>
        <w:pStyle w:val="3"/>
        <w:spacing w:line="440" w:lineRule="exact"/>
        <w:ind w:left="0" w:leftChars="0" w:firstLine="0" w:firstLineChars="0"/>
        <w:rPr>
          <w:rFonts w:hint="eastAsia" w:ascii="仿宋_GB2312" w:hAnsi="仿宋_GB2312" w:eastAsia="仿宋_GB2312" w:cs="仿宋_GB2312"/>
          <w:bCs/>
          <w:color w:val="000000" w:themeColor="text1"/>
          <w:sz w:val="24"/>
          <w:szCs w:val="24"/>
          <w:highlight w:val="none"/>
          <w14:textFill>
            <w14:solidFill>
              <w14:schemeClr w14:val="tx1"/>
            </w14:solidFill>
          </w14:textFill>
        </w:rPr>
      </w:pPr>
    </w:p>
    <w:p w14:paraId="5455311E">
      <w:pPr>
        <w:jc w:val="both"/>
        <w:outlineLvl w:val="0"/>
        <w:rPr>
          <w:rFonts w:hint="eastAsia" w:ascii="仿宋_GB2312" w:hAnsi="仿宋_GB2312" w:eastAsia="仿宋_GB2312" w:cs="仿宋_GB2312"/>
          <w:b/>
          <w:color w:val="000000"/>
          <w:sz w:val="32"/>
          <w:szCs w:val="32"/>
          <w:highlight w:val="none"/>
        </w:rPr>
      </w:pPr>
    </w:p>
    <w:p w14:paraId="5C4799A7">
      <w:pPr>
        <w:jc w:val="center"/>
        <w:outlineLvl w:val="0"/>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第四部分</w:t>
      </w:r>
      <w:bookmarkStart w:id="27" w:name="_Toc184312139"/>
      <w:bookmarkEnd w:id="27"/>
      <w:bookmarkStart w:id="28" w:name="_Toc184314456"/>
      <w:bookmarkEnd w:id="28"/>
      <w:bookmarkStart w:id="29" w:name="_Toc184310319"/>
      <w:bookmarkEnd w:id="29"/>
      <w:bookmarkStart w:id="30" w:name="_Toc184313274"/>
      <w:bookmarkEnd w:id="30"/>
      <w:bookmarkStart w:id="31" w:name="_Toc184312087"/>
      <w:bookmarkEnd w:id="31"/>
      <w:bookmarkStart w:id="32" w:name="_Toc184310273"/>
      <w:bookmarkEnd w:id="32"/>
      <w:bookmarkStart w:id="33" w:name="_Toc184314477"/>
      <w:bookmarkEnd w:id="33"/>
      <w:bookmarkStart w:id="34" w:name="_Toc184310313"/>
      <w:bookmarkEnd w:id="34"/>
      <w:bookmarkStart w:id="35" w:name="_Toc184314443"/>
      <w:bookmarkEnd w:id="35"/>
      <w:bookmarkStart w:id="36" w:name="_Toc184312071"/>
      <w:bookmarkEnd w:id="36"/>
      <w:bookmarkStart w:id="37" w:name="_Toc184313295"/>
      <w:bookmarkEnd w:id="37"/>
      <w:bookmarkStart w:id="38" w:name="_Toc184314482"/>
      <w:bookmarkEnd w:id="38"/>
      <w:bookmarkStart w:id="39" w:name="_Toc184310328"/>
      <w:bookmarkEnd w:id="39"/>
      <w:bookmarkStart w:id="40" w:name="_Toc184312111"/>
      <w:bookmarkEnd w:id="40"/>
      <w:bookmarkStart w:id="41" w:name="_Toc184312113"/>
      <w:bookmarkEnd w:id="41"/>
      <w:bookmarkStart w:id="42" w:name="_Toc184312108"/>
      <w:bookmarkEnd w:id="42"/>
      <w:bookmarkStart w:id="43" w:name="_Toc184313307"/>
      <w:bookmarkEnd w:id="43"/>
      <w:bookmarkStart w:id="44" w:name="_Toc184308067"/>
      <w:bookmarkEnd w:id="44"/>
      <w:bookmarkStart w:id="45" w:name="_Toc184314447"/>
      <w:bookmarkEnd w:id="45"/>
      <w:bookmarkStart w:id="46" w:name="_Toc184313239"/>
      <w:bookmarkEnd w:id="46"/>
      <w:bookmarkStart w:id="47" w:name="_Toc184308061"/>
      <w:bookmarkEnd w:id="47"/>
      <w:bookmarkStart w:id="48" w:name="_Toc184308104"/>
      <w:bookmarkEnd w:id="48"/>
      <w:bookmarkStart w:id="49" w:name="_Toc184313243"/>
      <w:bookmarkEnd w:id="49"/>
      <w:bookmarkStart w:id="50" w:name="_Toc184312119"/>
      <w:bookmarkEnd w:id="50"/>
      <w:bookmarkStart w:id="51" w:name="_Toc184314437"/>
      <w:bookmarkEnd w:id="51"/>
      <w:bookmarkStart w:id="52" w:name="_Toc184308090"/>
      <w:bookmarkEnd w:id="52"/>
      <w:bookmarkStart w:id="53" w:name="_Toc184314429"/>
      <w:bookmarkEnd w:id="53"/>
      <w:bookmarkStart w:id="54" w:name="_Toc184313255"/>
      <w:bookmarkEnd w:id="54"/>
      <w:bookmarkStart w:id="55" w:name="_Toc184313290"/>
      <w:bookmarkEnd w:id="55"/>
      <w:bookmarkStart w:id="56" w:name="_Toc184314472"/>
      <w:bookmarkEnd w:id="56"/>
      <w:bookmarkStart w:id="57" w:name="_Toc184308091"/>
      <w:bookmarkEnd w:id="57"/>
      <w:bookmarkStart w:id="58" w:name="_Toc184313277"/>
      <w:bookmarkEnd w:id="58"/>
      <w:bookmarkStart w:id="59" w:name="_Toc184310287"/>
      <w:bookmarkEnd w:id="59"/>
      <w:bookmarkStart w:id="60" w:name="_Toc184308092"/>
      <w:bookmarkEnd w:id="60"/>
      <w:bookmarkStart w:id="61" w:name="_Toc184312095"/>
      <w:bookmarkEnd w:id="61"/>
      <w:bookmarkStart w:id="62" w:name="_Toc184312137"/>
      <w:bookmarkEnd w:id="62"/>
      <w:bookmarkStart w:id="63" w:name="_Toc184314469"/>
      <w:bookmarkEnd w:id="63"/>
      <w:bookmarkStart w:id="64" w:name="_Toc184308063"/>
      <w:bookmarkEnd w:id="64"/>
      <w:bookmarkStart w:id="65" w:name="_Toc184312070"/>
      <w:bookmarkEnd w:id="65"/>
      <w:bookmarkStart w:id="66" w:name="_Toc184313251"/>
      <w:bookmarkEnd w:id="66"/>
      <w:bookmarkStart w:id="67" w:name="_Toc184314446"/>
      <w:bookmarkEnd w:id="67"/>
      <w:bookmarkStart w:id="68" w:name="_Toc184314455"/>
      <w:bookmarkEnd w:id="68"/>
      <w:bookmarkStart w:id="69" w:name="_Toc184313286"/>
      <w:bookmarkEnd w:id="69"/>
      <w:bookmarkStart w:id="70" w:name="_Toc184308066"/>
      <w:bookmarkEnd w:id="70"/>
      <w:bookmarkStart w:id="71" w:name="_Toc184314481"/>
      <w:bookmarkEnd w:id="71"/>
      <w:bookmarkStart w:id="72" w:name="_Toc184312088"/>
      <w:bookmarkEnd w:id="72"/>
      <w:bookmarkStart w:id="73" w:name="_Toc184313304"/>
      <w:bookmarkEnd w:id="73"/>
      <w:bookmarkStart w:id="74" w:name="_Toc184314454"/>
      <w:bookmarkEnd w:id="74"/>
      <w:bookmarkStart w:id="75" w:name="_Toc184312074"/>
      <w:bookmarkEnd w:id="75"/>
      <w:bookmarkStart w:id="76" w:name="_Toc184314411"/>
      <w:bookmarkEnd w:id="76"/>
      <w:bookmarkStart w:id="77" w:name="_Toc184312127"/>
      <w:bookmarkEnd w:id="77"/>
      <w:bookmarkStart w:id="78" w:name="_Toc184313259"/>
      <w:bookmarkEnd w:id="78"/>
      <w:bookmarkStart w:id="79" w:name="_Toc184308036"/>
      <w:bookmarkEnd w:id="79"/>
      <w:bookmarkStart w:id="80" w:name="_Toc184310315"/>
      <w:bookmarkEnd w:id="80"/>
      <w:bookmarkStart w:id="81" w:name="_Toc184310277"/>
      <w:bookmarkEnd w:id="81"/>
      <w:bookmarkStart w:id="82" w:name="_Toc184310286"/>
      <w:bookmarkEnd w:id="82"/>
      <w:bookmarkStart w:id="83" w:name="_Toc184308081"/>
      <w:bookmarkEnd w:id="83"/>
      <w:bookmarkStart w:id="84" w:name="_Toc184313248"/>
      <w:bookmarkEnd w:id="84"/>
      <w:bookmarkStart w:id="85" w:name="_Toc184314421"/>
      <w:bookmarkEnd w:id="85"/>
      <w:bookmarkStart w:id="86" w:name="_Toc184308068"/>
      <w:bookmarkEnd w:id="86"/>
      <w:bookmarkStart w:id="87" w:name="_Toc184312109"/>
      <w:bookmarkEnd w:id="87"/>
      <w:bookmarkStart w:id="88" w:name="_Toc184312116"/>
      <w:bookmarkEnd w:id="88"/>
      <w:bookmarkStart w:id="89" w:name="_Toc184314416"/>
      <w:bookmarkEnd w:id="89"/>
      <w:bookmarkStart w:id="90" w:name="_Toc184308053"/>
      <w:bookmarkEnd w:id="90"/>
      <w:bookmarkStart w:id="91" w:name="_Toc184313283"/>
      <w:bookmarkEnd w:id="91"/>
      <w:bookmarkStart w:id="92" w:name="_Toc184310333"/>
      <w:bookmarkEnd w:id="92"/>
      <w:bookmarkStart w:id="93" w:name="_Toc184313287"/>
      <w:bookmarkEnd w:id="93"/>
      <w:bookmarkStart w:id="94" w:name="_Toc184312069"/>
      <w:bookmarkEnd w:id="94"/>
      <w:bookmarkStart w:id="95" w:name="_Toc184314430"/>
      <w:bookmarkEnd w:id="95"/>
      <w:bookmarkStart w:id="96" w:name="_Toc184312101"/>
      <w:bookmarkEnd w:id="96"/>
      <w:bookmarkStart w:id="97" w:name="_Toc184312097"/>
      <w:bookmarkEnd w:id="97"/>
      <w:bookmarkStart w:id="98" w:name="_Toc184314476"/>
      <w:bookmarkEnd w:id="98"/>
      <w:bookmarkStart w:id="99" w:name="_Toc184314439"/>
      <w:bookmarkEnd w:id="99"/>
      <w:bookmarkStart w:id="100" w:name="_Toc184314428"/>
      <w:bookmarkEnd w:id="100"/>
      <w:bookmarkStart w:id="101" w:name="_Toc184313294"/>
      <w:bookmarkEnd w:id="101"/>
      <w:bookmarkStart w:id="102" w:name="_Toc184312077"/>
      <w:bookmarkEnd w:id="102"/>
      <w:bookmarkStart w:id="103" w:name="_Toc184310326"/>
      <w:bookmarkEnd w:id="103"/>
      <w:bookmarkStart w:id="104" w:name="_Toc184308044"/>
      <w:bookmarkEnd w:id="104"/>
      <w:bookmarkStart w:id="105" w:name="_Toc184313276"/>
      <w:bookmarkEnd w:id="105"/>
      <w:bookmarkStart w:id="106" w:name="_Toc184308059"/>
      <w:bookmarkEnd w:id="106"/>
      <w:bookmarkStart w:id="107" w:name="_Toc184312114"/>
      <w:bookmarkEnd w:id="107"/>
      <w:bookmarkStart w:id="108" w:name="_Toc184314458"/>
      <w:bookmarkEnd w:id="108"/>
      <w:bookmarkStart w:id="109" w:name="_Toc184314413"/>
      <w:bookmarkEnd w:id="109"/>
      <w:bookmarkStart w:id="110" w:name="_Toc184314436"/>
      <w:bookmarkEnd w:id="110"/>
      <w:bookmarkStart w:id="111" w:name="_Toc184312136"/>
      <w:bookmarkEnd w:id="111"/>
      <w:bookmarkStart w:id="112" w:name="_Toc184310332"/>
      <w:bookmarkEnd w:id="112"/>
      <w:bookmarkStart w:id="113" w:name="_Toc184308083"/>
      <w:bookmarkEnd w:id="113"/>
      <w:bookmarkStart w:id="114" w:name="_Toc184313249"/>
      <w:bookmarkEnd w:id="114"/>
      <w:bookmarkStart w:id="115" w:name="_Toc184312134"/>
      <w:bookmarkEnd w:id="115"/>
      <w:bookmarkStart w:id="116" w:name="_Toc184313268"/>
      <w:bookmarkEnd w:id="116"/>
      <w:bookmarkStart w:id="117" w:name="_Toc184314426"/>
      <w:bookmarkEnd w:id="117"/>
      <w:bookmarkStart w:id="118" w:name="_Toc184312131"/>
      <w:bookmarkEnd w:id="118"/>
      <w:bookmarkStart w:id="119" w:name="_Toc184312115"/>
      <w:bookmarkEnd w:id="119"/>
      <w:bookmarkStart w:id="120" w:name="_Toc184308052"/>
      <w:bookmarkEnd w:id="120"/>
      <w:bookmarkStart w:id="121" w:name="_Toc184314444"/>
      <w:bookmarkEnd w:id="121"/>
      <w:bookmarkStart w:id="122" w:name="_Toc184313292"/>
      <w:bookmarkEnd w:id="122"/>
      <w:bookmarkStart w:id="123" w:name="_Toc184310337"/>
      <w:bookmarkEnd w:id="123"/>
      <w:bookmarkStart w:id="124" w:name="_Toc184312103"/>
      <w:bookmarkEnd w:id="124"/>
      <w:bookmarkStart w:id="125" w:name="_Toc184310340"/>
      <w:bookmarkEnd w:id="125"/>
      <w:bookmarkStart w:id="126" w:name="_Toc184310302"/>
      <w:bookmarkEnd w:id="126"/>
      <w:bookmarkStart w:id="127" w:name="_Toc184314448"/>
      <w:bookmarkEnd w:id="127"/>
      <w:bookmarkStart w:id="128" w:name="_Toc184314424"/>
      <w:bookmarkEnd w:id="128"/>
      <w:bookmarkStart w:id="129" w:name="_Toc184308094"/>
      <w:bookmarkEnd w:id="129"/>
      <w:bookmarkStart w:id="130" w:name="_Toc184310325"/>
      <w:bookmarkEnd w:id="130"/>
      <w:bookmarkStart w:id="131" w:name="_Toc184308073"/>
      <w:bookmarkEnd w:id="131"/>
      <w:bookmarkStart w:id="132" w:name="_Toc184308049"/>
      <w:bookmarkEnd w:id="132"/>
      <w:bookmarkStart w:id="133" w:name="_Toc184314438"/>
      <w:bookmarkEnd w:id="133"/>
      <w:bookmarkStart w:id="134" w:name="_Toc184308086"/>
      <w:bookmarkEnd w:id="134"/>
      <w:bookmarkStart w:id="135" w:name="_Toc184313244"/>
      <w:bookmarkEnd w:id="135"/>
      <w:bookmarkStart w:id="136" w:name="_Toc184310297"/>
      <w:bookmarkEnd w:id="136"/>
      <w:bookmarkStart w:id="137" w:name="_Toc184310275"/>
      <w:bookmarkEnd w:id="137"/>
      <w:bookmarkStart w:id="138" w:name="_Toc184313246"/>
      <w:bookmarkEnd w:id="138"/>
      <w:bookmarkStart w:id="139" w:name="_Toc184310306"/>
      <w:bookmarkEnd w:id="139"/>
      <w:bookmarkStart w:id="140" w:name="_Toc184313256"/>
      <w:bookmarkEnd w:id="140"/>
      <w:bookmarkStart w:id="141" w:name="_Toc184308076"/>
      <w:bookmarkEnd w:id="141"/>
      <w:bookmarkStart w:id="142" w:name="_Toc184313303"/>
      <w:bookmarkEnd w:id="142"/>
      <w:bookmarkStart w:id="143" w:name="_Toc184310320"/>
      <w:bookmarkEnd w:id="143"/>
      <w:bookmarkStart w:id="144" w:name="_Toc184308099"/>
      <w:bookmarkEnd w:id="144"/>
      <w:bookmarkStart w:id="145" w:name="_Toc184313261"/>
      <w:bookmarkEnd w:id="145"/>
      <w:bookmarkStart w:id="146" w:name="_Toc184310295"/>
      <w:bookmarkEnd w:id="146"/>
      <w:bookmarkStart w:id="147" w:name="_Toc184314480"/>
      <w:bookmarkEnd w:id="147"/>
      <w:bookmarkStart w:id="148" w:name="_Toc184310324"/>
      <w:bookmarkEnd w:id="148"/>
      <w:bookmarkStart w:id="149" w:name="_Toc184313281"/>
      <w:bookmarkEnd w:id="149"/>
      <w:bookmarkStart w:id="150" w:name="_Toc184308102"/>
      <w:bookmarkEnd w:id="150"/>
      <w:bookmarkStart w:id="151" w:name="_Toc184314459"/>
      <w:bookmarkEnd w:id="151"/>
      <w:bookmarkStart w:id="152" w:name="_Toc184312089"/>
      <w:bookmarkEnd w:id="152"/>
      <w:bookmarkStart w:id="153" w:name="_Toc184312091"/>
      <w:bookmarkEnd w:id="153"/>
      <w:bookmarkStart w:id="154" w:name="_Toc184310276"/>
      <w:bookmarkEnd w:id="154"/>
      <w:bookmarkStart w:id="155" w:name="_Toc184308072"/>
      <w:bookmarkEnd w:id="155"/>
      <w:bookmarkStart w:id="156" w:name="_Toc184314471"/>
      <w:bookmarkEnd w:id="156"/>
      <w:bookmarkStart w:id="157" w:name="_Toc184314445"/>
      <w:bookmarkEnd w:id="157"/>
      <w:bookmarkStart w:id="158" w:name="_Toc184310300"/>
      <w:bookmarkEnd w:id="158"/>
      <w:bookmarkStart w:id="159" w:name="_Toc184310285"/>
      <w:bookmarkEnd w:id="159"/>
      <w:bookmarkStart w:id="160" w:name="_Toc184310278"/>
      <w:bookmarkEnd w:id="160"/>
      <w:bookmarkStart w:id="161" w:name="_Toc184312075"/>
      <w:bookmarkEnd w:id="161"/>
      <w:bookmarkStart w:id="162" w:name="_Toc184314432"/>
      <w:bookmarkEnd w:id="162"/>
      <w:bookmarkStart w:id="163" w:name="_Toc184313306"/>
      <w:bookmarkEnd w:id="163"/>
      <w:bookmarkStart w:id="164" w:name="_Toc184313279"/>
      <w:bookmarkEnd w:id="164"/>
      <w:bookmarkStart w:id="165" w:name="_Toc184313285"/>
      <w:bookmarkEnd w:id="165"/>
      <w:bookmarkStart w:id="166" w:name="_Toc184310301"/>
      <w:bookmarkEnd w:id="166"/>
      <w:bookmarkStart w:id="167" w:name="_Toc184313288"/>
      <w:bookmarkEnd w:id="167"/>
      <w:bookmarkStart w:id="168" w:name="_Toc184308050"/>
      <w:bookmarkEnd w:id="168"/>
      <w:bookmarkStart w:id="169" w:name="_Toc184308048"/>
      <w:bookmarkEnd w:id="169"/>
      <w:bookmarkStart w:id="170" w:name="_Toc184308047"/>
      <w:bookmarkEnd w:id="170"/>
      <w:bookmarkStart w:id="171" w:name="_Toc184308060"/>
      <w:bookmarkEnd w:id="171"/>
      <w:bookmarkStart w:id="172" w:name="_Toc184313254"/>
      <w:bookmarkEnd w:id="172"/>
      <w:bookmarkStart w:id="173" w:name="_Toc184314420"/>
      <w:bookmarkEnd w:id="173"/>
      <w:bookmarkStart w:id="174" w:name="_Toc184313300"/>
      <w:bookmarkEnd w:id="174"/>
      <w:bookmarkStart w:id="175" w:name="_Toc184312093"/>
      <w:bookmarkEnd w:id="175"/>
      <w:bookmarkStart w:id="176" w:name="_Toc184314478"/>
      <w:bookmarkEnd w:id="176"/>
      <w:bookmarkStart w:id="177" w:name="_Toc184308071"/>
      <w:bookmarkEnd w:id="177"/>
      <w:bookmarkStart w:id="178" w:name="_Toc184308042"/>
      <w:bookmarkEnd w:id="178"/>
      <w:bookmarkStart w:id="179" w:name="_Toc184314451"/>
      <w:bookmarkEnd w:id="179"/>
      <w:bookmarkStart w:id="180" w:name="_Toc184313257"/>
      <w:bookmarkEnd w:id="180"/>
      <w:bookmarkStart w:id="181" w:name="_Toc184310323"/>
      <w:bookmarkEnd w:id="181"/>
      <w:bookmarkStart w:id="182" w:name="_Toc184313297"/>
      <w:bookmarkEnd w:id="182"/>
      <w:bookmarkStart w:id="183" w:name="_Toc184313293"/>
      <w:bookmarkEnd w:id="183"/>
      <w:bookmarkStart w:id="184" w:name="_Toc184314457"/>
      <w:bookmarkEnd w:id="184"/>
      <w:bookmarkStart w:id="185" w:name="_Toc184313282"/>
      <w:bookmarkEnd w:id="185"/>
      <w:bookmarkStart w:id="186" w:name="_Toc184310279"/>
      <w:bookmarkEnd w:id="186"/>
      <w:bookmarkStart w:id="187" w:name="_Toc184310272"/>
      <w:bookmarkEnd w:id="187"/>
      <w:bookmarkStart w:id="188" w:name="_Toc184314425"/>
      <w:bookmarkEnd w:id="188"/>
      <w:bookmarkStart w:id="189" w:name="_Toc184310305"/>
      <w:bookmarkEnd w:id="189"/>
      <w:bookmarkStart w:id="190" w:name="_Toc184308077"/>
      <w:bookmarkEnd w:id="190"/>
      <w:bookmarkStart w:id="191" w:name="_Toc184312067"/>
      <w:bookmarkEnd w:id="191"/>
      <w:bookmarkStart w:id="192" w:name="_Toc184310316"/>
      <w:bookmarkEnd w:id="192"/>
      <w:bookmarkStart w:id="193" w:name="_Toc184310327"/>
      <w:bookmarkEnd w:id="193"/>
      <w:bookmarkStart w:id="194" w:name="_Toc184312123"/>
      <w:bookmarkEnd w:id="194"/>
      <w:bookmarkStart w:id="195" w:name="_Toc184314433"/>
      <w:bookmarkEnd w:id="195"/>
      <w:bookmarkStart w:id="196" w:name="_Toc184313299"/>
      <w:bookmarkEnd w:id="196"/>
      <w:bookmarkStart w:id="197" w:name="_Toc184314467"/>
      <w:bookmarkEnd w:id="197"/>
      <w:bookmarkStart w:id="198" w:name="_Toc184310342"/>
      <w:bookmarkEnd w:id="198"/>
      <w:bookmarkStart w:id="199" w:name="_Toc184310318"/>
      <w:bookmarkEnd w:id="199"/>
      <w:bookmarkStart w:id="200" w:name="_Toc184313275"/>
      <w:bookmarkEnd w:id="200"/>
      <w:bookmarkStart w:id="201" w:name="_Toc184312125"/>
      <w:bookmarkEnd w:id="201"/>
      <w:bookmarkStart w:id="202" w:name="_Toc184312098"/>
      <w:bookmarkEnd w:id="202"/>
      <w:bookmarkStart w:id="203" w:name="_Toc184313291"/>
      <w:bookmarkEnd w:id="203"/>
      <w:bookmarkStart w:id="204" w:name="_Toc184312096"/>
      <w:bookmarkEnd w:id="204"/>
      <w:bookmarkStart w:id="205" w:name="_Toc184313273"/>
      <w:bookmarkEnd w:id="205"/>
      <w:bookmarkStart w:id="206" w:name="_Toc184308093"/>
      <w:bookmarkEnd w:id="206"/>
      <w:bookmarkStart w:id="207" w:name="_Toc184312124"/>
      <w:bookmarkEnd w:id="207"/>
      <w:bookmarkStart w:id="208" w:name="_Toc184308051"/>
      <w:bookmarkEnd w:id="208"/>
      <w:bookmarkStart w:id="209" w:name="_Toc184308097"/>
      <w:bookmarkEnd w:id="209"/>
      <w:bookmarkStart w:id="210" w:name="_Toc184314462"/>
      <w:bookmarkEnd w:id="210"/>
      <w:bookmarkStart w:id="211" w:name="_Toc184310303"/>
      <w:bookmarkEnd w:id="211"/>
      <w:bookmarkStart w:id="212" w:name="_Toc184314474"/>
      <w:bookmarkEnd w:id="212"/>
      <w:bookmarkStart w:id="213" w:name="_Toc184310338"/>
      <w:bookmarkEnd w:id="213"/>
      <w:bookmarkStart w:id="214" w:name="_Toc184314427"/>
      <w:bookmarkEnd w:id="214"/>
      <w:bookmarkStart w:id="215" w:name="_Toc184308103"/>
      <w:bookmarkEnd w:id="215"/>
      <w:bookmarkStart w:id="216" w:name="_Toc184312117"/>
      <w:bookmarkEnd w:id="216"/>
      <w:bookmarkStart w:id="217" w:name="_Toc184314434"/>
      <w:bookmarkEnd w:id="217"/>
      <w:bookmarkStart w:id="218" w:name="_Toc184312121"/>
      <w:bookmarkEnd w:id="218"/>
      <w:bookmarkStart w:id="219" w:name="_Toc184312100"/>
      <w:bookmarkEnd w:id="219"/>
      <w:bookmarkStart w:id="220" w:name="_Toc184313269"/>
      <w:bookmarkEnd w:id="220"/>
      <w:bookmarkStart w:id="221" w:name="_Toc184313250"/>
      <w:bookmarkEnd w:id="221"/>
      <w:bookmarkStart w:id="222" w:name="_Toc184313267"/>
      <w:bookmarkEnd w:id="222"/>
      <w:bookmarkStart w:id="223" w:name="_Toc184312110"/>
      <w:bookmarkEnd w:id="223"/>
      <w:bookmarkStart w:id="224" w:name="_Toc184308038"/>
      <w:bookmarkEnd w:id="224"/>
      <w:bookmarkStart w:id="225" w:name="_Toc184308069"/>
      <w:bookmarkEnd w:id="225"/>
      <w:bookmarkStart w:id="226" w:name="_Toc184313262"/>
      <w:bookmarkEnd w:id="226"/>
      <w:bookmarkStart w:id="227" w:name="_Toc184308085"/>
      <w:bookmarkEnd w:id="227"/>
      <w:bookmarkStart w:id="228" w:name="_Toc184308065"/>
      <w:bookmarkEnd w:id="228"/>
      <w:bookmarkStart w:id="229" w:name="_Toc184308041"/>
      <w:bookmarkEnd w:id="229"/>
      <w:bookmarkStart w:id="230" w:name="_Toc184310308"/>
      <w:bookmarkEnd w:id="230"/>
      <w:bookmarkStart w:id="231" w:name="_Toc184313272"/>
      <w:bookmarkEnd w:id="231"/>
      <w:bookmarkStart w:id="232" w:name="_Toc184308070"/>
      <w:bookmarkEnd w:id="232"/>
      <w:bookmarkStart w:id="233" w:name="_Toc184313301"/>
      <w:bookmarkEnd w:id="233"/>
      <w:bookmarkStart w:id="234" w:name="_Toc184313241"/>
      <w:bookmarkEnd w:id="234"/>
      <w:bookmarkStart w:id="235" w:name="_Toc184308054"/>
      <w:bookmarkEnd w:id="235"/>
      <w:bookmarkStart w:id="236" w:name="_Toc184310335"/>
      <w:bookmarkEnd w:id="236"/>
      <w:bookmarkStart w:id="237" w:name="_Toc184314468"/>
      <w:bookmarkEnd w:id="237"/>
      <w:bookmarkStart w:id="238" w:name="_Toc184310280"/>
      <w:bookmarkEnd w:id="238"/>
      <w:bookmarkStart w:id="239" w:name="_Toc184312106"/>
      <w:bookmarkEnd w:id="239"/>
      <w:bookmarkStart w:id="240" w:name="_Toc184314449"/>
      <w:bookmarkEnd w:id="240"/>
      <w:bookmarkStart w:id="241" w:name="_Toc184310298"/>
      <w:bookmarkEnd w:id="241"/>
      <w:bookmarkStart w:id="242" w:name="_Toc184310317"/>
      <w:bookmarkEnd w:id="242"/>
      <w:bookmarkStart w:id="243" w:name="_Toc184308087"/>
      <w:bookmarkEnd w:id="243"/>
      <w:bookmarkStart w:id="244" w:name="_Toc184313298"/>
      <w:bookmarkEnd w:id="244"/>
      <w:bookmarkStart w:id="245" w:name="_Toc184313302"/>
      <w:bookmarkEnd w:id="245"/>
      <w:bookmarkStart w:id="246" w:name="_Toc184313260"/>
      <w:bookmarkEnd w:id="246"/>
      <w:bookmarkStart w:id="247" w:name="_Toc184308058"/>
      <w:bookmarkEnd w:id="247"/>
      <w:bookmarkStart w:id="248" w:name="_Toc184312126"/>
      <w:bookmarkEnd w:id="248"/>
      <w:bookmarkStart w:id="249" w:name="_Toc184312112"/>
      <w:bookmarkEnd w:id="249"/>
      <w:bookmarkStart w:id="250" w:name="_Toc184308089"/>
      <w:bookmarkEnd w:id="250"/>
      <w:bookmarkStart w:id="251" w:name="_Toc184314435"/>
      <w:bookmarkEnd w:id="251"/>
      <w:bookmarkStart w:id="252" w:name="_Toc184310330"/>
      <w:bookmarkEnd w:id="252"/>
      <w:bookmarkStart w:id="253" w:name="_Toc184308074"/>
      <w:bookmarkEnd w:id="253"/>
      <w:bookmarkStart w:id="254" w:name="_Toc184308108"/>
      <w:bookmarkEnd w:id="254"/>
      <w:bookmarkStart w:id="255" w:name="_Toc184313271"/>
      <w:bookmarkEnd w:id="255"/>
      <w:bookmarkStart w:id="256" w:name="_Toc184308080"/>
      <w:bookmarkEnd w:id="256"/>
      <w:bookmarkStart w:id="257" w:name="_Toc184308045"/>
      <w:bookmarkEnd w:id="257"/>
      <w:bookmarkStart w:id="258" w:name="_Toc184314470"/>
      <w:bookmarkEnd w:id="258"/>
      <w:bookmarkStart w:id="259" w:name="_Toc184314414"/>
      <w:bookmarkEnd w:id="259"/>
      <w:bookmarkStart w:id="260" w:name="_Toc184312099"/>
      <w:bookmarkEnd w:id="260"/>
      <w:bookmarkStart w:id="261" w:name="_Toc184312085"/>
      <w:bookmarkEnd w:id="261"/>
      <w:bookmarkStart w:id="262" w:name="_Toc184313310"/>
      <w:bookmarkEnd w:id="262"/>
      <w:bookmarkStart w:id="263" w:name="_Toc184310294"/>
      <w:bookmarkEnd w:id="263"/>
      <w:bookmarkStart w:id="264" w:name="_Toc184314441"/>
      <w:bookmarkEnd w:id="264"/>
      <w:bookmarkStart w:id="265" w:name="_Toc184310282"/>
      <w:bookmarkEnd w:id="265"/>
      <w:bookmarkStart w:id="266" w:name="_Toc184314418"/>
      <w:bookmarkEnd w:id="266"/>
      <w:bookmarkStart w:id="267" w:name="_Toc184312082"/>
      <w:bookmarkEnd w:id="267"/>
      <w:bookmarkStart w:id="268" w:name="_Toc184312129"/>
      <w:bookmarkEnd w:id="268"/>
      <w:bookmarkStart w:id="269" w:name="_Toc184308040"/>
      <w:bookmarkEnd w:id="269"/>
      <w:bookmarkStart w:id="270" w:name="_Toc184312083"/>
      <w:bookmarkEnd w:id="270"/>
      <w:bookmarkStart w:id="271" w:name="_Toc184313245"/>
      <w:bookmarkEnd w:id="271"/>
      <w:bookmarkStart w:id="272" w:name="_Toc184312086"/>
      <w:bookmarkEnd w:id="272"/>
      <w:bookmarkStart w:id="273" w:name="_Toc184314440"/>
      <w:bookmarkEnd w:id="273"/>
      <w:bookmarkStart w:id="274" w:name="_Toc184308082"/>
      <w:bookmarkEnd w:id="274"/>
      <w:bookmarkStart w:id="275" w:name="_Toc184314465"/>
      <w:bookmarkEnd w:id="275"/>
      <w:bookmarkStart w:id="276" w:name="_Toc184308096"/>
      <w:bookmarkEnd w:id="276"/>
      <w:bookmarkStart w:id="277" w:name="_Toc184310321"/>
      <w:bookmarkEnd w:id="277"/>
      <w:bookmarkStart w:id="278" w:name="_Toc184314453"/>
      <w:bookmarkEnd w:id="278"/>
      <w:bookmarkStart w:id="279" w:name="_Toc184308100"/>
      <w:bookmarkEnd w:id="279"/>
      <w:bookmarkStart w:id="280" w:name="_Toc184314417"/>
      <w:bookmarkEnd w:id="280"/>
      <w:bookmarkStart w:id="281" w:name="_Toc184308078"/>
      <w:bookmarkEnd w:id="281"/>
      <w:bookmarkStart w:id="282" w:name="_Toc184313296"/>
      <w:bookmarkEnd w:id="282"/>
      <w:bookmarkStart w:id="283" w:name="_Toc184308079"/>
      <w:bookmarkEnd w:id="283"/>
      <w:bookmarkStart w:id="284" w:name="_Toc184314461"/>
      <w:bookmarkEnd w:id="284"/>
      <w:bookmarkStart w:id="285" w:name="_Toc184308084"/>
      <w:bookmarkEnd w:id="285"/>
      <w:bookmarkStart w:id="286" w:name="_Toc184312102"/>
      <w:bookmarkEnd w:id="286"/>
      <w:bookmarkStart w:id="287" w:name="_Toc184314463"/>
      <w:bookmarkEnd w:id="287"/>
      <w:bookmarkStart w:id="288" w:name="_Toc184310311"/>
      <w:bookmarkEnd w:id="288"/>
      <w:bookmarkStart w:id="289" w:name="_Toc184308075"/>
      <w:bookmarkEnd w:id="289"/>
      <w:bookmarkStart w:id="290" w:name="_Toc184314450"/>
      <w:bookmarkEnd w:id="290"/>
      <w:bookmarkStart w:id="291" w:name="_Toc184313266"/>
      <w:bookmarkEnd w:id="291"/>
      <w:bookmarkStart w:id="292" w:name="_Toc184310309"/>
      <w:bookmarkEnd w:id="292"/>
      <w:bookmarkStart w:id="293" w:name="_Toc184314466"/>
      <w:bookmarkEnd w:id="293"/>
      <w:bookmarkStart w:id="294" w:name="_Toc184310274"/>
      <w:bookmarkEnd w:id="294"/>
      <w:bookmarkStart w:id="295" w:name="_Toc184312133"/>
      <w:bookmarkEnd w:id="295"/>
      <w:bookmarkStart w:id="296" w:name="_Toc184310310"/>
      <w:bookmarkEnd w:id="296"/>
      <w:bookmarkStart w:id="297" w:name="_Toc184313265"/>
      <w:bookmarkEnd w:id="297"/>
      <w:bookmarkStart w:id="298" w:name="_Toc184308095"/>
      <w:bookmarkEnd w:id="298"/>
      <w:bookmarkStart w:id="299" w:name="_Toc184312090"/>
      <w:bookmarkEnd w:id="299"/>
      <w:bookmarkStart w:id="300" w:name="_Toc184313308"/>
      <w:bookmarkEnd w:id="300"/>
      <w:bookmarkStart w:id="301" w:name="_Toc184314473"/>
      <w:bookmarkEnd w:id="301"/>
      <w:bookmarkStart w:id="302" w:name="_Toc184314419"/>
      <w:bookmarkEnd w:id="302"/>
      <w:bookmarkStart w:id="303" w:name="_Toc184312081"/>
      <w:bookmarkEnd w:id="303"/>
      <w:bookmarkStart w:id="304" w:name="_Toc184308056"/>
      <w:bookmarkEnd w:id="304"/>
      <w:bookmarkStart w:id="305" w:name="_Toc184312128"/>
      <w:bookmarkEnd w:id="305"/>
      <w:bookmarkStart w:id="306" w:name="_Toc184312092"/>
      <w:bookmarkEnd w:id="306"/>
      <w:bookmarkStart w:id="307" w:name="_Toc184313284"/>
      <w:bookmarkEnd w:id="307"/>
      <w:bookmarkStart w:id="308" w:name="_Toc184310283"/>
      <w:bookmarkEnd w:id="308"/>
      <w:bookmarkStart w:id="309" w:name="_Toc184313247"/>
      <w:bookmarkEnd w:id="309"/>
      <w:bookmarkStart w:id="310" w:name="_Toc184314415"/>
      <w:bookmarkEnd w:id="310"/>
      <w:bookmarkStart w:id="311" w:name="_Toc184314452"/>
      <w:bookmarkEnd w:id="311"/>
      <w:bookmarkStart w:id="312" w:name="_Toc184310331"/>
      <w:bookmarkEnd w:id="312"/>
      <w:bookmarkStart w:id="313" w:name="_Toc184310312"/>
      <w:bookmarkEnd w:id="313"/>
      <w:bookmarkStart w:id="314" w:name="_Toc184312072"/>
      <w:bookmarkEnd w:id="314"/>
      <w:bookmarkStart w:id="315" w:name="_Toc184310288"/>
      <w:bookmarkEnd w:id="315"/>
      <w:bookmarkStart w:id="316" w:name="_Toc184313264"/>
      <w:bookmarkEnd w:id="316"/>
      <w:bookmarkStart w:id="317" w:name="_Toc184308107"/>
      <w:bookmarkEnd w:id="317"/>
      <w:bookmarkStart w:id="318" w:name="_Toc184310289"/>
      <w:bookmarkEnd w:id="318"/>
      <w:bookmarkStart w:id="319" w:name="_Toc184313305"/>
      <w:bookmarkEnd w:id="319"/>
      <w:bookmarkStart w:id="320" w:name="_Toc184310304"/>
      <w:bookmarkEnd w:id="320"/>
      <w:bookmarkStart w:id="321" w:name="_Toc184314475"/>
      <w:bookmarkEnd w:id="321"/>
      <w:bookmarkStart w:id="322" w:name="_Toc184312138"/>
      <w:bookmarkEnd w:id="322"/>
      <w:bookmarkStart w:id="323" w:name="_Toc184310293"/>
      <w:bookmarkEnd w:id="323"/>
      <w:bookmarkStart w:id="324" w:name="_Toc184314423"/>
      <w:bookmarkEnd w:id="324"/>
      <w:bookmarkStart w:id="325" w:name="_Toc184312118"/>
      <w:bookmarkEnd w:id="325"/>
      <w:bookmarkStart w:id="326" w:name="_Toc184308046"/>
      <w:bookmarkEnd w:id="326"/>
      <w:bookmarkStart w:id="327" w:name="_Toc184313258"/>
      <w:bookmarkEnd w:id="327"/>
      <w:bookmarkStart w:id="328" w:name="_Toc184313238"/>
      <w:bookmarkEnd w:id="328"/>
      <w:bookmarkStart w:id="329" w:name="_Toc184312084"/>
      <w:bookmarkEnd w:id="329"/>
      <w:bookmarkStart w:id="330" w:name="_Toc184310284"/>
      <w:bookmarkEnd w:id="330"/>
      <w:bookmarkStart w:id="331" w:name="_Toc184312104"/>
      <w:bookmarkEnd w:id="331"/>
      <w:bookmarkStart w:id="332" w:name="_Toc184308037"/>
      <w:bookmarkEnd w:id="332"/>
      <w:bookmarkStart w:id="333" w:name="_Toc184313289"/>
      <w:bookmarkEnd w:id="333"/>
      <w:bookmarkStart w:id="334" w:name="_Toc184313253"/>
      <w:bookmarkEnd w:id="334"/>
      <w:bookmarkStart w:id="335" w:name="_Toc184312130"/>
      <w:bookmarkEnd w:id="335"/>
      <w:bookmarkStart w:id="336" w:name="_Toc184312094"/>
      <w:bookmarkEnd w:id="336"/>
      <w:bookmarkStart w:id="337" w:name="_Toc184310343"/>
      <w:bookmarkEnd w:id="337"/>
      <w:bookmarkStart w:id="338" w:name="_Toc184310296"/>
      <w:bookmarkEnd w:id="338"/>
      <w:bookmarkStart w:id="339" w:name="_Toc184308055"/>
      <w:bookmarkEnd w:id="339"/>
      <w:bookmarkStart w:id="340" w:name="_Toc184310329"/>
      <w:bookmarkEnd w:id="340"/>
      <w:bookmarkStart w:id="341" w:name="_Toc184313309"/>
      <w:bookmarkEnd w:id="341"/>
      <w:bookmarkStart w:id="342" w:name="_Toc184312076"/>
      <w:bookmarkEnd w:id="342"/>
      <w:bookmarkStart w:id="343" w:name="_Toc184308062"/>
      <w:bookmarkEnd w:id="343"/>
      <w:bookmarkStart w:id="344" w:name="_Toc184310322"/>
      <w:bookmarkEnd w:id="344"/>
      <w:bookmarkStart w:id="345" w:name="_Toc184312079"/>
      <w:bookmarkEnd w:id="345"/>
      <w:bookmarkStart w:id="346" w:name="_Toc184308039"/>
      <w:bookmarkEnd w:id="346"/>
      <w:bookmarkStart w:id="347" w:name="_Toc184312107"/>
      <w:bookmarkEnd w:id="347"/>
      <w:bookmarkStart w:id="348" w:name="_Toc184313270"/>
      <w:bookmarkEnd w:id="348"/>
      <w:bookmarkStart w:id="349" w:name="_Toc184312078"/>
      <w:bookmarkEnd w:id="349"/>
      <w:bookmarkStart w:id="350" w:name="_Toc184310290"/>
      <w:bookmarkEnd w:id="350"/>
      <w:bookmarkStart w:id="351" w:name="_Toc184313278"/>
      <w:bookmarkEnd w:id="351"/>
      <w:bookmarkStart w:id="352" w:name="_Toc184308064"/>
      <w:bookmarkEnd w:id="352"/>
      <w:bookmarkStart w:id="353" w:name="_Toc184310281"/>
      <w:bookmarkEnd w:id="353"/>
      <w:bookmarkStart w:id="354" w:name="_Toc184314479"/>
      <w:bookmarkEnd w:id="354"/>
      <w:bookmarkStart w:id="355" w:name="_Toc184308043"/>
      <w:bookmarkEnd w:id="355"/>
      <w:bookmarkStart w:id="356" w:name="_Toc184312132"/>
      <w:bookmarkEnd w:id="356"/>
      <w:bookmarkStart w:id="357" w:name="_Toc184312080"/>
      <w:bookmarkEnd w:id="357"/>
      <w:bookmarkStart w:id="358" w:name="_Toc184308105"/>
      <w:bookmarkEnd w:id="358"/>
      <w:bookmarkStart w:id="359" w:name="_Toc184310334"/>
      <w:bookmarkEnd w:id="359"/>
      <w:bookmarkStart w:id="360" w:name="_Toc184308098"/>
      <w:bookmarkEnd w:id="360"/>
      <w:bookmarkStart w:id="361" w:name="_Toc184308088"/>
      <w:bookmarkEnd w:id="361"/>
      <w:bookmarkStart w:id="362" w:name="_Toc184310307"/>
      <w:bookmarkEnd w:id="362"/>
      <w:bookmarkStart w:id="363" w:name="_Toc184313242"/>
      <w:bookmarkEnd w:id="363"/>
      <w:bookmarkStart w:id="364" w:name="_Toc184312068"/>
      <w:bookmarkEnd w:id="364"/>
      <w:bookmarkStart w:id="365" w:name="_Toc184313240"/>
      <w:bookmarkEnd w:id="365"/>
      <w:bookmarkStart w:id="366" w:name="_Toc184312073"/>
      <w:bookmarkEnd w:id="366"/>
      <w:bookmarkStart w:id="367" w:name="_Toc184308057"/>
      <w:bookmarkEnd w:id="367"/>
      <w:bookmarkStart w:id="368" w:name="_Toc184314412"/>
      <w:bookmarkEnd w:id="368"/>
      <w:bookmarkStart w:id="369" w:name="_Toc184310314"/>
      <w:bookmarkEnd w:id="369"/>
      <w:bookmarkStart w:id="370" w:name="_Toc184314431"/>
      <w:bookmarkEnd w:id="370"/>
      <w:bookmarkStart w:id="371" w:name="_Toc184310339"/>
      <w:bookmarkEnd w:id="371"/>
      <w:bookmarkStart w:id="372" w:name="_Toc184308106"/>
      <w:bookmarkEnd w:id="372"/>
      <w:bookmarkStart w:id="373" w:name="_Toc184310341"/>
      <w:bookmarkEnd w:id="373"/>
      <w:bookmarkStart w:id="374" w:name="_Toc184314442"/>
      <w:bookmarkEnd w:id="374"/>
      <w:bookmarkStart w:id="375" w:name="_Toc184313263"/>
      <w:bookmarkEnd w:id="375"/>
      <w:bookmarkStart w:id="376" w:name="_Toc184310299"/>
      <w:bookmarkEnd w:id="376"/>
      <w:bookmarkStart w:id="377" w:name="_Toc184310291"/>
      <w:bookmarkEnd w:id="377"/>
      <w:bookmarkStart w:id="378" w:name="_Toc184308101"/>
      <w:bookmarkEnd w:id="378"/>
      <w:bookmarkStart w:id="379" w:name="_Toc184314460"/>
      <w:bookmarkEnd w:id="379"/>
      <w:bookmarkStart w:id="380" w:name="_Toc184310344"/>
      <w:bookmarkEnd w:id="380"/>
      <w:bookmarkStart w:id="381" w:name="_Toc184313280"/>
      <w:bookmarkEnd w:id="381"/>
      <w:bookmarkStart w:id="382" w:name="_Toc184310336"/>
      <w:bookmarkEnd w:id="382"/>
      <w:bookmarkStart w:id="383" w:name="_Toc184312135"/>
      <w:bookmarkEnd w:id="383"/>
      <w:bookmarkStart w:id="384" w:name="_Toc184310292"/>
      <w:bookmarkEnd w:id="384"/>
      <w:bookmarkStart w:id="385" w:name="_Toc184314422"/>
      <w:bookmarkEnd w:id="385"/>
      <w:bookmarkStart w:id="386" w:name="_Toc184312122"/>
      <w:bookmarkEnd w:id="386"/>
      <w:bookmarkStart w:id="387" w:name="_Toc184314410"/>
      <w:bookmarkEnd w:id="387"/>
      <w:bookmarkStart w:id="388" w:name="_Toc184313252"/>
      <w:bookmarkEnd w:id="388"/>
      <w:bookmarkStart w:id="389" w:name="_Toc184312120"/>
      <w:bookmarkEnd w:id="389"/>
      <w:bookmarkStart w:id="390" w:name="_Toc184314464"/>
      <w:bookmarkEnd w:id="390"/>
      <w:bookmarkStart w:id="391" w:name="_Toc184312105"/>
      <w:bookmarkEnd w:id="391"/>
      <w:r>
        <w:rPr>
          <w:rFonts w:hint="eastAsia" w:ascii="仿宋_GB2312" w:hAnsi="仿宋_GB2312" w:eastAsia="仿宋_GB2312" w:cs="仿宋_GB2312"/>
          <w:b/>
          <w:color w:val="000000"/>
          <w:sz w:val="32"/>
          <w:szCs w:val="32"/>
          <w:highlight w:val="none"/>
          <w:lang w:val="en-US" w:eastAsia="zh-CN"/>
        </w:rPr>
        <w:t xml:space="preserve"> </w:t>
      </w:r>
      <w:r>
        <w:rPr>
          <w:rFonts w:hint="eastAsia" w:ascii="仿宋_GB2312" w:hAnsi="仿宋_GB2312" w:eastAsia="仿宋_GB2312" w:cs="仿宋_GB2312"/>
          <w:b/>
          <w:color w:val="000000"/>
          <w:sz w:val="32"/>
          <w:szCs w:val="32"/>
          <w:highlight w:val="none"/>
        </w:rPr>
        <w:t>评标办法</w:t>
      </w:r>
    </w:p>
    <w:p w14:paraId="5E96719C">
      <w:pPr>
        <w:spacing w:line="540" w:lineRule="exact"/>
        <w:contextualSpacing/>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评标办法前附表</w:t>
      </w:r>
    </w:p>
    <w:tbl>
      <w:tblPr>
        <w:tblStyle w:val="2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694"/>
        <w:gridCol w:w="4596"/>
        <w:gridCol w:w="625"/>
        <w:gridCol w:w="821"/>
        <w:gridCol w:w="1440"/>
      </w:tblGrid>
      <w:tr w14:paraId="29F4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A01BE18">
            <w:pPr>
              <w:ind w:right="3"/>
              <w:jc w:val="center"/>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类别</w:t>
            </w:r>
          </w:p>
        </w:tc>
        <w:tc>
          <w:tcPr>
            <w:tcW w:w="694" w:type="dxa"/>
            <w:tcBorders>
              <w:top w:val="single" w:color="auto" w:sz="4" w:space="0"/>
              <w:left w:val="single" w:color="auto" w:sz="4" w:space="0"/>
              <w:bottom w:val="single" w:color="auto" w:sz="4" w:space="0"/>
              <w:right w:val="single" w:color="auto" w:sz="4" w:space="0"/>
            </w:tcBorders>
            <w:noWrap w:val="0"/>
            <w:vAlign w:val="center"/>
          </w:tcPr>
          <w:p w14:paraId="44D6C887">
            <w:pPr>
              <w:ind w:right="3"/>
              <w:jc w:val="center"/>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序号</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31AE52BF">
            <w:pPr>
              <w:jc w:val="cente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color w:val="000000"/>
                <w:spacing w:val="4"/>
                <w:szCs w:val="21"/>
                <w:highlight w:val="none"/>
              </w:rPr>
              <w:t>评分标准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1B7295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权重</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E021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主观分/客观分属性</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C1664CD">
            <w:pPr>
              <w:jc w:val="center"/>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投标文件中评标标准相应的商务技术资料目录*</w:t>
            </w:r>
          </w:p>
        </w:tc>
      </w:tr>
      <w:tr w14:paraId="57C7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5" w:type="dxa"/>
            <w:vMerge w:val="restart"/>
            <w:tcBorders>
              <w:left w:val="single" w:color="auto" w:sz="4" w:space="0"/>
              <w:right w:val="single" w:color="auto" w:sz="4" w:space="0"/>
            </w:tcBorders>
            <w:noWrap w:val="0"/>
            <w:vAlign w:val="center"/>
          </w:tcPr>
          <w:p w14:paraId="1AF64D5B">
            <w:pPr>
              <w:jc w:val="left"/>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商务部分（</w:t>
            </w:r>
            <w:r>
              <w:rPr>
                <w:rFonts w:hint="eastAsia" w:ascii="仿宋_GB2312" w:hAnsi="仿宋_GB2312" w:eastAsia="仿宋_GB2312" w:cs="仿宋_GB2312"/>
                <w:color w:val="000000"/>
                <w:szCs w:val="21"/>
                <w:highlight w:val="none"/>
                <w:lang w:val="en-US" w:eastAsia="zh-CN"/>
              </w:rPr>
              <w:t>20</w:t>
            </w:r>
            <w:r>
              <w:rPr>
                <w:rFonts w:hint="eastAsia" w:ascii="仿宋_GB2312" w:hAnsi="仿宋_GB2312" w:eastAsia="仿宋_GB2312" w:cs="仿宋_GB2312"/>
                <w:color w:val="000000"/>
                <w:szCs w:val="21"/>
                <w:highlight w:val="none"/>
              </w:rPr>
              <w:t>分）</w:t>
            </w:r>
          </w:p>
        </w:tc>
        <w:tc>
          <w:tcPr>
            <w:tcW w:w="694" w:type="dxa"/>
            <w:tcBorders>
              <w:left w:val="single" w:color="auto" w:sz="4" w:space="0"/>
              <w:right w:val="single" w:color="auto" w:sz="4" w:space="0"/>
            </w:tcBorders>
            <w:noWrap w:val="0"/>
            <w:vAlign w:val="center"/>
          </w:tcPr>
          <w:p w14:paraId="789A70DF">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06DBF69B">
            <w:pPr>
              <w:keepNext w:val="0"/>
              <w:keepLines w:val="0"/>
              <w:pageBreakBefore w:val="0"/>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根据投标人提供的类似案例业绩,每提供一份采购合同，得1分，最高得</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分。</w:t>
            </w:r>
          </w:p>
          <w:p w14:paraId="4A4FEF3F">
            <w:pPr>
              <w:keepNext w:val="0"/>
              <w:keepLines w:val="0"/>
              <w:pageBreakBefore w:val="0"/>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注：1.合同签订时间为 2022年1月1日（含）至开标截止时间的时间段内，合同由投标人签订，否则不得分。</w:t>
            </w:r>
          </w:p>
          <w:p w14:paraId="6CE105DB">
            <w:pPr>
              <w:pStyle w:val="12"/>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b/>
                <w:color w:val="000000"/>
                <w:szCs w:val="24"/>
                <w:highlight w:val="none"/>
              </w:rPr>
              <w:t>2.类似案例业绩是指合同内容必须包含</w:t>
            </w:r>
            <w:r>
              <w:rPr>
                <w:rFonts w:hint="eastAsia" w:ascii="仿宋_GB2312" w:hAnsi="仿宋_GB2312" w:eastAsia="仿宋_GB2312" w:cs="仿宋_GB2312"/>
                <w:b/>
                <w:sz w:val="24"/>
                <w:highlight w:val="none"/>
                <w:lang w:eastAsia="zh-CN"/>
              </w:rPr>
              <w:t>触控一体机</w:t>
            </w:r>
            <w:r>
              <w:rPr>
                <w:rFonts w:hint="eastAsia" w:ascii="仿宋_GB2312" w:hAnsi="仿宋_GB2312" w:eastAsia="仿宋_GB2312" w:cs="仿宋_GB2312"/>
                <w:b/>
                <w:color w:val="000000"/>
                <w:szCs w:val="24"/>
                <w:highlight w:val="none"/>
              </w:rPr>
              <w:t>，否则不得分。</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0CD838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C995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333493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6C489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63C03F6">
            <w:pPr>
              <w:rPr>
                <w:rFonts w:hint="eastAsia" w:ascii="仿宋_GB2312" w:hAnsi="仿宋_GB2312" w:eastAsia="仿宋_GB2312" w:cs="仿宋_GB2312"/>
                <w:color w:val="000000"/>
                <w:sz w:val="24"/>
                <w:szCs w:val="24"/>
                <w:highlight w:val="none"/>
              </w:rPr>
            </w:pPr>
          </w:p>
        </w:tc>
      </w:tr>
      <w:tr w14:paraId="2A9F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5" w:type="dxa"/>
            <w:vMerge w:val="continue"/>
            <w:tcBorders>
              <w:left w:val="single" w:color="auto" w:sz="4" w:space="0"/>
              <w:right w:val="single" w:color="auto" w:sz="4" w:space="0"/>
            </w:tcBorders>
            <w:noWrap w:val="0"/>
            <w:vAlign w:val="center"/>
          </w:tcPr>
          <w:p w14:paraId="6D8C2F83">
            <w:pPr>
              <w:jc w:val="center"/>
              <w:rPr>
                <w:rFonts w:hint="eastAsia" w:ascii="仿宋_GB2312" w:hAnsi="仿宋_GB2312" w:eastAsia="仿宋_GB2312" w:cs="仿宋_GB2312"/>
                <w:b/>
                <w:color w:val="000000"/>
                <w:sz w:val="24"/>
                <w:szCs w:val="24"/>
                <w:highlight w:val="none"/>
              </w:rPr>
            </w:pPr>
          </w:p>
        </w:tc>
        <w:tc>
          <w:tcPr>
            <w:tcW w:w="694" w:type="dxa"/>
            <w:tcBorders>
              <w:left w:val="single" w:color="auto" w:sz="4" w:space="0"/>
              <w:right w:val="single" w:color="auto" w:sz="4" w:space="0"/>
            </w:tcBorders>
            <w:noWrap w:val="0"/>
            <w:vAlign w:val="center"/>
          </w:tcPr>
          <w:p w14:paraId="3AE7669A">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6B777B4E">
            <w:pPr>
              <w:widowControl/>
              <w:textAlignment w:val="center"/>
              <w:rPr>
                <w:rFonts w:hint="eastAsia" w:ascii="仿宋_GB2312" w:hAnsi="仿宋_GB2312" w:eastAsia="仿宋_GB2312" w:cs="仿宋_GB2312"/>
                <w:b w:val="0"/>
                <w:bCs/>
                <w:color w:val="000000"/>
                <w:kern w:val="2"/>
                <w:sz w:val="24"/>
                <w:szCs w:val="24"/>
                <w:highlight w:val="no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投标人拟派的项目经理具有信息系统项目管理师证书的得2分；</w:t>
            </w:r>
          </w:p>
          <w:p w14:paraId="7A7D14D6">
            <w:pPr>
              <w:widowControl/>
              <w:textAlignment w:val="center"/>
              <w:rPr>
                <w:rFonts w:hint="eastAsia"/>
                <w:highlight w:val="none"/>
              </w:rPr>
            </w:pPr>
            <w:r>
              <w:rPr>
                <w:rFonts w:hint="eastAsia" w:ascii="仿宋_GB2312" w:hAnsi="仿宋_GB2312" w:eastAsia="仿宋_GB2312" w:cs="仿宋_GB2312"/>
                <w:b w:val="0"/>
                <w:bCs/>
                <w:color w:val="000000"/>
                <w:kern w:val="2"/>
                <w:sz w:val="24"/>
                <w:szCs w:val="24"/>
                <w:highlight w:val="none"/>
                <w:lang w:val="en-US" w:eastAsia="zh-CN" w:bidi="ar-SA"/>
              </w:rPr>
              <w:t>具有信息系统管理工程师或系统集成项目管理工程师证书的得1分</w:t>
            </w:r>
            <w:r>
              <w:rPr>
                <w:rFonts w:hint="eastAsia" w:ascii="仿宋_GB2312" w:hAnsi="仿宋_GB2312" w:eastAsia="仿宋_GB2312" w:cs="仿宋_GB2312"/>
                <w:color w:val="000000"/>
                <w:sz w:val="24"/>
                <w:szCs w:val="24"/>
                <w:highlight w:val="none"/>
              </w:rPr>
              <w:t>。</w:t>
            </w:r>
          </w:p>
          <w:p w14:paraId="6FA722FB">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注: </w:t>
            </w: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投标人应提供政府部门（或政府部门授权的相关部门）颁发的证书及上述人员在本单位的社保证明（</w:t>
            </w:r>
            <w:r>
              <w:rPr>
                <w:rFonts w:hint="eastAsia" w:ascii="仿宋_GB2312" w:hAnsi="仿宋_GB2312" w:eastAsia="仿宋_GB2312" w:cs="仿宋_GB2312"/>
                <w:color w:val="000000"/>
                <w:sz w:val="24"/>
                <w:szCs w:val="24"/>
                <w:highlight w:val="none"/>
                <w:lang w:val="en-US" w:eastAsia="zh-CN"/>
              </w:rPr>
              <w:t>2025年4月、5月、6月</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7月</w:t>
            </w:r>
            <w:r>
              <w:rPr>
                <w:rFonts w:hint="eastAsia" w:ascii="仿宋_GB2312" w:hAnsi="仿宋_GB2312" w:eastAsia="仿宋_GB2312" w:cs="仿宋_GB2312"/>
                <w:color w:val="000000"/>
                <w:sz w:val="24"/>
                <w:szCs w:val="24"/>
                <w:highlight w:val="none"/>
                <w:lang w:val="zh-TW"/>
              </w:rPr>
              <w:t>中的任意一个月</w:t>
            </w:r>
            <w:r>
              <w:rPr>
                <w:rFonts w:hint="eastAsia" w:ascii="仿宋_GB2312" w:hAnsi="仿宋_GB2312" w:eastAsia="仿宋_GB2312" w:cs="仿宋_GB2312"/>
                <w:color w:val="000000"/>
                <w:sz w:val="24"/>
                <w:szCs w:val="24"/>
                <w:highlight w:val="none"/>
              </w:rPr>
              <w:t>），否则不得分。</w:t>
            </w:r>
          </w:p>
          <w:p w14:paraId="3D7A754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color w:val="000000"/>
                <w:kern w:val="2"/>
                <w:sz w:val="24"/>
                <w:szCs w:val="24"/>
                <w:highlight w:val="none"/>
                <w:lang w:val="en-US" w:eastAsia="zh-CN" w:bidi="ar-SA"/>
              </w:rPr>
              <w:t>2.投标人提供的同类证书等级高于上述证书的，视作满足要求。</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587D24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b/>
                <w:color w:val="000000"/>
                <w:spacing w:val="4"/>
                <w:szCs w:val="21"/>
                <w:highlight w:val="none"/>
                <w:lang w:val="en-US" w:eastAsia="zh-CN"/>
              </w:rPr>
              <w:t>3</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43B484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18219A99">
            <w:pPr>
              <w:rPr>
                <w:rFonts w:hint="eastAsia" w:ascii="仿宋_GB2312" w:hAnsi="仿宋_GB2312" w:eastAsia="仿宋_GB2312" w:cs="仿宋_GB2312"/>
                <w:color w:val="000000"/>
                <w:sz w:val="24"/>
                <w:szCs w:val="24"/>
                <w:highlight w:val="none"/>
              </w:rPr>
            </w:pPr>
          </w:p>
        </w:tc>
      </w:tr>
      <w:tr w14:paraId="1EFA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noWrap w:val="0"/>
            <w:vAlign w:val="center"/>
          </w:tcPr>
          <w:p w14:paraId="1FE18D04">
            <w:pPr>
              <w:jc w:val="center"/>
              <w:rPr>
                <w:rFonts w:hint="eastAsia" w:ascii="仿宋_GB2312" w:hAnsi="仿宋_GB2312" w:eastAsia="仿宋_GB2312" w:cs="仿宋_GB2312"/>
                <w:b/>
                <w:color w:val="000000"/>
                <w:sz w:val="24"/>
                <w:szCs w:val="24"/>
                <w:highlight w:val="none"/>
              </w:rPr>
            </w:pPr>
          </w:p>
        </w:tc>
        <w:tc>
          <w:tcPr>
            <w:tcW w:w="694" w:type="dxa"/>
            <w:tcBorders>
              <w:left w:val="single" w:color="auto" w:sz="4" w:space="0"/>
              <w:right w:val="single" w:color="auto" w:sz="4" w:space="0"/>
            </w:tcBorders>
            <w:noWrap w:val="0"/>
            <w:vAlign w:val="center"/>
          </w:tcPr>
          <w:p w14:paraId="2EFACC4D">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4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F87FF">
            <w:pPr>
              <w:pStyle w:val="12"/>
              <w:keepNext w:val="0"/>
              <w:keepLines w:val="0"/>
              <w:pageBreakBefore w:val="0"/>
              <w:kinsoku/>
              <w:wordWrap/>
              <w:overflowPunct/>
              <w:topLinePunct w:val="0"/>
              <w:autoSpaceDE/>
              <w:autoSpaceDN/>
              <w:bidi w:val="0"/>
              <w:adjustRightInd/>
              <w:spacing w:line="300" w:lineRule="exact"/>
              <w:ind w:firstLine="0" w:firstLineChars="0"/>
              <w:jc w:val="lef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Cs w:val="24"/>
                <w:highlight w:val="none"/>
              </w:rPr>
              <w:t>根据投标人为本项目提供的售后服务方案包括服务团队人员配置情况，备品备件储备充足，以上每点，描述完整详细且与采购人实际需求完全契合的得</w:t>
            </w:r>
            <w:r>
              <w:rPr>
                <w:rFonts w:hint="eastAsia" w:ascii="仿宋_GB2312" w:hAnsi="仿宋_GB2312" w:eastAsia="仿宋_GB2312" w:cs="仿宋_GB2312"/>
                <w:color w:val="000000"/>
                <w:szCs w:val="24"/>
                <w:highlight w:val="none"/>
                <w:lang w:val="en-US" w:eastAsia="zh-CN"/>
              </w:rPr>
              <w:t>2</w:t>
            </w:r>
            <w:r>
              <w:rPr>
                <w:rFonts w:hint="eastAsia" w:ascii="仿宋_GB2312" w:hAnsi="仿宋_GB2312" w:eastAsia="仿宋_GB2312" w:cs="仿宋_GB2312"/>
                <w:color w:val="000000"/>
                <w:szCs w:val="24"/>
                <w:highlight w:val="none"/>
              </w:rPr>
              <w:t>分，描述较详细完整或与采购人实际需求部分符合的得</w:t>
            </w:r>
            <w:r>
              <w:rPr>
                <w:rFonts w:hint="eastAsia" w:ascii="仿宋_GB2312" w:hAnsi="仿宋_GB2312" w:eastAsia="仿宋_GB2312" w:cs="仿宋_GB2312"/>
                <w:color w:val="000000"/>
                <w:szCs w:val="24"/>
                <w:highlight w:val="none"/>
                <w:lang w:val="en-US" w:eastAsia="zh-CN"/>
              </w:rPr>
              <w:t>1</w:t>
            </w:r>
            <w:r>
              <w:rPr>
                <w:rFonts w:hint="eastAsia" w:ascii="仿宋_GB2312" w:hAnsi="仿宋_GB2312" w:eastAsia="仿宋_GB2312" w:cs="仿宋_GB2312"/>
                <w:color w:val="000000"/>
                <w:szCs w:val="24"/>
                <w:highlight w:val="none"/>
              </w:rPr>
              <w:t>分，未提供或完全不符合采购人需求的得0分，最多得</w:t>
            </w:r>
            <w:r>
              <w:rPr>
                <w:rFonts w:hint="eastAsia" w:ascii="仿宋_GB2312" w:hAnsi="仿宋_GB2312" w:eastAsia="仿宋_GB2312" w:cs="仿宋_GB2312"/>
                <w:color w:val="000000"/>
                <w:szCs w:val="24"/>
                <w:highlight w:val="none"/>
                <w:lang w:val="en-US" w:eastAsia="zh-CN"/>
              </w:rPr>
              <w:t>4</w:t>
            </w:r>
            <w:r>
              <w:rPr>
                <w:rFonts w:hint="eastAsia" w:ascii="仿宋_GB2312" w:hAnsi="仿宋_GB2312" w:eastAsia="仿宋_GB2312" w:cs="仿宋_GB2312"/>
                <w:color w:val="000000"/>
                <w:szCs w:val="24"/>
                <w:highlight w:val="none"/>
              </w:rPr>
              <w:t>分。</w:t>
            </w:r>
          </w:p>
        </w:tc>
        <w:tc>
          <w:tcPr>
            <w:tcW w:w="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FF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b/>
                <w:color w:val="000000"/>
                <w:spacing w:val="4"/>
                <w:szCs w:val="21"/>
                <w:highlight w:val="none"/>
                <w:lang w:val="en-US" w:eastAsia="zh-CN"/>
              </w:rPr>
              <w:t>4</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57F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421947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02E7B8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rPr>
              <w:t>主观分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6A20811">
            <w:pPr>
              <w:rPr>
                <w:rFonts w:hint="eastAsia" w:ascii="仿宋_GB2312" w:hAnsi="仿宋_GB2312" w:eastAsia="仿宋_GB2312" w:cs="仿宋_GB2312"/>
                <w:color w:val="000000"/>
                <w:sz w:val="24"/>
                <w:szCs w:val="24"/>
                <w:highlight w:val="none"/>
              </w:rPr>
            </w:pPr>
          </w:p>
        </w:tc>
      </w:tr>
      <w:tr w14:paraId="4C5C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5" w:type="dxa"/>
            <w:vMerge w:val="continue"/>
            <w:tcBorders>
              <w:left w:val="single" w:color="auto" w:sz="4" w:space="0"/>
              <w:right w:val="single" w:color="auto" w:sz="4" w:space="0"/>
            </w:tcBorders>
            <w:noWrap w:val="0"/>
            <w:vAlign w:val="center"/>
          </w:tcPr>
          <w:p w14:paraId="18024564">
            <w:pPr>
              <w:jc w:val="center"/>
              <w:rPr>
                <w:rFonts w:hint="eastAsia" w:ascii="仿宋_GB2312" w:hAnsi="仿宋_GB2312" w:eastAsia="仿宋_GB2312" w:cs="仿宋_GB2312"/>
                <w:b/>
                <w:color w:val="000000"/>
                <w:sz w:val="24"/>
                <w:szCs w:val="24"/>
                <w:highlight w:val="none"/>
              </w:rPr>
            </w:pPr>
          </w:p>
        </w:tc>
        <w:tc>
          <w:tcPr>
            <w:tcW w:w="694" w:type="dxa"/>
            <w:tcBorders>
              <w:left w:val="single" w:color="auto" w:sz="4" w:space="0"/>
              <w:right w:val="single" w:color="auto" w:sz="4" w:space="0"/>
            </w:tcBorders>
            <w:noWrap w:val="0"/>
            <w:vAlign w:val="center"/>
          </w:tcPr>
          <w:p w14:paraId="49A20208">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4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B2B4FC">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kern w:val="2"/>
                <w:sz w:val="24"/>
                <w:szCs w:val="24"/>
                <w:highlight w:val="none"/>
                <w:lang w:val="en-US" w:eastAsia="zh-CN" w:bidi="ar-SA"/>
              </w:rPr>
              <w:t>1、投标人具有有效期内质量管理体系认证得1分；</w:t>
            </w:r>
          </w:p>
          <w:p w14:paraId="38C3CAAF">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kern w:val="2"/>
                <w:sz w:val="24"/>
                <w:szCs w:val="24"/>
                <w:highlight w:val="none"/>
                <w:lang w:val="en-US" w:eastAsia="zh-CN" w:bidi="ar-SA"/>
              </w:rPr>
              <w:t>2、投标人具有有效期内信息安全控制管理体系证书得1分；</w:t>
            </w:r>
          </w:p>
          <w:p w14:paraId="6F17BA8F">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kern w:val="2"/>
                <w:sz w:val="24"/>
                <w:szCs w:val="24"/>
                <w:highlight w:val="none"/>
                <w:lang w:val="en-US" w:eastAsia="zh-CN" w:bidi="ar-SA"/>
              </w:rPr>
              <w:t>3、投标人具有有效期内信息技术服务管理体系认证证书得1分；</w:t>
            </w:r>
          </w:p>
          <w:p w14:paraId="6A7A5CE5">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b w:val="0"/>
                <w:color w:val="000000"/>
                <w:kern w:val="2"/>
                <w:sz w:val="24"/>
                <w:szCs w:val="24"/>
                <w:highlight w:val="none"/>
                <w:lang w:val="en-US" w:eastAsia="zh-CN" w:bidi="ar-SA"/>
              </w:rPr>
            </w:pPr>
            <w:r>
              <w:rPr>
                <w:rFonts w:hint="eastAsia" w:ascii="仿宋_GB2312" w:hAnsi="仿宋_GB2312" w:eastAsia="仿宋_GB2312" w:cs="仿宋_GB2312"/>
                <w:b w:val="0"/>
                <w:color w:val="000000"/>
                <w:kern w:val="2"/>
                <w:sz w:val="24"/>
                <w:szCs w:val="24"/>
                <w:highlight w:val="none"/>
                <w:lang w:val="en-US" w:eastAsia="zh-CN" w:bidi="ar-SA"/>
              </w:rPr>
              <w:t>4、投标人具有有效期内环境管理体系认证证书得1分。</w:t>
            </w:r>
          </w:p>
          <w:p w14:paraId="56068678">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w:t>
            </w:r>
          </w:p>
          <w:p w14:paraId="715F44F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1.</w:t>
            </w:r>
            <w:r>
              <w:rPr>
                <w:rFonts w:hint="eastAsia" w:ascii="仿宋_GB2312" w:hAnsi="仿宋_GB2312" w:eastAsia="仿宋_GB2312" w:cs="仿宋_GB2312"/>
                <w:b/>
                <w:sz w:val="24"/>
                <w:szCs w:val="24"/>
                <w:highlight w:val="none"/>
              </w:rPr>
              <w:t>提供有效期内的证书,未按要求提供的，不得分。</w:t>
            </w:r>
          </w:p>
          <w:p w14:paraId="103A2104">
            <w:pPr>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sz w:val="24"/>
                <w:szCs w:val="24"/>
                <w:highlight w:val="none"/>
                <w:lang w:val="en-US" w:eastAsia="zh-CN"/>
              </w:rPr>
              <w:t>2.以上证书认证范围</w:t>
            </w:r>
            <w:r>
              <w:rPr>
                <w:rFonts w:hint="eastAsia" w:ascii="仿宋_GB2312" w:hAnsi="仿宋_GB2312" w:eastAsia="仿宋_GB2312" w:cs="仿宋_GB2312"/>
                <w:b/>
                <w:sz w:val="24"/>
                <w:szCs w:val="24"/>
                <w:highlight w:val="none"/>
                <w:lang w:eastAsia="zh-CN"/>
              </w:rPr>
              <w:t>须</w:t>
            </w:r>
            <w:r>
              <w:rPr>
                <w:rFonts w:hint="eastAsia" w:ascii="仿宋_GB2312" w:hAnsi="仿宋_GB2312" w:eastAsia="仿宋_GB2312" w:cs="仿宋_GB2312"/>
                <w:b/>
                <w:sz w:val="24"/>
                <w:szCs w:val="24"/>
                <w:highlight w:val="none"/>
              </w:rPr>
              <w:t>包括计算机及计算机辅助设备的销售及其服务的相关</w:t>
            </w:r>
            <w:r>
              <w:rPr>
                <w:rFonts w:hint="eastAsia" w:ascii="仿宋_GB2312" w:hAnsi="仿宋_GB2312" w:eastAsia="仿宋_GB2312" w:cs="仿宋_GB2312"/>
                <w:b/>
                <w:sz w:val="24"/>
                <w:szCs w:val="24"/>
                <w:highlight w:val="none"/>
                <w:lang w:eastAsia="zh-CN"/>
              </w:rPr>
              <w:t>，</w:t>
            </w:r>
            <w:r>
              <w:rPr>
                <w:rFonts w:hint="eastAsia" w:ascii="仿宋_GB2312" w:hAnsi="仿宋_GB2312" w:eastAsia="仿宋_GB2312" w:cs="仿宋_GB2312"/>
                <w:b/>
                <w:sz w:val="24"/>
                <w:szCs w:val="24"/>
                <w:highlight w:val="none"/>
              </w:rPr>
              <w:t>否则不得分。</w:t>
            </w:r>
          </w:p>
        </w:tc>
        <w:tc>
          <w:tcPr>
            <w:tcW w:w="6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C2F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4</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025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3386D0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77B866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7D768F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3F88F6AC">
            <w:pPr>
              <w:rPr>
                <w:rFonts w:hint="eastAsia" w:ascii="仿宋_GB2312" w:hAnsi="仿宋_GB2312" w:eastAsia="仿宋_GB2312" w:cs="仿宋_GB2312"/>
                <w:color w:val="000000"/>
                <w:sz w:val="24"/>
                <w:szCs w:val="24"/>
                <w:highlight w:val="none"/>
              </w:rPr>
            </w:pPr>
          </w:p>
        </w:tc>
      </w:tr>
      <w:tr w14:paraId="040F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85" w:type="dxa"/>
            <w:vMerge w:val="continue"/>
            <w:tcBorders>
              <w:left w:val="single" w:color="auto" w:sz="4" w:space="0"/>
              <w:right w:val="single" w:color="auto" w:sz="4" w:space="0"/>
            </w:tcBorders>
            <w:noWrap w:val="0"/>
            <w:vAlign w:val="center"/>
          </w:tcPr>
          <w:p w14:paraId="403FF5EA">
            <w:pPr>
              <w:jc w:val="center"/>
              <w:rPr>
                <w:rFonts w:hint="eastAsia" w:ascii="仿宋_GB2312" w:hAnsi="仿宋_GB2312" w:eastAsia="仿宋_GB2312" w:cs="仿宋_GB2312"/>
                <w:b/>
                <w:color w:val="000000"/>
                <w:sz w:val="24"/>
                <w:szCs w:val="24"/>
                <w:highlight w:val="none"/>
              </w:rPr>
            </w:pPr>
          </w:p>
        </w:tc>
        <w:tc>
          <w:tcPr>
            <w:tcW w:w="694" w:type="dxa"/>
            <w:tcBorders>
              <w:left w:val="single" w:color="auto" w:sz="4" w:space="0"/>
              <w:right w:val="single" w:color="auto" w:sz="4" w:space="0"/>
            </w:tcBorders>
            <w:noWrap w:val="0"/>
            <w:vAlign w:val="center"/>
          </w:tcPr>
          <w:p w14:paraId="3EEDC336">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4596" w:type="dxa"/>
            <w:tcBorders>
              <w:top w:val="single" w:color="auto" w:sz="4" w:space="0"/>
              <w:left w:val="single" w:color="auto" w:sz="4" w:space="0"/>
              <w:right w:val="single" w:color="auto" w:sz="4" w:space="0"/>
            </w:tcBorders>
            <w:shd w:val="clear" w:color="auto" w:fill="auto"/>
            <w:noWrap w:val="0"/>
            <w:vAlign w:val="center"/>
          </w:tcPr>
          <w:p w14:paraId="0C7667DF">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szCs w:val="24"/>
                <w:highlight w:val="none"/>
              </w:rPr>
            </w:pPr>
            <w:r>
              <w:rPr>
                <w:rFonts w:hint="eastAsia" w:ascii="仿宋_GB2312" w:hAnsi="仿宋_GB2312" w:eastAsia="仿宋_GB2312" w:cs="仿宋_GB2312"/>
                <w:szCs w:val="24"/>
                <w:highlight w:val="none"/>
              </w:rPr>
              <w:t>1.所投智慧黑板</w:t>
            </w:r>
            <w:r>
              <w:rPr>
                <w:rFonts w:hint="eastAsia" w:ascii="仿宋_GB2312" w:hAnsi="仿宋_GB2312" w:eastAsia="仿宋_GB2312" w:cs="仿宋_GB2312"/>
                <w:szCs w:val="24"/>
                <w:highlight w:val="none"/>
                <w:lang w:val="en-US" w:eastAsia="zh-CN"/>
              </w:rPr>
              <w:t>1、</w:t>
            </w:r>
            <w:r>
              <w:rPr>
                <w:rFonts w:hint="eastAsia" w:ascii="仿宋_GB2312" w:hAnsi="仿宋_GB2312" w:eastAsia="仿宋_GB2312" w:cs="仿宋_GB2312"/>
                <w:szCs w:val="24"/>
                <w:highlight w:val="none"/>
              </w:rPr>
              <w:t>智慧黑板</w:t>
            </w:r>
            <w:r>
              <w:rPr>
                <w:rFonts w:hint="eastAsia" w:ascii="仿宋_GB2312" w:hAnsi="仿宋_GB2312" w:eastAsia="仿宋_GB2312" w:cs="仿宋_GB2312"/>
                <w:szCs w:val="24"/>
                <w:highlight w:val="none"/>
                <w:lang w:val="en-US" w:eastAsia="zh-CN"/>
              </w:rPr>
              <w:t>2</w:t>
            </w:r>
            <w:r>
              <w:rPr>
                <w:rFonts w:hint="eastAsia" w:ascii="仿宋_GB2312" w:hAnsi="仿宋_GB2312" w:eastAsia="仿宋_GB2312" w:cs="仿宋_GB2312"/>
                <w:szCs w:val="24"/>
                <w:highlight w:val="none"/>
              </w:rPr>
              <w:t>产品具有节能产品认证证书的</w:t>
            </w:r>
            <w:r>
              <w:rPr>
                <w:rFonts w:hint="eastAsia" w:ascii="仿宋_GB2312" w:hAnsi="仿宋_GB2312" w:eastAsia="仿宋_GB2312" w:cs="仿宋_GB2312"/>
                <w:szCs w:val="24"/>
                <w:highlight w:val="none"/>
                <w:lang w:eastAsia="zh-CN"/>
              </w:rPr>
              <w:t>每个得</w:t>
            </w:r>
            <w:r>
              <w:rPr>
                <w:rFonts w:hint="eastAsia" w:ascii="仿宋_GB2312" w:hAnsi="仿宋_GB2312" w:eastAsia="仿宋_GB2312" w:cs="仿宋_GB2312"/>
                <w:szCs w:val="24"/>
                <w:highlight w:val="none"/>
                <w:lang w:val="en-US" w:eastAsia="zh-CN"/>
              </w:rPr>
              <w:t>0.5分，最多</w:t>
            </w:r>
            <w:r>
              <w:rPr>
                <w:rFonts w:hint="eastAsia" w:ascii="仿宋_GB2312" w:hAnsi="仿宋_GB2312" w:eastAsia="仿宋_GB2312" w:cs="仿宋_GB2312"/>
                <w:szCs w:val="24"/>
                <w:highlight w:val="none"/>
              </w:rPr>
              <w:t>得</w:t>
            </w:r>
            <w:r>
              <w:rPr>
                <w:rFonts w:hint="eastAsia" w:ascii="仿宋_GB2312" w:hAnsi="仿宋_GB2312" w:eastAsia="仿宋_GB2312" w:cs="仿宋_GB2312"/>
                <w:szCs w:val="24"/>
                <w:highlight w:val="none"/>
                <w:lang w:val="en-US" w:eastAsia="zh-CN"/>
              </w:rPr>
              <w:t>1</w:t>
            </w:r>
            <w:r>
              <w:rPr>
                <w:rFonts w:hint="eastAsia" w:ascii="仿宋_GB2312" w:hAnsi="仿宋_GB2312" w:eastAsia="仿宋_GB2312" w:cs="仿宋_GB2312"/>
                <w:szCs w:val="24"/>
                <w:highlight w:val="none"/>
              </w:rPr>
              <w:t>分；</w:t>
            </w:r>
          </w:p>
          <w:p w14:paraId="66642779">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szCs w:val="24"/>
                <w:highlight w:val="none"/>
              </w:rPr>
              <w:t>2.所投智慧黑板1、智慧黑板2产品具有环境标志产品认证证书的</w:t>
            </w:r>
            <w:r>
              <w:rPr>
                <w:rFonts w:hint="eastAsia" w:ascii="仿宋_GB2312" w:hAnsi="仿宋_GB2312" w:eastAsia="仿宋_GB2312" w:cs="仿宋_GB2312"/>
                <w:szCs w:val="24"/>
                <w:highlight w:val="none"/>
                <w:lang w:eastAsia="zh-CN"/>
              </w:rPr>
              <w:t>每个得</w:t>
            </w:r>
            <w:r>
              <w:rPr>
                <w:rFonts w:hint="eastAsia" w:ascii="仿宋_GB2312" w:hAnsi="仿宋_GB2312" w:eastAsia="仿宋_GB2312" w:cs="仿宋_GB2312"/>
                <w:szCs w:val="24"/>
                <w:highlight w:val="none"/>
                <w:lang w:val="en-US" w:eastAsia="zh-CN"/>
              </w:rPr>
              <w:t>0.5分，最多</w:t>
            </w:r>
            <w:r>
              <w:rPr>
                <w:rFonts w:hint="eastAsia" w:ascii="仿宋_GB2312" w:hAnsi="仿宋_GB2312" w:eastAsia="仿宋_GB2312" w:cs="仿宋_GB2312"/>
                <w:szCs w:val="24"/>
                <w:highlight w:val="none"/>
              </w:rPr>
              <w:t>得</w:t>
            </w:r>
            <w:r>
              <w:rPr>
                <w:rFonts w:hint="eastAsia" w:ascii="仿宋_GB2312" w:hAnsi="仿宋_GB2312" w:eastAsia="仿宋_GB2312" w:cs="仿宋_GB2312"/>
                <w:szCs w:val="24"/>
                <w:highlight w:val="none"/>
                <w:lang w:val="en-US" w:eastAsia="zh-CN"/>
              </w:rPr>
              <w:t>1</w:t>
            </w:r>
            <w:r>
              <w:rPr>
                <w:rFonts w:hint="eastAsia" w:ascii="仿宋_GB2312" w:hAnsi="仿宋_GB2312" w:eastAsia="仿宋_GB2312" w:cs="仿宋_GB2312"/>
                <w:szCs w:val="24"/>
                <w:highlight w:val="none"/>
              </w:rPr>
              <w:t>分</w:t>
            </w:r>
            <w:r>
              <w:rPr>
                <w:rFonts w:hint="eastAsia" w:ascii="仿宋_GB2312" w:hAnsi="仿宋_GB2312" w:eastAsia="仿宋_GB2312" w:cs="仿宋_GB2312"/>
                <w:szCs w:val="24"/>
                <w:highlight w:val="none"/>
                <w:lang w:eastAsia="zh-CN"/>
              </w:rPr>
              <w:t>。</w:t>
            </w:r>
          </w:p>
          <w:p w14:paraId="2D1BE03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highlight w:val="none"/>
                <w:lang w:val="en-US" w:eastAsia="zh-CN"/>
              </w:rPr>
            </w:pPr>
            <w:r>
              <w:rPr>
                <w:rFonts w:hint="eastAsia" w:ascii="仿宋_GB2312" w:hAnsi="仿宋_GB2312" w:eastAsia="仿宋_GB2312" w:cs="仿宋_GB2312"/>
                <w:b/>
                <w:sz w:val="24"/>
                <w:szCs w:val="24"/>
                <w:highlight w:val="none"/>
                <w:lang w:val="en-US" w:eastAsia="zh-CN"/>
              </w:rPr>
              <w:t>注：须提供国家确定的认证机构出具的、处于有效期之内的认证证书，或者提供查询网址及查询截图。</w:t>
            </w:r>
          </w:p>
        </w:tc>
        <w:tc>
          <w:tcPr>
            <w:tcW w:w="625" w:type="dxa"/>
            <w:tcBorders>
              <w:top w:val="single" w:color="auto" w:sz="4" w:space="0"/>
              <w:left w:val="single" w:color="auto" w:sz="4" w:space="0"/>
              <w:right w:val="single" w:color="auto" w:sz="4" w:space="0"/>
            </w:tcBorders>
            <w:shd w:val="clear" w:color="auto" w:fill="auto"/>
            <w:noWrap w:val="0"/>
            <w:vAlign w:val="center"/>
          </w:tcPr>
          <w:p w14:paraId="59519B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2</w:t>
            </w:r>
          </w:p>
        </w:tc>
        <w:tc>
          <w:tcPr>
            <w:tcW w:w="821" w:type="dxa"/>
            <w:tcBorders>
              <w:top w:val="single" w:color="auto" w:sz="4" w:space="0"/>
              <w:left w:val="single" w:color="auto" w:sz="4" w:space="0"/>
              <w:right w:val="single" w:color="auto" w:sz="4" w:space="0"/>
            </w:tcBorders>
            <w:shd w:val="clear" w:color="auto" w:fill="auto"/>
            <w:noWrap w:val="0"/>
            <w:vAlign w:val="center"/>
          </w:tcPr>
          <w:p w14:paraId="1AE2B7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000000"/>
                <w:spacing w:val="4"/>
                <w:szCs w:val="21"/>
                <w:highlight w:val="none"/>
              </w:rPr>
            </w:pPr>
          </w:p>
          <w:p w14:paraId="6B5F3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noWrap w:val="0"/>
            <w:vAlign w:val="top"/>
          </w:tcPr>
          <w:p w14:paraId="7B2AB5D8">
            <w:pPr>
              <w:rPr>
                <w:rFonts w:hint="eastAsia" w:ascii="仿宋_GB2312" w:hAnsi="仿宋_GB2312" w:eastAsia="仿宋_GB2312" w:cs="仿宋_GB2312"/>
                <w:color w:val="000000"/>
                <w:sz w:val="24"/>
                <w:szCs w:val="24"/>
                <w:highlight w:val="none"/>
              </w:rPr>
            </w:pPr>
          </w:p>
        </w:tc>
      </w:tr>
      <w:tr w14:paraId="3B6A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85" w:type="dxa"/>
            <w:vMerge w:val="continue"/>
            <w:tcBorders>
              <w:left w:val="single" w:color="auto" w:sz="4" w:space="0"/>
              <w:right w:val="single" w:color="auto" w:sz="4" w:space="0"/>
            </w:tcBorders>
            <w:noWrap w:val="0"/>
            <w:vAlign w:val="center"/>
          </w:tcPr>
          <w:p w14:paraId="6A843EF3">
            <w:pPr>
              <w:jc w:val="center"/>
              <w:rPr>
                <w:rFonts w:hint="eastAsia" w:ascii="仿宋_GB2312" w:hAnsi="仿宋_GB2312" w:eastAsia="仿宋_GB2312" w:cs="仿宋_GB2312"/>
                <w:b/>
                <w:color w:val="000000"/>
                <w:sz w:val="24"/>
                <w:szCs w:val="24"/>
                <w:highlight w:val="none"/>
              </w:rPr>
            </w:pPr>
          </w:p>
        </w:tc>
        <w:tc>
          <w:tcPr>
            <w:tcW w:w="694" w:type="dxa"/>
            <w:tcBorders>
              <w:left w:val="single" w:color="auto" w:sz="4" w:space="0"/>
              <w:right w:val="single" w:color="auto" w:sz="4" w:space="0"/>
            </w:tcBorders>
            <w:noWrap w:val="0"/>
            <w:vAlign w:val="center"/>
          </w:tcPr>
          <w:p w14:paraId="045E0E09">
            <w:pPr>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6</w:t>
            </w:r>
          </w:p>
        </w:tc>
        <w:tc>
          <w:tcPr>
            <w:tcW w:w="4596" w:type="dxa"/>
            <w:tcBorders>
              <w:top w:val="single" w:color="auto" w:sz="4" w:space="0"/>
              <w:left w:val="single" w:color="auto" w:sz="4" w:space="0"/>
              <w:right w:val="single" w:color="auto" w:sz="4" w:space="0"/>
            </w:tcBorders>
            <w:shd w:val="clear" w:color="auto" w:fill="auto"/>
            <w:noWrap w:val="0"/>
            <w:vAlign w:val="center"/>
          </w:tcPr>
          <w:p w14:paraId="45F795EE">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szCs w:val="24"/>
                <w:highlight w:val="none"/>
                <w:lang w:val="en-US" w:eastAsia="zh-CN"/>
              </w:rPr>
              <w:t>项目团队（除项目经理外）：</w:t>
            </w:r>
          </w:p>
          <w:p w14:paraId="40F94D6D">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szCs w:val="24"/>
                <w:highlight w:val="none"/>
                <w:lang w:val="en-US" w:eastAsia="zh-CN"/>
              </w:rPr>
            </w:pPr>
            <w:r>
              <w:rPr>
                <w:rFonts w:hint="eastAsia" w:ascii="仿宋_GB2312" w:hAnsi="仿宋_GB2312" w:eastAsia="仿宋_GB2312" w:cs="仿宋_GB2312"/>
                <w:b w:val="0"/>
                <w:bCs/>
                <w:color w:val="000000"/>
                <w:kern w:val="2"/>
                <w:sz w:val="24"/>
                <w:szCs w:val="24"/>
                <w:highlight w:val="none"/>
                <w:lang w:val="en-US" w:eastAsia="zh-CN" w:bidi="ar-SA"/>
              </w:rPr>
              <w:t>投标人拟派的</w:t>
            </w:r>
            <w:r>
              <w:rPr>
                <w:rFonts w:hint="eastAsia" w:ascii="仿宋_GB2312" w:hAnsi="仿宋_GB2312" w:eastAsia="仿宋_GB2312" w:cs="仿宋_GB2312"/>
                <w:szCs w:val="24"/>
                <w:highlight w:val="none"/>
                <w:lang w:val="en-US" w:eastAsia="zh-CN"/>
              </w:rPr>
              <w:t>团队成员具有电子信息类通信工程师，系统集成项目管理工程师、网络工程师、信息系统管理工程师软考中级及以上证书的，每具备1类证书得1分，最高得4分，同类证书不重复计分。</w:t>
            </w:r>
          </w:p>
          <w:p w14:paraId="53B89321">
            <w:pPr>
              <w:pStyle w:val="2"/>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投标人应提供政府部门（或政府部门授权的相关部门）颁发的证书及上述人员在本单位的社保证明（</w:t>
            </w:r>
            <w:r>
              <w:rPr>
                <w:rFonts w:hint="eastAsia" w:ascii="仿宋_GB2312" w:hAnsi="仿宋_GB2312" w:eastAsia="仿宋_GB2312" w:cs="仿宋_GB2312"/>
                <w:color w:val="000000"/>
                <w:sz w:val="24"/>
                <w:szCs w:val="24"/>
                <w:highlight w:val="none"/>
                <w:lang w:val="en-US" w:eastAsia="zh-CN"/>
              </w:rPr>
              <w:t>2025年4月、5月、6月</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7月</w:t>
            </w:r>
            <w:r>
              <w:rPr>
                <w:rFonts w:hint="eastAsia" w:ascii="仿宋_GB2312" w:hAnsi="仿宋_GB2312" w:eastAsia="仿宋_GB2312" w:cs="仿宋_GB2312"/>
                <w:color w:val="000000"/>
                <w:sz w:val="24"/>
                <w:szCs w:val="24"/>
                <w:highlight w:val="none"/>
                <w:lang w:val="zh-TW"/>
              </w:rPr>
              <w:t>中的任意一个月</w:t>
            </w:r>
            <w:r>
              <w:rPr>
                <w:rFonts w:hint="eastAsia" w:ascii="仿宋_GB2312" w:hAnsi="仿宋_GB2312" w:eastAsia="仿宋_GB2312" w:cs="仿宋_GB2312"/>
                <w:color w:val="000000"/>
                <w:sz w:val="24"/>
                <w:szCs w:val="24"/>
                <w:highlight w:val="none"/>
              </w:rPr>
              <w:t>），否则不得分。</w:t>
            </w:r>
          </w:p>
          <w:p w14:paraId="2E128625">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ascii="仿宋_GB2312" w:hAnsi="仿宋_GB2312" w:eastAsia="仿宋_GB2312" w:cs="仿宋_GB2312"/>
                <w:b/>
                <w:color w:val="000000"/>
                <w:kern w:val="2"/>
                <w:sz w:val="24"/>
                <w:szCs w:val="24"/>
                <w:highlight w:val="none"/>
                <w:lang w:val="en-US" w:eastAsia="zh-CN" w:bidi="ar-SA"/>
              </w:rPr>
            </w:pPr>
            <w:r>
              <w:rPr>
                <w:rFonts w:hint="eastAsia" w:ascii="仿宋_GB2312" w:hAnsi="仿宋_GB2312" w:eastAsia="仿宋_GB2312" w:cs="仿宋_GB2312"/>
                <w:b/>
                <w:color w:val="000000"/>
                <w:kern w:val="2"/>
                <w:sz w:val="24"/>
                <w:szCs w:val="24"/>
                <w:highlight w:val="none"/>
                <w:lang w:val="en-US" w:eastAsia="zh-CN" w:bidi="ar-SA"/>
              </w:rPr>
              <w:t>2.投标人提供的同类证书等级高于上述证书的，视作满足要求。</w:t>
            </w:r>
          </w:p>
          <w:p w14:paraId="3D42545B">
            <w:pPr>
              <w:pStyle w:val="12"/>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eastAsia"/>
                <w:highlight w:val="none"/>
                <w:lang w:val="en-US" w:eastAsia="zh-CN"/>
              </w:rPr>
            </w:pPr>
            <w:r>
              <w:rPr>
                <w:rFonts w:hint="eastAsia" w:ascii="仿宋_GB2312" w:hAnsi="仿宋_GB2312" w:eastAsia="仿宋_GB2312" w:cs="仿宋_GB2312"/>
                <w:b/>
                <w:color w:val="000000"/>
                <w:kern w:val="2"/>
                <w:sz w:val="24"/>
                <w:szCs w:val="24"/>
                <w:highlight w:val="none"/>
                <w:lang w:val="en-US" w:eastAsia="zh-CN" w:bidi="ar-SA"/>
              </w:rPr>
              <w:t>3.一人多证或多人一证不重复得分。</w:t>
            </w:r>
          </w:p>
        </w:tc>
        <w:tc>
          <w:tcPr>
            <w:tcW w:w="625" w:type="dxa"/>
            <w:tcBorders>
              <w:top w:val="single" w:color="auto" w:sz="4" w:space="0"/>
              <w:left w:val="single" w:color="auto" w:sz="4" w:space="0"/>
              <w:right w:val="single" w:color="auto" w:sz="4" w:space="0"/>
            </w:tcBorders>
            <w:shd w:val="clear" w:color="auto" w:fill="auto"/>
            <w:noWrap w:val="0"/>
            <w:vAlign w:val="center"/>
          </w:tcPr>
          <w:p w14:paraId="32B1E1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w:t>
            </w:r>
          </w:p>
        </w:tc>
        <w:tc>
          <w:tcPr>
            <w:tcW w:w="821" w:type="dxa"/>
            <w:tcBorders>
              <w:top w:val="single" w:color="auto" w:sz="4" w:space="0"/>
              <w:left w:val="single" w:color="auto" w:sz="4" w:space="0"/>
              <w:right w:val="single" w:color="auto" w:sz="4" w:space="0"/>
            </w:tcBorders>
            <w:shd w:val="clear" w:color="auto" w:fill="auto"/>
            <w:noWrap w:val="0"/>
            <w:vAlign w:val="center"/>
          </w:tcPr>
          <w:p w14:paraId="4DA339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color w:val="000000"/>
                <w:spacing w:val="4"/>
                <w:szCs w:val="21"/>
                <w:highlight w:val="none"/>
              </w:rPr>
            </w:pPr>
          </w:p>
          <w:p w14:paraId="2EC890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noWrap w:val="0"/>
            <w:vAlign w:val="top"/>
          </w:tcPr>
          <w:p w14:paraId="5BF08B57">
            <w:pPr>
              <w:rPr>
                <w:rFonts w:hint="eastAsia" w:ascii="仿宋_GB2312" w:hAnsi="仿宋_GB2312" w:eastAsia="仿宋_GB2312" w:cs="仿宋_GB2312"/>
                <w:color w:val="000000"/>
                <w:sz w:val="24"/>
                <w:szCs w:val="24"/>
                <w:highlight w:val="none"/>
              </w:rPr>
            </w:pPr>
          </w:p>
        </w:tc>
      </w:tr>
      <w:tr w14:paraId="780D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5" w:type="dxa"/>
            <w:vMerge w:val="restart"/>
            <w:tcBorders>
              <w:left w:val="single" w:color="auto" w:sz="4" w:space="0"/>
              <w:right w:val="single" w:color="auto" w:sz="4" w:space="0"/>
            </w:tcBorders>
            <w:noWrap w:val="0"/>
            <w:vAlign w:val="center"/>
          </w:tcPr>
          <w:p w14:paraId="4253DA82">
            <w:pPr>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lang w:eastAsia="zh-CN"/>
              </w:rPr>
              <w:t>技术</w:t>
            </w:r>
            <w:r>
              <w:rPr>
                <w:rFonts w:hint="eastAsia" w:ascii="仿宋_GB2312" w:hAnsi="仿宋_GB2312" w:eastAsia="仿宋_GB2312" w:cs="仿宋_GB2312"/>
                <w:color w:val="000000"/>
                <w:szCs w:val="21"/>
                <w:highlight w:val="none"/>
              </w:rPr>
              <w:t>部分（</w:t>
            </w:r>
            <w:r>
              <w:rPr>
                <w:rFonts w:hint="eastAsia" w:ascii="仿宋_GB2312" w:hAnsi="仿宋_GB2312" w:eastAsia="仿宋_GB2312" w:cs="仿宋_GB2312"/>
                <w:color w:val="000000"/>
                <w:szCs w:val="21"/>
                <w:highlight w:val="none"/>
                <w:lang w:val="en-US" w:eastAsia="zh-CN"/>
              </w:rPr>
              <w:t>50</w:t>
            </w:r>
            <w:r>
              <w:rPr>
                <w:rFonts w:hint="eastAsia" w:ascii="仿宋_GB2312" w:hAnsi="仿宋_GB2312" w:eastAsia="仿宋_GB2312" w:cs="仿宋_GB2312"/>
                <w:color w:val="000000"/>
                <w:szCs w:val="21"/>
                <w:highlight w:val="none"/>
              </w:rPr>
              <w:t>分）</w:t>
            </w:r>
          </w:p>
        </w:tc>
        <w:tc>
          <w:tcPr>
            <w:tcW w:w="694" w:type="dxa"/>
            <w:tcBorders>
              <w:left w:val="single" w:color="auto" w:sz="4" w:space="0"/>
              <w:right w:val="single" w:color="auto" w:sz="4" w:space="0"/>
            </w:tcBorders>
            <w:shd w:val="clear" w:color="auto" w:fill="auto"/>
            <w:noWrap w:val="0"/>
            <w:vAlign w:val="center"/>
          </w:tcPr>
          <w:p w14:paraId="1394E94A">
            <w:pPr>
              <w:jc w:val="center"/>
              <w:rPr>
                <w:rFonts w:hint="default"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7</w:t>
            </w:r>
          </w:p>
        </w:tc>
        <w:tc>
          <w:tcPr>
            <w:tcW w:w="4596" w:type="dxa"/>
            <w:tcBorders>
              <w:top w:val="single" w:color="auto" w:sz="4" w:space="0"/>
              <w:left w:val="single" w:color="auto" w:sz="4" w:space="0"/>
              <w:right w:val="single" w:color="auto" w:sz="4" w:space="0"/>
            </w:tcBorders>
            <w:noWrap w:val="0"/>
            <w:vAlign w:val="center"/>
          </w:tcPr>
          <w:p w14:paraId="03EFA8FF">
            <w:pPr>
              <w:pStyle w:val="12"/>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ascii="仿宋_GB2312" w:hAnsi="仿宋_GB2312" w:eastAsia="仿宋_GB2312" w:cs="仿宋_GB2312"/>
                <w:color w:val="000000"/>
                <w:szCs w:val="24"/>
                <w:highlight w:val="none"/>
              </w:rPr>
            </w:pPr>
            <w:r>
              <w:rPr>
                <w:rFonts w:hint="eastAsia" w:ascii="仿宋_GB2312" w:hAnsi="仿宋_GB2312" w:eastAsia="仿宋_GB2312" w:cs="仿宋_GB2312"/>
                <w:color w:val="000000"/>
                <w:szCs w:val="24"/>
                <w:highlight w:val="none"/>
              </w:rPr>
              <w:t>根据投标人的投标文件是否满足本次招标文件第三部分采购需求中标注“△”的技术参数要求打分，标注“△”的技术要求共</w:t>
            </w:r>
            <w:r>
              <w:rPr>
                <w:rFonts w:hint="eastAsia" w:ascii="仿宋_GB2312" w:hAnsi="仿宋_GB2312" w:eastAsia="仿宋_GB2312" w:cs="仿宋_GB2312"/>
                <w:color w:val="000000"/>
                <w:szCs w:val="24"/>
                <w:highlight w:val="none"/>
                <w:lang w:val="en-US" w:eastAsia="zh-CN"/>
              </w:rPr>
              <w:t>24</w:t>
            </w:r>
            <w:r>
              <w:rPr>
                <w:rFonts w:hint="eastAsia" w:ascii="仿宋_GB2312" w:hAnsi="仿宋_GB2312" w:eastAsia="仿宋_GB2312" w:cs="仿宋_GB2312"/>
                <w:color w:val="000000"/>
                <w:szCs w:val="24"/>
                <w:highlight w:val="none"/>
              </w:rPr>
              <w:t>项</w:t>
            </w:r>
            <w:r>
              <w:rPr>
                <w:rFonts w:hint="eastAsia" w:ascii="仿宋_GB2312" w:hAnsi="仿宋_GB2312" w:eastAsia="仿宋_GB2312" w:cs="仿宋_GB2312"/>
                <w:color w:val="000000"/>
                <w:szCs w:val="24"/>
                <w:highlight w:val="none"/>
                <w:lang w:val="en-US" w:eastAsia="zh-CN"/>
              </w:rPr>
              <w:t>12</w:t>
            </w:r>
            <w:r>
              <w:rPr>
                <w:rFonts w:hint="eastAsia" w:ascii="仿宋_GB2312" w:hAnsi="仿宋_GB2312" w:eastAsia="仿宋_GB2312" w:cs="仿宋_GB2312"/>
                <w:color w:val="000000"/>
                <w:szCs w:val="24"/>
                <w:highlight w:val="none"/>
              </w:rPr>
              <w:t>分，负偏离的每项扣</w:t>
            </w:r>
            <w:r>
              <w:rPr>
                <w:rFonts w:hint="eastAsia" w:ascii="仿宋_GB2312" w:hAnsi="仿宋_GB2312" w:eastAsia="仿宋_GB2312" w:cs="仿宋_GB2312"/>
                <w:color w:val="000000"/>
                <w:szCs w:val="24"/>
                <w:highlight w:val="none"/>
                <w:lang w:val="en-US" w:eastAsia="zh-CN"/>
              </w:rPr>
              <w:t>0.5</w:t>
            </w:r>
            <w:r>
              <w:rPr>
                <w:rFonts w:hint="eastAsia" w:ascii="仿宋_GB2312" w:hAnsi="仿宋_GB2312" w:eastAsia="仿宋_GB2312" w:cs="仿宋_GB2312"/>
                <w:color w:val="000000"/>
                <w:szCs w:val="24"/>
                <w:highlight w:val="none"/>
              </w:rPr>
              <w:t>分，扣光为止。</w:t>
            </w:r>
          </w:p>
          <w:p w14:paraId="553F7EE0">
            <w:pPr>
              <w:pStyle w:val="12"/>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ascii="仿宋_GB2312" w:hAnsi="仿宋_GB2312" w:eastAsia="仿宋_GB2312" w:cs="仿宋_GB2312"/>
                <w:color w:val="000000"/>
                <w:szCs w:val="24"/>
                <w:highlight w:val="none"/>
              </w:rPr>
            </w:pPr>
            <w:r>
              <w:rPr>
                <w:rFonts w:hint="eastAsia" w:ascii="仿宋_GB2312" w:hAnsi="仿宋_GB2312" w:eastAsia="仿宋_GB2312" w:cs="仿宋_GB2312"/>
                <w:b/>
                <w:color w:val="000000"/>
                <w:szCs w:val="24"/>
                <w:highlight w:val="none"/>
              </w:rPr>
              <w:t>注：投标人未按要求提供相关证明的，视作不符合要求，该项不得分。</w:t>
            </w:r>
          </w:p>
        </w:tc>
        <w:tc>
          <w:tcPr>
            <w:tcW w:w="625" w:type="dxa"/>
            <w:tcBorders>
              <w:top w:val="single" w:color="auto" w:sz="4" w:space="0"/>
              <w:left w:val="single" w:color="auto" w:sz="4" w:space="0"/>
              <w:right w:val="single" w:color="auto" w:sz="4" w:space="0"/>
            </w:tcBorders>
            <w:noWrap w:val="0"/>
            <w:vAlign w:val="center"/>
          </w:tcPr>
          <w:p w14:paraId="3EF71A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12</w:t>
            </w:r>
          </w:p>
        </w:tc>
        <w:tc>
          <w:tcPr>
            <w:tcW w:w="821" w:type="dxa"/>
            <w:tcBorders>
              <w:top w:val="single" w:color="auto" w:sz="4" w:space="0"/>
              <w:left w:val="single" w:color="auto" w:sz="4" w:space="0"/>
              <w:right w:val="single" w:color="auto" w:sz="4" w:space="0"/>
            </w:tcBorders>
            <w:noWrap w:val="0"/>
            <w:vAlign w:val="center"/>
          </w:tcPr>
          <w:p w14:paraId="70EFAB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noWrap w:val="0"/>
            <w:vAlign w:val="top"/>
          </w:tcPr>
          <w:p w14:paraId="5F62742D">
            <w:pPr>
              <w:adjustRightInd w:val="0"/>
              <w:snapToGrid w:val="0"/>
              <w:rPr>
                <w:rFonts w:hint="eastAsia" w:ascii="仿宋_GB2312" w:hAnsi="仿宋_GB2312" w:eastAsia="仿宋_GB2312" w:cs="仿宋_GB2312"/>
                <w:color w:val="000000"/>
                <w:sz w:val="24"/>
                <w:szCs w:val="24"/>
                <w:highlight w:val="none"/>
              </w:rPr>
            </w:pPr>
          </w:p>
        </w:tc>
      </w:tr>
      <w:tr w14:paraId="4C31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 w:type="dxa"/>
            <w:vMerge w:val="continue"/>
            <w:tcBorders>
              <w:left w:val="single" w:color="auto" w:sz="4" w:space="0"/>
              <w:right w:val="single" w:color="auto" w:sz="4" w:space="0"/>
            </w:tcBorders>
            <w:noWrap w:val="0"/>
            <w:vAlign w:val="center"/>
          </w:tcPr>
          <w:p w14:paraId="02039958">
            <w:pPr>
              <w:rPr>
                <w:rFonts w:hint="eastAsia" w:ascii="仿宋_GB2312" w:hAnsi="仿宋_GB2312" w:eastAsia="仿宋_GB2312" w:cs="仿宋_GB2312"/>
                <w:color w:val="000000"/>
                <w:szCs w:val="21"/>
                <w:highlight w:val="none"/>
              </w:rPr>
            </w:pPr>
          </w:p>
        </w:tc>
        <w:tc>
          <w:tcPr>
            <w:tcW w:w="694" w:type="dxa"/>
            <w:tcBorders>
              <w:left w:val="single" w:color="auto" w:sz="4" w:space="0"/>
              <w:right w:val="single" w:color="auto" w:sz="4" w:space="0"/>
            </w:tcBorders>
            <w:shd w:val="clear" w:color="auto" w:fill="auto"/>
            <w:noWrap w:val="0"/>
            <w:vAlign w:val="center"/>
          </w:tcPr>
          <w:p w14:paraId="496372DB">
            <w:pPr>
              <w:jc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lang w:val="en-US" w:eastAsia="zh-CN"/>
              </w:rPr>
              <w:t>8</w:t>
            </w:r>
          </w:p>
        </w:tc>
        <w:tc>
          <w:tcPr>
            <w:tcW w:w="4596" w:type="dxa"/>
            <w:tcBorders>
              <w:top w:val="single" w:color="auto" w:sz="4" w:space="0"/>
              <w:left w:val="single" w:color="auto" w:sz="4" w:space="0"/>
              <w:right w:val="single" w:color="auto" w:sz="4" w:space="0"/>
            </w:tcBorders>
            <w:noWrap w:val="0"/>
            <w:vAlign w:val="top"/>
          </w:tcPr>
          <w:p w14:paraId="41777F04">
            <w:pPr>
              <w:pStyle w:val="12"/>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ascii="仿宋_GB2312" w:hAnsi="仿宋_GB2312" w:eastAsia="仿宋_GB2312" w:cs="仿宋_GB2312"/>
                <w:color w:val="000000"/>
                <w:szCs w:val="24"/>
                <w:highlight w:val="none"/>
              </w:rPr>
            </w:pPr>
            <w:r>
              <w:rPr>
                <w:rFonts w:hint="eastAsia" w:ascii="仿宋_GB2312" w:hAnsi="仿宋_GB2312" w:eastAsia="仿宋_GB2312" w:cs="仿宋_GB2312"/>
                <w:color w:val="000000"/>
                <w:szCs w:val="24"/>
                <w:highlight w:val="none"/>
              </w:rPr>
              <w:t>据投标人所投的智慧屏</w:t>
            </w:r>
            <w:r>
              <w:rPr>
                <w:rFonts w:hint="eastAsia" w:ascii="仿宋_GB2312" w:hAnsi="仿宋_GB2312" w:eastAsia="仿宋_GB2312" w:cs="仿宋_GB2312"/>
                <w:color w:val="000000"/>
                <w:szCs w:val="24"/>
                <w:highlight w:val="none"/>
                <w:lang w:eastAsia="zh-CN"/>
              </w:rPr>
              <w:t>、</w:t>
            </w:r>
            <w:r>
              <w:rPr>
                <w:rFonts w:hint="eastAsia" w:ascii="仿宋_GB2312" w:hAnsi="仿宋_GB2312" w:eastAsia="仿宋_GB2312" w:cs="仿宋_GB2312"/>
                <w:color w:val="000000"/>
                <w:szCs w:val="24"/>
                <w:highlight w:val="none"/>
                <w:lang w:val="en-US" w:eastAsia="zh-CN"/>
              </w:rPr>
              <w:t>电子班牌</w:t>
            </w:r>
            <w:r>
              <w:rPr>
                <w:rFonts w:hint="eastAsia" w:ascii="仿宋_GB2312" w:hAnsi="仿宋_GB2312" w:eastAsia="仿宋_GB2312" w:cs="仿宋_GB2312"/>
                <w:color w:val="000000"/>
                <w:szCs w:val="24"/>
                <w:highlight w:val="none"/>
              </w:rPr>
              <w:t>所</w:t>
            </w:r>
            <w:r>
              <w:rPr>
                <w:rFonts w:hint="eastAsia" w:ascii="仿宋_GB2312" w:hAnsi="仿宋_GB2312" w:eastAsia="仿宋_GB2312" w:cs="仿宋_GB2312"/>
                <w:color w:val="000000"/>
                <w:szCs w:val="24"/>
                <w:highlight w:val="none"/>
                <w:lang w:val="en-US" w:eastAsia="zh-CN"/>
              </w:rPr>
              <w:t>涉及的应用系统</w:t>
            </w:r>
            <w:r>
              <w:rPr>
                <w:rFonts w:hint="eastAsia" w:ascii="仿宋_GB2312" w:hAnsi="仿宋_GB2312" w:eastAsia="仿宋_GB2312" w:cs="仿宋_GB2312"/>
                <w:color w:val="000000"/>
                <w:szCs w:val="24"/>
                <w:highlight w:val="none"/>
              </w:rPr>
              <w:t>具有信息系统安全</w:t>
            </w:r>
            <w:r>
              <w:rPr>
                <w:rFonts w:hint="eastAsia" w:ascii="仿宋_GB2312" w:hAnsi="仿宋_GB2312" w:eastAsia="仿宋_GB2312" w:cs="仿宋_GB2312"/>
                <w:color w:val="000000"/>
                <w:szCs w:val="24"/>
                <w:highlight w:val="none"/>
                <w:lang w:val="en-US" w:eastAsia="zh-CN"/>
              </w:rPr>
              <w:t>等级保护备案证明</w:t>
            </w:r>
            <w:r>
              <w:rPr>
                <w:rFonts w:hint="eastAsia" w:ascii="仿宋_GB2312" w:hAnsi="仿宋_GB2312" w:eastAsia="仿宋_GB2312" w:cs="仿宋_GB2312"/>
                <w:color w:val="000000"/>
                <w:szCs w:val="24"/>
                <w:highlight w:val="none"/>
              </w:rPr>
              <w:t>二级及以上认证证书的每提供一个得</w:t>
            </w:r>
            <w:r>
              <w:rPr>
                <w:rFonts w:hint="eastAsia" w:ascii="仿宋_GB2312" w:hAnsi="仿宋_GB2312" w:eastAsia="仿宋_GB2312" w:cs="仿宋_GB2312"/>
                <w:color w:val="000000"/>
                <w:szCs w:val="24"/>
                <w:highlight w:val="none"/>
                <w:lang w:val="en-US" w:eastAsia="zh-CN"/>
              </w:rPr>
              <w:t>2</w:t>
            </w:r>
            <w:r>
              <w:rPr>
                <w:rFonts w:hint="eastAsia" w:ascii="仿宋_GB2312" w:hAnsi="仿宋_GB2312" w:eastAsia="仿宋_GB2312" w:cs="仿宋_GB2312"/>
                <w:color w:val="000000"/>
                <w:szCs w:val="24"/>
                <w:highlight w:val="none"/>
              </w:rPr>
              <w:t xml:space="preserve">分，本项最高得4分。  </w:t>
            </w:r>
          </w:p>
        </w:tc>
        <w:tc>
          <w:tcPr>
            <w:tcW w:w="625" w:type="dxa"/>
            <w:tcBorders>
              <w:top w:val="single" w:color="auto" w:sz="4" w:space="0"/>
              <w:left w:val="single" w:color="auto" w:sz="4" w:space="0"/>
              <w:right w:val="single" w:color="auto" w:sz="4" w:space="0"/>
            </w:tcBorders>
            <w:noWrap w:val="0"/>
            <w:vAlign w:val="center"/>
          </w:tcPr>
          <w:p w14:paraId="74A3F0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color w:val="000000"/>
                <w:spacing w:val="4"/>
                <w:szCs w:val="21"/>
                <w:highlight w:val="none"/>
                <w:lang w:val="en-US" w:eastAsia="zh-CN"/>
              </w:rPr>
            </w:pPr>
            <w:r>
              <w:rPr>
                <w:rFonts w:hint="eastAsia" w:ascii="仿宋_GB2312" w:hAnsi="仿宋_GB2312" w:eastAsia="仿宋_GB2312" w:cs="仿宋_GB2312"/>
                <w:b/>
                <w:color w:val="000000"/>
                <w:spacing w:val="4"/>
                <w:szCs w:val="21"/>
                <w:highlight w:val="none"/>
                <w:lang w:val="en-US" w:eastAsia="zh-CN"/>
              </w:rPr>
              <w:t>4</w:t>
            </w:r>
          </w:p>
        </w:tc>
        <w:tc>
          <w:tcPr>
            <w:tcW w:w="821" w:type="dxa"/>
            <w:tcBorders>
              <w:top w:val="single" w:color="auto" w:sz="4" w:space="0"/>
              <w:left w:val="single" w:color="auto" w:sz="4" w:space="0"/>
              <w:right w:val="single" w:color="auto" w:sz="4" w:space="0"/>
            </w:tcBorders>
            <w:noWrap w:val="0"/>
            <w:vAlign w:val="center"/>
          </w:tcPr>
          <w:p w14:paraId="287770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p>
          <w:p w14:paraId="03DA06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noWrap w:val="0"/>
            <w:vAlign w:val="top"/>
          </w:tcPr>
          <w:p w14:paraId="172C9A22">
            <w:pPr>
              <w:adjustRightInd w:val="0"/>
              <w:snapToGrid w:val="0"/>
              <w:rPr>
                <w:rFonts w:hint="eastAsia" w:ascii="仿宋_GB2312" w:hAnsi="仿宋_GB2312" w:eastAsia="仿宋_GB2312" w:cs="仿宋_GB2312"/>
                <w:color w:val="000000"/>
                <w:sz w:val="24"/>
                <w:szCs w:val="24"/>
                <w:highlight w:val="none"/>
              </w:rPr>
            </w:pPr>
          </w:p>
        </w:tc>
      </w:tr>
      <w:tr w14:paraId="4F0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85" w:type="dxa"/>
            <w:vMerge w:val="continue"/>
            <w:tcBorders>
              <w:left w:val="single" w:color="auto" w:sz="4" w:space="0"/>
              <w:right w:val="single" w:color="auto" w:sz="4" w:space="0"/>
            </w:tcBorders>
            <w:noWrap w:val="0"/>
            <w:vAlign w:val="center"/>
          </w:tcPr>
          <w:p w14:paraId="2D391C27">
            <w:pPr>
              <w:rPr>
                <w:rFonts w:hint="eastAsia" w:ascii="仿宋_GB2312" w:hAnsi="仿宋_GB2312" w:eastAsia="仿宋_GB2312" w:cs="仿宋_GB2312"/>
                <w:color w:val="000000"/>
                <w:szCs w:val="21"/>
                <w:highlight w:val="none"/>
              </w:rPr>
            </w:pPr>
          </w:p>
        </w:tc>
        <w:tc>
          <w:tcPr>
            <w:tcW w:w="694" w:type="dxa"/>
            <w:tcBorders>
              <w:left w:val="single" w:color="auto" w:sz="4" w:space="0"/>
              <w:right w:val="single" w:color="auto" w:sz="4" w:space="0"/>
            </w:tcBorders>
            <w:shd w:val="clear" w:color="auto" w:fill="auto"/>
            <w:noWrap w:val="0"/>
            <w:vAlign w:val="center"/>
          </w:tcPr>
          <w:p w14:paraId="7FDD0CB2">
            <w:pPr>
              <w:widowControl/>
              <w:jc w:val="center"/>
              <w:rPr>
                <w:rFonts w:hint="eastAsia" w:ascii="仿宋_GB2312" w:hAnsi="仿宋_GB2312" w:eastAsia="仿宋_GB2312" w:cs="仿宋_GB2312"/>
                <w:color w:val="000000"/>
                <w:spacing w:val="4"/>
                <w:kern w:val="2"/>
                <w:sz w:val="24"/>
                <w:szCs w:val="24"/>
                <w:highlight w:val="none"/>
                <w:lang w:val="en-US" w:eastAsia="zh-CN" w:bidi="ar-SA"/>
              </w:rPr>
            </w:pPr>
            <w:r>
              <w:rPr>
                <w:rFonts w:hint="eastAsia" w:ascii="仿宋_GB2312" w:hAnsi="仿宋_GB2312" w:eastAsia="仿宋_GB2312" w:cs="仿宋_GB2312"/>
                <w:color w:val="000000"/>
                <w:spacing w:val="4"/>
                <w:sz w:val="24"/>
                <w:szCs w:val="24"/>
                <w:highlight w:val="none"/>
                <w:lang w:val="en-US" w:eastAsia="zh-CN"/>
              </w:rPr>
              <w:t>9</w:t>
            </w:r>
          </w:p>
        </w:tc>
        <w:tc>
          <w:tcPr>
            <w:tcW w:w="4596" w:type="dxa"/>
            <w:tcBorders>
              <w:top w:val="single" w:color="auto" w:sz="4" w:space="0"/>
              <w:left w:val="single" w:color="auto" w:sz="4" w:space="0"/>
              <w:right w:val="single" w:color="auto" w:sz="4" w:space="0"/>
            </w:tcBorders>
            <w:noWrap w:val="0"/>
            <w:vAlign w:val="center"/>
          </w:tcPr>
          <w:p w14:paraId="2ED067B2">
            <w:pPr>
              <w:pStyle w:val="33"/>
              <w:keepNext w:val="0"/>
              <w:keepLines w:val="0"/>
              <w:pageBreakBefore w:val="0"/>
              <w:kinsoku/>
              <w:wordWrap/>
              <w:overflowPunct/>
              <w:topLinePunct w:val="0"/>
              <w:autoSpaceDE/>
              <w:autoSpaceDN/>
              <w:bidi w:val="0"/>
              <w:adjustRightInd/>
              <w:spacing w:line="300" w:lineRule="exact"/>
              <w:ind w:firstLine="0" w:firstLineChars="0"/>
              <w:textAlignment w:val="auto"/>
              <w:rPr>
                <w:rFonts w:hint="eastAsia"/>
                <w:highlight w:val="none"/>
              </w:rPr>
            </w:pPr>
            <w:r>
              <w:rPr>
                <w:rFonts w:hint="eastAsia" w:ascii="仿宋_GB2312" w:hAnsi="仿宋_GB2312" w:eastAsia="仿宋_GB2312" w:cs="仿宋_GB2312"/>
                <w:color w:val="000000"/>
                <w:highlight w:val="none"/>
              </w:rPr>
              <w:t>根据投标人对本项目实施前，通过智慧校园分析，舟山第一小学勾山校区新建校区的教学空间布局、教学功能配置需求等方面的熟悉程度等需求情况熟悉程度进行打分</w:t>
            </w:r>
            <w:r>
              <w:rPr>
                <w:rFonts w:hint="eastAsia" w:ascii="仿宋_GB2312" w:hAnsi="仿宋_GB2312" w:eastAsia="仿宋_GB2312" w:cs="仿宋_GB2312"/>
                <w:color w:val="000000"/>
                <w:highlight w:val="none"/>
                <w:lang w:eastAsia="zh-CN"/>
              </w:rPr>
              <w:t>，包括</w:t>
            </w:r>
            <w:r>
              <w:rPr>
                <w:rFonts w:hint="eastAsia" w:ascii="仿宋_GB2312" w:hAnsi="仿宋_GB2312" w:eastAsia="仿宋_GB2312" w:cs="仿宋_GB2312"/>
                <w:color w:val="000000"/>
                <w:highlight w:val="none"/>
              </w:rPr>
              <w:t>全面掌握勾山校区新建校区现状</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清楚教室的布局与用途</w:t>
            </w:r>
            <w:r>
              <w:rPr>
                <w:rFonts w:hint="eastAsia" w:ascii="仿宋_GB2312" w:hAnsi="仿宋_GB2312" w:eastAsia="仿宋_GB2312" w:cs="仿宋_GB2312"/>
                <w:color w:val="000000"/>
                <w:highlight w:val="none"/>
                <w:lang w:eastAsia="zh-CN"/>
              </w:rPr>
              <w:t>情况，</w:t>
            </w:r>
            <w:r>
              <w:rPr>
                <w:rFonts w:hint="eastAsia" w:ascii="仿宋_GB2312" w:hAnsi="仿宋_GB2312" w:eastAsia="仿宋_GB2312" w:cs="仿宋_GB2312"/>
                <w:color w:val="000000"/>
                <w:highlight w:val="none"/>
              </w:rPr>
              <w:t>熟悉教学需求（如备课、授课、设备管理）</w:t>
            </w:r>
            <w:r>
              <w:rPr>
                <w:rFonts w:hint="eastAsia" w:ascii="仿宋_GB2312" w:hAnsi="仿宋_GB2312" w:eastAsia="仿宋_GB2312" w:cs="仿宋_GB2312"/>
                <w:color w:val="000000"/>
                <w:highlight w:val="none"/>
                <w:lang w:eastAsia="zh-CN"/>
              </w:rPr>
              <w:t>情况</w:t>
            </w:r>
            <w:r>
              <w:rPr>
                <w:rFonts w:hint="eastAsia" w:ascii="仿宋_GB2312" w:hAnsi="仿宋_GB2312" w:eastAsia="仿宋_GB2312" w:cs="仿宋_GB2312"/>
                <w:color w:val="000000"/>
                <w:highlight w:val="none"/>
              </w:rPr>
              <w:t>，能指出实际存在的问题，深入理解智慧教室建设需求，结合互动教学、资源接入等新型教学模式等情况打分，以上每点，描述完整详细且与采购人实际需求完全契合的得1分，描述较详细完整或与采购人实际需求部分符合的得0.5分，未提供或完全不符合采购人需求的得0分，最多得</w:t>
            </w:r>
            <w:r>
              <w:rPr>
                <w:rFonts w:hint="eastAsia" w:ascii="仿宋_GB2312" w:hAnsi="仿宋_GB2312" w:eastAsia="仿宋_GB2312" w:cs="仿宋_GB2312"/>
                <w:color w:val="000000"/>
                <w:highlight w:val="none"/>
                <w:lang w:val="en-US" w:eastAsia="zh-CN"/>
              </w:rPr>
              <w:t>5</w:t>
            </w:r>
            <w:r>
              <w:rPr>
                <w:rFonts w:hint="eastAsia" w:ascii="仿宋_GB2312" w:hAnsi="仿宋_GB2312" w:eastAsia="仿宋_GB2312" w:cs="仿宋_GB2312"/>
                <w:color w:val="000000"/>
                <w:highlight w:val="none"/>
              </w:rPr>
              <w:t>分。</w:t>
            </w:r>
          </w:p>
        </w:tc>
        <w:tc>
          <w:tcPr>
            <w:tcW w:w="625" w:type="dxa"/>
            <w:tcBorders>
              <w:top w:val="single" w:color="auto" w:sz="4" w:space="0"/>
              <w:left w:val="single" w:color="auto" w:sz="4" w:space="0"/>
              <w:right w:val="single" w:color="auto" w:sz="4" w:space="0"/>
            </w:tcBorders>
            <w:noWrap w:val="0"/>
            <w:vAlign w:val="center"/>
          </w:tcPr>
          <w:p w14:paraId="7E17C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821" w:type="dxa"/>
            <w:tcBorders>
              <w:top w:val="single" w:color="auto" w:sz="4" w:space="0"/>
              <w:left w:val="single" w:color="auto" w:sz="4" w:space="0"/>
              <w:right w:val="single" w:color="auto" w:sz="4" w:space="0"/>
            </w:tcBorders>
            <w:noWrap w:val="0"/>
            <w:vAlign w:val="center"/>
          </w:tcPr>
          <w:p w14:paraId="7283B8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07B1CEBE">
            <w:pPr>
              <w:adjustRightInd w:val="0"/>
              <w:snapToGrid w:val="0"/>
              <w:rPr>
                <w:rFonts w:hint="eastAsia" w:ascii="仿宋_GB2312" w:hAnsi="仿宋_GB2312" w:eastAsia="仿宋_GB2312" w:cs="仿宋_GB2312"/>
                <w:color w:val="000000"/>
                <w:sz w:val="24"/>
                <w:szCs w:val="24"/>
                <w:highlight w:val="none"/>
              </w:rPr>
            </w:pPr>
          </w:p>
        </w:tc>
      </w:tr>
      <w:tr w14:paraId="1E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85" w:type="dxa"/>
            <w:vMerge w:val="continue"/>
            <w:tcBorders>
              <w:left w:val="single" w:color="auto" w:sz="4" w:space="0"/>
              <w:right w:val="single" w:color="auto" w:sz="4" w:space="0"/>
            </w:tcBorders>
            <w:noWrap w:val="0"/>
            <w:vAlign w:val="center"/>
          </w:tcPr>
          <w:p w14:paraId="5CDED1AF">
            <w:pPr>
              <w:rPr>
                <w:rFonts w:hint="eastAsia" w:ascii="仿宋_GB2312" w:hAnsi="仿宋_GB2312" w:eastAsia="仿宋_GB2312" w:cs="仿宋_GB2312"/>
                <w:color w:val="000000"/>
                <w:szCs w:val="21"/>
                <w:highlight w:val="none"/>
              </w:rPr>
            </w:pPr>
          </w:p>
        </w:tc>
        <w:tc>
          <w:tcPr>
            <w:tcW w:w="694" w:type="dxa"/>
            <w:tcBorders>
              <w:left w:val="single" w:color="auto" w:sz="4" w:space="0"/>
              <w:right w:val="single" w:color="auto" w:sz="4" w:space="0"/>
            </w:tcBorders>
            <w:shd w:val="clear" w:color="auto" w:fill="auto"/>
            <w:noWrap w:val="0"/>
            <w:vAlign w:val="center"/>
          </w:tcPr>
          <w:p w14:paraId="67CB169C">
            <w:pPr>
              <w:widowControl/>
              <w:jc w:val="center"/>
              <w:rPr>
                <w:rFonts w:hint="eastAsia" w:ascii="仿宋_GB2312" w:hAnsi="仿宋_GB2312" w:eastAsia="仿宋_GB2312" w:cs="仿宋_GB2312"/>
                <w:color w:val="000000"/>
                <w:spacing w:val="4"/>
                <w:kern w:val="2"/>
                <w:sz w:val="24"/>
                <w:szCs w:val="24"/>
                <w:highlight w:val="none"/>
                <w:lang w:val="en-US" w:eastAsia="zh-CN" w:bidi="ar-SA"/>
              </w:rPr>
            </w:pPr>
            <w:r>
              <w:rPr>
                <w:rFonts w:hint="eastAsia" w:ascii="仿宋_GB2312" w:hAnsi="仿宋_GB2312" w:eastAsia="仿宋_GB2312" w:cs="仿宋_GB2312"/>
                <w:color w:val="000000"/>
                <w:spacing w:val="4"/>
                <w:sz w:val="24"/>
                <w:szCs w:val="24"/>
                <w:highlight w:val="none"/>
                <w:lang w:val="en-US" w:eastAsia="zh-CN"/>
              </w:rPr>
              <w:t>10</w:t>
            </w:r>
          </w:p>
        </w:tc>
        <w:tc>
          <w:tcPr>
            <w:tcW w:w="4596" w:type="dxa"/>
            <w:tcBorders>
              <w:top w:val="single" w:color="auto" w:sz="4" w:space="0"/>
              <w:left w:val="single" w:color="auto" w:sz="4" w:space="0"/>
              <w:right w:val="single" w:color="auto" w:sz="4" w:space="0"/>
            </w:tcBorders>
            <w:noWrap w:val="0"/>
            <w:vAlign w:val="center"/>
          </w:tcPr>
          <w:p w14:paraId="00C59A09">
            <w:pPr>
              <w:pStyle w:val="10"/>
              <w:rPr>
                <w:rFonts w:hint="eastAsia"/>
                <w:highlight w:val="none"/>
              </w:rPr>
            </w:pPr>
            <w:r>
              <w:rPr>
                <w:rFonts w:hint="eastAsia" w:ascii="仿宋_GB2312" w:hAnsi="仿宋_GB2312" w:eastAsia="仿宋_GB2312" w:cs="仿宋_GB2312"/>
                <w:color w:val="000000"/>
                <w:spacing w:val="-5"/>
                <w:kern w:val="0"/>
                <w:sz w:val="24"/>
                <w:szCs w:val="20"/>
                <w:highlight w:val="none"/>
                <w:lang w:val="en-US" w:eastAsia="zh-CN" w:bidi="ar-SA"/>
              </w:rPr>
              <w:t>据投标人为本项目提供的整体架构、产品功能设计、业务管理、校级设备管理与集控需求的匹配性等情况打分，包括总体技术架构、项目需求分析，产品功能设计，明显特色或亮点功能，全面契合学校信息化教学和教学管理双重需求情况，提升教师授课效率、学生课堂参与度和管理便捷性方案等情况打分，以上每点，描述完整详细且与采购人实际需求完全契合的得2分，描述较详细完整或与采购人实际需求部分符合的得1分，未提供或完全不符合采购人需求的得0分，最多得5分。</w:t>
            </w:r>
          </w:p>
        </w:tc>
        <w:tc>
          <w:tcPr>
            <w:tcW w:w="625" w:type="dxa"/>
            <w:tcBorders>
              <w:top w:val="single" w:color="auto" w:sz="4" w:space="0"/>
              <w:left w:val="single" w:color="auto" w:sz="4" w:space="0"/>
              <w:right w:val="single" w:color="auto" w:sz="4" w:space="0"/>
            </w:tcBorders>
            <w:noWrap w:val="0"/>
            <w:vAlign w:val="center"/>
          </w:tcPr>
          <w:p w14:paraId="2A093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821" w:type="dxa"/>
            <w:tcBorders>
              <w:top w:val="single" w:color="auto" w:sz="4" w:space="0"/>
              <w:left w:val="single" w:color="auto" w:sz="4" w:space="0"/>
              <w:right w:val="single" w:color="auto" w:sz="4" w:space="0"/>
            </w:tcBorders>
            <w:noWrap w:val="0"/>
            <w:vAlign w:val="center"/>
          </w:tcPr>
          <w:p w14:paraId="73083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主观分</w:t>
            </w:r>
          </w:p>
        </w:tc>
        <w:tc>
          <w:tcPr>
            <w:tcW w:w="1440" w:type="dxa"/>
            <w:tcBorders>
              <w:top w:val="single" w:color="auto" w:sz="4" w:space="0"/>
              <w:left w:val="single" w:color="auto" w:sz="4" w:space="0"/>
              <w:right w:val="single" w:color="auto" w:sz="4" w:space="0"/>
            </w:tcBorders>
            <w:noWrap w:val="0"/>
            <w:vAlign w:val="top"/>
          </w:tcPr>
          <w:p w14:paraId="286DD151">
            <w:pPr>
              <w:adjustRightInd w:val="0"/>
              <w:snapToGrid w:val="0"/>
              <w:rPr>
                <w:rFonts w:hint="eastAsia" w:ascii="仿宋_GB2312" w:hAnsi="仿宋_GB2312" w:eastAsia="仿宋_GB2312" w:cs="仿宋_GB2312"/>
                <w:color w:val="000000"/>
                <w:sz w:val="24"/>
                <w:szCs w:val="24"/>
                <w:highlight w:val="none"/>
              </w:rPr>
            </w:pPr>
          </w:p>
        </w:tc>
      </w:tr>
      <w:tr w14:paraId="51B3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885" w:type="dxa"/>
            <w:vMerge w:val="continue"/>
            <w:tcBorders>
              <w:left w:val="single" w:color="auto" w:sz="4" w:space="0"/>
              <w:right w:val="single" w:color="auto" w:sz="4" w:space="0"/>
            </w:tcBorders>
            <w:noWrap w:val="0"/>
            <w:vAlign w:val="center"/>
          </w:tcPr>
          <w:p w14:paraId="7ED01541">
            <w:pPr>
              <w:rPr>
                <w:rFonts w:hint="eastAsia" w:ascii="仿宋_GB2312" w:hAnsi="仿宋_GB2312" w:eastAsia="仿宋_GB2312" w:cs="仿宋_GB2312"/>
                <w:color w:val="000000"/>
                <w:spacing w:val="4"/>
                <w:szCs w:val="21"/>
                <w:highlight w:val="none"/>
              </w:rPr>
            </w:pPr>
          </w:p>
        </w:tc>
        <w:tc>
          <w:tcPr>
            <w:tcW w:w="694" w:type="dxa"/>
            <w:tcBorders>
              <w:left w:val="single" w:color="auto" w:sz="4" w:space="0"/>
              <w:right w:val="single" w:color="auto" w:sz="4" w:space="0"/>
            </w:tcBorders>
            <w:shd w:val="clear" w:color="auto" w:fill="auto"/>
            <w:noWrap w:val="0"/>
            <w:vAlign w:val="center"/>
          </w:tcPr>
          <w:p w14:paraId="5378B656">
            <w:pPr>
              <w:widowControl/>
              <w:jc w:val="center"/>
              <w:rPr>
                <w:rFonts w:hint="default" w:ascii="仿宋_GB2312" w:hAnsi="仿宋_GB2312" w:eastAsia="仿宋_GB2312" w:cs="仿宋_GB2312"/>
                <w:color w:val="000000"/>
                <w:spacing w:val="4"/>
                <w:kern w:val="2"/>
                <w:sz w:val="24"/>
                <w:szCs w:val="24"/>
                <w:highlight w:val="none"/>
                <w:lang w:val="en-US" w:eastAsia="zh-CN" w:bidi="ar-SA"/>
              </w:rPr>
            </w:pPr>
            <w:r>
              <w:rPr>
                <w:rFonts w:hint="eastAsia" w:ascii="仿宋_GB2312" w:hAnsi="仿宋_GB2312" w:eastAsia="仿宋_GB2312" w:cs="仿宋_GB2312"/>
                <w:color w:val="000000"/>
                <w:spacing w:val="4"/>
                <w:sz w:val="24"/>
                <w:szCs w:val="24"/>
                <w:highlight w:val="none"/>
                <w:lang w:val="en-US" w:eastAsia="zh-CN"/>
              </w:rPr>
              <w:t>11</w:t>
            </w:r>
          </w:p>
        </w:tc>
        <w:tc>
          <w:tcPr>
            <w:tcW w:w="4596" w:type="dxa"/>
            <w:tcBorders>
              <w:top w:val="single" w:color="auto" w:sz="4" w:space="0"/>
              <w:left w:val="single" w:color="auto" w:sz="4" w:space="0"/>
              <w:right w:val="single" w:color="auto" w:sz="4" w:space="0"/>
            </w:tcBorders>
            <w:shd w:val="clear" w:color="auto" w:fill="auto"/>
            <w:noWrap w:val="0"/>
            <w:vAlign w:val="top"/>
          </w:tcPr>
          <w:p w14:paraId="3A2AA8A8">
            <w:pPr>
              <w:pStyle w:val="14"/>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据投标人为本项目提供的施工组织计划打分</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包括</w:t>
            </w:r>
            <w:r>
              <w:rPr>
                <w:rFonts w:hint="eastAsia" w:ascii="仿宋_GB2312" w:hAnsi="仿宋_GB2312" w:eastAsia="仿宋_GB2312" w:cs="仿宋_GB2312"/>
                <w:color w:val="000000"/>
                <w:highlight w:val="none"/>
                <w:lang w:eastAsia="zh-CN"/>
              </w:rPr>
              <w:t>具体内容</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eastAsia="zh-CN"/>
              </w:rPr>
              <w:t>具体措施</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eastAsia="zh-CN"/>
              </w:rPr>
              <w:t>时间安排，提升项目速度的有效方案</w:t>
            </w:r>
            <w:r>
              <w:rPr>
                <w:rFonts w:hint="eastAsia" w:ascii="仿宋_GB2312" w:hAnsi="仿宋_GB2312" w:eastAsia="仿宋_GB2312" w:cs="仿宋_GB2312"/>
                <w:color w:val="000000"/>
                <w:highlight w:val="none"/>
              </w:rPr>
              <w:t>等情况打分，以上每点，描述完整详细且与采购人实际需求完全契合的得1分，描述较详细完整或与采购人实际需求部分符合的得0.5分，未提供或完全不符合采购人需求的得0分，最多得</w:t>
            </w:r>
            <w:r>
              <w:rPr>
                <w:rFonts w:hint="eastAsia" w:ascii="仿宋_GB2312" w:hAnsi="仿宋_GB2312" w:eastAsia="仿宋_GB2312" w:cs="仿宋_GB2312"/>
                <w:color w:val="000000"/>
                <w:highlight w:val="none"/>
                <w:lang w:val="en-US" w:eastAsia="zh-CN"/>
              </w:rPr>
              <w:t>4</w:t>
            </w:r>
            <w:r>
              <w:rPr>
                <w:rFonts w:hint="eastAsia" w:ascii="仿宋_GB2312" w:hAnsi="仿宋_GB2312" w:eastAsia="仿宋_GB2312" w:cs="仿宋_GB2312"/>
                <w:color w:val="000000"/>
                <w:highlight w:val="none"/>
              </w:rPr>
              <w:t>分。</w:t>
            </w:r>
          </w:p>
        </w:tc>
        <w:tc>
          <w:tcPr>
            <w:tcW w:w="625" w:type="dxa"/>
            <w:tcBorders>
              <w:top w:val="single" w:color="auto" w:sz="4" w:space="0"/>
              <w:left w:val="single" w:color="auto" w:sz="4" w:space="0"/>
              <w:right w:val="single" w:color="auto" w:sz="4" w:space="0"/>
            </w:tcBorders>
            <w:shd w:val="clear" w:color="auto" w:fill="auto"/>
            <w:noWrap w:val="0"/>
            <w:vAlign w:val="center"/>
          </w:tcPr>
          <w:p w14:paraId="217F5451">
            <w:pPr>
              <w:keepNext w:val="0"/>
              <w:keepLines w:val="0"/>
              <w:pageBreakBefore w:val="0"/>
              <w:widowControl w:val="0"/>
              <w:kinsoku/>
              <w:wordWrap/>
              <w:overflowPunct/>
              <w:topLinePunct w:val="0"/>
              <w:autoSpaceDE/>
              <w:autoSpaceDN/>
              <w:bidi w:val="0"/>
              <w:adjustRightInd/>
              <w:snapToGrid/>
              <w:spacing w:line="360" w:lineRule="auto"/>
              <w:ind w:firstLine="109" w:firstLineChars="50"/>
              <w:jc w:val="center"/>
              <w:textAlignment w:val="auto"/>
              <w:outlineLvl w:val="0"/>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lang w:val="en-US" w:eastAsia="zh-CN"/>
              </w:rPr>
              <w:t>4</w:t>
            </w:r>
          </w:p>
        </w:tc>
        <w:tc>
          <w:tcPr>
            <w:tcW w:w="821" w:type="dxa"/>
            <w:tcBorders>
              <w:top w:val="single" w:color="auto" w:sz="4" w:space="0"/>
              <w:left w:val="single" w:color="auto" w:sz="4" w:space="0"/>
              <w:right w:val="single" w:color="auto" w:sz="4" w:space="0"/>
            </w:tcBorders>
            <w:shd w:val="clear" w:color="auto" w:fill="auto"/>
            <w:noWrap w:val="0"/>
            <w:vAlign w:val="center"/>
          </w:tcPr>
          <w:p w14:paraId="4EBB23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rPr>
              <w:t>主观分</w:t>
            </w:r>
          </w:p>
        </w:tc>
        <w:tc>
          <w:tcPr>
            <w:tcW w:w="1440" w:type="dxa"/>
            <w:tcBorders>
              <w:top w:val="single" w:color="auto" w:sz="4" w:space="0"/>
              <w:left w:val="single" w:color="auto" w:sz="4" w:space="0"/>
              <w:right w:val="single" w:color="auto" w:sz="4" w:space="0"/>
            </w:tcBorders>
            <w:shd w:val="clear" w:color="auto" w:fill="auto"/>
            <w:noWrap w:val="0"/>
            <w:vAlign w:val="top"/>
          </w:tcPr>
          <w:p w14:paraId="2A1CA1D3">
            <w:pPr>
              <w:adjustRightInd w:val="0"/>
              <w:snapToGrid w:val="0"/>
              <w:rPr>
                <w:rFonts w:hint="eastAsia" w:ascii="仿宋_GB2312" w:hAnsi="仿宋_GB2312" w:eastAsia="仿宋_GB2312" w:cs="仿宋_GB2312"/>
                <w:color w:val="000000"/>
                <w:kern w:val="2"/>
                <w:sz w:val="24"/>
                <w:szCs w:val="24"/>
                <w:highlight w:val="none"/>
                <w:lang w:val="en-US" w:eastAsia="zh-CN" w:bidi="ar-SA"/>
              </w:rPr>
            </w:pPr>
          </w:p>
        </w:tc>
      </w:tr>
      <w:tr w14:paraId="5866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885" w:type="dxa"/>
            <w:vMerge w:val="continue"/>
            <w:tcBorders>
              <w:left w:val="single" w:color="auto" w:sz="4" w:space="0"/>
              <w:right w:val="single" w:color="auto" w:sz="4" w:space="0"/>
            </w:tcBorders>
            <w:noWrap w:val="0"/>
            <w:vAlign w:val="center"/>
          </w:tcPr>
          <w:p w14:paraId="1CF151EC">
            <w:pPr>
              <w:rPr>
                <w:rFonts w:hint="eastAsia" w:ascii="仿宋_GB2312" w:hAnsi="仿宋_GB2312" w:eastAsia="仿宋_GB2312" w:cs="仿宋_GB2312"/>
                <w:color w:val="000000"/>
                <w:spacing w:val="4"/>
                <w:szCs w:val="21"/>
                <w:highlight w:val="none"/>
              </w:rPr>
            </w:pPr>
          </w:p>
        </w:tc>
        <w:tc>
          <w:tcPr>
            <w:tcW w:w="694" w:type="dxa"/>
            <w:tcBorders>
              <w:left w:val="single" w:color="auto" w:sz="4" w:space="0"/>
              <w:right w:val="single" w:color="auto" w:sz="4" w:space="0"/>
            </w:tcBorders>
            <w:shd w:val="clear" w:color="auto" w:fill="auto"/>
            <w:noWrap w:val="0"/>
            <w:vAlign w:val="center"/>
          </w:tcPr>
          <w:p w14:paraId="0767850F">
            <w:pPr>
              <w:widowControl/>
              <w:jc w:val="center"/>
              <w:rPr>
                <w:rFonts w:hint="eastAsia" w:ascii="仿宋_GB2312" w:hAnsi="仿宋_GB2312" w:eastAsia="仿宋_GB2312" w:cs="仿宋_GB2312"/>
                <w:color w:val="000000"/>
                <w:spacing w:val="4"/>
                <w:kern w:val="2"/>
                <w:sz w:val="24"/>
                <w:szCs w:val="24"/>
                <w:highlight w:val="none"/>
                <w:lang w:val="en-US" w:eastAsia="zh-CN" w:bidi="ar-SA"/>
              </w:rPr>
            </w:pPr>
            <w:r>
              <w:rPr>
                <w:rFonts w:hint="eastAsia" w:ascii="仿宋_GB2312" w:hAnsi="仿宋_GB2312" w:eastAsia="仿宋_GB2312" w:cs="仿宋_GB2312"/>
                <w:color w:val="000000"/>
                <w:spacing w:val="4"/>
                <w:sz w:val="24"/>
                <w:szCs w:val="24"/>
                <w:highlight w:val="none"/>
                <w:lang w:val="en-US" w:eastAsia="zh-CN"/>
              </w:rPr>
              <w:t>12</w:t>
            </w:r>
          </w:p>
        </w:tc>
        <w:tc>
          <w:tcPr>
            <w:tcW w:w="4596" w:type="dxa"/>
            <w:tcBorders>
              <w:top w:val="single" w:color="auto" w:sz="4" w:space="0"/>
              <w:left w:val="single" w:color="auto" w:sz="4" w:space="0"/>
              <w:right w:val="single" w:color="auto" w:sz="4" w:space="0"/>
            </w:tcBorders>
            <w:shd w:val="clear" w:color="auto" w:fill="auto"/>
            <w:noWrap w:val="0"/>
            <w:vAlign w:val="top"/>
          </w:tcPr>
          <w:p w14:paraId="437B7862">
            <w:pPr>
              <w:pStyle w:val="14"/>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rPr>
              <w:t>投标人为本项目提供的施工时的安全保障措施进行打分</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包括安全管理制度、</w:t>
            </w:r>
            <w:r>
              <w:rPr>
                <w:rFonts w:hint="eastAsia" w:ascii="仿宋_GB2312" w:hAnsi="仿宋_GB2312" w:eastAsia="仿宋_GB2312" w:cs="仿宋_GB2312"/>
                <w:color w:val="000000"/>
                <w:highlight w:val="none"/>
                <w:lang w:eastAsia="zh-CN"/>
              </w:rPr>
              <w:t>安全措失</w:t>
            </w:r>
            <w:r>
              <w:rPr>
                <w:rFonts w:hint="eastAsia" w:ascii="仿宋_GB2312" w:hAnsi="仿宋_GB2312" w:eastAsia="仿宋_GB2312" w:cs="仿宋_GB2312"/>
                <w:color w:val="000000"/>
                <w:highlight w:val="none"/>
              </w:rPr>
              <w:t>等情况打分，以上每点，描述完整详细且与采购人实际需求完全契合的得1分，描述较详细完整或与采购人实际需求部分符合的得0.5分，未提供或完全不符合采购人需求的得0分，最多得</w:t>
            </w:r>
            <w:r>
              <w:rPr>
                <w:rFonts w:hint="eastAsia" w:ascii="仿宋_GB2312" w:hAnsi="仿宋_GB2312" w:eastAsia="仿宋_GB2312" w:cs="仿宋_GB2312"/>
                <w:color w:val="000000"/>
                <w:highlight w:val="none"/>
                <w:lang w:val="en-US" w:eastAsia="zh-CN"/>
              </w:rPr>
              <w:t>2</w:t>
            </w:r>
            <w:r>
              <w:rPr>
                <w:rFonts w:hint="eastAsia" w:ascii="仿宋_GB2312" w:hAnsi="仿宋_GB2312" w:eastAsia="仿宋_GB2312" w:cs="仿宋_GB2312"/>
                <w:color w:val="000000"/>
                <w:highlight w:val="none"/>
              </w:rPr>
              <w:t>分。</w:t>
            </w:r>
          </w:p>
        </w:tc>
        <w:tc>
          <w:tcPr>
            <w:tcW w:w="625" w:type="dxa"/>
            <w:tcBorders>
              <w:top w:val="single" w:color="auto" w:sz="4" w:space="0"/>
              <w:left w:val="single" w:color="auto" w:sz="4" w:space="0"/>
              <w:right w:val="single" w:color="auto" w:sz="4" w:space="0"/>
            </w:tcBorders>
            <w:shd w:val="clear" w:color="auto" w:fill="auto"/>
            <w:noWrap w:val="0"/>
            <w:vAlign w:val="center"/>
          </w:tcPr>
          <w:p w14:paraId="1A4E25A3">
            <w:pPr>
              <w:keepNext w:val="0"/>
              <w:keepLines w:val="0"/>
              <w:pageBreakBefore w:val="0"/>
              <w:widowControl w:val="0"/>
              <w:kinsoku/>
              <w:wordWrap/>
              <w:overflowPunct/>
              <w:topLinePunct w:val="0"/>
              <w:autoSpaceDE/>
              <w:autoSpaceDN/>
              <w:bidi w:val="0"/>
              <w:adjustRightInd/>
              <w:snapToGrid/>
              <w:spacing w:line="360" w:lineRule="auto"/>
              <w:ind w:firstLine="109" w:firstLineChars="50"/>
              <w:jc w:val="center"/>
              <w:textAlignment w:val="auto"/>
              <w:outlineLvl w:val="0"/>
              <w:rPr>
                <w:rFonts w:hint="eastAsia" w:ascii="仿宋_GB2312" w:hAnsi="仿宋_GB2312" w:eastAsia="仿宋_GB2312" w:cs="仿宋_GB2312"/>
                <w:b/>
                <w:color w:val="000000"/>
                <w:spacing w:val="4"/>
                <w:szCs w:val="21"/>
                <w:highlight w:val="none"/>
                <w:lang w:val="en-US" w:eastAsia="zh-CN"/>
              </w:rPr>
            </w:pPr>
            <w:r>
              <w:rPr>
                <w:rFonts w:hint="eastAsia" w:ascii="仿宋_GB2312" w:hAnsi="仿宋_GB2312" w:eastAsia="仿宋_GB2312" w:cs="仿宋_GB2312"/>
                <w:b/>
                <w:color w:val="000000"/>
                <w:spacing w:val="4"/>
                <w:szCs w:val="21"/>
                <w:highlight w:val="none"/>
                <w:lang w:val="en-US" w:eastAsia="zh-CN"/>
              </w:rPr>
              <w:t>2</w:t>
            </w:r>
          </w:p>
        </w:tc>
        <w:tc>
          <w:tcPr>
            <w:tcW w:w="821" w:type="dxa"/>
            <w:tcBorders>
              <w:top w:val="single" w:color="auto" w:sz="4" w:space="0"/>
              <w:left w:val="single" w:color="auto" w:sz="4" w:space="0"/>
              <w:right w:val="single" w:color="auto" w:sz="4" w:space="0"/>
            </w:tcBorders>
            <w:shd w:val="clear" w:color="auto" w:fill="auto"/>
            <w:noWrap w:val="0"/>
            <w:vAlign w:val="center"/>
          </w:tcPr>
          <w:p w14:paraId="67F9AD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主观分</w:t>
            </w:r>
          </w:p>
        </w:tc>
        <w:tc>
          <w:tcPr>
            <w:tcW w:w="1440" w:type="dxa"/>
            <w:tcBorders>
              <w:top w:val="single" w:color="auto" w:sz="4" w:space="0"/>
              <w:left w:val="single" w:color="auto" w:sz="4" w:space="0"/>
              <w:right w:val="single" w:color="auto" w:sz="4" w:space="0"/>
            </w:tcBorders>
            <w:shd w:val="clear" w:color="auto" w:fill="auto"/>
            <w:noWrap w:val="0"/>
            <w:vAlign w:val="top"/>
          </w:tcPr>
          <w:p w14:paraId="5685A6C6">
            <w:pPr>
              <w:adjustRightInd w:val="0"/>
              <w:snapToGrid w:val="0"/>
              <w:rPr>
                <w:rFonts w:hint="eastAsia" w:ascii="仿宋_GB2312" w:hAnsi="仿宋_GB2312" w:eastAsia="仿宋_GB2312" w:cs="仿宋_GB2312"/>
                <w:color w:val="000000"/>
                <w:kern w:val="2"/>
                <w:sz w:val="24"/>
                <w:szCs w:val="24"/>
                <w:highlight w:val="none"/>
                <w:lang w:val="en-US" w:eastAsia="zh-CN" w:bidi="ar-SA"/>
              </w:rPr>
            </w:pPr>
          </w:p>
        </w:tc>
      </w:tr>
      <w:tr w14:paraId="751D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5" w:type="dxa"/>
            <w:vMerge w:val="continue"/>
            <w:tcBorders>
              <w:left w:val="single" w:color="auto" w:sz="4" w:space="0"/>
              <w:right w:val="single" w:color="auto" w:sz="4" w:space="0"/>
            </w:tcBorders>
            <w:noWrap w:val="0"/>
            <w:vAlign w:val="center"/>
          </w:tcPr>
          <w:p w14:paraId="30FE32A9">
            <w:pPr>
              <w:rPr>
                <w:rFonts w:hint="eastAsia" w:ascii="仿宋_GB2312" w:hAnsi="仿宋_GB2312" w:eastAsia="仿宋_GB2312" w:cs="仿宋_GB2312"/>
                <w:color w:val="000000"/>
                <w:spacing w:val="4"/>
                <w:szCs w:val="21"/>
                <w:highlight w:val="none"/>
              </w:rPr>
            </w:pPr>
          </w:p>
        </w:tc>
        <w:tc>
          <w:tcPr>
            <w:tcW w:w="694" w:type="dxa"/>
            <w:tcBorders>
              <w:left w:val="single" w:color="auto" w:sz="4" w:space="0"/>
              <w:right w:val="single" w:color="auto" w:sz="4" w:space="0"/>
            </w:tcBorders>
            <w:shd w:val="clear" w:color="auto" w:fill="auto"/>
            <w:noWrap w:val="0"/>
            <w:vAlign w:val="center"/>
          </w:tcPr>
          <w:p w14:paraId="13FAB3D7">
            <w:pPr>
              <w:widowControl/>
              <w:jc w:val="center"/>
              <w:rPr>
                <w:rFonts w:hint="default" w:ascii="仿宋_GB2312" w:hAnsi="仿宋_GB2312" w:eastAsia="仿宋_GB2312" w:cs="仿宋_GB2312"/>
                <w:color w:val="000000"/>
                <w:spacing w:val="4"/>
                <w:kern w:val="2"/>
                <w:sz w:val="24"/>
                <w:szCs w:val="24"/>
                <w:highlight w:val="none"/>
                <w:lang w:val="en-US" w:eastAsia="zh-CN" w:bidi="ar-SA"/>
              </w:rPr>
            </w:pPr>
            <w:r>
              <w:rPr>
                <w:rFonts w:hint="eastAsia" w:ascii="仿宋_GB2312" w:hAnsi="仿宋_GB2312" w:eastAsia="仿宋_GB2312" w:cs="仿宋_GB2312"/>
                <w:color w:val="000000"/>
                <w:spacing w:val="4"/>
                <w:sz w:val="24"/>
                <w:szCs w:val="24"/>
                <w:highlight w:val="none"/>
                <w:lang w:val="en-US" w:eastAsia="zh-CN"/>
              </w:rPr>
              <w:t>13</w:t>
            </w:r>
          </w:p>
        </w:tc>
        <w:tc>
          <w:tcPr>
            <w:tcW w:w="4596" w:type="dxa"/>
            <w:tcBorders>
              <w:top w:val="single" w:color="auto" w:sz="4" w:space="0"/>
              <w:left w:val="single" w:color="auto" w:sz="4" w:space="0"/>
              <w:right w:val="single" w:color="auto" w:sz="4" w:space="0"/>
            </w:tcBorders>
            <w:shd w:val="clear" w:color="auto" w:fill="auto"/>
            <w:noWrap w:val="0"/>
            <w:vAlign w:val="top"/>
          </w:tcPr>
          <w:p w14:paraId="74241033">
            <w:pPr>
              <w:widowControl/>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投标人承诺的故障响应时间：</w:t>
            </w:r>
            <w:r>
              <w:rPr>
                <w:rFonts w:hint="eastAsia" w:ascii="仿宋_GB2312" w:hAnsi="仿宋_GB2312" w:eastAsia="仿宋_GB2312" w:cs="仿宋_GB2312"/>
                <w:color w:val="000000"/>
                <w:kern w:val="2"/>
                <w:sz w:val="24"/>
                <w:szCs w:val="24"/>
                <w:highlight w:val="none"/>
                <w:lang w:val="en-US" w:eastAsia="zh-CN" w:bidi="ar-SA"/>
              </w:rPr>
              <w:br w:type="textWrapping"/>
            </w:r>
            <w:r>
              <w:rPr>
                <w:rFonts w:hint="eastAsia" w:ascii="仿宋_GB2312" w:hAnsi="仿宋_GB2312" w:eastAsia="仿宋_GB2312" w:cs="仿宋_GB2312"/>
                <w:color w:val="000000"/>
                <w:kern w:val="2"/>
                <w:sz w:val="24"/>
                <w:szCs w:val="24"/>
                <w:highlight w:val="none"/>
                <w:lang w:val="en-US" w:eastAsia="zh-CN" w:bidi="ar-SA"/>
              </w:rPr>
              <w:t>1.提供电话即时响应机制，且承诺接报后1小时内到达现场处理故障的，得 3 分；</w:t>
            </w:r>
          </w:p>
          <w:p w14:paraId="08E5E68E">
            <w:pPr>
              <w:widowControl/>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2.提供电话即时响应机制，且承诺接报后2小时内到达现场处理故障的，得 2 分；</w:t>
            </w:r>
          </w:p>
          <w:p w14:paraId="3509EA74">
            <w:pPr>
              <w:pStyle w:val="14"/>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hAnsi="仿宋_GB2312" w:cs="仿宋_GB2312"/>
                <w:color w:val="000000"/>
                <w:kern w:val="2"/>
                <w:sz w:val="24"/>
                <w:szCs w:val="24"/>
                <w:highlight w:val="none"/>
                <w:lang w:val="en-US" w:eastAsia="zh-CN" w:bidi="ar-SA"/>
              </w:rPr>
              <w:t>3.</w:t>
            </w:r>
            <w:r>
              <w:rPr>
                <w:rFonts w:hint="eastAsia" w:ascii="仿宋_GB2312" w:hAnsi="仿宋_GB2312" w:eastAsia="仿宋_GB2312" w:cs="仿宋_GB2312"/>
                <w:color w:val="000000"/>
                <w:kern w:val="2"/>
                <w:sz w:val="24"/>
                <w:szCs w:val="24"/>
                <w:highlight w:val="none"/>
                <w:lang w:val="en-US" w:eastAsia="zh-CN" w:bidi="ar-SA"/>
              </w:rPr>
              <w:t>电话响应不及时或到达现场处理故障超过2小时</w:t>
            </w:r>
            <w:r>
              <w:rPr>
                <w:rFonts w:hint="eastAsia" w:hAnsi="仿宋_GB2312" w:cs="仿宋_GB2312"/>
                <w:color w:val="000000"/>
                <w:kern w:val="2"/>
                <w:sz w:val="24"/>
                <w:szCs w:val="24"/>
                <w:highlight w:val="none"/>
                <w:lang w:val="en-US" w:eastAsia="zh-CN" w:bidi="ar-SA"/>
              </w:rPr>
              <w:t>（不含）</w:t>
            </w:r>
            <w:r>
              <w:rPr>
                <w:rFonts w:hint="eastAsia" w:ascii="仿宋_GB2312" w:hAnsi="仿宋_GB2312" w:eastAsia="仿宋_GB2312" w:cs="仿宋_GB2312"/>
                <w:color w:val="000000"/>
                <w:kern w:val="2"/>
                <w:sz w:val="24"/>
                <w:szCs w:val="24"/>
                <w:highlight w:val="none"/>
                <w:lang w:val="en-US" w:eastAsia="zh-CN" w:bidi="ar-SA"/>
              </w:rPr>
              <w:t>的，得 1 分。</w:t>
            </w:r>
          </w:p>
          <w:p w14:paraId="79C33053">
            <w:pPr>
              <w:pStyle w:val="14"/>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themeColor="text1"/>
                <w:spacing w:val="0"/>
                <w:kern w:val="0"/>
                <w:sz w:val="24"/>
                <w:szCs w:val="24"/>
                <w:highlight w:val="none"/>
                <w14:textFill>
                  <w14:solidFill>
                    <w14:schemeClr w14:val="tx1"/>
                  </w14:solidFill>
                </w14:textFill>
              </w:rPr>
              <w:t>投标人提供承诺函，格式自拟，未提供的不得分。</w:t>
            </w:r>
          </w:p>
        </w:tc>
        <w:tc>
          <w:tcPr>
            <w:tcW w:w="625" w:type="dxa"/>
            <w:tcBorders>
              <w:top w:val="single" w:color="auto" w:sz="4" w:space="0"/>
              <w:left w:val="single" w:color="auto" w:sz="4" w:space="0"/>
              <w:right w:val="single" w:color="auto" w:sz="4" w:space="0"/>
            </w:tcBorders>
            <w:shd w:val="clear" w:color="auto" w:fill="auto"/>
            <w:noWrap w:val="0"/>
            <w:vAlign w:val="center"/>
          </w:tcPr>
          <w:p w14:paraId="217CB5D1">
            <w:pPr>
              <w:keepNext w:val="0"/>
              <w:keepLines w:val="0"/>
              <w:pageBreakBefore w:val="0"/>
              <w:widowControl w:val="0"/>
              <w:kinsoku/>
              <w:wordWrap/>
              <w:overflowPunct/>
              <w:topLinePunct w:val="0"/>
              <w:autoSpaceDE/>
              <w:autoSpaceDN/>
              <w:bidi w:val="0"/>
              <w:adjustRightInd/>
              <w:snapToGrid/>
              <w:spacing w:line="360" w:lineRule="auto"/>
              <w:ind w:firstLine="109" w:firstLineChars="50"/>
              <w:jc w:val="center"/>
              <w:textAlignment w:val="auto"/>
              <w:outlineLvl w:val="0"/>
              <w:rPr>
                <w:rFonts w:hint="eastAsia" w:ascii="仿宋_GB2312" w:hAnsi="仿宋_GB2312" w:eastAsia="仿宋_GB2312" w:cs="仿宋_GB2312"/>
                <w:b/>
                <w:color w:val="000000"/>
                <w:spacing w:val="4"/>
                <w:szCs w:val="21"/>
                <w:highlight w:val="none"/>
                <w:lang w:val="en-US" w:eastAsia="zh-CN"/>
              </w:rPr>
            </w:pPr>
            <w:r>
              <w:rPr>
                <w:rFonts w:hint="eastAsia" w:ascii="仿宋_GB2312" w:hAnsi="仿宋_GB2312" w:eastAsia="仿宋_GB2312" w:cs="仿宋_GB2312"/>
                <w:b/>
                <w:color w:val="000000"/>
                <w:spacing w:val="4"/>
                <w:kern w:val="2"/>
                <w:sz w:val="21"/>
                <w:szCs w:val="21"/>
                <w:highlight w:val="none"/>
                <w:lang w:val="en-US" w:eastAsia="zh-CN" w:bidi="ar-SA"/>
              </w:rPr>
              <w:t>3</w:t>
            </w:r>
          </w:p>
        </w:tc>
        <w:tc>
          <w:tcPr>
            <w:tcW w:w="821" w:type="dxa"/>
            <w:tcBorders>
              <w:top w:val="single" w:color="auto" w:sz="4" w:space="0"/>
              <w:left w:val="single" w:color="auto" w:sz="4" w:space="0"/>
              <w:right w:val="single" w:color="auto" w:sz="4" w:space="0"/>
            </w:tcBorders>
            <w:shd w:val="clear" w:color="auto" w:fill="auto"/>
            <w:noWrap w:val="0"/>
            <w:vAlign w:val="center"/>
          </w:tcPr>
          <w:p w14:paraId="12FC3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szCs w:val="21"/>
                <w:highlight w:val="none"/>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shd w:val="clear" w:color="auto" w:fill="auto"/>
            <w:noWrap w:val="0"/>
            <w:vAlign w:val="top"/>
          </w:tcPr>
          <w:p w14:paraId="2ED8F97E">
            <w:pPr>
              <w:adjustRightInd w:val="0"/>
              <w:snapToGrid w:val="0"/>
              <w:rPr>
                <w:rFonts w:hint="eastAsia" w:ascii="仿宋_GB2312" w:hAnsi="仿宋_GB2312" w:eastAsia="仿宋_GB2312" w:cs="仿宋_GB2312"/>
                <w:color w:val="000000"/>
                <w:kern w:val="2"/>
                <w:sz w:val="24"/>
                <w:szCs w:val="24"/>
                <w:highlight w:val="none"/>
                <w:lang w:val="en-US" w:eastAsia="zh-CN" w:bidi="ar-SA"/>
              </w:rPr>
            </w:pPr>
          </w:p>
        </w:tc>
      </w:tr>
      <w:tr w14:paraId="1DE7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5" w:type="dxa"/>
            <w:vMerge w:val="continue"/>
            <w:tcBorders>
              <w:left w:val="single" w:color="auto" w:sz="4" w:space="0"/>
              <w:right w:val="single" w:color="auto" w:sz="4" w:space="0"/>
            </w:tcBorders>
            <w:noWrap w:val="0"/>
            <w:vAlign w:val="center"/>
          </w:tcPr>
          <w:p w14:paraId="5E968E86">
            <w:pPr>
              <w:rPr>
                <w:rFonts w:hint="eastAsia" w:ascii="仿宋_GB2312" w:hAnsi="仿宋_GB2312" w:eastAsia="仿宋_GB2312" w:cs="仿宋_GB2312"/>
                <w:color w:val="000000"/>
                <w:spacing w:val="4"/>
                <w:szCs w:val="21"/>
                <w:highlight w:val="none"/>
              </w:rPr>
            </w:pPr>
          </w:p>
        </w:tc>
        <w:tc>
          <w:tcPr>
            <w:tcW w:w="694" w:type="dxa"/>
            <w:tcBorders>
              <w:left w:val="single" w:color="auto" w:sz="4" w:space="0"/>
              <w:right w:val="single" w:color="auto" w:sz="4" w:space="0"/>
            </w:tcBorders>
            <w:noWrap w:val="0"/>
            <w:vAlign w:val="center"/>
          </w:tcPr>
          <w:p w14:paraId="43111310">
            <w:pPr>
              <w:widowControl/>
              <w:jc w:val="center"/>
              <w:rPr>
                <w:rFonts w:hint="default" w:ascii="仿宋_GB2312" w:hAnsi="仿宋_GB2312" w:eastAsia="仿宋_GB2312" w:cs="仿宋_GB2312"/>
                <w:color w:val="000000"/>
                <w:spacing w:val="4"/>
                <w:sz w:val="24"/>
                <w:szCs w:val="24"/>
                <w:highlight w:val="none"/>
                <w:lang w:val="en-US" w:eastAsia="zh-CN"/>
              </w:rPr>
            </w:pPr>
            <w:r>
              <w:rPr>
                <w:rFonts w:hint="eastAsia" w:ascii="仿宋_GB2312" w:hAnsi="仿宋_GB2312" w:eastAsia="仿宋_GB2312" w:cs="仿宋_GB2312"/>
                <w:color w:val="000000"/>
                <w:spacing w:val="4"/>
                <w:sz w:val="24"/>
                <w:szCs w:val="24"/>
                <w:highlight w:val="none"/>
                <w:lang w:val="en-US" w:eastAsia="zh-CN"/>
              </w:rPr>
              <w:t>14</w:t>
            </w:r>
          </w:p>
        </w:tc>
        <w:tc>
          <w:tcPr>
            <w:tcW w:w="4596" w:type="dxa"/>
            <w:tcBorders>
              <w:top w:val="single" w:color="auto" w:sz="4" w:space="0"/>
              <w:left w:val="single" w:color="auto" w:sz="4" w:space="0"/>
              <w:right w:val="single" w:color="auto" w:sz="4" w:space="0"/>
            </w:tcBorders>
            <w:shd w:val="clear" w:color="auto" w:fill="auto"/>
            <w:noWrap w:val="0"/>
            <w:vAlign w:val="top"/>
          </w:tcPr>
          <w:p w14:paraId="71574416">
            <w:pPr>
              <w:pStyle w:val="70"/>
              <w:keepNext w:val="0"/>
              <w:keepLines w:val="0"/>
              <w:pageBreakBefore w:val="0"/>
              <w:kinsoku/>
              <w:wordWrap/>
              <w:overflowPunct/>
              <w:topLinePunct w:val="0"/>
              <w:autoSpaceDE/>
              <w:autoSpaceDN/>
              <w:bidi w:val="0"/>
              <w:adjustRightInd/>
              <w:spacing w:line="300" w:lineRule="exact"/>
              <w:ind w:left="0" w:leftChars="0" w:firstLine="0" w:firstLineChars="0"/>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智慧黑板功能演示，由评审委员会根据投标单位提供的演示视频进行打分：（演示视频要求一镜到底，视频时长限15分钟以内）</w:t>
            </w:r>
          </w:p>
          <w:p w14:paraId="3CC5111F">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教育需求功能视频演示：</w:t>
            </w:r>
          </w:p>
          <w:p w14:paraId="12C2BA72">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1、教学视频快速录制：无外接设备情况下演示通过一体机前置物理按键，一键启动声音采集和屏幕录制，并在录制1分钟后，快速对录制内容播放。</w:t>
            </w:r>
          </w:p>
          <w:p w14:paraId="43BD8C48">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2、集体备课：支持在备课平台创建集体备课活动，支持校内和跨校集备，老师可以针对课件、教案进行批注和研讨，主备人可多次修改稿件后上传，具备稿件版本对比功能，支持数据统计和访问记录查看，支持一键导出为文字版报告。</w:t>
            </w:r>
          </w:p>
          <w:p w14:paraId="7C2B47C1">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3、移动授课：演示公网下通过超声快速搜索周边多媒体设备并完成配对，配对后可将手机内教学图片、视频素材以及微信聊天记录中的文件、图片视频等资源传输到多媒体，还能实现手机投屏、课件远程控制等操作，方便老师的教学工作。</w:t>
            </w:r>
          </w:p>
          <w:p w14:paraId="723A3F36">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4、人脸识别账号登录：演示人脸识别登陆，登陆后自动获取个人云端教学课件列表，并可查看个人教学日程、进入校本资源库。</w:t>
            </w:r>
          </w:p>
          <w:p w14:paraId="4BAA3176">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5、锁屏功能：演示对整机下课一键锁定功能，避免学生对设备的误操作，支持老师激活码解锁、微信扫码解锁，适用于各类教学环境。</w:t>
            </w:r>
          </w:p>
          <w:p w14:paraId="3D4459B0">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6、云教案功能：演示老师调用预置教案模板，管理员可设置校本模板，保障全校统一性；云教案支持一对多关联课件，可插入课件页及音视频辅助展示，课件页和教案页均支持在同一面板打开，便于教师备课时相互对照。</w:t>
            </w:r>
          </w:p>
          <w:p w14:paraId="4F4BCD8E">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7、学情分析：演示在教学白板软件内现场新建微课，老师录制微课时可书写、擦除、调用学科工具与资源，并设置答题板功能，现场演示学生边看微课边答题；支持立即导出学情分析表，包括课程信息、学生基本信息等。</w:t>
            </w:r>
          </w:p>
          <w:p w14:paraId="3DF13833">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8、智能备课：演示在备课环境下，老师可搜索课件资源，并将整份课件按照教学环节筛选对应的课件页直接插入备课页面中，演示老师根据资源类型的不同来补充课件缺失的部分。</w:t>
            </w:r>
          </w:p>
          <w:p w14:paraId="45356D1A">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9、光能黑板上下翻页可以实现板书翻页，也可以实现播放PPT的翻页功能；白红黄三色笔可以实现板书同步颜色设定，也可以实现PPT批注笔颜色设定。</w:t>
            </w:r>
          </w:p>
          <w:p w14:paraId="656CA613">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10、光能黑板的录屏功能，不限于电脑桌面和老师授课声音的录制，还可以录制(大屏)摄像头画面，所保存的视频能本地存储，并生成可分享的二维码。</w:t>
            </w:r>
          </w:p>
          <w:p w14:paraId="1879B35F">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一个功能演示成功得1.5分，演示不成功或未演示的不得分。</w:t>
            </w:r>
          </w:p>
          <w:p w14:paraId="0BC13181">
            <w:pPr>
              <w:pStyle w:val="76"/>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kern w:val="2"/>
                <w:sz w:val="24"/>
                <w:szCs w:val="22"/>
                <w:highlight w:val="none"/>
                <w:lang w:val="en-US" w:eastAsia="zh-CN" w:bidi="ar-SA"/>
              </w:rPr>
            </w:pPr>
            <w:r>
              <w:rPr>
                <w:rFonts w:hint="eastAsia" w:ascii="仿宋_GB2312" w:hAnsi="仿宋" w:eastAsia="仿宋_GB2312" w:cstheme="minorBidi"/>
                <w:kern w:val="0"/>
                <w:sz w:val="24"/>
                <w:szCs w:val="22"/>
                <w:highlight w:val="none"/>
              </w:rPr>
              <w:t>（演示形式为视频播放或直接演示。演示时间不超过</w:t>
            </w:r>
            <w:r>
              <w:rPr>
                <w:rFonts w:hint="eastAsia" w:ascii="仿宋_GB2312" w:hAnsi="仿宋" w:eastAsia="仿宋_GB2312" w:cstheme="minorBidi"/>
                <w:kern w:val="0"/>
                <w:sz w:val="24"/>
                <w:szCs w:val="22"/>
                <w:highlight w:val="none"/>
                <w:lang w:val="en-US" w:eastAsia="zh-CN"/>
              </w:rPr>
              <w:t>15</w:t>
            </w:r>
            <w:r>
              <w:rPr>
                <w:rFonts w:ascii="仿宋_GB2312" w:hAnsi="仿宋" w:eastAsia="仿宋_GB2312" w:cstheme="minorBidi"/>
                <w:kern w:val="0"/>
                <w:sz w:val="24"/>
                <w:szCs w:val="22"/>
                <w:highlight w:val="none"/>
              </w:rPr>
              <w:t>分钟，不包含专家提问时间</w:t>
            </w:r>
            <w:r>
              <w:rPr>
                <w:rFonts w:hint="eastAsia" w:ascii="仿宋_GB2312" w:hAnsi="仿宋" w:eastAsia="仿宋_GB2312" w:cstheme="minorBidi"/>
                <w:kern w:val="0"/>
                <w:sz w:val="24"/>
                <w:szCs w:val="22"/>
                <w:highlight w:val="none"/>
              </w:rPr>
              <w:t>。）</w:t>
            </w:r>
          </w:p>
        </w:tc>
        <w:tc>
          <w:tcPr>
            <w:tcW w:w="625" w:type="dxa"/>
            <w:tcBorders>
              <w:top w:val="single" w:color="auto" w:sz="4" w:space="0"/>
              <w:left w:val="single" w:color="auto" w:sz="4" w:space="0"/>
              <w:right w:val="single" w:color="auto" w:sz="4" w:space="0"/>
            </w:tcBorders>
            <w:shd w:val="clear" w:color="auto" w:fill="auto"/>
            <w:noWrap w:val="0"/>
            <w:vAlign w:val="center"/>
          </w:tcPr>
          <w:p w14:paraId="7B0DE694">
            <w:pPr>
              <w:keepNext w:val="0"/>
              <w:keepLines w:val="0"/>
              <w:pageBreakBefore w:val="0"/>
              <w:widowControl w:val="0"/>
              <w:kinsoku/>
              <w:wordWrap/>
              <w:overflowPunct/>
              <w:topLinePunct w:val="0"/>
              <w:autoSpaceDE/>
              <w:autoSpaceDN/>
              <w:bidi w:val="0"/>
              <w:adjustRightInd/>
              <w:snapToGrid/>
              <w:spacing w:line="360" w:lineRule="auto"/>
              <w:ind w:firstLine="109" w:firstLineChars="50"/>
              <w:jc w:val="center"/>
              <w:textAlignment w:val="auto"/>
              <w:outlineLvl w:val="0"/>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lang w:val="en-US" w:eastAsia="zh-CN"/>
              </w:rPr>
              <w:t>15</w:t>
            </w:r>
          </w:p>
        </w:tc>
        <w:tc>
          <w:tcPr>
            <w:tcW w:w="821" w:type="dxa"/>
            <w:tcBorders>
              <w:top w:val="single" w:color="auto" w:sz="4" w:space="0"/>
              <w:left w:val="single" w:color="auto" w:sz="4" w:space="0"/>
              <w:right w:val="single" w:color="auto" w:sz="4" w:space="0"/>
            </w:tcBorders>
            <w:shd w:val="clear" w:color="auto" w:fill="auto"/>
            <w:noWrap w:val="0"/>
            <w:vAlign w:val="center"/>
          </w:tcPr>
          <w:p w14:paraId="6AE5B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pacing w:val="4"/>
                <w:kern w:val="2"/>
                <w:sz w:val="21"/>
                <w:szCs w:val="21"/>
                <w:highlight w:val="none"/>
                <w:lang w:val="en-US" w:eastAsia="zh-CN" w:bidi="ar-SA"/>
              </w:rPr>
            </w:pPr>
            <w:r>
              <w:rPr>
                <w:rFonts w:hint="eastAsia" w:ascii="仿宋_GB2312" w:hAnsi="仿宋_GB2312" w:eastAsia="仿宋_GB2312" w:cs="仿宋_GB2312"/>
                <w:b/>
                <w:color w:val="000000"/>
                <w:spacing w:val="4"/>
                <w:szCs w:val="21"/>
                <w:highlight w:val="none"/>
              </w:rPr>
              <w:t>客观分</w:t>
            </w:r>
          </w:p>
        </w:tc>
        <w:tc>
          <w:tcPr>
            <w:tcW w:w="1440" w:type="dxa"/>
            <w:tcBorders>
              <w:top w:val="single" w:color="auto" w:sz="4" w:space="0"/>
              <w:left w:val="single" w:color="auto" w:sz="4" w:space="0"/>
              <w:right w:val="single" w:color="auto" w:sz="4" w:space="0"/>
            </w:tcBorders>
            <w:shd w:val="clear" w:color="auto" w:fill="auto"/>
            <w:noWrap w:val="0"/>
            <w:vAlign w:val="top"/>
          </w:tcPr>
          <w:p w14:paraId="3C0B5998">
            <w:pPr>
              <w:adjustRightInd w:val="0"/>
              <w:snapToGrid w:val="0"/>
              <w:rPr>
                <w:rFonts w:hint="eastAsia" w:ascii="仿宋_GB2312" w:hAnsi="仿宋_GB2312" w:eastAsia="仿宋_GB2312" w:cs="仿宋_GB2312"/>
                <w:color w:val="000000"/>
                <w:kern w:val="2"/>
                <w:sz w:val="24"/>
                <w:szCs w:val="24"/>
                <w:highlight w:val="none"/>
                <w:lang w:val="en-US" w:eastAsia="zh-CN" w:bidi="ar-SA"/>
              </w:rPr>
            </w:pPr>
          </w:p>
        </w:tc>
      </w:tr>
      <w:tr w14:paraId="18D7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5" w:type="dxa"/>
            <w:tcBorders>
              <w:left w:val="single" w:color="auto" w:sz="4" w:space="0"/>
              <w:right w:val="single" w:color="auto" w:sz="4" w:space="0"/>
            </w:tcBorders>
            <w:noWrap w:val="0"/>
            <w:vAlign w:val="center"/>
          </w:tcPr>
          <w:p w14:paraId="76504B18">
            <w:pPr>
              <w:topLinePunct/>
              <w:spacing w:line="360" w:lineRule="auto"/>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报价</w:t>
            </w:r>
          </w:p>
          <w:p w14:paraId="32074859">
            <w:pPr>
              <w:ind w:firstLine="120" w:firstLineChars="50"/>
              <w:rPr>
                <w:rFonts w:hint="eastAsia" w:ascii="仿宋_GB2312" w:hAnsi="仿宋_GB2312" w:eastAsia="仿宋_GB2312" w:cs="仿宋_GB2312"/>
                <w:color w:val="000000"/>
                <w:spacing w:val="4"/>
                <w:szCs w:val="21"/>
                <w:highlight w:val="none"/>
              </w:rPr>
            </w:pPr>
            <w:r>
              <w:rPr>
                <w:rFonts w:hint="eastAsia" w:ascii="仿宋_GB2312" w:hAnsi="仿宋_GB2312" w:eastAsia="仿宋_GB2312" w:cs="仿宋_GB2312"/>
                <w:color w:val="000000"/>
                <w:sz w:val="24"/>
                <w:szCs w:val="24"/>
                <w:highlight w:val="none"/>
              </w:rPr>
              <w:t>（30分）</w:t>
            </w:r>
          </w:p>
        </w:tc>
        <w:tc>
          <w:tcPr>
            <w:tcW w:w="694" w:type="dxa"/>
            <w:tcBorders>
              <w:left w:val="single" w:color="auto" w:sz="4" w:space="0"/>
              <w:right w:val="single" w:color="auto" w:sz="4" w:space="0"/>
            </w:tcBorders>
            <w:noWrap w:val="0"/>
            <w:vAlign w:val="center"/>
          </w:tcPr>
          <w:p w14:paraId="28B71DEB">
            <w:pPr>
              <w:jc w:val="center"/>
              <w:rPr>
                <w:rFonts w:hint="default" w:ascii="仿宋_GB2312" w:hAnsi="仿宋_GB2312" w:eastAsia="仿宋_GB2312" w:cs="仿宋_GB2312"/>
                <w:color w:val="000000"/>
                <w:spacing w:val="4"/>
                <w:sz w:val="24"/>
                <w:szCs w:val="24"/>
                <w:highlight w:val="none"/>
                <w:lang w:val="en-US" w:eastAsia="zh-CN" w:bidi="en-US"/>
              </w:rPr>
            </w:pPr>
            <w:r>
              <w:rPr>
                <w:rFonts w:hint="eastAsia" w:ascii="仿宋_GB2312" w:hAnsi="仿宋_GB2312" w:eastAsia="仿宋_GB2312" w:cs="仿宋_GB2312"/>
                <w:color w:val="000000"/>
                <w:spacing w:val="4"/>
                <w:sz w:val="24"/>
                <w:szCs w:val="24"/>
                <w:highlight w:val="none"/>
                <w:lang w:val="en-US" w:eastAsia="zh-CN" w:bidi="en-US"/>
              </w:rPr>
              <w:t>15</w:t>
            </w:r>
          </w:p>
        </w:tc>
        <w:tc>
          <w:tcPr>
            <w:tcW w:w="4596" w:type="dxa"/>
            <w:tcBorders>
              <w:top w:val="single" w:color="auto" w:sz="4" w:space="0"/>
              <w:left w:val="single" w:color="auto" w:sz="4" w:space="0"/>
              <w:bottom w:val="single" w:color="auto" w:sz="4" w:space="0"/>
              <w:right w:val="single" w:color="auto" w:sz="4" w:space="0"/>
            </w:tcBorders>
            <w:noWrap w:val="0"/>
            <w:vAlign w:val="center"/>
          </w:tcPr>
          <w:p w14:paraId="32AF0F3D">
            <w:pPr>
              <w:keepNext w:val="0"/>
              <w:keepLines w:val="0"/>
              <w:pageBreakBefore w:val="0"/>
              <w:kinsoku/>
              <w:wordWrap/>
              <w:overflowPunct/>
              <w:topLinePunct w:val="0"/>
              <w:autoSpaceDE/>
              <w:autoSpaceDN/>
              <w:bidi w:val="0"/>
              <w:adjustRightInd/>
              <w:spacing w:line="300" w:lineRule="exact"/>
              <w:jc w:val="left"/>
              <w:textAlignment w:val="auto"/>
              <w:outlineLvl w:val="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有效投标报价的最低价作为评标基准价，其最低报价为满分；按［投标报价得分=（评标基准价/投标报价）*30］的计算公式计算。</w:t>
            </w:r>
          </w:p>
          <w:p w14:paraId="4DEF06BE">
            <w:pPr>
              <w:keepNext w:val="0"/>
              <w:keepLines w:val="0"/>
              <w:pageBreakBefore w:val="0"/>
              <w:widowControl/>
              <w:shd w:val="clear" w:color="auto" w:fill="FFFFFF"/>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评标过程中，不得去掉报价中的最高报价和最低报价。</w:t>
            </w:r>
          </w:p>
          <w:p w14:paraId="3179BAA8">
            <w:pPr>
              <w:keepNext w:val="0"/>
              <w:keepLines w:val="0"/>
              <w:pageBreakBefore w:val="0"/>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因落实政府采购政策需要进行价格调整的，以调整后的价格计算评标基准价和投标报价。</w:t>
            </w:r>
          </w:p>
        </w:tc>
        <w:tc>
          <w:tcPr>
            <w:tcW w:w="625" w:type="dxa"/>
            <w:tcBorders>
              <w:top w:val="single" w:color="auto" w:sz="4" w:space="0"/>
              <w:left w:val="single" w:color="auto" w:sz="4" w:space="0"/>
              <w:bottom w:val="single" w:color="auto" w:sz="4" w:space="0"/>
              <w:right w:val="single" w:color="auto" w:sz="4" w:space="0"/>
            </w:tcBorders>
            <w:noWrap w:val="0"/>
            <w:vAlign w:val="center"/>
          </w:tcPr>
          <w:p w14:paraId="7641F02D">
            <w:pPr>
              <w:keepNext w:val="0"/>
              <w:keepLines w:val="0"/>
              <w:pageBreakBefore w:val="0"/>
              <w:widowControl w:val="0"/>
              <w:kinsoku/>
              <w:wordWrap/>
              <w:overflowPunct/>
              <w:topLinePunct w:val="0"/>
              <w:autoSpaceDE/>
              <w:autoSpaceDN/>
              <w:bidi w:val="0"/>
              <w:adjustRightInd/>
              <w:snapToGrid/>
              <w:spacing w:line="360" w:lineRule="auto"/>
              <w:ind w:firstLine="120" w:firstLineChars="50"/>
              <w:jc w:val="center"/>
              <w:textAlignment w:val="auto"/>
              <w:outlineLvl w:val="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30</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0848A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价格分</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49276A92">
            <w:pPr>
              <w:rPr>
                <w:rFonts w:hint="eastAsia" w:ascii="仿宋_GB2312" w:hAnsi="仿宋_GB2312" w:eastAsia="仿宋_GB2312" w:cs="仿宋_GB2312"/>
                <w:color w:val="000000"/>
                <w:sz w:val="24"/>
                <w:szCs w:val="24"/>
                <w:highlight w:val="none"/>
              </w:rPr>
            </w:pPr>
          </w:p>
        </w:tc>
      </w:tr>
    </w:tbl>
    <w:p w14:paraId="6D2CE5F7">
      <w:pPr>
        <w:spacing w:line="420" w:lineRule="exact"/>
        <w:ind w:firstLine="472" w:firstLineChars="196"/>
        <w:contextualSpacing/>
        <w:rPr>
          <w:rFonts w:hint="eastAsia" w:ascii="仿宋_GB2312" w:hAnsi="仿宋_GB2312" w:eastAsia="仿宋_GB2312" w:cs="仿宋_GB2312"/>
          <w:b/>
          <w:color w:val="000000"/>
          <w:sz w:val="24"/>
          <w:szCs w:val="24"/>
          <w:highlight w:val="none"/>
        </w:rPr>
      </w:pPr>
    </w:p>
    <w:p w14:paraId="48A2728B">
      <w:pPr>
        <w:spacing w:line="420" w:lineRule="exact"/>
        <w:ind w:firstLine="472" w:firstLineChars="196"/>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*备注：投标人编制投标文件（商务技术文件部分）时，建议按此目录（序号和内容）提供评标标准相应的商务技术资料。 </w:t>
      </w:r>
    </w:p>
    <w:p w14:paraId="459D753A">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一、评标方法</w:t>
      </w:r>
    </w:p>
    <w:p w14:paraId="11E67CE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1.本项目采用综合评分法。综合评分法，是指投标文件满足招标文件全部实质性要求，且按照评审因素的量化指标评审得分最高的投标人为中标候选人的评标方法。评分过程中采用四舍五入法，并保留小数2位。</w:t>
      </w:r>
    </w:p>
    <w:p w14:paraId="3DF5F441">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二、评标标准</w:t>
      </w:r>
    </w:p>
    <w:p w14:paraId="28671B1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 评标标准：见评标办法前附表。</w:t>
      </w:r>
    </w:p>
    <w:p w14:paraId="398201C3">
      <w:pPr>
        <w:spacing w:line="420" w:lineRule="exact"/>
        <w:ind w:firstLine="482" w:firstLineChars="20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三、评标程序</w:t>
      </w:r>
    </w:p>
    <w:p w14:paraId="554BD7C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3.1符合性审查。评标委员会应当对符合资格的投标人的投标文件进行符合性审查，以确定其是否满足招标文件的实质性要求。不满足招标文件的实质性要求的，投标无效。</w:t>
      </w:r>
    </w:p>
    <w:p w14:paraId="21DFEA2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 比较与评价。评标委员会应当按照招标文件中规定的评标方法和标准，对符合性审查合格的投标文件进行商务和技术评估，综合比较与评价。</w:t>
      </w:r>
    </w:p>
    <w:p w14:paraId="357C582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3.3汇总商务技术得分。评标委员会各成员应当独立对每个投标人的商务和技术文件进行评价，并汇总商务技术得分情况。</w:t>
      </w:r>
    </w:p>
    <w:p w14:paraId="77D38B4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3.4报价评审。</w:t>
      </w:r>
    </w:p>
    <w:p w14:paraId="1586A32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3.4.1投标文件报价出现前后不一致的，按照下列规定修正：</w:t>
      </w:r>
    </w:p>
    <w:p w14:paraId="6E34E46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3.4.1.1投标文件中开标一览表(报价表)内容与投标文件中相应内容不一致的，以开标一览表(报价表)为准;</w:t>
      </w:r>
    </w:p>
    <w:p w14:paraId="2F9ECE5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3.4.1.2大写金额和小写金额不一致的，以大写金额为准;</w:t>
      </w:r>
    </w:p>
    <w:p w14:paraId="4D376F7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3.4.1.3单价金额小数点或者百分比有明显错位的，以开标一览表的总价为准，并修改单价;</w:t>
      </w:r>
    </w:p>
    <w:p w14:paraId="0E70349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3.4.1.4总价金额与按单价汇总金额不一致的，以单价金额计算结果为准。</w:t>
      </w:r>
    </w:p>
    <w:p w14:paraId="24D17C5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279116F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3.4.2投标文件出现不是唯一的、有选择性投标报价的，投标无效。</w:t>
      </w:r>
    </w:p>
    <w:p w14:paraId="31130D6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3.4.3投标报价超过招标文件中规定的预算金额或者最高限价的，投标无效。</w:t>
      </w:r>
    </w:p>
    <w:p w14:paraId="3F9A2BC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D706A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3.5排序与推荐。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57E876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A834DA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3.6编写评标报告。评标委员会根据全体评标成员签字的原始评标记录和评标结果编写评标报告，由采购人委托评标委员会在评标报告确定的中标候选人名单中按顺序确定中标人。评标委员会成员对需要共同认定的事项存在争议的，应当按照少数服从多数的原则作出结论。持不同意见的评标委员会成员应当在评标报告上签署不同意见及理由，否则视为同意评标报告。</w:t>
      </w:r>
    </w:p>
    <w:p w14:paraId="041672F8">
      <w:pPr>
        <w:spacing w:line="420" w:lineRule="exact"/>
        <w:ind w:firstLine="602" w:firstLineChars="250"/>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四、评标中的其他事项</w:t>
      </w:r>
    </w:p>
    <w:p w14:paraId="0A259111">
      <w:pPr>
        <w:spacing w:line="420" w:lineRule="exact"/>
        <w:ind w:firstLine="600" w:firstLineChars="2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0D4067">
      <w:pPr>
        <w:spacing w:line="420" w:lineRule="exact"/>
        <w:ind w:firstLine="600" w:firstLineChars="2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4.2投标无效。有下列情况之一的，投标无效：</w:t>
      </w:r>
    </w:p>
    <w:p w14:paraId="5A2AA84C">
      <w:pPr>
        <w:spacing w:line="420" w:lineRule="exact"/>
        <w:ind w:firstLine="600" w:firstLineChars="2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4.2.1单位负责人为同一人或者存在直接控股、管理关系的不同供应商参加同一合同项下的政府采购活动的（均无效）；</w:t>
      </w:r>
    </w:p>
    <w:p w14:paraId="5E82107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4.2.2为采购项目提供整体设计、规范编制或者项目管理、监理、检测等服务的供应商再参加该采购项目的其他采购活动的；</w:t>
      </w:r>
    </w:p>
    <w:p w14:paraId="4D226D5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4.2.3投标人不具备招标文件中规定的资格要求的（投标人未提供有效的资格证明文件的，视为投标人不具备招标文件中规定的资格要求）；</w:t>
      </w:r>
    </w:p>
    <w:p w14:paraId="36C9EB7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4.2.4如以联合体形式参加政府采购活动的，联合体协议不符合招标文件规定的联合体协议要求的；</w:t>
      </w:r>
    </w:p>
    <w:p w14:paraId="2F93640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4.2.5投标文件未按招标文件的澄清、修改的内容编制，又不符合实质性要求的；</w:t>
      </w:r>
    </w:p>
    <w:p w14:paraId="269335D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4.2.6投标文件组成不全或内容字迹模糊辨认不清的而导致评标无法正常进行（经评标委员会认定并允许其当场更正的笔误除外的）；</w:t>
      </w:r>
    </w:p>
    <w:p w14:paraId="109BC9A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4.2.7投标文件中法人授权书所载内容与本项目内容有异的；</w:t>
      </w:r>
    </w:p>
    <w:p w14:paraId="07F3BAB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4.2.8投标文件未按照招标文件要求签署、盖章的；</w:t>
      </w:r>
    </w:p>
    <w:p w14:paraId="2007A26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4.2.9采购人拟采购的产品属于政府强制采购的节能产品品目清单范围的，投标人未按招标文件要求提供国家确定的认证机构出具的、处于有效期之内的节能产品认证证书的；</w:t>
      </w:r>
    </w:p>
    <w:p w14:paraId="7128F62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4.2.10投标文件含有采购人不能接受的附加条件的；</w:t>
      </w:r>
    </w:p>
    <w:p w14:paraId="6800556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4.2.11投标文件中承诺的投标有效期少于招标文件中载明的投标有效期的；</w:t>
      </w:r>
    </w:p>
    <w:p w14:paraId="39924B1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4.2.12投标人所投内容不符合招标文件中实质性要求的；</w:t>
      </w:r>
    </w:p>
    <w:p w14:paraId="5E3AC86A">
      <w:pPr>
        <w:spacing w:line="42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4.2.13投标文件出现不是唯一的、有选择性投标报价的;</w:t>
      </w:r>
    </w:p>
    <w:p w14:paraId="3992285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4.2.14投标报价高于本项目采购预算或者最高限价的;</w:t>
      </w:r>
    </w:p>
    <w:p w14:paraId="5872D98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4.2.15报价明显低于其他通过符合性审查投标人的报价，有可能影响产品质量或者不能诚信履约的，未能按要求提供书面说明或者提交相关证明材料，不能证明其报价合理性的;</w:t>
      </w:r>
    </w:p>
    <w:p w14:paraId="5D53E26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4.2.16《投标（开标）一览表》填写不完整或字迹不能辨认或有漏项的；</w:t>
      </w:r>
    </w:p>
    <w:p w14:paraId="630D794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4.2.17投标人对根据修正原则修正后的报价不确认的；</w:t>
      </w:r>
    </w:p>
    <w:p w14:paraId="72EEC1F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4.2.18投标人提供虚假材料投标的（包括但不限于以下情节）；</w:t>
      </w:r>
    </w:p>
    <w:p w14:paraId="49B4E8E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4.2.18.1使用伪造、变造的许可证件；</w:t>
      </w:r>
    </w:p>
    <w:p w14:paraId="7F7158E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4.2.18.2提供虚假的财务状况或者业绩；</w:t>
      </w:r>
    </w:p>
    <w:p w14:paraId="14E6E0F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4.2.18.3提供虚假的项目负责人或者主要技术人员简历、劳动关系证明；</w:t>
      </w:r>
    </w:p>
    <w:p w14:paraId="3CDB501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4.2.18.4提供虚假的信用状况；</w:t>
      </w:r>
    </w:p>
    <w:p w14:paraId="5F335B9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4.2.18.5其他弄虚作假的行为。</w:t>
      </w:r>
    </w:p>
    <w:p w14:paraId="4E1231F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4.2.19投标人有恶意串通、妨碍其他投标人的竞争行为、损害采购人或者其他投标人的合法权益情形的；有下列情形之一的，属于或视为恶意串通，其投标无效：</w:t>
      </w:r>
    </w:p>
    <w:p w14:paraId="53BC5A2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4.2.19.1供应商直接或者间接从采购人或者采购代理机构处获得其他供应商的相关情况并修改其投标文件或者响应文件；</w:t>
      </w:r>
    </w:p>
    <w:p w14:paraId="350AAC0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4.2.19.2供应商按照采购人或者采购代理机构的授意撤换、修改投标文件或者响应文件；</w:t>
      </w:r>
    </w:p>
    <w:p w14:paraId="4013A95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4.2.19.3供应商之间协商报价、技术方案等投标文件或者响应文件的实质性内容；</w:t>
      </w:r>
    </w:p>
    <w:p w14:paraId="5BF68BFD">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4.2.19.4属于同一集团、协会、商会等组织成员的供应商按照该组织要求协同参加政府采购活动；</w:t>
      </w:r>
    </w:p>
    <w:p w14:paraId="1A42045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4.2.19.5供应商之间事先约定由某一特定供应商中标、成交；</w:t>
      </w:r>
    </w:p>
    <w:p w14:paraId="3205E96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4.2.19.6供应商之间商定部分供应商放弃参加政府采购活动或者放弃中标、成交；</w:t>
      </w:r>
    </w:p>
    <w:p w14:paraId="785C6BB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4.2.19.7供应商与采购人或者采购代理机构之间、供应商相互之间，为谋求特定供应商中标、成交或者排斥其他供应商的其他串通行为。</w:t>
      </w:r>
    </w:p>
    <w:p w14:paraId="0A6A1532">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4.2.19.8不同投标人的投标文件由同一单位或者个人编制；</w:t>
      </w:r>
    </w:p>
    <w:p w14:paraId="18350A7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4.2.19.9不同投标人委托同一单位或者个人办理投标事宜；</w:t>
      </w:r>
    </w:p>
    <w:p w14:paraId="2F05B13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4.2.19.10不同投标人的投标文件载明的项目管理成员或者联系人员为同一人；</w:t>
      </w:r>
    </w:p>
    <w:p w14:paraId="08D484F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4.2.19.11不同投标人的投标文件异常一致或者投标报价呈规律性差异；</w:t>
      </w:r>
    </w:p>
    <w:p w14:paraId="3740EAB8">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4.2.19.12不同投标人的投标文件相互混装；</w:t>
      </w:r>
    </w:p>
    <w:p w14:paraId="4ED3E5A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4.2.20投标人仅提交备份投标文件，没有在电子交易平台传输递交投标文件的，投标无效；</w:t>
      </w:r>
    </w:p>
    <w:p w14:paraId="4A34601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4.2.21以联合体形式投标的，在资格文件和商务技术文件中均未提供联合协议的，投标无效；</w:t>
      </w:r>
    </w:p>
    <w:p w14:paraId="2074B15F">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4.2.22以分包方式履行合同的，在资格文件和商务技术文件中均未提供分包意向协议的，投标无效；</w:t>
      </w:r>
    </w:p>
    <w:p w14:paraId="1C6D316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4.2.23专门面向中小企业采购的，在资格文件和商务技术文件中均未提供中小企业声明函的，投标无效；</w:t>
      </w:r>
    </w:p>
    <w:p w14:paraId="5CBB0B1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4.2.24法律、法规、规章（适用本市的）及省级以上规范性文件（适用本市的）规定的其他无效情形；</w:t>
      </w:r>
    </w:p>
    <w:p w14:paraId="1C512BCE">
      <w:pPr>
        <w:spacing w:line="420" w:lineRule="exact"/>
        <w:ind w:firstLine="480" w:firstLineChars="200"/>
        <w:contextualSpacing/>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4.2.25参与同一个采购包（标项）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BE4760A">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4.2.26投标文件不满足招标文件的其它实质性要求的。</w:t>
      </w:r>
    </w:p>
    <w:p w14:paraId="64E0645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5.废标。根据《中华人民共和国政府采购法》第三十六条之规定，在采购中，出现下列情形之一的，应予废标：</w:t>
      </w:r>
    </w:p>
    <w:p w14:paraId="48E38B8C">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5.1符合专业条件的供应商或者对招标文件作实质响应的供应商不足3家的；</w:t>
      </w:r>
    </w:p>
    <w:p w14:paraId="4003FEC4">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5.2出现影响采购公正的违法、违规行为的；</w:t>
      </w:r>
    </w:p>
    <w:p w14:paraId="1B5C84B3">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5.3投标人的报价均超过了采购预算，采购人不能支付的；</w:t>
      </w:r>
    </w:p>
    <w:p w14:paraId="14CE6BA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5.4因重大变故，采购任务取消的。</w:t>
      </w:r>
    </w:p>
    <w:p w14:paraId="023FDFF9">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废标后，采购代理机构应当将废标理由通知所有投标人。</w:t>
      </w:r>
    </w:p>
    <w:p w14:paraId="722F9A7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4C65F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7.重新开展采购。有政府采购法第七十一条、第七十二条规定的违法行为之一，影响或者可能影响中标、成交结果的，依照下列规定处理：</w:t>
      </w:r>
    </w:p>
    <w:p w14:paraId="091A73C6">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7.1未确定中标或者中标人的，终止本次政府采购活动，重新开展政府采购活动。</w:t>
      </w:r>
    </w:p>
    <w:p w14:paraId="080EC4C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6530C1B5">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4FF4EE3B">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7.4政府采购合同已经履行，给采购人、供应商造成损失的，由责任人承担赔偿责任。</w:t>
      </w:r>
    </w:p>
    <w:p w14:paraId="6814109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p>
    <w:p w14:paraId="67A0E951">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8.评审过程的保密与录像</w:t>
      </w:r>
    </w:p>
    <w:p w14:paraId="26812760">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8.1保密。评审活动在严格保密的情况下进行。评审过程中凡是与采购响应文件评审和比较、中标人推荐等评审有关的情况，以及涉及国家秘密和商业秘密等信息，评审委员会成员、采购人和采购代理机构工作人员、相关监督人员等与评审有关的人员应当予以保密。</w:t>
      </w:r>
    </w:p>
    <w:p w14:paraId="3EA06DCE">
      <w:pPr>
        <w:spacing w:line="42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9.录音录像。采购代理机构对评审工作现场进行全过程录音录像，录音录像资料作为采购项目文件随其他文件一并存档。</w:t>
      </w:r>
    </w:p>
    <w:bookmarkEnd w:id="26"/>
    <w:p w14:paraId="720CAA32">
      <w:pPr>
        <w:pStyle w:val="12"/>
        <w:ind w:firstLine="0" w:firstLineChars="0"/>
        <w:rPr>
          <w:rFonts w:hint="eastAsia" w:ascii="仿宋_GB2312" w:hAnsi="仿宋_GB2312" w:eastAsia="仿宋_GB2312" w:cs="仿宋_GB2312"/>
          <w:color w:val="000000"/>
          <w:highlight w:val="none"/>
        </w:rPr>
      </w:pPr>
      <w:bookmarkStart w:id="392" w:name="_Toc86217003"/>
      <w:bookmarkStart w:id="393" w:name="第五部分"/>
    </w:p>
    <w:p w14:paraId="2539A9F0">
      <w:pPr>
        <w:rPr>
          <w:rFonts w:hint="eastAsia" w:ascii="仿宋_GB2312" w:hAnsi="仿宋_GB2312" w:eastAsia="仿宋_GB2312" w:cs="仿宋_GB2312"/>
          <w:b/>
          <w:color w:val="000000"/>
          <w:sz w:val="24"/>
          <w:szCs w:val="24"/>
          <w:highlight w:val="none"/>
        </w:rPr>
      </w:pPr>
    </w:p>
    <w:p w14:paraId="372C06F0">
      <w:pPr>
        <w:pStyle w:val="12"/>
        <w:rPr>
          <w:rFonts w:hint="eastAsia" w:ascii="仿宋_GB2312" w:hAnsi="仿宋_GB2312" w:eastAsia="仿宋_GB2312" w:cs="仿宋_GB2312"/>
          <w:color w:val="000000"/>
          <w:highlight w:val="none"/>
        </w:rPr>
      </w:pPr>
    </w:p>
    <w:p w14:paraId="334711C9">
      <w:pPr>
        <w:pStyle w:val="12"/>
        <w:jc w:val="center"/>
        <w:rPr>
          <w:rFonts w:hint="eastAsia" w:ascii="仿宋_GB2312" w:hAnsi="仿宋_GB2312" w:eastAsia="仿宋_GB2312" w:cs="仿宋_GB2312"/>
          <w:color w:val="000000"/>
          <w:highlight w:val="none"/>
        </w:rPr>
      </w:pPr>
    </w:p>
    <w:p w14:paraId="657C18F6">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30726F8D">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5EA5A99F">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142BF7AA">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09C684E8">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4BB39381">
      <w:pPr>
        <w:spacing w:line="540" w:lineRule="exact"/>
        <w:ind w:firstLine="281" w:firstLineChars="100"/>
        <w:contextualSpacing/>
        <w:jc w:val="center"/>
        <w:rPr>
          <w:rFonts w:hint="eastAsia" w:ascii="仿宋_GB2312" w:hAnsi="仿宋_GB2312" w:eastAsia="仿宋_GB2312" w:cs="仿宋_GB2312"/>
          <w:b/>
          <w:color w:val="000000"/>
          <w:sz w:val="28"/>
          <w:szCs w:val="28"/>
          <w:highlight w:val="none"/>
        </w:rPr>
      </w:pPr>
    </w:p>
    <w:p w14:paraId="152E66EF">
      <w:pPr>
        <w:pStyle w:val="33"/>
        <w:rPr>
          <w:rFonts w:hint="eastAsia" w:ascii="仿宋_GB2312" w:hAnsi="仿宋_GB2312" w:eastAsia="仿宋_GB2312" w:cs="仿宋_GB2312"/>
          <w:b/>
          <w:color w:val="000000"/>
          <w:sz w:val="28"/>
          <w:szCs w:val="28"/>
          <w:highlight w:val="none"/>
        </w:rPr>
      </w:pPr>
    </w:p>
    <w:p w14:paraId="085ADCE9">
      <w:pPr>
        <w:pStyle w:val="10"/>
        <w:rPr>
          <w:rFonts w:hint="eastAsia" w:ascii="仿宋_GB2312" w:hAnsi="仿宋_GB2312" w:eastAsia="仿宋_GB2312" w:cs="仿宋_GB2312"/>
          <w:b/>
          <w:color w:val="000000"/>
          <w:sz w:val="28"/>
          <w:szCs w:val="28"/>
          <w:highlight w:val="none"/>
        </w:rPr>
      </w:pPr>
    </w:p>
    <w:p w14:paraId="135D8610">
      <w:pPr>
        <w:pStyle w:val="11"/>
        <w:rPr>
          <w:rFonts w:hint="eastAsia" w:ascii="仿宋_GB2312" w:hAnsi="仿宋_GB2312" w:eastAsia="仿宋_GB2312" w:cs="仿宋_GB2312"/>
          <w:b/>
          <w:color w:val="000000"/>
          <w:sz w:val="28"/>
          <w:szCs w:val="28"/>
          <w:highlight w:val="none"/>
        </w:rPr>
      </w:pPr>
    </w:p>
    <w:p w14:paraId="38980C4E">
      <w:pPr>
        <w:pStyle w:val="11"/>
        <w:rPr>
          <w:rFonts w:hint="eastAsia" w:ascii="仿宋_GB2312" w:hAnsi="仿宋_GB2312" w:eastAsia="仿宋_GB2312" w:cs="仿宋_GB2312"/>
          <w:b/>
          <w:color w:val="000000"/>
          <w:sz w:val="28"/>
          <w:szCs w:val="28"/>
          <w:highlight w:val="none"/>
        </w:rPr>
      </w:pPr>
    </w:p>
    <w:p w14:paraId="0A26F791">
      <w:pPr>
        <w:pStyle w:val="11"/>
        <w:rPr>
          <w:rFonts w:hint="eastAsia" w:ascii="仿宋_GB2312" w:hAnsi="仿宋_GB2312" w:eastAsia="仿宋_GB2312" w:cs="仿宋_GB2312"/>
          <w:b/>
          <w:color w:val="000000"/>
          <w:sz w:val="28"/>
          <w:szCs w:val="28"/>
          <w:highlight w:val="none"/>
        </w:rPr>
      </w:pPr>
    </w:p>
    <w:p w14:paraId="26F8169C">
      <w:pPr>
        <w:pStyle w:val="11"/>
        <w:rPr>
          <w:rFonts w:hint="eastAsia" w:ascii="仿宋_GB2312" w:hAnsi="仿宋_GB2312" w:eastAsia="仿宋_GB2312" w:cs="仿宋_GB2312"/>
          <w:b/>
          <w:color w:val="000000"/>
          <w:sz w:val="28"/>
          <w:szCs w:val="28"/>
          <w:highlight w:val="none"/>
        </w:rPr>
      </w:pPr>
    </w:p>
    <w:p w14:paraId="561D5976">
      <w:pPr>
        <w:pStyle w:val="11"/>
        <w:rPr>
          <w:rFonts w:hint="eastAsia" w:ascii="仿宋_GB2312" w:hAnsi="仿宋_GB2312" w:eastAsia="仿宋_GB2312" w:cs="仿宋_GB2312"/>
          <w:b/>
          <w:color w:val="000000"/>
          <w:sz w:val="28"/>
          <w:szCs w:val="28"/>
          <w:highlight w:val="none"/>
        </w:rPr>
      </w:pPr>
    </w:p>
    <w:p w14:paraId="2F469462">
      <w:pPr>
        <w:pStyle w:val="3"/>
        <w:ind w:left="0" w:leftChars="0" w:firstLine="0" w:firstLineChars="0"/>
        <w:rPr>
          <w:rFonts w:hint="eastAsia" w:ascii="仿宋_GB2312" w:hAnsi="仿宋_GB2312" w:eastAsia="仿宋_GB2312" w:cs="仿宋_GB2312"/>
          <w:b/>
          <w:color w:val="000000"/>
          <w:sz w:val="28"/>
          <w:szCs w:val="28"/>
          <w:highlight w:val="none"/>
        </w:rPr>
      </w:pPr>
    </w:p>
    <w:p w14:paraId="4F45692F">
      <w:pPr>
        <w:pStyle w:val="3"/>
        <w:rPr>
          <w:rFonts w:hint="eastAsia" w:ascii="仿宋_GB2312" w:hAnsi="仿宋_GB2312" w:eastAsia="仿宋_GB2312" w:cs="仿宋_GB2312"/>
          <w:b/>
          <w:color w:val="000000"/>
          <w:sz w:val="28"/>
          <w:szCs w:val="28"/>
          <w:highlight w:val="none"/>
        </w:rPr>
      </w:pPr>
    </w:p>
    <w:p w14:paraId="6BBFABE5">
      <w:pPr>
        <w:spacing w:line="540" w:lineRule="exact"/>
        <w:contextualSpacing/>
        <w:jc w:val="center"/>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第五部分</w:t>
      </w:r>
      <w:r>
        <w:rPr>
          <w:rFonts w:hint="eastAsia" w:ascii="仿宋_GB2312" w:eastAsia="仿宋_GB2312"/>
          <w:b/>
          <w:color w:val="000000"/>
          <w:sz w:val="28"/>
          <w:szCs w:val="28"/>
          <w:highlight w:val="none"/>
          <w:lang w:val="en-US" w:eastAsia="zh-CN"/>
        </w:rPr>
        <w:t xml:space="preserve">  </w:t>
      </w:r>
      <w:r>
        <w:rPr>
          <w:rFonts w:hint="eastAsia" w:ascii="仿宋_GB2312" w:eastAsia="仿宋_GB2312"/>
          <w:b/>
          <w:color w:val="000000"/>
          <w:sz w:val="28"/>
          <w:szCs w:val="28"/>
          <w:highlight w:val="none"/>
        </w:rPr>
        <w:t>拟签订的合同文本</w:t>
      </w:r>
    </w:p>
    <w:p w14:paraId="44C802CA">
      <w:pPr>
        <w:snapToGrid w:val="0"/>
        <w:spacing w:beforeLines="50" w:afterLines="50" w:line="360" w:lineRule="auto"/>
        <w:jc w:val="center"/>
        <w:rPr>
          <w:rFonts w:ascii="仿宋_GB2312" w:hAnsi="宋体" w:eastAsia="仿宋_GB2312"/>
          <w:sz w:val="24"/>
          <w:szCs w:val="24"/>
          <w:highlight w:val="none"/>
        </w:rPr>
      </w:pPr>
      <w:r>
        <w:rPr>
          <w:rFonts w:hint="eastAsia" w:ascii="仿宋_GB2312" w:hAnsi="宋体" w:eastAsia="仿宋_GB2312"/>
          <w:b/>
          <w:sz w:val="24"/>
          <w:szCs w:val="24"/>
          <w:highlight w:val="none"/>
        </w:rPr>
        <w:t>（具体条款以甲方为主协商确定）</w:t>
      </w:r>
    </w:p>
    <w:p w14:paraId="6860DA4D">
      <w:pPr>
        <w:spacing w:line="540" w:lineRule="exact"/>
        <w:ind w:firstLine="281" w:firstLineChars="100"/>
        <w:contextualSpacing/>
        <w:jc w:val="center"/>
        <w:rPr>
          <w:rFonts w:hint="eastAsia" w:ascii="仿宋_GB2312" w:eastAsia="仿宋_GB2312"/>
          <w:b/>
          <w:color w:val="000000"/>
          <w:sz w:val="28"/>
          <w:szCs w:val="28"/>
          <w:highlight w:val="none"/>
        </w:rPr>
      </w:pPr>
    </w:p>
    <w:p w14:paraId="4F8384BD">
      <w:pPr>
        <w:wordWrap w:val="0"/>
        <w:jc w:val="left"/>
        <w:rPr>
          <w:rFonts w:ascii="仿宋_GB2312" w:eastAsia="仿宋_GB2312"/>
          <w:color w:val="000000"/>
          <w:sz w:val="24"/>
          <w:szCs w:val="24"/>
          <w:highlight w:val="none"/>
        </w:rPr>
      </w:pPr>
    </w:p>
    <w:p w14:paraId="22965600">
      <w:pPr>
        <w:wordWrap w:val="0"/>
        <w:jc w:val="left"/>
        <w:rPr>
          <w:rFonts w:ascii="仿宋_GB2312" w:eastAsia="仿宋_GB2312"/>
          <w:color w:val="000000"/>
          <w:sz w:val="24"/>
          <w:szCs w:val="24"/>
          <w:highlight w:val="none"/>
        </w:rPr>
      </w:pPr>
    </w:p>
    <w:p w14:paraId="2A232B75">
      <w:pPr>
        <w:spacing w:line="560" w:lineRule="exact"/>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合同编号：</w:t>
      </w:r>
    </w:p>
    <w:p w14:paraId="3BBB9C18">
      <w:pPr>
        <w:spacing w:line="560" w:lineRule="exact"/>
        <w:jc w:val="center"/>
        <w:rPr>
          <w:rFonts w:ascii="仿宋_GB2312" w:hAnsi="仿宋" w:eastAsia="仿宋_GB2312" w:cs="仿宋"/>
          <w:b/>
          <w:sz w:val="24"/>
          <w:szCs w:val="24"/>
          <w:highlight w:val="none"/>
        </w:rPr>
      </w:pPr>
    </w:p>
    <w:p w14:paraId="715118BF">
      <w:pPr>
        <w:pStyle w:val="60"/>
        <w:spacing w:line="560" w:lineRule="exact"/>
        <w:ind w:left="0" w:leftChars="0" w:firstLine="0" w:firstLineChars="0"/>
        <w:jc w:val="center"/>
        <w:rPr>
          <w:rFonts w:ascii="仿宋_GB2312" w:hAnsi="仿宋" w:eastAsia="仿宋_GB2312" w:cs="仿宋"/>
          <w:b/>
          <w:szCs w:val="24"/>
          <w:highlight w:val="none"/>
          <w:lang w:eastAsia="zh-CN"/>
        </w:rPr>
      </w:pPr>
      <w:r>
        <w:rPr>
          <w:rFonts w:hint="eastAsia" w:ascii="仿宋_GB2312" w:hAnsi="仿宋" w:eastAsia="仿宋_GB2312" w:cs="仿宋"/>
          <w:b/>
          <w:szCs w:val="24"/>
          <w:highlight w:val="none"/>
          <w:lang w:eastAsia="zh-CN"/>
        </w:rPr>
        <w:t>第一部分 合同书</w:t>
      </w:r>
    </w:p>
    <w:p w14:paraId="17CA7A03">
      <w:pPr>
        <w:spacing w:before="120" w:line="560" w:lineRule="exact"/>
        <w:rPr>
          <w:rFonts w:ascii="仿宋_GB2312" w:hAnsi="仿宋" w:eastAsia="仿宋_GB2312" w:cs="仿宋"/>
          <w:sz w:val="24"/>
          <w:szCs w:val="24"/>
          <w:highlight w:val="none"/>
        </w:rPr>
      </w:pPr>
    </w:p>
    <w:p w14:paraId="0A033E7F">
      <w:pPr>
        <w:pStyle w:val="2"/>
        <w:spacing w:line="560" w:lineRule="exact"/>
        <w:rPr>
          <w:rFonts w:ascii="仿宋_GB2312" w:eastAsia="仿宋_GB2312" w:cs="仿宋"/>
          <w:sz w:val="24"/>
          <w:szCs w:val="24"/>
          <w:highlight w:val="none"/>
        </w:rPr>
      </w:pPr>
    </w:p>
    <w:p w14:paraId="4FAE82FE">
      <w:pPr>
        <w:spacing w:before="120" w:line="560" w:lineRule="exact"/>
        <w:ind w:left="96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项目名称：</w:t>
      </w:r>
    </w:p>
    <w:p w14:paraId="43040B02">
      <w:pPr>
        <w:pStyle w:val="61"/>
        <w:spacing w:before="120" w:line="560" w:lineRule="exact"/>
        <w:rPr>
          <w:rFonts w:hAnsi="仿宋" w:cs="仿宋"/>
          <w:szCs w:val="24"/>
          <w:highlight w:val="none"/>
          <w:lang w:eastAsia="zh-CN"/>
        </w:rPr>
      </w:pPr>
    </w:p>
    <w:p w14:paraId="532D9A8F">
      <w:pPr>
        <w:spacing w:line="560" w:lineRule="exact"/>
        <w:rPr>
          <w:rFonts w:ascii="仿宋_GB2312" w:hAnsi="仿宋" w:eastAsia="仿宋_GB2312" w:cs="仿宋"/>
          <w:sz w:val="24"/>
          <w:szCs w:val="24"/>
          <w:highlight w:val="none"/>
        </w:rPr>
      </w:pPr>
    </w:p>
    <w:p w14:paraId="7B5AC96E">
      <w:pPr>
        <w:spacing w:before="120" w:line="560" w:lineRule="exact"/>
        <w:ind w:left="96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甲方：</w:t>
      </w:r>
    </w:p>
    <w:p w14:paraId="72B7756D">
      <w:pPr>
        <w:spacing w:before="120" w:line="560" w:lineRule="exact"/>
        <w:rPr>
          <w:rFonts w:ascii="仿宋_GB2312" w:hAnsi="仿宋" w:eastAsia="仿宋_GB2312" w:cs="仿宋"/>
          <w:sz w:val="24"/>
          <w:szCs w:val="24"/>
          <w:highlight w:val="none"/>
        </w:rPr>
      </w:pPr>
    </w:p>
    <w:p w14:paraId="3232CA02">
      <w:pPr>
        <w:spacing w:before="120" w:line="560" w:lineRule="exact"/>
        <w:ind w:left="96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乙方：</w:t>
      </w:r>
    </w:p>
    <w:p w14:paraId="74E6D37D">
      <w:pPr>
        <w:spacing w:before="120" w:line="560" w:lineRule="exact"/>
        <w:rPr>
          <w:rFonts w:ascii="仿宋_GB2312" w:hAnsi="仿宋" w:eastAsia="仿宋_GB2312" w:cs="仿宋"/>
          <w:sz w:val="24"/>
          <w:szCs w:val="24"/>
          <w:highlight w:val="none"/>
        </w:rPr>
      </w:pPr>
    </w:p>
    <w:p w14:paraId="5B31F6EE">
      <w:pPr>
        <w:spacing w:before="120" w:line="560" w:lineRule="exact"/>
        <w:ind w:firstLine="840" w:firstLineChars="35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签订地：</w:t>
      </w:r>
    </w:p>
    <w:p w14:paraId="4E3A5AC1">
      <w:pPr>
        <w:spacing w:before="120" w:line="560" w:lineRule="exact"/>
        <w:rPr>
          <w:rFonts w:ascii="仿宋_GB2312" w:hAnsi="仿宋" w:eastAsia="仿宋_GB2312" w:cs="仿宋"/>
          <w:sz w:val="24"/>
          <w:szCs w:val="24"/>
          <w:highlight w:val="none"/>
        </w:rPr>
      </w:pPr>
    </w:p>
    <w:p w14:paraId="1BC73CC9">
      <w:pPr>
        <w:spacing w:before="120" w:line="560" w:lineRule="exact"/>
        <w:ind w:firstLine="960" w:firstLineChars="40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签订日期：年月日</w:t>
      </w:r>
    </w:p>
    <w:p w14:paraId="267E3635">
      <w:pPr>
        <w:widowControl/>
        <w:spacing w:line="560" w:lineRule="exact"/>
        <w:jc w:val="left"/>
        <w:rPr>
          <w:rFonts w:ascii="仿宋_GB2312" w:hAnsi="仿宋" w:eastAsia="仿宋_GB2312" w:cs="仿宋"/>
          <w:kern w:val="0"/>
          <w:sz w:val="24"/>
          <w:szCs w:val="24"/>
          <w:highlight w:val="none"/>
        </w:rPr>
        <w:sectPr>
          <w:footerReference r:id="rId10" w:type="first"/>
          <w:headerReference r:id="rId7" w:type="default"/>
          <w:footerReference r:id="rId8" w:type="default"/>
          <w:footerReference r:id="rId9" w:type="even"/>
          <w:pgSz w:w="11907" w:h="16840"/>
          <w:pgMar w:top="1474" w:right="1814" w:bottom="1474" w:left="1814" w:header="851" w:footer="851" w:gutter="0"/>
          <w:cols w:space="720" w:num="1"/>
        </w:sectPr>
      </w:pPr>
    </w:p>
    <w:p w14:paraId="41FCC2A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lang w:val="zh-CN"/>
        </w:rPr>
        <w:t>年月日</w:t>
      </w:r>
      <w:r>
        <w:rPr>
          <w:rFonts w:hint="eastAsia" w:ascii="仿宋_GB2312" w:hAnsi="仿宋" w:eastAsia="仿宋_GB2312" w:cs="仿宋"/>
          <w:sz w:val="24"/>
          <w:szCs w:val="24"/>
          <w:highlight w:val="none"/>
        </w:rPr>
        <w:t>，</w:t>
      </w:r>
      <w:r>
        <w:rPr>
          <w:rFonts w:hint="eastAsia" w:ascii="仿宋_GB2312" w:hAnsi="仿宋" w:eastAsia="仿宋_GB2312" w:cs="仿宋"/>
          <w:sz w:val="24"/>
          <w:szCs w:val="24"/>
          <w:highlight w:val="none"/>
          <w:u w:val="single"/>
        </w:rPr>
        <w:t xml:space="preserve">   （采购人）   </w:t>
      </w:r>
      <w:r>
        <w:rPr>
          <w:rFonts w:hint="eastAsia" w:ascii="仿宋_GB2312" w:hAnsi="仿宋" w:eastAsia="仿宋_GB2312" w:cs="仿宋"/>
          <w:sz w:val="24"/>
          <w:szCs w:val="24"/>
          <w:highlight w:val="none"/>
        </w:rPr>
        <w:t>以</w:t>
      </w:r>
      <w:r>
        <w:rPr>
          <w:rFonts w:hint="eastAsia" w:ascii="仿宋_GB2312" w:hAnsi="仿宋" w:eastAsia="仿宋_GB2312" w:cs="仿宋"/>
          <w:sz w:val="24"/>
          <w:szCs w:val="24"/>
          <w:highlight w:val="none"/>
          <w:u w:val="single"/>
        </w:rPr>
        <w:t xml:space="preserve">   （政府采购方式）  </w:t>
      </w:r>
      <w:r>
        <w:rPr>
          <w:rFonts w:hint="eastAsia" w:ascii="仿宋_GB2312" w:hAnsi="仿宋" w:eastAsia="仿宋_GB2312" w:cs="仿宋"/>
          <w:sz w:val="24"/>
          <w:szCs w:val="24"/>
          <w:highlight w:val="none"/>
        </w:rPr>
        <w:t>对</w:t>
      </w:r>
      <w:r>
        <w:rPr>
          <w:rFonts w:hint="eastAsia" w:ascii="仿宋_GB2312" w:hAnsi="仿宋" w:eastAsia="仿宋_GB2312" w:cs="仿宋"/>
          <w:sz w:val="24"/>
          <w:szCs w:val="24"/>
          <w:highlight w:val="none"/>
          <w:u w:val="single"/>
        </w:rPr>
        <w:t xml:space="preserve">  （项目名称）    </w:t>
      </w:r>
      <w:r>
        <w:rPr>
          <w:rFonts w:hint="eastAsia" w:ascii="仿宋_GB2312" w:hAnsi="仿宋" w:eastAsia="仿宋_GB2312" w:cs="仿宋"/>
          <w:sz w:val="24"/>
          <w:szCs w:val="24"/>
          <w:highlight w:val="none"/>
        </w:rPr>
        <w:t>项目进行了采购。经</w:t>
      </w:r>
      <w:r>
        <w:rPr>
          <w:rFonts w:hint="eastAsia" w:ascii="仿宋_GB2312" w:hAnsi="仿宋" w:eastAsia="仿宋_GB2312" w:cs="仿宋"/>
          <w:sz w:val="24"/>
          <w:szCs w:val="24"/>
          <w:highlight w:val="none"/>
          <w:u w:val="single"/>
        </w:rPr>
        <w:t xml:space="preserve">   （相关评定主体名称）   </w:t>
      </w:r>
      <w:r>
        <w:rPr>
          <w:rFonts w:hint="eastAsia" w:ascii="仿宋_GB2312" w:hAnsi="仿宋" w:eastAsia="仿宋_GB2312" w:cs="仿宋"/>
          <w:sz w:val="24"/>
          <w:szCs w:val="24"/>
          <w:highlight w:val="none"/>
        </w:rPr>
        <w:t>评定，</w:t>
      </w:r>
      <w:r>
        <w:rPr>
          <w:rFonts w:hint="eastAsia" w:ascii="仿宋_GB2312" w:hAnsi="仿宋" w:eastAsia="仿宋_GB2312" w:cs="仿宋"/>
          <w:sz w:val="24"/>
          <w:szCs w:val="24"/>
          <w:highlight w:val="none"/>
          <w:u w:val="single"/>
        </w:rPr>
        <w:t xml:space="preserve">   （中标或者成交供应商名称） </w:t>
      </w:r>
      <w:r>
        <w:rPr>
          <w:rFonts w:hint="eastAsia" w:ascii="仿宋_GB2312" w:hAnsi="仿宋" w:eastAsia="仿宋_GB2312" w:cs="仿宋"/>
          <w:sz w:val="24"/>
          <w:szCs w:val="24"/>
          <w:highlight w:val="none"/>
        </w:rPr>
        <w:t>为该项目中标或者成交供应商。现于中标或者成交通知书发出之日起   个工作日内，按照采购文件确定的事项签订本合同。</w:t>
      </w:r>
    </w:p>
    <w:p w14:paraId="0AE8235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lang w:val="zh-CN"/>
        </w:rPr>
        <w:t>根据《中华人民共和国民法典》《中华人民共和国政府采购法》等相关法律法规之规定，按照平等、自愿、公平和诚实信用的原则，经</w:t>
      </w:r>
      <w:r>
        <w:rPr>
          <w:rFonts w:hint="eastAsia" w:ascii="仿宋_GB2312" w:hAnsi="仿宋" w:eastAsia="仿宋_GB2312" w:cs="仿宋"/>
          <w:sz w:val="24"/>
          <w:szCs w:val="24"/>
          <w:highlight w:val="none"/>
          <w:u w:val="single"/>
        </w:rPr>
        <w:t xml:space="preserve">   （采购人）   </w:t>
      </w:r>
      <w:r>
        <w:rPr>
          <w:rFonts w:hint="eastAsia" w:ascii="仿宋_GB2312" w:hAnsi="仿宋" w:eastAsia="仿宋_GB2312" w:cs="仿宋"/>
          <w:sz w:val="24"/>
          <w:szCs w:val="24"/>
          <w:highlight w:val="none"/>
          <w:lang w:val="zh-CN"/>
        </w:rPr>
        <w:t>(以下简称：甲方)和</w:t>
      </w:r>
      <w:r>
        <w:rPr>
          <w:rFonts w:hint="eastAsia" w:ascii="仿宋_GB2312" w:hAnsi="仿宋" w:eastAsia="仿宋_GB2312" w:cs="仿宋"/>
          <w:sz w:val="24"/>
          <w:szCs w:val="24"/>
          <w:highlight w:val="none"/>
          <w:u w:val="single"/>
        </w:rPr>
        <w:t xml:space="preserve">   （中或者成交标供应商名称）   </w:t>
      </w:r>
      <w:r>
        <w:rPr>
          <w:rFonts w:hint="eastAsia" w:ascii="仿宋_GB2312" w:hAnsi="仿宋" w:eastAsia="仿宋_GB2312" w:cs="仿宋"/>
          <w:sz w:val="24"/>
          <w:szCs w:val="24"/>
          <w:highlight w:val="none"/>
          <w:lang w:val="zh-CN"/>
        </w:rPr>
        <w:t>(以下简称：乙方)协商一致，约定以下合同</w:t>
      </w:r>
      <w:r>
        <w:rPr>
          <w:rFonts w:hint="eastAsia" w:ascii="仿宋_GB2312" w:hAnsi="仿宋" w:eastAsia="仿宋_GB2312" w:cs="仿宋"/>
          <w:sz w:val="24"/>
          <w:szCs w:val="24"/>
          <w:highlight w:val="none"/>
        </w:rPr>
        <w:t>条款，以兹共同遵守、全面履行。</w:t>
      </w:r>
    </w:p>
    <w:p w14:paraId="170D3055">
      <w:pPr>
        <w:spacing w:line="560" w:lineRule="exact"/>
        <w:ind w:firstLine="482" w:firstLineChars="200"/>
        <w:outlineLvl w:val="0"/>
        <w:rPr>
          <w:rFonts w:ascii="仿宋_GB2312" w:hAnsi="仿宋" w:eastAsia="仿宋_GB2312" w:cs="仿宋"/>
          <w:sz w:val="24"/>
          <w:szCs w:val="24"/>
          <w:highlight w:val="none"/>
        </w:rPr>
      </w:pPr>
      <w:bookmarkStart w:id="394" w:name="_Toc20421"/>
      <w:bookmarkStart w:id="395" w:name="_Toc28855"/>
      <w:bookmarkStart w:id="396" w:name="_Toc22967"/>
      <w:bookmarkStart w:id="397" w:name="_Toc15367"/>
      <w:bookmarkStart w:id="398" w:name="_Toc19273"/>
      <w:r>
        <w:rPr>
          <w:rFonts w:hint="eastAsia" w:ascii="仿宋_GB2312" w:hAnsi="仿宋" w:eastAsia="仿宋_GB2312" w:cs="仿宋"/>
          <w:b/>
          <w:sz w:val="24"/>
          <w:szCs w:val="24"/>
          <w:highlight w:val="none"/>
        </w:rPr>
        <w:t>1.1 合同组成部分</w:t>
      </w:r>
      <w:bookmarkEnd w:id="394"/>
      <w:bookmarkEnd w:id="395"/>
      <w:bookmarkEnd w:id="396"/>
      <w:bookmarkEnd w:id="397"/>
      <w:bookmarkEnd w:id="398"/>
    </w:p>
    <w:p w14:paraId="031F4FB1">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2C33415">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1.1.1 本合同及其补充合同、变更协议；</w:t>
      </w:r>
    </w:p>
    <w:p w14:paraId="76C73393">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1.1.2 中标或者成交通知书；</w:t>
      </w:r>
    </w:p>
    <w:p w14:paraId="118B6176">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1.1.3 投标或者响应文件（含澄清或者说明文件）；</w:t>
      </w:r>
    </w:p>
    <w:p w14:paraId="00448C47">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1.1.4 采购文件（含澄清或者修改文件）；</w:t>
      </w:r>
    </w:p>
    <w:p w14:paraId="3EF24C8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1.1.5 其他相关采购文件。</w:t>
      </w:r>
    </w:p>
    <w:p w14:paraId="6389EADE">
      <w:pPr>
        <w:spacing w:line="560" w:lineRule="exact"/>
        <w:ind w:firstLine="482" w:firstLineChars="200"/>
        <w:outlineLvl w:val="0"/>
        <w:rPr>
          <w:rFonts w:ascii="仿宋_GB2312" w:hAnsi="仿宋" w:eastAsia="仿宋_GB2312" w:cs="仿宋"/>
          <w:b/>
          <w:sz w:val="24"/>
          <w:szCs w:val="24"/>
          <w:highlight w:val="none"/>
        </w:rPr>
      </w:pPr>
      <w:bookmarkStart w:id="399" w:name="_Toc2918"/>
      <w:bookmarkStart w:id="400" w:name="_Toc22185"/>
      <w:bookmarkStart w:id="401" w:name="_Toc18585"/>
      <w:bookmarkStart w:id="402" w:name="_Toc6311"/>
      <w:bookmarkStart w:id="403" w:name="_Toc6773"/>
      <w:r>
        <w:rPr>
          <w:rFonts w:hint="eastAsia" w:ascii="仿宋_GB2312" w:hAnsi="仿宋" w:eastAsia="仿宋_GB2312" w:cs="仿宋"/>
          <w:b/>
          <w:sz w:val="24"/>
          <w:szCs w:val="24"/>
          <w:highlight w:val="none"/>
        </w:rPr>
        <w:t>1.2 标的</w:t>
      </w:r>
      <w:bookmarkEnd w:id="399"/>
      <w:bookmarkEnd w:id="400"/>
      <w:bookmarkEnd w:id="401"/>
      <w:bookmarkEnd w:id="402"/>
      <w:bookmarkEnd w:id="403"/>
    </w:p>
    <w:p w14:paraId="4232FD25">
      <w:pPr>
        <w:spacing w:line="560" w:lineRule="exact"/>
        <w:ind w:firstLine="480" w:firstLineChars="200"/>
        <w:outlineLvl w:val="0"/>
        <w:rPr>
          <w:rFonts w:ascii="仿宋_GB2312" w:hAnsi="仿宋" w:eastAsia="仿宋_GB2312" w:cs="仿宋"/>
          <w:b/>
          <w:sz w:val="24"/>
          <w:szCs w:val="24"/>
          <w:highlight w:val="none"/>
        </w:rPr>
      </w:pPr>
      <w:r>
        <w:rPr>
          <w:rFonts w:hint="eastAsia" w:ascii="仿宋_GB2312" w:hAnsi="仿宋" w:eastAsia="仿宋_GB2312" w:cs="仿宋"/>
          <w:sz w:val="24"/>
          <w:szCs w:val="24"/>
          <w:highlight w:val="none"/>
        </w:rPr>
        <w:t>1.2.1 服务内容：；</w:t>
      </w:r>
    </w:p>
    <w:p w14:paraId="369021A5">
      <w:pPr>
        <w:spacing w:line="560" w:lineRule="exact"/>
        <w:ind w:firstLine="480" w:firstLineChars="200"/>
        <w:outlineLvl w:val="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1.2.2 服务标准：；</w:t>
      </w:r>
    </w:p>
    <w:p w14:paraId="41017BC1">
      <w:pPr>
        <w:spacing w:line="560" w:lineRule="exact"/>
        <w:ind w:firstLine="480" w:firstLineChars="200"/>
        <w:outlineLvl w:val="0"/>
        <w:rPr>
          <w:rFonts w:ascii="仿宋_GB2312" w:hAnsi="仿宋" w:eastAsia="仿宋_GB2312" w:cs="仿宋"/>
          <w:b/>
          <w:sz w:val="24"/>
          <w:szCs w:val="24"/>
          <w:highlight w:val="none"/>
        </w:rPr>
      </w:pPr>
      <w:r>
        <w:rPr>
          <w:rFonts w:hint="eastAsia" w:ascii="仿宋_GB2312" w:hAnsi="仿宋" w:eastAsia="仿宋_GB2312" w:cs="仿宋"/>
          <w:sz w:val="24"/>
          <w:szCs w:val="24"/>
          <w:highlight w:val="none"/>
        </w:rPr>
        <w:t>1.2.3 技术保障：；</w:t>
      </w:r>
    </w:p>
    <w:p w14:paraId="3DAE80C6">
      <w:pPr>
        <w:spacing w:line="560" w:lineRule="exact"/>
        <w:ind w:firstLine="480" w:firstLineChars="200"/>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1.2.4 服务人员组成：</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w:t>
      </w:r>
    </w:p>
    <w:p w14:paraId="38466BF2">
      <w:pPr>
        <w:spacing w:line="560" w:lineRule="exact"/>
        <w:ind w:firstLine="480" w:firstLineChars="200"/>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1.2.5合同（是/否）涉及货物。若涉及货物的，则：</w:t>
      </w:r>
    </w:p>
    <w:p w14:paraId="08832F2E">
      <w:pPr>
        <w:spacing w:line="560" w:lineRule="exact"/>
        <w:ind w:firstLine="480" w:firstLineChars="200"/>
        <w:rPr>
          <w:rFonts w:ascii="仿宋_GB2312" w:hAnsi="仿宋" w:eastAsia="仿宋_GB2312" w:cs="仿宋"/>
          <w:sz w:val="24"/>
          <w:szCs w:val="24"/>
          <w:highlight w:val="none"/>
          <w:u w:val="single"/>
        </w:rPr>
      </w:pPr>
      <w:bookmarkStart w:id="404" w:name="_Toc21124"/>
      <w:bookmarkStart w:id="405" w:name="_Toc13918"/>
      <w:bookmarkStart w:id="406" w:name="_Toc1386"/>
      <w:bookmarkStart w:id="407" w:name="_Toc4929"/>
      <w:bookmarkStart w:id="408" w:name="_Toc5635"/>
      <w:r>
        <w:rPr>
          <w:rFonts w:hint="eastAsia" w:ascii="仿宋_GB2312" w:hAnsi="仿宋" w:eastAsia="仿宋_GB2312" w:cs="仿宋"/>
          <w:sz w:val="24"/>
          <w:szCs w:val="24"/>
          <w:highlight w:val="none"/>
        </w:rPr>
        <w:t>1.2.5.1 货物名称、品牌、规格型号、花色：；</w:t>
      </w:r>
    </w:p>
    <w:p w14:paraId="524CD969">
      <w:pPr>
        <w:spacing w:line="560" w:lineRule="exact"/>
        <w:ind w:firstLine="480" w:firstLineChars="20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1.2.5.2 货物数量：；</w:t>
      </w:r>
    </w:p>
    <w:p w14:paraId="503828FE">
      <w:pPr>
        <w:spacing w:line="560" w:lineRule="exact"/>
        <w:ind w:firstLine="480" w:firstLineChars="20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1.2.5.3 货物质量：</w:t>
      </w:r>
      <w:r>
        <w:rPr>
          <w:rFonts w:hint="eastAsia" w:ascii="仿宋_GB2312" w:hAnsi="仿宋" w:eastAsia="仿宋_GB2312" w:cs="仿宋"/>
          <w:sz w:val="24"/>
          <w:szCs w:val="24"/>
          <w:highlight w:val="none"/>
          <w:u w:val="single"/>
        </w:rPr>
        <w:t xml:space="preserve">　　　　　　　　　                      　 </w:t>
      </w:r>
      <w:r>
        <w:rPr>
          <w:rFonts w:hint="eastAsia" w:ascii="仿宋_GB2312" w:hAnsi="仿宋" w:eastAsia="仿宋_GB2312" w:cs="仿宋"/>
          <w:sz w:val="24"/>
          <w:szCs w:val="24"/>
          <w:highlight w:val="none"/>
        </w:rPr>
        <w:t>；</w:t>
      </w:r>
    </w:p>
    <w:p w14:paraId="16E50A60">
      <w:pPr>
        <w:spacing w:line="560" w:lineRule="exact"/>
        <w:ind w:firstLine="482" w:firstLineChars="200"/>
        <w:outlineLvl w:val="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1.3 价款</w:t>
      </w:r>
      <w:bookmarkEnd w:id="404"/>
      <w:bookmarkEnd w:id="405"/>
      <w:bookmarkEnd w:id="406"/>
      <w:bookmarkEnd w:id="407"/>
      <w:bookmarkEnd w:id="408"/>
    </w:p>
    <w:p w14:paraId="26685D45">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1.3.1总价合同，本合同总价（含税）为：￥元（大写：元人民币）。</w:t>
      </w:r>
    </w:p>
    <w:p w14:paraId="268A5379">
      <w:pPr>
        <w:spacing w:line="560" w:lineRule="exact"/>
        <w:ind w:firstLine="480" w:firstLineChars="20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9D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F28455">
            <w:pPr>
              <w:pStyle w:val="65"/>
              <w:spacing w:line="560" w:lineRule="exact"/>
              <w:jc w:val="center"/>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序号</w:t>
            </w:r>
          </w:p>
        </w:tc>
        <w:tc>
          <w:tcPr>
            <w:tcW w:w="3402" w:type="dxa"/>
            <w:vAlign w:val="center"/>
          </w:tcPr>
          <w:p w14:paraId="0E2AD669">
            <w:pPr>
              <w:pStyle w:val="65"/>
              <w:spacing w:line="560" w:lineRule="exact"/>
              <w:ind w:firstLine="200"/>
              <w:jc w:val="center"/>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分项名称</w:t>
            </w:r>
          </w:p>
        </w:tc>
        <w:tc>
          <w:tcPr>
            <w:tcW w:w="2552" w:type="dxa"/>
            <w:vAlign w:val="center"/>
          </w:tcPr>
          <w:p w14:paraId="05B122B8">
            <w:pPr>
              <w:pStyle w:val="65"/>
              <w:spacing w:line="560" w:lineRule="exact"/>
              <w:jc w:val="center"/>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分项价格</w:t>
            </w:r>
          </w:p>
        </w:tc>
      </w:tr>
      <w:tr w14:paraId="1F0B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EFAA9C">
            <w:pPr>
              <w:pStyle w:val="65"/>
              <w:spacing w:line="560" w:lineRule="exact"/>
              <w:ind w:firstLine="200"/>
              <w:jc w:val="center"/>
              <w:rPr>
                <w:rFonts w:ascii="仿宋_GB2312" w:hAnsi="仿宋" w:eastAsia="仿宋_GB2312" w:cs="仿宋"/>
                <w:sz w:val="24"/>
                <w:szCs w:val="24"/>
                <w:highlight w:val="none"/>
              </w:rPr>
            </w:pPr>
          </w:p>
        </w:tc>
        <w:tc>
          <w:tcPr>
            <w:tcW w:w="3402" w:type="dxa"/>
            <w:vAlign w:val="center"/>
          </w:tcPr>
          <w:p w14:paraId="37F1C6FA">
            <w:pPr>
              <w:pStyle w:val="65"/>
              <w:spacing w:line="560" w:lineRule="exact"/>
              <w:ind w:firstLine="200"/>
              <w:jc w:val="center"/>
              <w:rPr>
                <w:rFonts w:ascii="仿宋_GB2312" w:hAnsi="仿宋" w:eastAsia="仿宋_GB2312" w:cs="仿宋"/>
                <w:sz w:val="24"/>
                <w:szCs w:val="24"/>
                <w:highlight w:val="none"/>
              </w:rPr>
            </w:pPr>
          </w:p>
        </w:tc>
        <w:tc>
          <w:tcPr>
            <w:tcW w:w="2552" w:type="dxa"/>
            <w:vAlign w:val="center"/>
          </w:tcPr>
          <w:p w14:paraId="084E6905">
            <w:pPr>
              <w:pStyle w:val="65"/>
              <w:spacing w:line="560" w:lineRule="exact"/>
              <w:ind w:firstLine="200"/>
              <w:jc w:val="center"/>
              <w:rPr>
                <w:rFonts w:ascii="仿宋_GB2312" w:hAnsi="仿宋" w:eastAsia="仿宋_GB2312" w:cs="仿宋"/>
                <w:sz w:val="24"/>
                <w:szCs w:val="24"/>
                <w:highlight w:val="none"/>
              </w:rPr>
            </w:pPr>
          </w:p>
        </w:tc>
      </w:tr>
      <w:tr w14:paraId="15F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B65932A">
            <w:pPr>
              <w:pStyle w:val="65"/>
              <w:spacing w:line="560" w:lineRule="exact"/>
              <w:ind w:firstLine="200"/>
              <w:jc w:val="center"/>
              <w:rPr>
                <w:rFonts w:ascii="仿宋_GB2312" w:hAnsi="仿宋" w:eastAsia="仿宋_GB2312" w:cs="仿宋"/>
                <w:sz w:val="24"/>
                <w:szCs w:val="24"/>
                <w:highlight w:val="none"/>
              </w:rPr>
            </w:pPr>
          </w:p>
        </w:tc>
        <w:tc>
          <w:tcPr>
            <w:tcW w:w="3402" w:type="dxa"/>
            <w:vAlign w:val="center"/>
          </w:tcPr>
          <w:p w14:paraId="748FE698">
            <w:pPr>
              <w:pStyle w:val="65"/>
              <w:spacing w:line="560" w:lineRule="exact"/>
              <w:ind w:firstLine="200"/>
              <w:jc w:val="center"/>
              <w:rPr>
                <w:rFonts w:ascii="仿宋_GB2312" w:hAnsi="仿宋" w:eastAsia="仿宋_GB2312" w:cs="仿宋"/>
                <w:sz w:val="24"/>
                <w:szCs w:val="24"/>
                <w:highlight w:val="none"/>
              </w:rPr>
            </w:pPr>
          </w:p>
        </w:tc>
        <w:tc>
          <w:tcPr>
            <w:tcW w:w="2552" w:type="dxa"/>
            <w:vAlign w:val="center"/>
          </w:tcPr>
          <w:p w14:paraId="470EF3A9">
            <w:pPr>
              <w:pStyle w:val="65"/>
              <w:spacing w:line="560" w:lineRule="exact"/>
              <w:ind w:firstLine="200"/>
              <w:jc w:val="center"/>
              <w:rPr>
                <w:rFonts w:ascii="仿宋_GB2312" w:hAnsi="仿宋" w:eastAsia="仿宋_GB2312" w:cs="仿宋"/>
                <w:sz w:val="24"/>
                <w:szCs w:val="24"/>
                <w:highlight w:val="none"/>
              </w:rPr>
            </w:pPr>
          </w:p>
        </w:tc>
      </w:tr>
      <w:tr w14:paraId="7CB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27D8AE">
            <w:pPr>
              <w:pStyle w:val="65"/>
              <w:spacing w:line="560" w:lineRule="exact"/>
              <w:ind w:firstLine="200"/>
              <w:jc w:val="center"/>
              <w:rPr>
                <w:rFonts w:ascii="仿宋_GB2312" w:hAnsi="仿宋" w:eastAsia="仿宋_GB2312" w:cs="仿宋"/>
                <w:sz w:val="24"/>
                <w:szCs w:val="24"/>
                <w:highlight w:val="none"/>
              </w:rPr>
            </w:pPr>
          </w:p>
        </w:tc>
        <w:tc>
          <w:tcPr>
            <w:tcW w:w="3402" w:type="dxa"/>
            <w:vAlign w:val="center"/>
          </w:tcPr>
          <w:p w14:paraId="484203F5">
            <w:pPr>
              <w:pStyle w:val="65"/>
              <w:spacing w:line="560" w:lineRule="exact"/>
              <w:ind w:firstLine="200"/>
              <w:jc w:val="center"/>
              <w:rPr>
                <w:rFonts w:ascii="仿宋_GB2312" w:hAnsi="仿宋" w:eastAsia="仿宋_GB2312" w:cs="仿宋"/>
                <w:sz w:val="24"/>
                <w:szCs w:val="24"/>
                <w:highlight w:val="none"/>
              </w:rPr>
            </w:pPr>
          </w:p>
        </w:tc>
        <w:tc>
          <w:tcPr>
            <w:tcW w:w="2552" w:type="dxa"/>
            <w:vAlign w:val="center"/>
          </w:tcPr>
          <w:p w14:paraId="09AE3487">
            <w:pPr>
              <w:pStyle w:val="65"/>
              <w:spacing w:line="560" w:lineRule="exact"/>
              <w:ind w:firstLine="200"/>
              <w:jc w:val="center"/>
              <w:rPr>
                <w:rFonts w:ascii="仿宋_GB2312" w:hAnsi="仿宋" w:eastAsia="仿宋_GB2312" w:cs="仿宋"/>
                <w:sz w:val="24"/>
                <w:szCs w:val="24"/>
                <w:highlight w:val="none"/>
              </w:rPr>
            </w:pPr>
          </w:p>
        </w:tc>
      </w:tr>
      <w:tr w14:paraId="22F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1C2E0C">
            <w:pPr>
              <w:pStyle w:val="65"/>
              <w:spacing w:line="560" w:lineRule="exact"/>
              <w:ind w:firstLine="200"/>
              <w:jc w:val="center"/>
              <w:rPr>
                <w:rFonts w:ascii="仿宋_GB2312" w:hAnsi="仿宋" w:eastAsia="仿宋_GB2312" w:cs="仿宋"/>
                <w:sz w:val="24"/>
                <w:szCs w:val="24"/>
                <w:highlight w:val="none"/>
              </w:rPr>
            </w:pPr>
          </w:p>
        </w:tc>
        <w:tc>
          <w:tcPr>
            <w:tcW w:w="3402" w:type="dxa"/>
            <w:vAlign w:val="center"/>
          </w:tcPr>
          <w:p w14:paraId="7EB5BC76">
            <w:pPr>
              <w:pStyle w:val="65"/>
              <w:spacing w:line="560" w:lineRule="exact"/>
              <w:ind w:firstLine="200"/>
              <w:jc w:val="center"/>
              <w:rPr>
                <w:rFonts w:ascii="仿宋_GB2312" w:hAnsi="仿宋" w:eastAsia="仿宋_GB2312" w:cs="仿宋"/>
                <w:sz w:val="24"/>
                <w:szCs w:val="24"/>
                <w:highlight w:val="none"/>
              </w:rPr>
            </w:pPr>
          </w:p>
        </w:tc>
        <w:tc>
          <w:tcPr>
            <w:tcW w:w="2552" w:type="dxa"/>
            <w:vAlign w:val="center"/>
          </w:tcPr>
          <w:p w14:paraId="3C95A68E">
            <w:pPr>
              <w:pStyle w:val="65"/>
              <w:spacing w:line="560" w:lineRule="exact"/>
              <w:ind w:firstLine="200"/>
              <w:jc w:val="center"/>
              <w:rPr>
                <w:rFonts w:ascii="仿宋_GB2312" w:hAnsi="仿宋" w:eastAsia="仿宋_GB2312" w:cs="仿宋"/>
                <w:sz w:val="24"/>
                <w:szCs w:val="24"/>
                <w:highlight w:val="none"/>
              </w:rPr>
            </w:pPr>
          </w:p>
        </w:tc>
      </w:tr>
      <w:tr w14:paraId="1C6F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124BDA">
            <w:pPr>
              <w:pStyle w:val="65"/>
              <w:spacing w:line="560" w:lineRule="exact"/>
              <w:ind w:firstLine="200"/>
              <w:jc w:val="center"/>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总价</w:t>
            </w:r>
          </w:p>
        </w:tc>
        <w:tc>
          <w:tcPr>
            <w:tcW w:w="2552" w:type="dxa"/>
            <w:vAlign w:val="center"/>
          </w:tcPr>
          <w:p w14:paraId="41882812">
            <w:pPr>
              <w:pStyle w:val="65"/>
              <w:spacing w:line="560" w:lineRule="exact"/>
              <w:ind w:firstLine="200"/>
              <w:jc w:val="center"/>
              <w:rPr>
                <w:rFonts w:ascii="仿宋_GB2312" w:hAnsi="仿宋" w:eastAsia="仿宋_GB2312" w:cs="仿宋"/>
                <w:sz w:val="24"/>
                <w:szCs w:val="24"/>
                <w:highlight w:val="none"/>
              </w:rPr>
            </w:pPr>
          </w:p>
        </w:tc>
      </w:tr>
    </w:tbl>
    <w:p w14:paraId="798EB1B8">
      <w:pPr>
        <w:pStyle w:val="66"/>
        <w:spacing w:before="0" w:beforeAutospacing="0" w:after="0" w:afterAutospacing="0" w:line="560" w:lineRule="exact"/>
        <w:ind w:firstLine="480"/>
        <w:rPr>
          <w:rFonts w:ascii="仿宋_GB2312" w:hAnsi="仿宋" w:eastAsia="仿宋_GB2312" w:cs="仿宋"/>
          <w:b/>
          <w:highlight w:val="none"/>
        </w:rPr>
      </w:pPr>
      <w:bookmarkStart w:id="409" w:name="_Toc1814"/>
      <w:bookmarkStart w:id="410" w:name="_Toc22618"/>
      <w:bookmarkStart w:id="411" w:name="_Toc10340"/>
      <w:bookmarkStart w:id="412" w:name="_Toc8772"/>
      <w:bookmarkStart w:id="413" w:name="_Toc31421"/>
      <w:bookmarkStart w:id="414" w:name="_Toc4760"/>
      <w:bookmarkStart w:id="415" w:name="_Toc3625"/>
      <w:bookmarkStart w:id="416" w:name="_Toc11108"/>
      <w:r>
        <w:rPr>
          <w:rFonts w:hint="eastAsia" w:ascii="仿宋_GB2312" w:hAnsi="仿宋" w:eastAsia="仿宋_GB2312" w:cs="仿宋"/>
          <w:b/>
          <w:highlight w:val="none"/>
        </w:rPr>
        <w:t>1.4履约保证金</w:t>
      </w:r>
    </w:p>
    <w:p w14:paraId="10E85D83">
      <w:pPr>
        <w:pStyle w:val="66"/>
        <w:spacing w:before="0" w:beforeAutospacing="0" w:after="0" w:afterAutospacing="0" w:line="560" w:lineRule="exact"/>
        <w:ind w:firstLine="480"/>
        <w:rPr>
          <w:rFonts w:ascii="仿宋_GB2312" w:hAnsi="仿宋" w:eastAsia="仿宋_GB2312" w:cs="仿宋"/>
          <w:highlight w:val="none"/>
        </w:rPr>
      </w:pPr>
      <w:r>
        <w:rPr>
          <w:rFonts w:hint="eastAsia" w:ascii="仿宋_GB2312" w:hAnsi="仿宋" w:eastAsia="仿宋_GB2312" w:cs="仿宋"/>
          <w:highlight w:val="none"/>
        </w:rPr>
        <w:t>乙方</w:t>
      </w:r>
      <w:r>
        <w:rPr>
          <w:rFonts w:hint="eastAsia" w:ascii="仿宋_GB2312" w:hAnsi="仿宋" w:eastAsia="仿宋_GB2312" w:cs="仿宋"/>
          <w:highlight w:val="none"/>
          <w:u w:val="single"/>
        </w:rPr>
        <w:t xml:space="preserve"> 否 </w:t>
      </w:r>
      <w:r>
        <w:rPr>
          <w:rFonts w:hint="eastAsia" w:ascii="仿宋_GB2312" w:hAnsi="仿宋" w:eastAsia="仿宋_GB2312" w:cs="仿宋"/>
          <w:highlight w:val="none"/>
        </w:rPr>
        <w:t>（是/否）需要支付履约保证金。若需要支付履约保证金的，则：</w:t>
      </w:r>
    </w:p>
    <w:p w14:paraId="6086D6B5">
      <w:pPr>
        <w:spacing w:line="560" w:lineRule="exact"/>
        <w:ind w:firstLine="482" w:firstLineChars="200"/>
        <w:outlineLvl w:val="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1.5</w:t>
      </w:r>
      <w:bookmarkEnd w:id="409"/>
      <w:bookmarkEnd w:id="410"/>
      <w:bookmarkEnd w:id="411"/>
      <w:r>
        <w:rPr>
          <w:rFonts w:hint="eastAsia" w:ascii="仿宋_GB2312" w:hAnsi="仿宋" w:eastAsia="仿宋_GB2312" w:cs="仿宋"/>
          <w:b/>
          <w:sz w:val="24"/>
          <w:szCs w:val="24"/>
          <w:highlight w:val="none"/>
        </w:rPr>
        <w:t>预付款</w:t>
      </w:r>
    </w:p>
    <w:p w14:paraId="24AC53E0">
      <w:pPr>
        <w:pStyle w:val="66"/>
        <w:spacing w:before="0" w:beforeAutospacing="0" w:after="0" w:afterAutospacing="0" w:line="560" w:lineRule="exact"/>
        <w:ind w:firstLine="480"/>
        <w:rPr>
          <w:rFonts w:ascii="仿宋_GB2312" w:hAnsi="仿宋" w:eastAsia="仿宋_GB2312" w:cs="仿宋"/>
          <w:highlight w:val="none"/>
        </w:rPr>
      </w:pPr>
      <w:r>
        <w:rPr>
          <w:rFonts w:hint="eastAsia" w:ascii="仿宋_GB2312" w:hAnsi="仿宋" w:eastAsia="仿宋_GB2312" w:cs="仿宋"/>
          <w:highlight w:val="none"/>
        </w:rPr>
        <w:t>甲方（是/否）需要支付预付款。若需要支付预付款的，则：</w:t>
      </w:r>
    </w:p>
    <w:p w14:paraId="78E03646">
      <w:pPr>
        <w:spacing w:line="560" w:lineRule="exact"/>
        <w:ind w:firstLine="480" w:firstLineChars="200"/>
        <w:rPr>
          <w:rFonts w:ascii="仿宋_GB2312" w:hAnsi="仿宋" w:eastAsia="仿宋_GB2312" w:cs="仿宋"/>
          <w:kern w:val="0"/>
          <w:sz w:val="24"/>
          <w:szCs w:val="24"/>
          <w:highlight w:val="none"/>
        </w:rPr>
      </w:pPr>
      <w:r>
        <w:rPr>
          <w:rFonts w:hint="eastAsia" w:ascii="仿宋_GB2312" w:hAnsi="仿宋" w:eastAsia="仿宋_GB2312" w:cs="仿宋"/>
          <w:kern w:val="0"/>
          <w:sz w:val="24"/>
          <w:szCs w:val="24"/>
          <w:highlight w:val="none"/>
        </w:rPr>
        <w:t>1.5.1预付款比例、支付方式、时间详见</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kern w:val="0"/>
          <w:sz w:val="24"/>
          <w:szCs w:val="24"/>
          <w:highlight w:val="none"/>
        </w:rPr>
        <w:t>；</w:t>
      </w:r>
    </w:p>
    <w:p w14:paraId="65B50F7E">
      <w:pPr>
        <w:pStyle w:val="66"/>
        <w:spacing w:before="0" w:beforeAutospacing="0" w:after="0" w:afterAutospacing="0" w:line="560" w:lineRule="exact"/>
        <w:ind w:firstLine="480"/>
        <w:rPr>
          <w:rFonts w:ascii="仿宋_GB2312" w:hAnsi="仿宋" w:eastAsia="仿宋_GB2312" w:cs="仿宋"/>
          <w:highlight w:val="none"/>
          <w:u w:val="single"/>
        </w:rPr>
      </w:pPr>
      <w:r>
        <w:rPr>
          <w:rFonts w:hint="eastAsia" w:ascii="仿宋_GB2312" w:hAnsi="仿宋" w:eastAsia="仿宋_GB2312" w:cs="仿宋"/>
          <w:highlight w:val="none"/>
        </w:rPr>
        <w:t>1.5.2预付款的担保措施详见</w:t>
      </w:r>
      <w:r>
        <w:rPr>
          <w:rFonts w:hint="eastAsia" w:ascii="仿宋_GB2312" w:hAnsi="仿宋" w:eastAsia="仿宋_GB2312" w:cs="仿宋"/>
          <w:b/>
          <w:i/>
          <w:highlight w:val="none"/>
          <w:u w:val="single"/>
        </w:rPr>
        <w:t>合同专用条款</w:t>
      </w:r>
      <w:r>
        <w:rPr>
          <w:rFonts w:hint="eastAsia" w:ascii="仿宋_GB2312" w:hAnsi="仿宋" w:eastAsia="仿宋_GB2312" w:cs="仿宋"/>
          <w:highlight w:val="none"/>
        </w:rPr>
        <w:t>。</w:t>
      </w:r>
    </w:p>
    <w:p w14:paraId="6292D65B">
      <w:pPr>
        <w:pStyle w:val="66"/>
        <w:spacing w:before="0" w:beforeAutospacing="0" w:after="0" w:afterAutospacing="0" w:line="560" w:lineRule="exact"/>
        <w:ind w:firstLine="480"/>
        <w:rPr>
          <w:rFonts w:ascii="仿宋_GB2312" w:hAnsi="仿宋" w:eastAsia="仿宋_GB2312" w:cs="仿宋"/>
          <w:b/>
          <w:bCs/>
          <w:highlight w:val="none"/>
        </w:rPr>
      </w:pPr>
      <w:r>
        <w:rPr>
          <w:rFonts w:hint="eastAsia" w:ascii="仿宋_GB2312" w:hAnsi="仿宋" w:eastAsia="仿宋_GB2312" w:cs="仿宋"/>
          <w:b/>
          <w:bCs/>
          <w:highlight w:val="none"/>
        </w:rPr>
        <w:t>1.6资金支付</w:t>
      </w:r>
    </w:p>
    <w:p w14:paraId="1A7D9A68">
      <w:pPr>
        <w:pStyle w:val="66"/>
        <w:spacing w:before="0" w:beforeAutospacing="0" w:after="0" w:afterAutospacing="0" w:line="560" w:lineRule="exact"/>
        <w:ind w:firstLine="480"/>
        <w:rPr>
          <w:rFonts w:ascii="仿宋_GB2312" w:hAnsi="仿宋" w:eastAsia="仿宋_GB2312" w:cs="仿宋"/>
          <w:highlight w:val="none"/>
        </w:rPr>
      </w:pPr>
      <w:r>
        <w:rPr>
          <w:rFonts w:hint="eastAsia" w:ascii="仿宋_GB2312" w:hAnsi="仿宋" w:eastAsia="仿宋_GB2312"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CDF50B3">
      <w:pPr>
        <w:spacing w:line="560" w:lineRule="exact"/>
        <w:ind w:firstLine="480" w:firstLineChars="200"/>
        <w:outlineLvl w:val="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1.6.2资金支付的方式、时间和条件详见</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7087022F">
      <w:pPr>
        <w:spacing w:line="560" w:lineRule="exact"/>
        <w:ind w:firstLine="482" w:firstLineChars="200"/>
        <w:outlineLvl w:val="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1.7 履行期限、地点和方式</w:t>
      </w:r>
      <w:bookmarkEnd w:id="412"/>
      <w:bookmarkEnd w:id="413"/>
      <w:bookmarkEnd w:id="414"/>
      <w:bookmarkEnd w:id="415"/>
      <w:bookmarkEnd w:id="416"/>
    </w:p>
    <w:p w14:paraId="4D99582A">
      <w:pPr>
        <w:spacing w:line="560" w:lineRule="exact"/>
        <w:ind w:firstLine="480" w:firstLineChars="200"/>
        <w:rPr>
          <w:rFonts w:ascii="仿宋_GB2312" w:hAnsi="仿宋" w:eastAsia="仿宋_GB2312" w:cs="仿宋"/>
          <w:sz w:val="24"/>
          <w:szCs w:val="24"/>
          <w:highlight w:val="none"/>
          <w:u w:val="single"/>
        </w:rPr>
      </w:pPr>
      <w:r>
        <w:rPr>
          <w:rFonts w:hint="eastAsia" w:ascii="仿宋_GB2312" w:hAnsi="仿宋" w:eastAsia="仿宋_GB2312" w:cs="仿宋"/>
          <w:sz w:val="24"/>
          <w:szCs w:val="24"/>
          <w:highlight w:val="none"/>
        </w:rPr>
        <w:t>1.7.1 货物交付（实施）的时间（期限）：</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7D0D7DDE">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1.7.2 货物交付（实施）的地点（地域范围）：</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0759271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1.7.3 货物交付（实施）的方式：</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3F07BF53">
      <w:pPr>
        <w:spacing w:line="560" w:lineRule="exact"/>
        <w:ind w:firstLine="482" w:firstLineChars="200"/>
        <w:outlineLvl w:val="0"/>
        <w:rPr>
          <w:rFonts w:ascii="仿宋_GB2312" w:hAnsi="仿宋" w:eastAsia="仿宋_GB2312" w:cs="仿宋"/>
          <w:sz w:val="24"/>
          <w:szCs w:val="24"/>
          <w:highlight w:val="none"/>
          <w:u w:val="single"/>
        </w:rPr>
      </w:pPr>
      <w:bookmarkStart w:id="417" w:name="_Toc8586"/>
      <w:bookmarkStart w:id="418" w:name="_Toc2375"/>
      <w:bookmarkStart w:id="419" w:name="_Toc3079"/>
      <w:bookmarkStart w:id="420" w:name="_Toc24662"/>
      <w:bookmarkStart w:id="421" w:name="_Toc5698"/>
      <w:r>
        <w:rPr>
          <w:rFonts w:hint="eastAsia" w:ascii="仿宋_GB2312" w:hAnsi="仿宋" w:eastAsia="仿宋_GB2312" w:cs="仿宋"/>
          <w:b/>
          <w:sz w:val="24"/>
          <w:szCs w:val="24"/>
          <w:highlight w:val="none"/>
        </w:rPr>
        <w:t>1.8违约责任</w:t>
      </w:r>
      <w:bookmarkEnd w:id="417"/>
      <w:bookmarkEnd w:id="418"/>
      <w:bookmarkEnd w:id="419"/>
      <w:bookmarkEnd w:id="420"/>
      <w:bookmarkEnd w:id="421"/>
    </w:p>
    <w:p w14:paraId="59487D8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3110757D">
      <w:pPr>
        <w:pStyle w:val="2"/>
        <w:spacing w:line="560" w:lineRule="exact"/>
        <w:ind w:firstLine="480" w:firstLineChars="200"/>
        <w:rPr>
          <w:rFonts w:ascii="仿宋_GB2312" w:eastAsia="仿宋_GB2312" w:cs="仿宋"/>
          <w:b w:val="0"/>
          <w:sz w:val="24"/>
          <w:szCs w:val="24"/>
          <w:highlight w:val="none"/>
        </w:rPr>
      </w:pPr>
      <w:r>
        <w:rPr>
          <w:rFonts w:hint="eastAsia" w:ascii="仿宋_GB2312" w:eastAsia="仿宋_GB2312" w:cs="仿宋"/>
          <w:b w:val="0"/>
          <w:sz w:val="24"/>
          <w:szCs w:val="24"/>
          <w:highlight w:val="none"/>
        </w:rPr>
        <w:t>1.8.2服务中涉及的货物，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5512337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1.8.3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6491BAF3">
      <w:pPr>
        <w:spacing w:line="560" w:lineRule="exact"/>
        <w:ind w:firstLine="480" w:firstLineChars="200"/>
        <w:rPr>
          <w:rFonts w:ascii="仿宋_GB2312" w:hAnsi="仿宋" w:eastAsia="仿宋_GB2312" w:cs="仿宋"/>
          <w:sz w:val="24"/>
          <w:szCs w:val="24"/>
          <w:highlight w:val="none"/>
        </w:rPr>
      </w:pPr>
      <w:bookmarkStart w:id="422" w:name="_Toc26807"/>
      <w:bookmarkStart w:id="423" w:name="_Toc32454"/>
      <w:bookmarkStart w:id="424" w:name="_Toc30329"/>
      <w:bookmarkStart w:id="425" w:name="_Toc18683"/>
      <w:bookmarkStart w:id="426" w:name="_Toc9497"/>
      <w:r>
        <w:rPr>
          <w:rFonts w:hint="eastAsia" w:ascii="仿宋_GB2312" w:hAnsi="仿宋" w:eastAsia="仿宋_GB2312" w:cs="仿宋"/>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6F4D15">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E463427">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D31E998">
      <w:pPr>
        <w:spacing w:line="560" w:lineRule="exact"/>
        <w:ind w:right="-420" w:rightChars="-200"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1.8.7违约责任</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另有约定的，从其约定。</w:t>
      </w:r>
    </w:p>
    <w:bookmarkEnd w:id="422"/>
    <w:bookmarkEnd w:id="423"/>
    <w:bookmarkEnd w:id="424"/>
    <w:bookmarkEnd w:id="425"/>
    <w:bookmarkEnd w:id="426"/>
    <w:p w14:paraId="150F63E3">
      <w:pPr>
        <w:spacing w:line="560" w:lineRule="exact"/>
        <w:ind w:firstLine="482" w:firstLineChars="200"/>
        <w:outlineLvl w:val="0"/>
        <w:rPr>
          <w:rFonts w:ascii="仿宋_GB2312" w:hAnsi="仿宋" w:eastAsia="仿宋_GB2312" w:cs="仿宋"/>
          <w:b/>
          <w:sz w:val="24"/>
          <w:szCs w:val="24"/>
          <w:highlight w:val="none"/>
        </w:rPr>
      </w:pPr>
      <w:bookmarkStart w:id="427" w:name="_Toc28375"/>
      <w:bookmarkStart w:id="428" w:name="_Toc15583"/>
      <w:bookmarkStart w:id="429" w:name="_Toc16021"/>
      <w:r>
        <w:rPr>
          <w:rFonts w:hint="eastAsia" w:ascii="仿宋_GB2312" w:hAnsi="仿宋" w:eastAsia="仿宋_GB2312" w:cs="仿宋"/>
          <w:b/>
          <w:sz w:val="24"/>
          <w:szCs w:val="24"/>
          <w:highlight w:val="none"/>
        </w:rPr>
        <w:t>1.9合同争议的解决</w:t>
      </w:r>
      <w:bookmarkEnd w:id="427"/>
      <w:bookmarkEnd w:id="428"/>
      <w:bookmarkEnd w:id="429"/>
    </w:p>
    <w:p w14:paraId="27135B75">
      <w:pPr>
        <w:spacing w:line="560" w:lineRule="exact"/>
        <w:ind w:left="-61" w:leftChars="-29" w:right="-420" w:rightChars="-200" w:firstLine="240" w:firstLineChars="1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  本合同履行过程中发生的任何争议，双方当事人均可通过和解或者调解解决；不愿和解、调解或者和解、调解不成的，可以选择以下第条款规定的方式解决：</w:t>
      </w:r>
    </w:p>
    <w:p w14:paraId="7BC4A3DD">
      <w:pPr>
        <w:spacing w:line="560" w:lineRule="exact"/>
        <w:ind w:left="-420" w:leftChars="-200" w:right="-420" w:rightChars="-200" w:firstLine="600" w:firstLineChars="25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1.9.1 将争议提交舟山仲裁委员会依申请仲裁时其现行有效的仲裁规则裁决；</w:t>
      </w:r>
    </w:p>
    <w:p w14:paraId="3E3BF09F">
      <w:pPr>
        <w:spacing w:line="560" w:lineRule="exact"/>
        <w:ind w:left="-420" w:leftChars="-200" w:right="-420" w:rightChars="-200" w:firstLine="600" w:firstLineChars="25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1.9.2 向</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人民法院起诉。</w:t>
      </w:r>
    </w:p>
    <w:p w14:paraId="40DFC2FC">
      <w:pPr>
        <w:spacing w:line="560" w:lineRule="exact"/>
        <w:ind w:firstLine="482" w:firstLineChars="200"/>
        <w:outlineLvl w:val="0"/>
        <w:rPr>
          <w:rFonts w:ascii="仿宋_GB2312" w:hAnsi="仿宋" w:eastAsia="仿宋_GB2312" w:cs="仿宋"/>
          <w:b/>
          <w:sz w:val="24"/>
          <w:szCs w:val="24"/>
          <w:highlight w:val="none"/>
        </w:rPr>
      </w:pPr>
      <w:bookmarkStart w:id="430" w:name="_Toc15322"/>
      <w:bookmarkStart w:id="431" w:name="_Toc11173"/>
      <w:bookmarkStart w:id="432" w:name="_Toc7245"/>
      <w:r>
        <w:rPr>
          <w:rFonts w:hint="eastAsia" w:ascii="仿宋_GB2312" w:hAnsi="仿宋" w:eastAsia="仿宋_GB2312" w:cs="仿宋"/>
          <w:b/>
          <w:sz w:val="24"/>
          <w:szCs w:val="24"/>
          <w:highlight w:val="none"/>
        </w:rPr>
        <w:t>2.0 合同生效</w:t>
      </w:r>
      <w:bookmarkEnd w:id="430"/>
      <w:bookmarkEnd w:id="431"/>
      <w:bookmarkEnd w:id="432"/>
    </w:p>
    <w:p w14:paraId="60797E04">
      <w:pPr>
        <w:spacing w:line="560" w:lineRule="exact"/>
        <w:ind w:firstLine="480" w:firstLineChars="200"/>
        <w:rPr>
          <w:rFonts w:ascii="仿宋_GB2312" w:hAnsi="仿宋" w:eastAsia="仿宋_GB2312" w:cs="仿宋"/>
          <w:b/>
          <w:sz w:val="24"/>
          <w:szCs w:val="24"/>
          <w:highlight w:val="none"/>
        </w:rPr>
      </w:pPr>
      <w:r>
        <w:rPr>
          <w:rFonts w:hint="eastAsia" w:ascii="仿宋_GB2312" w:hAnsi="仿宋" w:eastAsia="仿宋_GB2312" w:cs="仿宋"/>
          <w:sz w:val="24"/>
          <w:szCs w:val="24"/>
          <w:highlight w:val="none"/>
        </w:rPr>
        <w:t>本合同自双方当事人盖章签字时生效。</w:t>
      </w:r>
    </w:p>
    <w:p w14:paraId="69445B58">
      <w:pPr>
        <w:autoSpaceDE w:val="0"/>
        <w:autoSpaceDN w:val="0"/>
        <w:spacing w:line="560" w:lineRule="exact"/>
        <w:rPr>
          <w:rFonts w:ascii="仿宋_GB2312" w:hAnsi="仿宋" w:eastAsia="仿宋_GB2312" w:cs="仿宋"/>
          <w:sz w:val="24"/>
          <w:szCs w:val="24"/>
          <w:highlight w:val="none"/>
          <w:lang w:val="zh-CN"/>
        </w:rPr>
      </w:pPr>
      <w:r>
        <w:rPr>
          <w:rFonts w:hint="eastAsia" w:ascii="仿宋_GB2312" w:hAnsi="仿宋" w:eastAsia="仿宋_GB2312" w:cs="仿宋"/>
          <w:b/>
          <w:sz w:val="24"/>
          <w:szCs w:val="24"/>
          <w:highlight w:val="none"/>
          <w:lang w:val="zh-CN"/>
        </w:rPr>
        <w:t>甲方</w:t>
      </w:r>
      <w:r>
        <w:rPr>
          <w:rFonts w:hint="eastAsia" w:ascii="仿宋_GB2312" w:hAnsi="仿宋" w:eastAsia="仿宋_GB2312" w:cs="仿宋"/>
          <w:sz w:val="24"/>
          <w:szCs w:val="24"/>
          <w:highlight w:val="none"/>
          <w:lang w:val="zh-CN"/>
        </w:rPr>
        <w:t xml:space="preserve">：                             </w:t>
      </w:r>
      <w:r>
        <w:rPr>
          <w:rFonts w:hint="eastAsia" w:ascii="仿宋_GB2312" w:hAnsi="仿宋" w:eastAsia="仿宋_GB2312" w:cs="仿宋"/>
          <w:b/>
          <w:sz w:val="24"/>
          <w:szCs w:val="24"/>
          <w:highlight w:val="none"/>
          <w:lang w:val="zh-CN"/>
        </w:rPr>
        <w:t xml:space="preserve">      乙方</w:t>
      </w:r>
      <w:r>
        <w:rPr>
          <w:rFonts w:hint="eastAsia" w:ascii="仿宋_GB2312" w:hAnsi="仿宋" w:eastAsia="仿宋_GB2312" w:cs="仿宋"/>
          <w:sz w:val="24"/>
          <w:szCs w:val="24"/>
          <w:highlight w:val="none"/>
          <w:lang w:val="zh-CN"/>
        </w:rPr>
        <w:t>：</w:t>
      </w:r>
    </w:p>
    <w:p w14:paraId="64AF3A4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统一社会信用代码：                        统一社会信用代码或身份证号码：</w:t>
      </w:r>
    </w:p>
    <w:p w14:paraId="566BE5A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p>
    <w:p w14:paraId="509B44C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住所：                                   住所：</w:t>
      </w:r>
    </w:p>
    <w:p w14:paraId="7F42E4C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法定代表人或                             法定代表人或</w:t>
      </w:r>
    </w:p>
    <w:p w14:paraId="1671DB4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 xml:space="preserve">授权代表（签字）：                       授权代表（签字）: </w:t>
      </w:r>
    </w:p>
    <w:p w14:paraId="492E775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联系人：                                 联系人：</w:t>
      </w:r>
    </w:p>
    <w:p w14:paraId="2AEFDA8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约定送达地址：                           约定送达地址：</w:t>
      </w:r>
    </w:p>
    <w:p w14:paraId="068297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邮政编码：                               邮政编码：</w:t>
      </w:r>
    </w:p>
    <w:p w14:paraId="2179EB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 xml:space="preserve">电话:                                    电话: </w:t>
      </w:r>
    </w:p>
    <w:p w14:paraId="6DFDE1C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lang w:val="zh-CN"/>
        </w:rPr>
      </w:pPr>
      <w:r>
        <w:rPr>
          <w:rFonts w:hint="eastAsia" w:ascii="仿宋_GB2312" w:hAnsi="仿宋" w:eastAsia="仿宋_GB2312" w:cs="仿宋"/>
          <w:sz w:val="24"/>
          <w:szCs w:val="24"/>
          <w:highlight w:val="none"/>
          <w:lang w:val="zh-CN"/>
        </w:rPr>
        <w:t>传真:                                    传真:</w:t>
      </w:r>
    </w:p>
    <w:p w14:paraId="1522AB8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lang w:val="zh-CN"/>
        </w:rPr>
        <w:t>电子邮箱：                               电子邮箱：</w:t>
      </w:r>
    </w:p>
    <w:p w14:paraId="438BA23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开户银行：                               开户银行： </w:t>
      </w:r>
    </w:p>
    <w:p w14:paraId="3F62524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开户名称：                               开户名称： </w:t>
      </w:r>
    </w:p>
    <w:p w14:paraId="55CFECD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开户账号：</w:t>
      </w:r>
      <w:r>
        <w:rPr>
          <w:rFonts w:hint="eastAsia" w:ascii="仿宋_GB2312" w:hAnsi="仿宋" w:eastAsia="仿宋_GB2312" w:cs="仿宋"/>
          <w:sz w:val="24"/>
          <w:szCs w:val="24"/>
          <w:highlight w:val="none"/>
          <w:lang w:val="en-US" w:eastAsia="zh-CN"/>
        </w:rPr>
        <w:t xml:space="preserve">                                </w:t>
      </w:r>
      <w:r>
        <w:rPr>
          <w:rFonts w:hint="eastAsia" w:ascii="仿宋_GB2312" w:hAnsi="仿宋" w:eastAsia="仿宋_GB2312" w:cs="仿宋"/>
          <w:sz w:val="24"/>
          <w:szCs w:val="24"/>
          <w:highlight w:val="none"/>
        </w:rPr>
        <w:t>开户账号：</w:t>
      </w:r>
    </w:p>
    <w:p w14:paraId="04D55B9E">
      <w:pPr>
        <w:widowControl/>
        <w:spacing w:line="560" w:lineRule="exact"/>
        <w:jc w:val="left"/>
        <w:rPr>
          <w:rFonts w:ascii="仿宋_GB2312" w:hAnsi="仿宋" w:eastAsia="仿宋_GB2312" w:cs="仿宋"/>
          <w:b/>
          <w:sz w:val="24"/>
          <w:szCs w:val="24"/>
          <w:highlight w:val="none"/>
        </w:rPr>
      </w:pPr>
    </w:p>
    <w:p w14:paraId="1EC98429">
      <w:pPr>
        <w:widowControl/>
        <w:spacing w:line="560" w:lineRule="exact"/>
        <w:jc w:val="center"/>
        <w:rPr>
          <w:rFonts w:ascii="仿宋_GB2312" w:hAnsi="仿宋" w:eastAsia="仿宋_GB2312" w:cs="仿宋"/>
          <w:b/>
          <w:szCs w:val="24"/>
          <w:highlight w:val="none"/>
          <w:lang w:eastAsia="zh-CN"/>
        </w:rPr>
      </w:pPr>
      <w:r>
        <w:rPr>
          <w:rFonts w:hint="eastAsia" w:ascii="仿宋_GB2312" w:hAnsi="仿宋" w:eastAsia="仿宋_GB2312" w:cs="仿宋"/>
          <w:b/>
          <w:szCs w:val="24"/>
          <w:highlight w:val="none"/>
          <w:lang w:eastAsia="zh-CN"/>
        </w:rPr>
        <w:t>第二部分 合同一般条款</w:t>
      </w:r>
    </w:p>
    <w:p w14:paraId="2C32AAFB">
      <w:pPr>
        <w:spacing w:line="560" w:lineRule="exact"/>
        <w:ind w:firstLine="482" w:firstLineChars="200"/>
        <w:outlineLvl w:val="0"/>
        <w:rPr>
          <w:rFonts w:ascii="仿宋_GB2312" w:hAnsi="仿宋" w:eastAsia="仿宋_GB2312" w:cs="仿宋"/>
          <w:b/>
          <w:sz w:val="24"/>
          <w:szCs w:val="24"/>
          <w:highlight w:val="none"/>
        </w:rPr>
      </w:pPr>
      <w:bookmarkStart w:id="433" w:name="_Toc19680"/>
      <w:bookmarkStart w:id="434" w:name="_Toc5228"/>
      <w:bookmarkStart w:id="435" w:name="_Toc14021"/>
      <w:bookmarkStart w:id="436" w:name="_Toc25079"/>
      <w:bookmarkStart w:id="437" w:name="_Toc31297"/>
      <w:r>
        <w:rPr>
          <w:rFonts w:hint="eastAsia" w:ascii="仿宋_GB2312" w:hAnsi="仿宋" w:eastAsia="仿宋_GB2312" w:cs="仿宋"/>
          <w:b/>
          <w:sz w:val="24"/>
          <w:szCs w:val="24"/>
          <w:highlight w:val="none"/>
        </w:rPr>
        <w:t>2.1 定义</w:t>
      </w:r>
      <w:bookmarkEnd w:id="433"/>
      <w:bookmarkEnd w:id="434"/>
      <w:bookmarkEnd w:id="435"/>
      <w:bookmarkEnd w:id="436"/>
      <w:bookmarkEnd w:id="437"/>
    </w:p>
    <w:p w14:paraId="39457E9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本合同中的下列词语应按以下内容进行解释：</w:t>
      </w:r>
    </w:p>
    <w:p w14:paraId="3E912184">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 “合同”系指采购人和中标或成交供应商签订的载明双方当事人所达成的协议，并包括所有的附件、附录和构成合同的其他文件。</w:t>
      </w:r>
    </w:p>
    <w:p w14:paraId="574EA11B">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2.1.2 “合同价”系指根据合同约定，中标或成交供应商在完全履行合同义务后，采购人应支付给中标或成交供应商的价格。</w:t>
      </w:r>
    </w:p>
    <w:p w14:paraId="181F26C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001FCE4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2.1.4 “甲方”系指与中标或成交供应商签署合同的采购人；采购人委托采购代理机构代表其与乙方签订合同的，采购人的授权委托书作为合同附件。</w:t>
      </w:r>
    </w:p>
    <w:p w14:paraId="79E63B8B">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0D17270">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2.1.6 “现场”系指合同约定提供服务的地点。</w:t>
      </w:r>
    </w:p>
    <w:p w14:paraId="1273C8ED">
      <w:pPr>
        <w:spacing w:line="560" w:lineRule="exact"/>
        <w:ind w:firstLine="482" w:firstLineChars="200"/>
        <w:outlineLvl w:val="0"/>
        <w:rPr>
          <w:rFonts w:ascii="仿宋_GB2312" w:hAnsi="仿宋" w:eastAsia="仿宋_GB2312" w:cs="仿宋"/>
          <w:b/>
          <w:sz w:val="24"/>
          <w:szCs w:val="24"/>
          <w:highlight w:val="none"/>
        </w:rPr>
      </w:pPr>
      <w:bookmarkStart w:id="438" w:name="_Toc16752"/>
      <w:bookmarkStart w:id="439" w:name="_Toc19539"/>
      <w:bookmarkStart w:id="440" w:name="_Toc23289"/>
      <w:bookmarkStart w:id="441" w:name="_Toc3769"/>
      <w:bookmarkStart w:id="442" w:name="_Toc31402"/>
      <w:r>
        <w:rPr>
          <w:rFonts w:hint="eastAsia" w:ascii="仿宋_GB2312" w:hAnsi="仿宋" w:eastAsia="仿宋_GB2312" w:cs="仿宋"/>
          <w:b/>
          <w:sz w:val="24"/>
          <w:szCs w:val="24"/>
          <w:highlight w:val="none"/>
        </w:rPr>
        <w:t>2.2 技术规范</w:t>
      </w:r>
      <w:bookmarkEnd w:id="438"/>
      <w:bookmarkEnd w:id="439"/>
      <w:bookmarkEnd w:id="440"/>
      <w:bookmarkEnd w:id="441"/>
      <w:bookmarkEnd w:id="442"/>
    </w:p>
    <w:p w14:paraId="563DE34A">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7D0E55A">
      <w:pPr>
        <w:spacing w:line="560" w:lineRule="exact"/>
        <w:ind w:firstLine="482" w:firstLineChars="200"/>
        <w:outlineLvl w:val="0"/>
        <w:rPr>
          <w:rFonts w:ascii="仿宋_GB2312" w:hAnsi="仿宋" w:eastAsia="仿宋_GB2312" w:cs="仿宋"/>
          <w:b/>
          <w:sz w:val="24"/>
          <w:szCs w:val="24"/>
          <w:highlight w:val="none"/>
        </w:rPr>
      </w:pPr>
      <w:bookmarkStart w:id="443" w:name="_Toc4133"/>
      <w:bookmarkStart w:id="444" w:name="_Toc12412"/>
      <w:bookmarkStart w:id="445" w:name="_Toc13673"/>
      <w:bookmarkStart w:id="446" w:name="_Toc9161"/>
      <w:bookmarkStart w:id="447" w:name="_Toc27945"/>
      <w:r>
        <w:rPr>
          <w:rFonts w:hint="eastAsia" w:ascii="仿宋_GB2312" w:hAnsi="仿宋" w:eastAsia="仿宋_GB2312" w:cs="仿宋"/>
          <w:b/>
          <w:sz w:val="24"/>
          <w:szCs w:val="24"/>
          <w:highlight w:val="none"/>
        </w:rPr>
        <w:t>2.3 知识产权</w:t>
      </w:r>
      <w:bookmarkEnd w:id="443"/>
      <w:bookmarkEnd w:id="444"/>
      <w:bookmarkEnd w:id="445"/>
      <w:bookmarkEnd w:id="446"/>
      <w:bookmarkEnd w:id="447"/>
    </w:p>
    <w:p w14:paraId="5858FC2E">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7F70CBC">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2.3.2 合同涉及技术成果的归属和收益的分成办法的，详见</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7EB04C27">
      <w:pPr>
        <w:spacing w:line="560" w:lineRule="exact"/>
        <w:ind w:firstLine="482" w:firstLineChars="20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2.4 履约检查和问题反馈</w:t>
      </w:r>
    </w:p>
    <w:p w14:paraId="472D15F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83CD80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2.4.2 合同履行期间，甲方有权将履行过程中出现的问题反馈给乙方，双方当事人应以书面形式约定需要完善和改进的内容。</w:t>
      </w:r>
    </w:p>
    <w:p w14:paraId="68D24F1A">
      <w:pPr>
        <w:spacing w:line="560" w:lineRule="exact"/>
        <w:ind w:firstLine="482" w:firstLineChars="200"/>
        <w:outlineLvl w:val="0"/>
        <w:rPr>
          <w:rFonts w:ascii="仿宋_GB2312" w:hAnsi="仿宋" w:eastAsia="仿宋_GB2312" w:cs="仿宋"/>
          <w:b/>
          <w:sz w:val="24"/>
          <w:szCs w:val="24"/>
          <w:highlight w:val="none"/>
        </w:rPr>
      </w:pPr>
      <w:bookmarkStart w:id="448" w:name="_Toc32670"/>
      <w:bookmarkStart w:id="449" w:name="_Toc31233"/>
      <w:bookmarkStart w:id="450" w:name="_Toc22011"/>
      <w:bookmarkStart w:id="451" w:name="_Toc26555"/>
      <w:bookmarkStart w:id="452" w:name="_Toc15447"/>
      <w:r>
        <w:rPr>
          <w:rFonts w:hint="eastAsia" w:ascii="仿宋_GB2312" w:hAnsi="仿宋" w:eastAsia="仿宋_GB2312" w:cs="仿宋"/>
          <w:b/>
          <w:sz w:val="24"/>
          <w:szCs w:val="24"/>
          <w:highlight w:val="none"/>
        </w:rPr>
        <w:t>2.5 结算方式和付款条件</w:t>
      </w:r>
      <w:bookmarkEnd w:id="448"/>
      <w:bookmarkEnd w:id="449"/>
      <w:bookmarkEnd w:id="450"/>
      <w:bookmarkEnd w:id="451"/>
      <w:bookmarkEnd w:id="452"/>
    </w:p>
    <w:p w14:paraId="567D1E3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详见</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w:t>
      </w:r>
    </w:p>
    <w:p w14:paraId="24E1D0A1">
      <w:pPr>
        <w:spacing w:line="560" w:lineRule="exact"/>
        <w:ind w:firstLine="482" w:firstLineChars="200"/>
        <w:outlineLvl w:val="0"/>
        <w:rPr>
          <w:rFonts w:ascii="仿宋_GB2312" w:hAnsi="仿宋" w:eastAsia="仿宋_GB2312" w:cs="仿宋"/>
          <w:b/>
          <w:sz w:val="24"/>
          <w:szCs w:val="24"/>
          <w:highlight w:val="none"/>
        </w:rPr>
      </w:pPr>
      <w:bookmarkStart w:id="453" w:name="_Toc30507"/>
      <w:bookmarkStart w:id="454" w:name="_Toc16163"/>
      <w:bookmarkStart w:id="455" w:name="_Toc13154"/>
      <w:bookmarkStart w:id="456" w:name="_Toc13467"/>
      <w:bookmarkStart w:id="457" w:name="_Toc18990"/>
      <w:r>
        <w:rPr>
          <w:rFonts w:hint="eastAsia" w:ascii="仿宋_GB2312" w:hAnsi="仿宋" w:eastAsia="仿宋_GB2312" w:cs="仿宋"/>
          <w:b/>
          <w:sz w:val="24"/>
          <w:szCs w:val="24"/>
          <w:highlight w:val="none"/>
        </w:rPr>
        <w:t>2.6 技术资料和保密义务</w:t>
      </w:r>
      <w:bookmarkEnd w:id="453"/>
      <w:bookmarkEnd w:id="454"/>
      <w:bookmarkEnd w:id="455"/>
      <w:bookmarkEnd w:id="456"/>
      <w:bookmarkEnd w:id="457"/>
    </w:p>
    <w:p w14:paraId="4F237157">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2.6.1 乙方有权依据合同约定和项目需要，向甲方了解有关情况，调阅有关资料等，甲方应予积极配合；</w:t>
      </w:r>
    </w:p>
    <w:p w14:paraId="0D61B0C8">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2.6.2 乙方有义务妥善保管和保护由甲方提供的前款信息和资料等；</w:t>
      </w:r>
    </w:p>
    <w:p w14:paraId="1C0E651F">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1F9F85">
      <w:pPr>
        <w:spacing w:line="560" w:lineRule="exact"/>
        <w:ind w:firstLine="482" w:firstLineChars="200"/>
        <w:outlineLvl w:val="0"/>
        <w:rPr>
          <w:rFonts w:ascii="仿宋_GB2312" w:hAnsi="仿宋" w:eastAsia="仿宋_GB2312" w:cs="仿宋"/>
          <w:b/>
          <w:sz w:val="24"/>
          <w:szCs w:val="24"/>
          <w:highlight w:val="none"/>
        </w:rPr>
      </w:pPr>
      <w:bookmarkStart w:id="458" w:name="_Toc19069"/>
      <w:r>
        <w:rPr>
          <w:rFonts w:hint="eastAsia" w:ascii="仿宋_GB2312" w:hAnsi="仿宋" w:eastAsia="仿宋_GB2312" w:cs="仿宋"/>
          <w:b/>
          <w:sz w:val="24"/>
          <w:szCs w:val="24"/>
          <w:highlight w:val="none"/>
        </w:rPr>
        <w:t>2.7 质量保证</w:t>
      </w:r>
      <w:bookmarkEnd w:id="458"/>
    </w:p>
    <w:p w14:paraId="1E2F511C">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2.7.1 乙方应建立和完善履行合同的内部质量保证体系，并提供相关内部规章制度给甲方，以便甲方进行监督检查；</w:t>
      </w:r>
    </w:p>
    <w:p w14:paraId="25DDBFCE">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2.7.2 乙方应保证履行合同的人员数量和素质、软件和硬件设备的配置、场地、环境和设施等满足全面履行合同的要求，并应接受甲方的监督检查。</w:t>
      </w:r>
    </w:p>
    <w:p w14:paraId="2D9846AB">
      <w:pPr>
        <w:spacing w:line="560" w:lineRule="exact"/>
        <w:ind w:firstLine="482" w:firstLineChars="200"/>
        <w:outlineLvl w:val="0"/>
        <w:rPr>
          <w:rFonts w:ascii="仿宋_GB2312" w:hAnsi="仿宋" w:eastAsia="仿宋_GB2312" w:cs="仿宋"/>
          <w:b/>
          <w:sz w:val="24"/>
          <w:szCs w:val="24"/>
          <w:highlight w:val="none"/>
        </w:rPr>
      </w:pPr>
      <w:bookmarkStart w:id="459" w:name="_Toc22267"/>
      <w:r>
        <w:rPr>
          <w:rFonts w:hint="eastAsia" w:ascii="仿宋_GB2312" w:hAnsi="仿宋" w:eastAsia="仿宋_GB2312" w:cs="仿宋"/>
          <w:b/>
          <w:sz w:val="24"/>
          <w:szCs w:val="24"/>
          <w:highlight w:val="none"/>
        </w:rPr>
        <w:t>2.8 延迟履行</w:t>
      </w:r>
      <w:bookmarkEnd w:id="459"/>
    </w:p>
    <w:p w14:paraId="4103750D">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0C325A2">
      <w:pPr>
        <w:spacing w:line="560" w:lineRule="exact"/>
        <w:ind w:firstLine="482" w:firstLineChars="200"/>
        <w:outlineLvl w:val="0"/>
        <w:rPr>
          <w:rFonts w:ascii="仿宋_GB2312" w:hAnsi="仿宋" w:eastAsia="仿宋_GB2312" w:cs="仿宋"/>
          <w:b/>
          <w:sz w:val="24"/>
          <w:szCs w:val="24"/>
          <w:highlight w:val="none"/>
        </w:rPr>
      </w:pPr>
      <w:bookmarkStart w:id="460" w:name="_Toc10611"/>
      <w:r>
        <w:rPr>
          <w:rFonts w:hint="eastAsia" w:ascii="仿宋_GB2312" w:hAnsi="仿宋" w:eastAsia="仿宋_GB2312" w:cs="仿宋"/>
          <w:b/>
          <w:sz w:val="24"/>
          <w:szCs w:val="24"/>
          <w:highlight w:val="none"/>
        </w:rPr>
        <w:t>2.9 合同变更</w:t>
      </w:r>
      <w:bookmarkEnd w:id="460"/>
    </w:p>
    <w:p w14:paraId="0C0A5B03">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571780E4">
      <w:pPr>
        <w:spacing w:line="560" w:lineRule="exact"/>
        <w:ind w:firstLine="482" w:firstLineChars="200"/>
        <w:outlineLvl w:val="0"/>
        <w:rPr>
          <w:rFonts w:ascii="仿宋_GB2312" w:hAnsi="仿宋" w:eastAsia="仿宋_GB2312" w:cs="仿宋"/>
          <w:b/>
          <w:sz w:val="24"/>
          <w:szCs w:val="24"/>
          <w:highlight w:val="none"/>
        </w:rPr>
      </w:pPr>
      <w:bookmarkStart w:id="461" w:name="_Toc10663"/>
      <w:bookmarkStart w:id="462" w:name="_Toc23368"/>
      <w:bookmarkStart w:id="463" w:name="_Toc21830"/>
      <w:bookmarkStart w:id="464" w:name="_Toc42"/>
      <w:bookmarkStart w:id="465" w:name="_Toc26689"/>
      <w:r>
        <w:rPr>
          <w:rFonts w:hint="eastAsia" w:ascii="仿宋_GB2312" w:hAnsi="仿宋" w:eastAsia="仿宋_GB2312" w:cs="仿宋"/>
          <w:b/>
          <w:sz w:val="24"/>
          <w:szCs w:val="24"/>
          <w:highlight w:val="none"/>
        </w:rPr>
        <w:t>2.10 合同转让和分包</w:t>
      </w:r>
      <w:bookmarkEnd w:id="461"/>
      <w:bookmarkEnd w:id="462"/>
      <w:bookmarkEnd w:id="463"/>
      <w:bookmarkEnd w:id="464"/>
      <w:bookmarkEnd w:id="465"/>
    </w:p>
    <w:p w14:paraId="6261B82D">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BD6FC9">
      <w:pPr>
        <w:spacing w:line="560" w:lineRule="exact"/>
        <w:ind w:firstLine="482" w:firstLineChars="200"/>
        <w:outlineLvl w:val="0"/>
        <w:rPr>
          <w:rFonts w:ascii="仿宋_GB2312" w:hAnsi="仿宋" w:eastAsia="仿宋_GB2312" w:cs="仿宋"/>
          <w:b/>
          <w:sz w:val="24"/>
          <w:szCs w:val="24"/>
          <w:highlight w:val="none"/>
        </w:rPr>
      </w:pPr>
      <w:bookmarkStart w:id="466" w:name="_Toc32494"/>
      <w:bookmarkStart w:id="467" w:name="_Toc14371"/>
      <w:bookmarkStart w:id="468" w:name="_Toc25571"/>
      <w:bookmarkStart w:id="469" w:name="_Toc4720"/>
      <w:bookmarkStart w:id="470" w:name="_Toc26633"/>
      <w:r>
        <w:rPr>
          <w:rFonts w:hint="eastAsia" w:ascii="仿宋_GB2312" w:hAnsi="仿宋" w:eastAsia="仿宋_GB2312" w:cs="仿宋"/>
          <w:b/>
          <w:sz w:val="24"/>
          <w:szCs w:val="24"/>
          <w:highlight w:val="none"/>
        </w:rPr>
        <w:t>2.11 不可抗力</w:t>
      </w:r>
      <w:bookmarkEnd w:id="466"/>
      <w:bookmarkEnd w:id="467"/>
      <w:bookmarkEnd w:id="468"/>
      <w:bookmarkEnd w:id="469"/>
      <w:bookmarkEnd w:id="470"/>
    </w:p>
    <w:p w14:paraId="26AD551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2.11.1如果任何一方遭遇法律规定的不可抗力，致使合同履行受阻时，履行合同的期限应予延长，延长的期限应相当于不可抗力所影响的时间；</w:t>
      </w:r>
    </w:p>
    <w:p w14:paraId="5505F11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2.11.2 因不可抗力致使不能实现合同目的的，当事人可以解除合同；</w:t>
      </w:r>
    </w:p>
    <w:p w14:paraId="6D653242">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2.11.3 因不可抗力致使合同有变更必要的，双方当事人应在</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约定时间内以书面形式变更合同；</w:t>
      </w:r>
    </w:p>
    <w:p w14:paraId="28A40D14">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2.11.4受不可抗力影响的一方在不可抗力发生后，应在</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约定时间内以书面形式通知对方当事人，并在</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约定时间内，将有关部门出具的证明文件送达对方当事人。</w:t>
      </w:r>
    </w:p>
    <w:p w14:paraId="425A41E7">
      <w:pPr>
        <w:spacing w:line="560" w:lineRule="exact"/>
        <w:ind w:firstLine="482" w:firstLineChars="200"/>
        <w:outlineLvl w:val="0"/>
        <w:rPr>
          <w:rFonts w:ascii="仿宋_GB2312" w:hAnsi="仿宋" w:eastAsia="仿宋_GB2312" w:cs="仿宋"/>
          <w:b/>
          <w:sz w:val="24"/>
          <w:szCs w:val="24"/>
          <w:highlight w:val="none"/>
        </w:rPr>
      </w:pPr>
      <w:bookmarkStart w:id="471" w:name="_Toc23854"/>
      <w:bookmarkStart w:id="472" w:name="_Toc25783"/>
      <w:bookmarkStart w:id="473" w:name="_Toc3638"/>
      <w:bookmarkStart w:id="474" w:name="_Toc24465"/>
      <w:bookmarkStart w:id="475" w:name="_Toc14115"/>
      <w:r>
        <w:rPr>
          <w:rFonts w:hint="eastAsia" w:ascii="仿宋_GB2312" w:hAnsi="仿宋" w:eastAsia="仿宋_GB2312" w:cs="仿宋"/>
          <w:b/>
          <w:sz w:val="24"/>
          <w:szCs w:val="24"/>
          <w:highlight w:val="none"/>
        </w:rPr>
        <w:t>2.12 税费</w:t>
      </w:r>
      <w:bookmarkEnd w:id="471"/>
      <w:bookmarkEnd w:id="472"/>
      <w:bookmarkEnd w:id="473"/>
      <w:bookmarkEnd w:id="474"/>
      <w:bookmarkEnd w:id="475"/>
    </w:p>
    <w:p w14:paraId="18902D6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与合同有关的一切税费，均按照中华人民共和国法律的相关规定缴纳。</w:t>
      </w:r>
    </w:p>
    <w:p w14:paraId="6D0EED2A">
      <w:pPr>
        <w:spacing w:line="560" w:lineRule="exact"/>
        <w:ind w:firstLine="482" w:firstLineChars="200"/>
        <w:outlineLvl w:val="0"/>
        <w:rPr>
          <w:rFonts w:ascii="仿宋_GB2312" w:hAnsi="仿宋" w:eastAsia="仿宋_GB2312" w:cs="仿宋"/>
          <w:b/>
          <w:sz w:val="24"/>
          <w:szCs w:val="24"/>
          <w:highlight w:val="none"/>
        </w:rPr>
      </w:pPr>
      <w:bookmarkStart w:id="476" w:name="_Toc7315"/>
      <w:bookmarkStart w:id="477" w:name="_Toc30105"/>
      <w:bookmarkStart w:id="478" w:name="_Toc14814"/>
      <w:bookmarkStart w:id="479" w:name="_Toc25525"/>
      <w:bookmarkStart w:id="480" w:name="_Toc26883"/>
      <w:r>
        <w:rPr>
          <w:rFonts w:hint="eastAsia" w:ascii="仿宋_GB2312" w:hAnsi="仿宋" w:eastAsia="仿宋_GB2312" w:cs="仿宋"/>
          <w:b/>
          <w:sz w:val="24"/>
          <w:szCs w:val="24"/>
          <w:highlight w:val="none"/>
        </w:rPr>
        <w:t>2.13 乙方破产</w:t>
      </w:r>
      <w:bookmarkEnd w:id="476"/>
      <w:bookmarkEnd w:id="477"/>
      <w:bookmarkEnd w:id="478"/>
      <w:bookmarkEnd w:id="479"/>
      <w:bookmarkEnd w:id="480"/>
    </w:p>
    <w:p w14:paraId="63A1C39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37F8A55">
      <w:pPr>
        <w:spacing w:line="560" w:lineRule="exact"/>
        <w:ind w:firstLine="482" w:firstLineChars="200"/>
        <w:outlineLvl w:val="0"/>
        <w:rPr>
          <w:rFonts w:ascii="仿宋_GB2312" w:hAnsi="仿宋" w:eastAsia="仿宋_GB2312" w:cs="仿宋"/>
          <w:b/>
          <w:sz w:val="24"/>
          <w:szCs w:val="24"/>
          <w:highlight w:val="none"/>
        </w:rPr>
      </w:pPr>
      <w:bookmarkStart w:id="481" w:name="_Toc2016"/>
      <w:bookmarkStart w:id="482" w:name="_Toc1123"/>
      <w:bookmarkStart w:id="483" w:name="_Toc23323"/>
      <w:r>
        <w:rPr>
          <w:rFonts w:hint="eastAsia" w:ascii="仿宋_GB2312" w:hAnsi="仿宋" w:eastAsia="仿宋_GB2312" w:cs="仿宋"/>
          <w:b/>
          <w:sz w:val="24"/>
          <w:szCs w:val="24"/>
          <w:highlight w:val="none"/>
        </w:rPr>
        <w:t>2.14 合同中止、终止</w:t>
      </w:r>
      <w:bookmarkEnd w:id="481"/>
      <w:bookmarkEnd w:id="482"/>
      <w:bookmarkEnd w:id="483"/>
    </w:p>
    <w:p w14:paraId="622FD159">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2.14.1 双方当事人不得擅自中止或者终止合同；</w:t>
      </w:r>
    </w:p>
    <w:p w14:paraId="6A86ABFF">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21D806F2">
      <w:pPr>
        <w:spacing w:line="560" w:lineRule="exact"/>
        <w:ind w:firstLine="482" w:firstLineChars="200"/>
        <w:outlineLvl w:val="0"/>
        <w:rPr>
          <w:rFonts w:ascii="仿宋_GB2312" w:hAnsi="仿宋" w:eastAsia="仿宋_GB2312" w:cs="仿宋"/>
          <w:b/>
          <w:sz w:val="24"/>
          <w:szCs w:val="24"/>
          <w:highlight w:val="none"/>
        </w:rPr>
      </w:pPr>
      <w:bookmarkStart w:id="484" w:name="_Toc14525"/>
      <w:bookmarkStart w:id="485" w:name="_Toc17363"/>
      <w:bookmarkStart w:id="486" w:name="_Toc1969"/>
      <w:r>
        <w:rPr>
          <w:rFonts w:hint="eastAsia" w:ascii="仿宋_GB2312" w:hAnsi="仿宋" w:eastAsia="仿宋_GB2312" w:cs="仿宋"/>
          <w:b/>
          <w:sz w:val="24"/>
          <w:szCs w:val="24"/>
          <w:highlight w:val="none"/>
        </w:rPr>
        <w:t>2.15 检验和验收</w:t>
      </w:r>
      <w:bookmarkEnd w:id="484"/>
      <w:bookmarkEnd w:id="485"/>
      <w:bookmarkEnd w:id="486"/>
    </w:p>
    <w:p w14:paraId="214EDF49">
      <w:pPr>
        <w:tabs>
          <w:tab w:val="left" w:pos="360"/>
          <w:tab w:val="left" w:pos="540"/>
          <w:tab w:val="left" w:pos="1080"/>
        </w:tabs>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2.15.1 货物交付前，乙方应对货物的质量、数量等方面进行详细、全面的检验，并向甲方出具证明货物符合合同约定的文件；货物交付时，甲方在规定时间内组织验收，并可依法邀请相关方参加，验收应出具验收书；</w:t>
      </w:r>
    </w:p>
    <w:p w14:paraId="776744B7">
      <w:pPr>
        <w:tabs>
          <w:tab w:val="left" w:pos="360"/>
          <w:tab w:val="left" w:pos="540"/>
          <w:tab w:val="left" w:pos="1080"/>
        </w:tabs>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198483">
      <w:pPr>
        <w:spacing w:line="560" w:lineRule="exact"/>
        <w:ind w:firstLine="482" w:firstLineChars="200"/>
        <w:outlineLvl w:val="0"/>
        <w:rPr>
          <w:rFonts w:ascii="仿宋_GB2312" w:hAnsi="仿宋" w:eastAsia="仿宋_GB2312" w:cs="仿宋"/>
          <w:b/>
          <w:sz w:val="24"/>
          <w:szCs w:val="24"/>
          <w:highlight w:val="none"/>
        </w:rPr>
      </w:pPr>
      <w:bookmarkStart w:id="487" w:name="_Toc9808"/>
      <w:bookmarkStart w:id="488" w:name="_Toc2308"/>
      <w:bookmarkStart w:id="489" w:name="_Toc31892"/>
      <w:bookmarkStart w:id="490" w:name="_Toc12666"/>
      <w:bookmarkStart w:id="491" w:name="_Toc25198"/>
      <w:r>
        <w:rPr>
          <w:rFonts w:hint="eastAsia" w:ascii="仿宋_GB2312" w:hAnsi="仿宋" w:eastAsia="仿宋_GB2312" w:cs="仿宋"/>
          <w:b/>
          <w:sz w:val="24"/>
          <w:szCs w:val="24"/>
          <w:highlight w:val="none"/>
        </w:rPr>
        <w:t>2.16 通知和送达</w:t>
      </w:r>
      <w:bookmarkEnd w:id="487"/>
      <w:bookmarkEnd w:id="488"/>
      <w:bookmarkEnd w:id="489"/>
      <w:bookmarkEnd w:id="490"/>
      <w:bookmarkEnd w:id="491"/>
    </w:p>
    <w:p w14:paraId="1B1A63CF">
      <w:pPr>
        <w:spacing w:line="560" w:lineRule="exact"/>
        <w:ind w:firstLine="480" w:firstLineChars="200"/>
        <w:rPr>
          <w:rFonts w:ascii="仿宋_GB2312" w:hAnsi="仿宋" w:eastAsia="仿宋_GB2312" w:cs="仿宋"/>
          <w:sz w:val="24"/>
          <w:szCs w:val="24"/>
          <w:highlight w:val="none"/>
        </w:rPr>
      </w:pPr>
      <w:bookmarkStart w:id="492" w:name="_Toc27674"/>
      <w:bookmarkStart w:id="493" w:name="_Toc18401"/>
      <w:r>
        <w:rPr>
          <w:rFonts w:hint="eastAsia" w:ascii="仿宋_GB2312" w:hAnsi="仿宋" w:eastAsia="仿宋_GB2312" w:cs="仿宋"/>
          <w:sz w:val="24"/>
          <w:szCs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_GB2312" w:hAnsi="仿宋" w:eastAsia="仿宋_GB2312" w:cs="仿宋"/>
          <w:sz w:val="24"/>
          <w:szCs w:val="24"/>
          <w:highlight w:val="none"/>
          <w:u w:val="single"/>
        </w:rPr>
        <w:t>3</w:t>
      </w:r>
      <w:r>
        <w:rPr>
          <w:rFonts w:hint="eastAsia" w:ascii="仿宋_GB2312" w:hAnsi="仿宋" w:eastAsia="仿宋_GB2312" w:cs="仿宋"/>
          <w:sz w:val="24"/>
          <w:szCs w:val="24"/>
          <w:highlight w:val="none"/>
        </w:rPr>
        <w:t>个工作日内书面通知对方当事人，在对方当事人收到有关变更通知之前，变更前的约定送达方式或者地址仍视为有效。</w:t>
      </w:r>
    </w:p>
    <w:p w14:paraId="292B96AF">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2"/>
      <w:bookmarkEnd w:id="493"/>
    </w:p>
    <w:p w14:paraId="43673D9A">
      <w:pPr>
        <w:spacing w:line="560" w:lineRule="exact"/>
        <w:ind w:firstLine="482" w:firstLineChars="200"/>
        <w:outlineLvl w:val="0"/>
        <w:rPr>
          <w:rFonts w:ascii="仿宋_GB2312" w:hAnsi="仿宋" w:eastAsia="仿宋_GB2312" w:cs="仿宋"/>
          <w:b/>
          <w:sz w:val="24"/>
          <w:szCs w:val="24"/>
          <w:highlight w:val="none"/>
        </w:rPr>
      </w:pPr>
      <w:bookmarkStart w:id="494" w:name="_Toc12254"/>
      <w:bookmarkStart w:id="495" w:name="_Toc5063"/>
      <w:bookmarkStart w:id="496" w:name="_Toc28906"/>
      <w:bookmarkStart w:id="497" w:name="_Toc20808"/>
      <w:bookmarkStart w:id="498" w:name="_Toc27644"/>
      <w:r>
        <w:rPr>
          <w:rFonts w:hint="eastAsia" w:ascii="仿宋_GB2312" w:hAnsi="仿宋" w:eastAsia="仿宋_GB2312" w:cs="仿宋"/>
          <w:b/>
          <w:sz w:val="24"/>
          <w:szCs w:val="24"/>
          <w:highlight w:val="none"/>
        </w:rPr>
        <w:t>2.17 合同使用的文字和适用的法律</w:t>
      </w:r>
      <w:bookmarkEnd w:id="494"/>
      <w:bookmarkEnd w:id="495"/>
      <w:bookmarkEnd w:id="496"/>
      <w:bookmarkEnd w:id="497"/>
      <w:bookmarkEnd w:id="498"/>
    </w:p>
    <w:p w14:paraId="7F065261">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2.17.1 合同使用汉语书就、变更和解释；</w:t>
      </w:r>
    </w:p>
    <w:p w14:paraId="6DFF3B26">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2.17.2 合同适用中华人民共和国法律。</w:t>
      </w:r>
    </w:p>
    <w:p w14:paraId="35C06044">
      <w:pPr>
        <w:spacing w:line="560" w:lineRule="exact"/>
        <w:ind w:firstLine="482" w:firstLineChars="200"/>
        <w:outlineLvl w:val="0"/>
        <w:rPr>
          <w:rFonts w:ascii="仿宋_GB2312" w:hAnsi="仿宋" w:eastAsia="仿宋_GB2312" w:cs="仿宋"/>
          <w:b/>
          <w:sz w:val="24"/>
          <w:szCs w:val="24"/>
          <w:highlight w:val="none"/>
        </w:rPr>
      </w:pPr>
      <w:bookmarkStart w:id="499" w:name="_Toc18540"/>
      <w:bookmarkStart w:id="500" w:name="_Toc4355"/>
      <w:bookmarkStart w:id="501" w:name="_Toc30599"/>
      <w:r>
        <w:rPr>
          <w:rFonts w:hint="eastAsia" w:ascii="仿宋_GB2312" w:hAnsi="仿宋" w:eastAsia="仿宋_GB2312" w:cs="仿宋"/>
          <w:b/>
          <w:sz w:val="24"/>
          <w:szCs w:val="24"/>
          <w:highlight w:val="none"/>
        </w:rPr>
        <w:t>2.18 计量单位</w:t>
      </w:r>
      <w:bookmarkEnd w:id="499"/>
      <w:bookmarkEnd w:id="500"/>
      <w:bookmarkEnd w:id="501"/>
    </w:p>
    <w:p w14:paraId="44903B25">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除技术规范中另有规定外,合同的计量单位均使用国家法定计量单位。</w:t>
      </w:r>
    </w:p>
    <w:p w14:paraId="444B46BF">
      <w:pPr>
        <w:spacing w:line="560" w:lineRule="exact"/>
        <w:ind w:firstLine="482" w:firstLineChars="20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2.19合同份数</w:t>
      </w:r>
    </w:p>
    <w:p w14:paraId="12E9821F">
      <w:pPr>
        <w:spacing w:line="5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合同份数按</w:t>
      </w:r>
      <w:r>
        <w:rPr>
          <w:rFonts w:hint="eastAsia" w:ascii="仿宋_GB2312" w:hAnsi="仿宋" w:eastAsia="仿宋_GB2312" w:cs="仿宋"/>
          <w:b/>
          <w:i/>
          <w:sz w:val="24"/>
          <w:szCs w:val="24"/>
          <w:highlight w:val="none"/>
          <w:u w:val="single"/>
        </w:rPr>
        <w:t>合同专用条款</w:t>
      </w:r>
      <w:r>
        <w:rPr>
          <w:rFonts w:hint="eastAsia" w:ascii="仿宋_GB2312" w:hAnsi="仿宋" w:eastAsia="仿宋_GB2312" w:cs="仿宋"/>
          <w:sz w:val="24"/>
          <w:szCs w:val="24"/>
          <w:highlight w:val="none"/>
        </w:rPr>
        <w:t>规定，每份均具有同等法律效力。</w:t>
      </w:r>
    </w:p>
    <w:p w14:paraId="51E142C5">
      <w:pPr>
        <w:spacing w:line="560" w:lineRule="exact"/>
        <w:outlineLvl w:val="0"/>
        <w:rPr>
          <w:rFonts w:ascii="仿宋_GB2312" w:hAnsi="仿宋" w:eastAsia="仿宋_GB2312" w:cs="仿宋"/>
          <w:kern w:val="0"/>
          <w:sz w:val="24"/>
          <w:szCs w:val="24"/>
          <w:highlight w:val="none"/>
        </w:rPr>
      </w:pPr>
    </w:p>
    <w:p w14:paraId="43C7F1D6">
      <w:pPr>
        <w:spacing w:line="560" w:lineRule="exact"/>
        <w:outlineLvl w:val="0"/>
        <w:rPr>
          <w:rFonts w:ascii="仿宋_GB2312" w:hAnsi="仿宋" w:eastAsia="仿宋_GB2312" w:cs="仿宋"/>
          <w:kern w:val="0"/>
          <w:sz w:val="24"/>
          <w:szCs w:val="24"/>
          <w:highlight w:val="none"/>
        </w:rPr>
      </w:pPr>
    </w:p>
    <w:p w14:paraId="3B32F36C">
      <w:pPr>
        <w:spacing w:line="560" w:lineRule="exact"/>
        <w:outlineLvl w:val="0"/>
        <w:rPr>
          <w:rFonts w:ascii="仿宋_GB2312" w:hAnsi="仿宋" w:eastAsia="仿宋_GB2312" w:cs="仿宋"/>
          <w:kern w:val="0"/>
          <w:sz w:val="24"/>
          <w:szCs w:val="24"/>
          <w:highlight w:val="none"/>
        </w:rPr>
      </w:pPr>
    </w:p>
    <w:p w14:paraId="18019FC0">
      <w:pPr>
        <w:pStyle w:val="10"/>
        <w:rPr>
          <w:rFonts w:ascii="仿宋_GB2312" w:hAnsi="仿宋" w:eastAsia="仿宋_GB2312" w:cs="仿宋"/>
          <w:sz w:val="24"/>
          <w:szCs w:val="24"/>
          <w:highlight w:val="none"/>
        </w:rPr>
      </w:pPr>
    </w:p>
    <w:p w14:paraId="1ED26832">
      <w:pPr>
        <w:pStyle w:val="20"/>
        <w:rPr>
          <w:rFonts w:ascii="仿宋_GB2312" w:hAnsi="仿宋" w:eastAsia="仿宋_GB2312" w:cs="仿宋"/>
          <w:sz w:val="24"/>
          <w:szCs w:val="24"/>
          <w:highlight w:val="none"/>
        </w:rPr>
      </w:pPr>
    </w:p>
    <w:p w14:paraId="456FDF71">
      <w:pPr>
        <w:rPr>
          <w:rFonts w:ascii="仿宋_GB2312" w:hAnsi="仿宋" w:eastAsia="仿宋_GB2312" w:cs="仿宋"/>
          <w:sz w:val="24"/>
          <w:szCs w:val="24"/>
          <w:highlight w:val="none"/>
        </w:rPr>
      </w:pPr>
    </w:p>
    <w:p w14:paraId="4ED70277">
      <w:pPr>
        <w:pStyle w:val="2"/>
        <w:rPr>
          <w:rFonts w:ascii="仿宋_GB2312" w:eastAsia="仿宋_GB2312" w:cs="仿宋"/>
          <w:sz w:val="24"/>
          <w:szCs w:val="24"/>
          <w:highlight w:val="none"/>
        </w:rPr>
      </w:pPr>
    </w:p>
    <w:p w14:paraId="5C13811C">
      <w:pPr>
        <w:rPr>
          <w:rFonts w:ascii="仿宋_GB2312" w:hAnsi="仿宋" w:eastAsia="仿宋_GB2312" w:cs="仿宋"/>
          <w:sz w:val="24"/>
          <w:szCs w:val="24"/>
          <w:highlight w:val="none"/>
        </w:rPr>
      </w:pPr>
    </w:p>
    <w:p w14:paraId="3640E1CC">
      <w:pPr>
        <w:pStyle w:val="33"/>
        <w:ind w:firstLine="460"/>
        <w:rPr>
          <w:highlight w:val="none"/>
        </w:rPr>
      </w:pPr>
    </w:p>
    <w:p w14:paraId="46B07DF2">
      <w:pPr>
        <w:pStyle w:val="10"/>
        <w:rPr>
          <w:highlight w:val="none"/>
        </w:rPr>
      </w:pPr>
    </w:p>
    <w:p w14:paraId="412886E4">
      <w:pPr>
        <w:pStyle w:val="11"/>
        <w:ind w:firstLine="240"/>
        <w:rPr>
          <w:highlight w:val="none"/>
          <w:lang w:eastAsia="zh-CN" w:bidi="ar-SA"/>
        </w:rPr>
      </w:pPr>
    </w:p>
    <w:p w14:paraId="77B4BA17">
      <w:pPr>
        <w:pStyle w:val="11"/>
        <w:ind w:firstLine="240"/>
        <w:rPr>
          <w:highlight w:val="none"/>
          <w:lang w:eastAsia="zh-CN" w:bidi="ar-SA"/>
        </w:rPr>
      </w:pPr>
    </w:p>
    <w:p w14:paraId="0CD27417">
      <w:pPr>
        <w:pStyle w:val="11"/>
        <w:ind w:firstLine="240"/>
        <w:rPr>
          <w:highlight w:val="none"/>
          <w:lang w:eastAsia="zh-CN" w:bidi="ar-SA"/>
        </w:rPr>
      </w:pPr>
    </w:p>
    <w:p w14:paraId="6ED31ADC">
      <w:pPr>
        <w:pStyle w:val="11"/>
        <w:ind w:firstLine="240"/>
        <w:rPr>
          <w:highlight w:val="none"/>
          <w:lang w:eastAsia="zh-CN" w:bidi="ar-SA"/>
        </w:rPr>
      </w:pPr>
    </w:p>
    <w:p w14:paraId="42FA6CBA">
      <w:pPr>
        <w:pStyle w:val="11"/>
        <w:ind w:firstLine="240"/>
        <w:rPr>
          <w:highlight w:val="none"/>
          <w:lang w:eastAsia="zh-CN" w:bidi="ar-SA"/>
        </w:rPr>
      </w:pPr>
    </w:p>
    <w:p w14:paraId="7413F615">
      <w:pPr>
        <w:pStyle w:val="11"/>
        <w:ind w:firstLine="240"/>
        <w:rPr>
          <w:highlight w:val="none"/>
          <w:lang w:eastAsia="zh-CN" w:bidi="ar-SA"/>
        </w:rPr>
      </w:pPr>
    </w:p>
    <w:p w14:paraId="18350797">
      <w:pPr>
        <w:pStyle w:val="11"/>
        <w:ind w:firstLine="240"/>
        <w:rPr>
          <w:highlight w:val="none"/>
          <w:lang w:eastAsia="zh-CN" w:bidi="ar-SA"/>
        </w:rPr>
      </w:pPr>
    </w:p>
    <w:p w14:paraId="35D715A2">
      <w:pPr>
        <w:pStyle w:val="11"/>
        <w:ind w:firstLine="240"/>
        <w:rPr>
          <w:highlight w:val="none"/>
          <w:lang w:eastAsia="zh-CN" w:bidi="ar-SA"/>
        </w:rPr>
      </w:pPr>
    </w:p>
    <w:p w14:paraId="7DDB99C0">
      <w:pPr>
        <w:pStyle w:val="11"/>
        <w:ind w:firstLine="240"/>
        <w:rPr>
          <w:highlight w:val="none"/>
          <w:lang w:eastAsia="zh-CN" w:bidi="ar-SA"/>
        </w:rPr>
      </w:pPr>
    </w:p>
    <w:p w14:paraId="44E93714">
      <w:pPr>
        <w:pStyle w:val="11"/>
        <w:ind w:firstLine="240"/>
        <w:rPr>
          <w:highlight w:val="none"/>
          <w:lang w:eastAsia="zh-CN" w:bidi="ar-SA"/>
        </w:rPr>
      </w:pPr>
    </w:p>
    <w:p w14:paraId="1C7F47CA">
      <w:pPr>
        <w:pStyle w:val="11"/>
        <w:ind w:firstLine="240"/>
        <w:rPr>
          <w:highlight w:val="none"/>
          <w:lang w:eastAsia="zh-CN" w:bidi="ar-SA"/>
        </w:rPr>
      </w:pPr>
    </w:p>
    <w:p w14:paraId="42A5C74A">
      <w:pPr>
        <w:pStyle w:val="11"/>
        <w:ind w:firstLine="240"/>
        <w:rPr>
          <w:highlight w:val="none"/>
          <w:lang w:eastAsia="zh-CN" w:bidi="ar-SA"/>
        </w:rPr>
      </w:pPr>
    </w:p>
    <w:p w14:paraId="06FD0705">
      <w:pPr>
        <w:pStyle w:val="11"/>
        <w:ind w:firstLine="240"/>
        <w:rPr>
          <w:highlight w:val="none"/>
          <w:lang w:eastAsia="zh-CN" w:bidi="ar-SA"/>
        </w:rPr>
      </w:pPr>
    </w:p>
    <w:p w14:paraId="277FCEE9">
      <w:pPr>
        <w:pStyle w:val="11"/>
        <w:ind w:firstLine="240"/>
        <w:rPr>
          <w:highlight w:val="none"/>
          <w:lang w:eastAsia="zh-CN" w:bidi="ar-SA"/>
        </w:rPr>
      </w:pPr>
    </w:p>
    <w:p w14:paraId="2976CBEC">
      <w:pPr>
        <w:pStyle w:val="11"/>
        <w:ind w:left="0" w:leftChars="0" w:firstLine="0" w:firstLineChars="0"/>
        <w:rPr>
          <w:highlight w:val="none"/>
          <w:lang w:eastAsia="zh-CN" w:bidi="ar-SA"/>
        </w:rPr>
      </w:pPr>
    </w:p>
    <w:p w14:paraId="14A1404F">
      <w:pPr>
        <w:rPr>
          <w:rFonts w:ascii="仿宋_GB2312" w:hAnsi="仿宋" w:eastAsia="仿宋_GB2312" w:cs="仿宋"/>
          <w:sz w:val="24"/>
          <w:szCs w:val="24"/>
          <w:highlight w:val="none"/>
        </w:rPr>
      </w:pPr>
    </w:p>
    <w:p w14:paraId="5F1B24A2">
      <w:pPr>
        <w:pStyle w:val="10"/>
        <w:rPr>
          <w:rFonts w:ascii="仿宋_GB2312" w:hAnsi="仿宋" w:eastAsia="仿宋_GB2312" w:cs="仿宋"/>
          <w:sz w:val="24"/>
          <w:szCs w:val="24"/>
          <w:highlight w:val="none"/>
        </w:rPr>
      </w:pPr>
    </w:p>
    <w:p w14:paraId="7AB983ED">
      <w:pPr>
        <w:spacing w:line="560" w:lineRule="exact"/>
        <w:jc w:val="center"/>
        <w:outlineLvl w:val="0"/>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第三部分  合同专用条款</w:t>
      </w:r>
    </w:p>
    <w:p w14:paraId="5B4B9100">
      <w:pPr>
        <w:spacing w:line="560" w:lineRule="exact"/>
        <w:ind w:left="-420" w:leftChars="-200" w:right="-420" w:rightChars="-200"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6"/>
        <w:tblW w:w="497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171"/>
        <w:gridCol w:w="7917"/>
      </w:tblGrid>
      <w:tr w14:paraId="20D87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644" w:type="pct"/>
            <w:tcBorders>
              <w:left w:val="single" w:color="auto" w:sz="4" w:space="0"/>
            </w:tcBorders>
            <w:vAlign w:val="center"/>
          </w:tcPr>
          <w:p w14:paraId="2E2094D3">
            <w:pPr>
              <w:wordWrap w:val="0"/>
              <w:spacing w:line="560" w:lineRule="exact"/>
              <w:jc w:val="left"/>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条款号</w:t>
            </w:r>
          </w:p>
        </w:tc>
        <w:tc>
          <w:tcPr>
            <w:tcW w:w="4355" w:type="pct"/>
            <w:vAlign w:val="center"/>
          </w:tcPr>
          <w:p w14:paraId="7624CCBA">
            <w:pPr>
              <w:wordWrap w:val="0"/>
              <w:spacing w:line="560" w:lineRule="exact"/>
              <w:jc w:val="center"/>
              <w:rPr>
                <w:rFonts w:ascii="仿宋_GB2312" w:hAnsi="仿宋" w:eastAsia="仿宋_GB2312" w:cs="仿宋"/>
                <w:b/>
                <w:sz w:val="24"/>
                <w:szCs w:val="24"/>
                <w:highlight w:val="none"/>
              </w:rPr>
            </w:pPr>
            <w:r>
              <w:rPr>
                <w:rFonts w:hint="eastAsia" w:ascii="仿宋_GB2312" w:hAnsi="仿宋" w:eastAsia="仿宋_GB2312" w:cs="仿宋"/>
                <w:b/>
                <w:sz w:val="24"/>
                <w:szCs w:val="24"/>
                <w:highlight w:val="none"/>
              </w:rPr>
              <w:t>约定内容</w:t>
            </w:r>
          </w:p>
        </w:tc>
      </w:tr>
      <w:tr w14:paraId="420CD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5" w:hRule="atLeast"/>
        </w:trPr>
        <w:tc>
          <w:tcPr>
            <w:tcW w:w="644" w:type="pct"/>
            <w:tcBorders>
              <w:left w:val="single" w:color="auto" w:sz="4" w:space="0"/>
            </w:tcBorders>
            <w:vAlign w:val="center"/>
          </w:tcPr>
          <w:p w14:paraId="0D5D7470">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1.5.1 </w:t>
            </w:r>
          </w:p>
        </w:tc>
        <w:tc>
          <w:tcPr>
            <w:tcW w:w="4355" w:type="pct"/>
            <w:vAlign w:val="center"/>
          </w:tcPr>
          <w:p w14:paraId="1263E644">
            <w:pPr>
              <w:pStyle w:val="73"/>
              <w:spacing w:line="440" w:lineRule="exact"/>
              <w:ind w:firstLine="0" w:firstLineChars="0"/>
              <w:rPr>
                <w:rFonts w:ascii="仿宋_GB2312" w:hAnsi="仿宋" w:eastAsia="仿宋_GB2312" w:cs="仿宋"/>
                <w:sz w:val="24"/>
                <w:szCs w:val="24"/>
                <w:highlight w:val="none"/>
              </w:rPr>
            </w:pPr>
            <w:r>
              <w:rPr>
                <w:rFonts w:hint="eastAsia" w:ascii="仿宋_GB2312" w:hAnsi="宋体" w:eastAsia="仿宋_GB2312" w:cs="宋体"/>
                <w:color w:val="000000"/>
                <w:sz w:val="24"/>
                <w:szCs w:val="24"/>
                <w:highlight w:val="none"/>
              </w:rPr>
              <w:t>预付款：在合同生效后以及具备实施条件后的7个工作日内，采购人根据供应商提供的正规发票，按财政部门规定的支付方式支付合同金额的40%给供应商。</w:t>
            </w:r>
          </w:p>
        </w:tc>
      </w:tr>
      <w:tr w14:paraId="6E8D9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1A4F2E25">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1.5.2</w:t>
            </w:r>
          </w:p>
        </w:tc>
        <w:tc>
          <w:tcPr>
            <w:tcW w:w="4355" w:type="pct"/>
            <w:vAlign w:val="center"/>
          </w:tcPr>
          <w:p w14:paraId="22A6F9EE">
            <w:pPr>
              <w:wordWrap w:val="0"/>
              <w:spacing w:line="360" w:lineRule="auto"/>
              <w:jc w:val="left"/>
              <w:rPr>
                <w:rFonts w:hint="eastAsia" w:ascii="仿宋_GB2312" w:hAnsi="仿宋" w:eastAsia="仿宋_GB2312" w:cs="仿宋"/>
                <w:sz w:val="24"/>
                <w:szCs w:val="24"/>
                <w:highlight w:val="none"/>
                <w:lang w:val="en-US" w:eastAsia="zh-CN"/>
              </w:rPr>
            </w:pPr>
            <w:r>
              <w:rPr>
                <w:rFonts w:hint="eastAsia" w:ascii="仿宋_GB2312" w:hAnsi="仿宋" w:eastAsia="仿宋_GB2312" w:cs="仿宋"/>
                <w:sz w:val="24"/>
                <w:szCs w:val="24"/>
                <w:highlight w:val="none"/>
                <w:lang w:val="en-US" w:eastAsia="zh-CN"/>
              </w:rPr>
              <w:t>本项目无须预付款担保</w:t>
            </w:r>
          </w:p>
        </w:tc>
      </w:tr>
      <w:tr w14:paraId="4426F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5BE96230">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1.6.2</w:t>
            </w:r>
          </w:p>
        </w:tc>
        <w:tc>
          <w:tcPr>
            <w:tcW w:w="4355" w:type="pct"/>
            <w:vAlign w:val="center"/>
          </w:tcPr>
          <w:p w14:paraId="6FF9FAD3">
            <w:pPr>
              <w:wordWrap w:val="0"/>
              <w:spacing w:line="560" w:lineRule="exact"/>
              <w:jc w:val="left"/>
              <w:rPr>
                <w:rFonts w:ascii="仿宋_GB2312" w:hAnsi="仿宋" w:eastAsia="仿宋_GB2312" w:cs="仿宋"/>
                <w:sz w:val="24"/>
                <w:szCs w:val="24"/>
                <w:highlight w:val="none"/>
              </w:rPr>
            </w:pPr>
            <w:r>
              <w:rPr>
                <w:rFonts w:hint="eastAsia" w:ascii="仿宋_GB2312" w:hAnsi="宋体" w:eastAsia="仿宋_GB2312"/>
                <w:spacing w:val="-5"/>
                <w:kern w:val="0"/>
                <w:sz w:val="24"/>
                <w:szCs w:val="24"/>
                <w:highlight w:val="none"/>
              </w:rPr>
              <w:t>安装调试完毕并通过终验后5个工作日内，</w:t>
            </w:r>
            <w:r>
              <w:rPr>
                <w:rFonts w:hint="eastAsia" w:ascii="仿宋_GB2312" w:hAnsi="宋体" w:eastAsia="仿宋_GB2312"/>
                <w:sz w:val="24"/>
                <w:szCs w:val="24"/>
                <w:highlight w:val="none"/>
              </w:rPr>
              <w:t>采购人根据供应商提供的正规发票，按财政部门规定的支付方式支付合同金额的</w:t>
            </w:r>
            <w:r>
              <w:rPr>
                <w:rFonts w:hint="eastAsia" w:ascii="仿宋_GB2312" w:hAnsi="宋体" w:eastAsia="仿宋_GB2312"/>
                <w:sz w:val="24"/>
                <w:szCs w:val="24"/>
                <w:highlight w:val="none"/>
                <w:lang w:val="en-US" w:eastAsia="zh-CN"/>
              </w:rPr>
              <w:t>6</w:t>
            </w:r>
            <w:r>
              <w:rPr>
                <w:rFonts w:hint="eastAsia" w:ascii="仿宋_GB2312" w:hAnsi="宋体" w:eastAsia="仿宋_GB2312"/>
                <w:sz w:val="24"/>
                <w:szCs w:val="24"/>
                <w:highlight w:val="none"/>
              </w:rPr>
              <w:t>0%给供应商。</w:t>
            </w:r>
          </w:p>
        </w:tc>
      </w:tr>
      <w:tr w14:paraId="1C96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01F2585A">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1.7.1</w:t>
            </w:r>
          </w:p>
        </w:tc>
        <w:tc>
          <w:tcPr>
            <w:tcW w:w="4355" w:type="pct"/>
            <w:vAlign w:val="center"/>
          </w:tcPr>
          <w:p w14:paraId="1B109BCA">
            <w:pPr>
              <w:pStyle w:val="58"/>
              <w:keepNext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rPr>
              <w:t>货物或服务的交付（实施）时间（期限）：</w:t>
            </w:r>
            <w:r>
              <w:rPr>
                <w:rFonts w:hint="eastAsia" w:ascii="仿宋_GB2312" w:hAnsi="仿宋_GB2312" w:eastAsia="仿宋_GB2312" w:cs="仿宋_GB2312"/>
                <w:sz w:val="24"/>
                <w:szCs w:val="24"/>
                <w:highlight w:val="none"/>
              </w:rPr>
              <w:t>合同签订之日起60天内完成项目安装调试及初验，初验结束后项目进入试运行阶段，试运行时间不少于3个月，3个月后进行终验。本项目要求2025年10月底前通过项目终验。</w:t>
            </w:r>
          </w:p>
          <w:p w14:paraId="4CA9E7B5">
            <w:pPr>
              <w:wordWrap w:val="0"/>
              <w:spacing w:line="560" w:lineRule="exact"/>
              <w:jc w:val="left"/>
              <w:rPr>
                <w:rFonts w:ascii="仿宋_GB2312" w:hAnsi="仿宋" w:eastAsia="仿宋_GB2312" w:cs="仿宋"/>
                <w:sz w:val="24"/>
                <w:szCs w:val="24"/>
                <w:highlight w:val="none"/>
              </w:rPr>
            </w:pPr>
          </w:p>
        </w:tc>
      </w:tr>
      <w:tr w14:paraId="7B0B3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51" w:hRule="atLeast"/>
        </w:trPr>
        <w:tc>
          <w:tcPr>
            <w:tcW w:w="644" w:type="pct"/>
            <w:tcBorders>
              <w:left w:val="single" w:color="auto" w:sz="4" w:space="0"/>
              <w:bottom w:val="single" w:color="auto" w:sz="4" w:space="0"/>
            </w:tcBorders>
            <w:vAlign w:val="center"/>
          </w:tcPr>
          <w:p w14:paraId="5671D8BB">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1.7.2</w:t>
            </w:r>
          </w:p>
        </w:tc>
        <w:tc>
          <w:tcPr>
            <w:tcW w:w="4355" w:type="pct"/>
            <w:tcBorders>
              <w:bottom w:val="single" w:color="auto" w:sz="4" w:space="0"/>
            </w:tcBorders>
            <w:vAlign w:val="center"/>
          </w:tcPr>
          <w:p w14:paraId="0E148A39">
            <w:pPr>
              <w:spacing w:line="360" w:lineRule="auto"/>
              <w:rPr>
                <w:rFonts w:ascii="仿宋_GB2312" w:hAnsi="宋体" w:eastAsia="仿宋_GB2312"/>
                <w:spacing w:val="-5"/>
                <w:kern w:val="0"/>
                <w:sz w:val="24"/>
                <w:szCs w:val="24"/>
                <w:highlight w:val="none"/>
              </w:rPr>
            </w:pPr>
            <w:r>
              <w:rPr>
                <w:rFonts w:hint="eastAsia" w:ascii="仿宋_GB2312" w:hAnsi="仿宋" w:eastAsia="仿宋_GB2312" w:cs="仿宋"/>
                <w:sz w:val="24"/>
                <w:szCs w:val="24"/>
                <w:highlight w:val="none"/>
              </w:rPr>
              <w:t>货物或服务的交付（实施）地点（地域范围）：</w:t>
            </w:r>
            <w:r>
              <w:rPr>
                <w:rFonts w:hint="eastAsia" w:ascii="仿宋_GB2312" w:hAnsi="宋体" w:eastAsia="仿宋_GB2312"/>
                <w:spacing w:val="-5"/>
                <w:kern w:val="0"/>
                <w:sz w:val="24"/>
                <w:szCs w:val="24"/>
                <w:highlight w:val="none"/>
              </w:rPr>
              <w:t>采购单位指定地点，投标人须派专业人员将产品送到指定地点并安装调试完毕，其所有费用由投标人承担</w:t>
            </w:r>
            <w:r>
              <w:rPr>
                <w:rFonts w:hint="eastAsia" w:ascii="仿宋_GB2312" w:hAnsi="仿宋" w:eastAsia="仿宋_GB2312" w:cs="仿宋"/>
                <w:sz w:val="24"/>
                <w:szCs w:val="24"/>
                <w:highlight w:val="none"/>
              </w:rPr>
              <w:t>。</w:t>
            </w:r>
          </w:p>
        </w:tc>
      </w:tr>
      <w:tr w14:paraId="23210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trPr>
        <w:tc>
          <w:tcPr>
            <w:tcW w:w="644" w:type="pct"/>
            <w:tcBorders>
              <w:top w:val="single" w:color="auto" w:sz="4" w:space="0"/>
              <w:left w:val="single" w:color="auto" w:sz="4" w:space="0"/>
            </w:tcBorders>
            <w:vAlign w:val="center"/>
          </w:tcPr>
          <w:p w14:paraId="69B9C8F0">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1.7.3</w:t>
            </w:r>
          </w:p>
        </w:tc>
        <w:tc>
          <w:tcPr>
            <w:tcW w:w="4355" w:type="pct"/>
            <w:tcBorders>
              <w:top w:val="single" w:color="auto" w:sz="4" w:space="0"/>
            </w:tcBorders>
            <w:vAlign w:val="center"/>
          </w:tcPr>
          <w:p w14:paraId="55915BBB">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送货上门，乙方负责安装调试，经履约验收合格后交付甲方使用。</w:t>
            </w:r>
          </w:p>
        </w:tc>
      </w:tr>
      <w:tr w14:paraId="07A81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0" w:hRule="atLeast"/>
        </w:trPr>
        <w:tc>
          <w:tcPr>
            <w:tcW w:w="644" w:type="pct"/>
            <w:tcBorders>
              <w:left w:val="single" w:color="auto" w:sz="4" w:space="0"/>
            </w:tcBorders>
            <w:vAlign w:val="center"/>
          </w:tcPr>
          <w:p w14:paraId="14CCEE32">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1.8.7</w:t>
            </w:r>
          </w:p>
        </w:tc>
        <w:tc>
          <w:tcPr>
            <w:tcW w:w="4355" w:type="pct"/>
            <w:vAlign w:val="center"/>
          </w:tcPr>
          <w:p w14:paraId="5C39E508">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1．合同签订后，任何一方不履行或不完全履行本合同约定条款的，即构成违约。任何一方违约时，守约方有权要求违约方继续履行本合同，同时有权要求违约方支付违约金。</w:t>
            </w:r>
          </w:p>
          <w:p w14:paraId="4FCF1DBD">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14:paraId="30DF7F04">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3F7A1F00">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4．乙方逾期履行合同的，自逾期之日起，向甲方每日偿付合同总价千分之零点五（0.5‰）的违约金。</w:t>
            </w:r>
          </w:p>
          <w:p w14:paraId="44EF8014">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5．乙方所交的货物品种、型号、规格、技术参数、质量不符合合同规定及采购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14:paraId="2D3E195C">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6．上述第6项应退回或更换的货物，由乙方在一周内运离安装地点，所需费用由乙方承担。如乙方在二周内不处理（搬走）的，视为乙方放弃，甲方有权自行处置（包括废物处理）。</w:t>
            </w:r>
          </w:p>
          <w:p w14:paraId="10775E5F">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7．乙方未按采购文件及合同约定履行质保义务的，每次应向甲方偿付</w:t>
            </w:r>
            <w:r>
              <w:rPr>
                <w:rFonts w:hint="eastAsia" w:ascii="仿宋_GB2312" w:hAnsi="仿宋" w:eastAsia="仿宋_GB2312" w:cs="仿宋"/>
                <w:sz w:val="24"/>
                <w:szCs w:val="24"/>
                <w:highlight w:val="none"/>
                <w:u w:val="single"/>
              </w:rPr>
              <w:t xml:space="preserve">2000 </w:t>
            </w:r>
            <w:r>
              <w:rPr>
                <w:rFonts w:hint="eastAsia" w:ascii="仿宋_GB2312" w:hAnsi="仿宋" w:eastAsia="仿宋_GB2312" w:cs="仿宋"/>
                <w:sz w:val="24"/>
                <w:szCs w:val="24"/>
                <w:highlight w:val="none"/>
              </w:rPr>
              <w:t>元的违约金，并赔偿甲方的损失；同时，乙方应继续履行质保义务。</w:t>
            </w:r>
          </w:p>
          <w:p w14:paraId="3DA8619A">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8．因乙方违约行为给甲方造成损失的，如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4D512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4BB2EDB6">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1.9.2</w:t>
            </w:r>
          </w:p>
        </w:tc>
        <w:tc>
          <w:tcPr>
            <w:tcW w:w="4355" w:type="pct"/>
            <w:vAlign w:val="center"/>
          </w:tcPr>
          <w:p w14:paraId="454AA30F">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甲方所在地</w:t>
            </w:r>
          </w:p>
        </w:tc>
      </w:tr>
      <w:tr w14:paraId="4237A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24115E9A">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2.3.2</w:t>
            </w:r>
          </w:p>
        </w:tc>
        <w:tc>
          <w:tcPr>
            <w:tcW w:w="4355" w:type="pct"/>
            <w:vAlign w:val="center"/>
          </w:tcPr>
          <w:p w14:paraId="21F7C1B6">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p>
        </w:tc>
      </w:tr>
      <w:tr w14:paraId="6962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327EA3AD">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2.5</w:t>
            </w:r>
          </w:p>
        </w:tc>
        <w:tc>
          <w:tcPr>
            <w:tcW w:w="4355" w:type="pct"/>
            <w:vAlign w:val="center"/>
          </w:tcPr>
          <w:p w14:paraId="55990A46">
            <w:pPr>
              <w:wordWrap w:val="0"/>
              <w:spacing w:line="560" w:lineRule="exact"/>
              <w:ind w:right="59" w:rightChars="28"/>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除本合同明确约定可以另行收取的费用外，所有费用均包括在内：包括产品、产品标准配件、备品备件、专用工具、包装、工时、运输、装卸、保险、税金、设备保护、安装、调试与试运行、培训、保修、售后服务费、工程配套费，以及实施本项目所需的其他一切费用。</w:t>
            </w:r>
          </w:p>
        </w:tc>
      </w:tr>
      <w:tr w14:paraId="02D0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vAlign w:val="center"/>
          </w:tcPr>
          <w:p w14:paraId="308FFBB0">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2.11.3</w:t>
            </w:r>
          </w:p>
        </w:tc>
        <w:tc>
          <w:tcPr>
            <w:tcW w:w="4355" w:type="pct"/>
            <w:vAlign w:val="center"/>
          </w:tcPr>
          <w:p w14:paraId="4F15986F">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因不可抗力致使合同有变更必要的，双方当事人应在不可抗力事件发生后30日内以书面形式变更合同。</w:t>
            </w:r>
          </w:p>
        </w:tc>
      </w:tr>
      <w:tr w14:paraId="1A685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644" w:type="pct"/>
            <w:tcBorders>
              <w:left w:val="single" w:color="auto" w:sz="4" w:space="0"/>
            </w:tcBorders>
          </w:tcPr>
          <w:p w14:paraId="55DE0CEC">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2.11.4 </w:t>
            </w:r>
          </w:p>
        </w:tc>
        <w:tc>
          <w:tcPr>
            <w:tcW w:w="4355" w:type="pct"/>
          </w:tcPr>
          <w:p w14:paraId="1EB394DA">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受不可抗力影响的一方在不可抗力发生后，应在不可抗力事件发生后1天内以书面形式通知对方当事人，并在不可抗力事件发生后7天内，将有关部门出具的证明文件送达对方当事人。</w:t>
            </w:r>
          </w:p>
        </w:tc>
      </w:tr>
      <w:tr w14:paraId="3024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644" w:type="pct"/>
            <w:tcBorders>
              <w:left w:val="single" w:color="auto" w:sz="4" w:space="0"/>
            </w:tcBorders>
          </w:tcPr>
          <w:p w14:paraId="5DCC76AD">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2.19</w:t>
            </w:r>
          </w:p>
        </w:tc>
        <w:tc>
          <w:tcPr>
            <w:tcW w:w="4355" w:type="pct"/>
          </w:tcPr>
          <w:p w14:paraId="69C95D63">
            <w:pPr>
              <w:wordWrap w:val="0"/>
              <w:spacing w:line="560" w:lineRule="exact"/>
              <w:jc w:val="lef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合同份数按甲方执陆份，乙方执贰份规定，每份均具有同等法律效力。</w:t>
            </w:r>
          </w:p>
        </w:tc>
      </w:tr>
    </w:tbl>
    <w:p w14:paraId="5A925E0A">
      <w:pPr>
        <w:spacing w:line="540" w:lineRule="exact"/>
        <w:contextualSpacing/>
        <w:jc w:val="center"/>
        <w:rPr>
          <w:rFonts w:hint="eastAsia" w:ascii="仿宋_GB2312" w:hAnsi="仿宋_GB2312" w:eastAsia="仿宋_GB2312" w:cs="仿宋_GB2312"/>
          <w:b/>
          <w:color w:val="000000"/>
          <w:sz w:val="28"/>
          <w:szCs w:val="28"/>
          <w:highlight w:val="none"/>
        </w:rPr>
      </w:pPr>
    </w:p>
    <w:p w14:paraId="75DA72E3">
      <w:pPr>
        <w:spacing w:line="540" w:lineRule="exact"/>
        <w:contextualSpacing/>
        <w:jc w:val="both"/>
        <w:rPr>
          <w:rFonts w:hint="eastAsia" w:ascii="仿宋_GB2312" w:hAnsi="仿宋_GB2312" w:eastAsia="仿宋_GB2312" w:cs="仿宋_GB2312"/>
          <w:b/>
          <w:color w:val="000000"/>
          <w:sz w:val="28"/>
          <w:szCs w:val="28"/>
          <w:highlight w:val="none"/>
        </w:rPr>
      </w:pPr>
    </w:p>
    <w:p w14:paraId="62C32E2D">
      <w:pPr>
        <w:pStyle w:val="2"/>
        <w:rPr>
          <w:rFonts w:hint="eastAsia" w:ascii="仿宋_GB2312" w:hAnsi="仿宋_GB2312" w:eastAsia="仿宋_GB2312" w:cs="仿宋_GB2312"/>
          <w:b/>
          <w:color w:val="000000"/>
          <w:sz w:val="28"/>
          <w:szCs w:val="28"/>
          <w:highlight w:val="none"/>
        </w:rPr>
      </w:pPr>
    </w:p>
    <w:p w14:paraId="31A97FA1">
      <w:pPr>
        <w:pStyle w:val="3"/>
        <w:rPr>
          <w:rFonts w:hint="eastAsia" w:ascii="仿宋_GB2312" w:hAnsi="仿宋_GB2312" w:eastAsia="仿宋_GB2312" w:cs="仿宋_GB2312"/>
          <w:b/>
          <w:color w:val="000000"/>
          <w:sz w:val="28"/>
          <w:szCs w:val="28"/>
          <w:highlight w:val="none"/>
        </w:rPr>
      </w:pPr>
    </w:p>
    <w:p w14:paraId="6E664019">
      <w:pPr>
        <w:pStyle w:val="3"/>
        <w:rPr>
          <w:rFonts w:hint="eastAsia" w:ascii="仿宋_GB2312" w:hAnsi="仿宋_GB2312" w:eastAsia="仿宋_GB2312" w:cs="仿宋_GB2312"/>
          <w:b/>
          <w:color w:val="000000"/>
          <w:sz w:val="28"/>
          <w:szCs w:val="28"/>
          <w:highlight w:val="none"/>
        </w:rPr>
      </w:pPr>
    </w:p>
    <w:p w14:paraId="7F2EC696">
      <w:pPr>
        <w:pStyle w:val="3"/>
        <w:rPr>
          <w:rFonts w:hint="eastAsia" w:ascii="仿宋_GB2312" w:hAnsi="仿宋_GB2312" w:eastAsia="仿宋_GB2312" w:cs="仿宋_GB2312"/>
          <w:b/>
          <w:color w:val="000000"/>
          <w:sz w:val="28"/>
          <w:szCs w:val="28"/>
          <w:highlight w:val="none"/>
        </w:rPr>
      </w:pPr>
    </w:p>
    <w:p w14:paraId="11134E6C">
      <w:pPr>
        <w:pStyle w:val="3"/>
        <w:rPr>
          <w:rFonts w:hint="eastAsia" w:ascii="仿宋_GB2312" w:hAnsi="仿宋_GB2312" w:eastAsia="仿宋_GB2312" w:cs="仿宋_GB2312"/>
          <w:b/>
          <w:color w:val="000000"/>
          <w:sz w:val="28"/>
          <w:szCs w:val="28"/>
          <w:highlight w:val="none"/>
        </w:rPr>
      </w:pPr>
    </w:p>
    <w:p w14:paraId="177DA349">
      <w:pPr>
        <w:pStyle w:val="3"/>
        <w:rPr>
          <w:rFonts w:hint="eastAsia" w:ascii="仿宋_GB2312" w:hAnsi="仿宋_GB2312" w:eastAsia="仿宋_GB2312" w:cs="仿宋_GB2312"/>
          <w:b/>
          <w:color w:val="000000"/>
          <w:sz w:val="28"/>
          <w:szCs w:val="28"/>
          <w:highlight w:val="none"/>
        </w:rPr>
      </w:pPr>
    </w:p>
    <w:p w14:paraId="2FB1D057">
      <w:pPr>
        <w:pStyle w:val="3"/>
        <w:rPr>
          <w:rFonts w:hint="eastAsia" w:ascii="仿宋_GB2312" w:hAnsi="仿宋_GB2312" w:eastAsia="仿宋_GB2312" w:cs="仿宋_GB2312"/>
          <w:b/>
          <w:color w:val="000000"/>
          <w:sz w:val="28"/>
          <w:szCs w:val="28"/>
          <w:highlight w:val="none"/>
        </w:rPr>
      </w:pPr>
    </w:p>
    <w:p w14:paraId="2826E80D">
      <w:pPr>
        <w:pStyle w:val="3"/>
        <w:rPr>
          <w:rFonts w:hint="eastAsia" w:ascii="仿宋_GB2312" w:hAnsi="仿宋_GB2312" w:eastAsia="仿宋_GB2312" w:cs="仿宋_GB2312"/>
          <w:b/>
          <w:color w:val="000000"/>
          <w:sz w:val="28"/>
          <w:szCs w:val="28"/>
          <w:highlight w:val="none"/>
        </w:rPr>
      </w:pPr>
    </w:p>
    <w:p w14:paraId="4136F8FC">
      <w:pPr>
        <w:pStyle w:val="3"/>
        <w:rPr>
          <w:rFonts w:hint="eastAsia" w:ascii="仿宋_GB2312" w:hAnsi="仿宋_GB2312" w:eastAsia="仿宋_GB2312" w:cs="仿宋_GB2312"/>
          <w:b/>
          <w:color w:val="000000"/>
          <w:sz w:val="28"/>
          <w:szCs w:val="28"/>
          <w:highlight w:val="none"/>
        </w:rPr>
      </w:pPr>
    </w:p>
    <w:p w14:paraId="3EC0BA9B">
      <w:pPr>
        <w:pStyle w:val="3"/>
        <w:rPr>
          <w:rFonts w:hint="eastAsia" w:ascii="仿宋_GB2312" w:hAnsi="仿宋_GB2312" w:eastAsia="仿宋_GB2312" w:cs="仿宋_GB2312"/>
          <w:b/>
          <w:color w:val="000000"/>
          <w:sz w:val="28"/>
          <w:szCs w:val="28"/>
          <w:highlight w:val="none"/>
        </w:rPr>
      </w:pPr>
    </w:p>
    <w:p w14:paraId="75BB6FC9">
      <w:pPr>
        <w:pStyle w:val="3"/>
        <w:rPr>
          <w:rFonts w:hint="eastAsia" w:ascii="仿宋_GB2312" w:hAnsi="仿宋_GB2312" w:eastAsia="仿宋_GB2312" w:cs="仿宋_GB2312"/>
          <w:b/>
          <w:color w:val="000000"/>
          <w:sz w:val="28"/>
          <w:szCs w:val="28"/>
          <w:highlight w:val="none"/>
        </w:rPr>
      </w:pPr>
    </w:p>
    <w:p w14:paraId="0BFC852B">
      <w:pPr>
        <w:spacing w:line="540" w:lineRule="exact"/>
        <w:contextualSpacing/>
        <w:jc w:val="center"/>
        <w:rPr>
          <w:rFonts w:hint="eastAsia" w:ascii="仿宋_GB2312" w:hAnsi="仿宋_GB2312" w:eastAsia="仿宋_GB2312" w:cs="仿宋_GB2312"/>
          <w:b/>
          <w:color w:val="000000"/>
          <w:sz w:val="28"/>
          <w:szCs w:val="28"/>
          <w:highlight w:val="none"/>
        </w:rPr>
      </w:pPr>
    </w:p>
    <w:p w14:paraId="4F3DD9D2">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第六部分</w:t>
      </w:r>
      <w:bookmarkEnd w:id="392"/>
      <w:bookmarkEnd w:id="393"/>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应提交的有关格式范例</w:t>
      </w:r>
    </w:p>
    <w:p w14:paraId="1E2258A2">
      <w:pPr>
        <w:spacing w:line="540" w:lineRule="exact"/>
        <w:contextualSpacing/>
        <w:rPr>
          <w:rFonts w:hint="eastAsia" w:ascii="仿宋_GB2312" w:hAnsi="仿宋_GB2312" w:eastAsia="仿宋_GB2312" w:cs="仿宋_GB2312"/>
          <w:color w:val="000000"/>
          <w:sz w:val="28"/>
          <w:szCs w:val="28"/>
          <w:highlight w:val="none"/>
        </w:rPr>
      </w:pPr>
    </w:p>
    <w:p w14:paraId="133E51C2">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资格文件部分</w:t>
      </w:r>
    </w:p>
    <w:p w14:paraId="0BC456E7">
      <w:pPr>
        <w:spacing w:line="540" w:lineRule="exact"/>
        <w:contextualSpacing/>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目录</w:t>
      </w:r>
    </w:p>
    <w:p w14:paraId="1AE0B606">
      <w:pPr>
        <w:spacing w:line="540" w:lineRule="exact"/>
        <w:contextualSpacing/>
        <w:rPr>
          <w:rFonts w:hint="eastAsia" w:ascii="仿宋_GB2312" w:hAnsi="仿宋_GB2312" w:eastAsia="仿宋_GB2312" w:cs="仿宋_GB2312"/>
          <w:color w:val="000000"/>
          <w:sz w:val="28"/>
          <w:szCs w:val="28"/>
          <w:highlight w:val="none"/>
        </w:rPr>
      </w:pPr>
    </w:p>
    <w:p w14:paraId="14D714BF">
      <w:pPr>
        <w:spacing w:line="540" w:lineRule="exact"/>
        <w:contextualSpacing/>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一、符合参加政府采购活动应当具备的一般条件的承诺函…………（页码）</w:t>
      </w:r>
    </w:p>
    <w:p w14:paraId="14B1169D">
      <w:pPr>
        <w:spacing w:line="540" w:lineRule="exact"/>
        <w:contextualSpacing/>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二、联合协议（如果有）………………………………………………（页码）</w:t>
      </w:r>
    </w:p>
    <w:p w14:paraId="2BA124B5">
      <w:pPr>
        <w:spacing w:line="540" w:lineRule="exact"/>
        <w:contextualSpacing/>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三、落实政府采购政策需满足的资格要求（如果有）………………（页码）</w:t>
      </w:r>
    </w:p>
    <w:p w14:paraId="222E25D8">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 w:val="28"/>
          <w:szCs w:val="28"/>
          <w:highlight w:val="none"/>
        </w:rPr>
        <w:t>四、本项目的特定资格要求（如果有）………………………………（页码）</w:t>
      </w:r>
      <w:r>
        <w:rPr>
          <w:rFonts w:hint="eastAsia" w:ascii="仿宋_GB2312" w:hAnsi="仿宋_GB2312" w:eastAsia="仿宋_GB2312" w:cs="仿宋_GB2312"/>
          <w:color w:val="000000"/>
          <w:sz w:val="24"/>
          <w:szCs w:val="24"/>
          <w:highlight w:val="none"/>
        </w:rPr>
        <w:br w:type="page"/>
      </w:r>
      <w:r>
        <w:rPr>
          <w:rFonts w:hint="eastAsia" w:ascii="仿宋_GB2312" w:hAnsi="仿宋_GB2312" w:eastAsia="仿宋_GB2312" w:cs="仿宋_GB2312"/>
          <w:b/>
          <w:color w:val="000000"/>
          <w:sz w:val="28"/>
          <w:szCs w:val="28"/>
          <w:highlight w:val="none"/>
        </w:rPr>
        <w:t>一、符合参加政府采购活动应当具备的一般条件的承诺函</w:t>
      </w:r>
    </w:p>
    <w:p w14:paraId="437849F3">
      <w:pPr>
        <w:spacing w:line="540" w:lineRule="exact"/>
        <w:contextualSpacing/>
        <w:rPr>
          <w:rFonts w:hint="eastAsia" w:ascii="仿宋_GB2312" w:hAnsi="仿宋_GB2312" w:eastAsia="仿宋_GB2312" w:cs="仿宋_GB2312"/>
          <w:color w:val="000000"/>
          <w:sz w:val="24"/>
          <w:szCs w:val="24"/>
          <w:highlight w:val="none"/>
        </w:rPr>
      </w:pPr>
    </w:p>
    <w:p w14:paraId="238B716D">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58450004">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我方参与（项目名称）【招标编号：（采购编号）】政府采购活动，郑重承诺：</w:t>
      </w:r>
    </w:p>
    <w:p w14:paraId="3C24D37B">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（一）具备《中华人民共和国政府采购法》第二十二条第一款规定的条件：</w:t>
      </w:r>
    </w:p>
    <w:p w14:paraId="23CBE6A4">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1.具有独立承担民事责任的能力；</w:t>
      </w:r>
    </w:p>
    <w:p w14:paraId="580C77C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2.具有良好的商业信誉和健全的财务会计制度；</w:t>
      </w:r>
    </w:p>
    <w:p w14:paraId="7E165F3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3.具有履行合同所必需的设备和专业技术能力；</w:t>
      </w:r>
    </w:p>
    <w:p w14:paraId="0956C2A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4.有依法缴纳税收和社会保障资金的良好记录；</w:t>
      </w:r>
    </w:p>
    <w:p w14:paraId="1E8A47F6">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5.参加政府采购活动前三年内，在经营活动中没有重大违法记录；</w:t>
      </w:r>
    </w:p>
    <w:p w14:paraId="004121D1">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6.具有法律、行政法规规定的其他条件。</w:t>
      </w:r>
    </w:p>
    <w:p w14:paraId="0421CA4B">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（二）未被信用中国（www.creditchina.gov.cn)、中国政府采购网（www.ccgp.gov.cn）列入失信被执行人、重大税收违法失信主体、政府采购严重违法失信行为记录名单。</w:t>
      </w:r>
    </w:p>
    <w:p w14:paraId="556F1906">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（三）不存在以下情况：</w:t>
      </w:r>
    </w:p>
    <w:p w14:paraId="74C8CA7B">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1.单位负责人为同一人或者存在直接控股、管理关系的不同供应商参加同一合同项下的政府采购活动的；</w:t>
      </w:r>
    </w:p>
    <w:p w14:paraId="79F2E5A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2.为采购项目提供整体设计、规范编制或者项目管理、监理、检测等服务后再参加该采购项目的其他采购活动的。</w:t>
      </w:r>
    </w:p>
    <w:p w14:paraId="73506AFF">
      <w:pPr>
        <w:spacing w:line="540" w:lineRule="exact"/>
        <w:contextualSpacing/>
        <w:rPr>
          <w:rFonts w:hint="eastAsia" w:ascii="仿宋_GB2312" w:hAnsi="仿宋_GB2312" w:eastAsia="仿宋_GB2312" w:cs="仿宋_GB2312"/>
          <w:color w:val="000000"/>
          <w:sz w:val="24"/>
          <w:szCs w:val="24"/>
          <w:highlight w:val="none"/>
        </w:rPr>
      </w:pPr>
    </w:p>
    <w:p w14:paraId="673C419A">
      <w:pPr>
        <w:spacing w:line="540" w:lineRule="exact"/>
        <w:contextualSpacing/>
        <w:rPr>
          <w:rFonts w:hint="eastAsia" w:ascii="仿宋_GB2312" w:hAnsi="仿宋_GB2312" w:eastAsia="仿宋_GB2312" w:cs="仿宋_GB2312"/>
          <w:color w:val="000000"/>
          <w:sz w:val="24"/>
          <w:szCs w:val="24"/>
          <w:highlight w:val="none"/>
        </w:rPr>
      </w:pPr>
    </w:p>
    <w:p w14:paraId="236954AA">
      <w:pPr>
        <w:spacing w:line="540" w:lineRule="exact"/>
        <w:contextualSpacing/>
        <w:rPr>
          <w:rFonts w:hint="eastAsia" w:ascii="仿宋_GB2312" w:hAnsi="仿宋_GB2312" w:eastAsia="仿宋_GB2312" w:cs="仿宋_GB2312"/>
          <w:color w:val="000000"/>
          <w:sz w:val="24"/>
          <w:szCs w:val="24"/>
          <w:highlight w:val="none"/>
        </w:rPr>
      </w:pPr>
    </w:p>
    <w:p w14:paraId="051FE2FC">
      <w:pPr>
        <w:spacing w:line="540" w:lineRule="exact"/>
        <w:ind w:firstLine="5400" w:firstLineChars="22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3F3F4E72">
      <w:pPr>
        <w:spacing w:line="540" w:lineRule="exact"/>
        <w:ind w:firstLine="5640" w:firstLineChars="23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4B35F369">
      <w:pPr>
        <w:spacing w:line="540" w:lineRule="exact"/>
        <w:contextualSpacing/>
        <w:jc w:val="center"/>
        <w:rPr>
          <w:rFonts w:hint="eastAsia" w:ascii="仿宋_GB2312" w:hAnsi="仿宋_GB2312" w:eastAsia="仿宋_GB2312" w:cs="仿宋_GB2312"/>
          <w:b/>
          <w:color w:val="000000"/>
          <w:sz w:val="24"/>
          <w:szCs w:val="24"/>
          <w:highlight w:val="none"/>
        </w:rPr>
      </w:pPr>
    </w:p>
    <w:p w14:paraId="1121D6D7">
      <w:pPr>
        <w:widowControl/>
        <w:spacing w:line="360" w:lineRule="auto"/>
        <w:ind w:firstLine="643" w:firstLineChars="200"/>
        <w:jc w:val="center"/>
        <w:rPr>
          <w:rFonts w:hint="eastAsia" w:ascii="仿宋_GB2312" w:hAnsi="仿宋_GB2312" w:eastAsia="仿宋_GB2312" w:cs="仿宋_GB2312"/>
          <w:b/>
          <w:color w:val="000000"/>
          <w:kern w:val="0"/>
          <w:sz w:val="32"/>
          <w:szCs w:val="32"/>
          <w:highlight w:val="none"/>
        </w:rPr>
      </w:pPr>
    </w:p>
    <w:p w14:paraId="0F6D1D3D">
      <w:pPr>
        <w:widowControl/>
        <w:spacing w:line="560" w:lineRule="exact"/>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二、联合协议（如果有）</w:t>
      </w:r>
    </w:p>
    <w:p w14:paraId="658D8AC3">
      <w:pPr>
        <w:widowControl/>
        <w:spacing w:line="560" w:lineRule="exact"/>
        <w:ind w:firstLine="482" w:firstLineChars="200"/>
        <w:jc w:val="lef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[以联合体形式投标的，提供联合协议（附件6）；本项目不接受联合体投标或者投标人不以联合体形式投标的，则不需要提供）]</w:t>
      </w:r>
    </w:p>
    <w:p w14:paraId="03DF3190">
      <w:pPr>
        <w:snapToGrid w:val="0"/>
        <w:spacing w:line="560" w:lineRule="exact"/>
        <w:ind w:right="480"/>
        <w:jc w:val="center"/>
        <w:rPr>
          <w:rFonts w:hint="eastAsia" w:ascii="仿宋_GB2312" w:hAnsi="仿宋_GB2312" w:eastAsia="仿宋_GB2312" w:cs="仿宋_GB2312"/>
          <w:b/>
          <w:color w:val="000000"/>
          <w:kern w:val="0"/>
          <w:sz w:val="24"/>
          <w:szCs w:val="24"/>
          <w:highlight w:val="none"/>
        </w:rPr>
      </w:pPr>
    </w:p>
    <w:p w14:paraId="4B8D5BA0">
      <w:pPr>
        <w:pStyle w:val="10"/>
        <w:rPr>
          <w:rFonts w:hint="eastAsia" w:ascii="仿宋_GB2312" w:hAnsi="仿宋_GB2312" w:eastAsia="仿宋_GB2312" w:cs="仿宋_GB2312"/>
          <w:color w:val="000000"/>
          <w:sz w:val="24"/>
          <w:szCs w:val="24"/>
          <w:highlight w:val="none"/>
        </w:rPr>
      </w:pPr>
    </w:p>
    <w:p w14:paraId="1043E842">
      <w:pPr>
        <w:snapToGrid w:val="0"/>
        <w:spacing w:line="560" w:lineRule="exact"/>
        <w:ind w:right="480"/>
        <w:jc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三、落实政府采购政策需满足的资格要求</w:t>
      </w:r>
      <w:r>
        <w:rPr>
          <w:rFonts w:hint="eastAsia" w:ascii="仿宋_GB2312" w:hAnsi="仿宋_GB2312" w:eastAsia="仿宋_GB2312" w:cs="仿宋_GB2312"/>
          <w:b/>
          <w:color w:val="000000"/>
          <w:sz w:val="24"/>
          <w:szCs w:val="24"/>
          <w:highlight w:val="none"/>
        </w:rPr>
        <w:t>（如果有）</w:t>
      </w:r>
    </w:p>
    <w:p w14:paraId="08C65CC8">
      <w:pPr>
        <w:spacing w:line="5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（根据招标公告落实政府采购政策需满足的资格要求选择提供相应的材料；未要求的，无需提供）</w:t>
      </w:r>
    </w:p>
    <w:p w14:paraId="0C057964">
      <w:pPr>
        <w:snapToGrid w:val="0"/>
        <w:spacing w:before="50" w:after="50" w:line="560" w:lineRule="exact"/>
        <w:ind w:firstLine="472" w:firstLineChars="196"/>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A</w:t>
      </w:r>
      <w:r>
        <w:rPr>
          <w:rFonts w:hint="eastAsia" w:ascii="仿宋_GB2312" w:hAnsi="仿宋_GB2312" w:eastAsia="仿宋_GB2312" w:cs="仿宋_GB2312"/>
          <w:color w:val="000000"/>
          <w:sz w:val="24"/>
          <w:szCs w:val="24"/>
          <w:highlight w:val="none"/>
        </w:rPr>
        <w:t>.专门面向中小企业，服务全部由符合政策要求的中小企业（或小微企业）承接的，提供相应的中小企业声明函（附件5）。</w:t>
      </w:r>
    </w:p>
    <w:p w14:paraId="5A8844AB">
      <w:pPr>
        <w:widowControl/>
        <w:spacing w:line="560" w:lineRule="exact"/>
        <w:ind w:firstLine="472" w:firstLineChars="196"/>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B.</w:t>
      </w:r>
      <w:r>
        <w:rPr>
          <w:rFonts w:hint="eastAsia" w:ascii="仿宋_GB2312" w:hAnsi="仿宋_GB2312" w:eastAsia="仿宋_GB2312" w:cs="仿宋_GB2312"/>
          <w:color w:val="000000"/>
          <w:sz w:val="24"/>
          <w:szCs w:val="24"/>
          <w:highlight w:val="none"/>
        </w:rPr>
        <w:t>要求以联合体形式参加的，提供联合协议（附件6）和中小企业声明函（附件5），联合协议中中小企业合同金额应当达到招标公告载明的比例；如果供应商本身提供所有标的均由中小企业承接的，</w:t>
      </w:r>
      <w:r>
        <w:rPr>
          <w:rFonts w:hint="eastAsia" w:ascii="仿宋_GB2312" w:hAnsi="仿宋_GB2312" w:eastAsia="仿宋_GB2312" w:cs="仿宋_GB2312"/>
          <w:color w:val="000000"/>
          <w:spacing w:val="8"/>
          <w:kern w:val="0"/>
          <w:sz w:val="24"/>
          <w:szCs w:val="24"/>
          <w:highlight w:val="none"/>
        </w:rPr>
        <w:t>并相应达到了前述比例要求，</w:t>
      </w:r>
      <w:r>
        <w:rPr>
          <w:rFonts w:hint="eastAsia" w:ascii="仿宋_GB2312" w:hAnsi="仿宋_GB2312" w:eastAsia="仿宋_GB2312" w:cs="仿宋_GB2312"/>
          <w:color w:val="000000"/>
          <w:sz w:val="24"/>
          <w:szCs w:val="24"/>
          <w:highlight w:val="none"/>
        </w:rPr>
        <w:t>视同符合了资格条件，无需再与其他中小企业组成联合体参加政府采购活动，无需提供联合协议。</w:t>
      </w:r>
    </w:p>
    <w:p w14:paraId="5404C0C1">
      <w:pPr>
        <w:snapToGrid w:val="0"/>
        <w:spacing w:before="50" w:after="50" w:line="56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
          <w:color w:val="000000"/>
          <w:sz w:val="24"/>
          <w:szCs w:val="24"/>
          <w:highlight w:val="none"/>
        </w:rPr>
        <w:t xml:space="preserve">    C.</w:t>
      </w:r>
      <w:r>
        <w:rPr>
          <w:rFonts w:hint="eastAsia" w:ascii="仿宋_GB2312" w:hAnsi="仿宋_GB2312" w:eastAsia="仿宋_GB2312" w:cs="仿宋_GB2312"/>
          <w:color w:val="000000"/>
          <w:sz w:val="24"/>
          <w:szCs w:val="24"/>
          <w:highlight w:val="none"/>
        </w:rPr>
        <w:t>要求合同分包的，提供分包意向协议（附件7）和中小企业声明函（附件5），分包意向协议中中小企业合同金额应当达到招标公告载明的比例；如果供应商本身提供所有标的均由中小企业承接的，</w:t>
      </w:r>
      <w:r>
        <w:rPr>
          <w:rFonts w:hint="eastAsia" w:ascii="仿宋_GB2312" w:hAnsi="仿宋_GB2312" w:eastAsia="仿宋_GB2312" w:cs="仿宋_GB2312"/>
          <w:color w:val="000000"/>
          <w:spacing w:val="8"/>
          <w:kern w:val="0"/>
          <w:sz w:val="24"/>
          <w:szCs w:val="24"/>
          <w:highlight w:val="none"/>
        </w:rPr>
        <w:t>并相应达到了前述比例要求，</w:t>
      </w:r>
      <w:r>
        <w:rPr>
          <w:rFonts w:hint="eastAsia" w:ascii="仿宋_GB2312" w:hAnsi="仿宋_GB2312" w:eastAsia="仿宋_GB2312" w:cs="仿宋_GB2312"/>
          <w:color w:val="000000"/>
          <w:sz w:val="24"/>
          <w:szCs w:val="24"/>
          <w:highlight w:val="none"/>
        </w:rPr>
        <w:t>视同符合了资格条件，无需再向中小企业分包，无需提供分包意向协议。</w:t>
      </w:r>
    </w:p>
    <w:p w14:paraId="1A04A4EF">
      <w:pPr>
        <w:widowControl/>
        <w:spacing w:line="560" w:lineRule="exact"/>
        <w:ind w:left="150"/>
        <w:jc w:val="center"/>
        <w:rPr>
          <w:rFonts w:hint="eastAsia" w:ascii="仿宋_GB2312" w:hAnsi="仿宋_GB2312" w:eastAsia="仿宋_GB2312" w:cs="仿宋_GB2312"/>
          <w:b/>
          <w:color w:val="000000"/>
          <w:kern w:val="0"/>
          <w:sz w:val="24"/>
          <w:szCs w:val="24"/>
          <w:highlight w:val="none"/>
        </w:rPr>
      </w:pPr>
    </w:p>
    <w:p w14:paraId="364694AC">
      <w:pPr>
        <w:widowControl/>
        <w:spacing w:line="560" w:lineRule="exact"/>
        <w:ind w:firstLine="482" w:firstLineChars="200"/>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kern w:val="0"/>
          <w:sz w:val="24"/>
          <w:szCs w:val="24"/>
          <w:highlight w:val="none"/>
        </w:rPr>
        <w:t>四、本项目的特定资格要求</w:t>
      </w:r>
      <w:r>
        <w:rPr>
          <w:rFonts w:hint="eastAsia" w:ascii="仿宋_GB2312" w:hAnsi="仿宋_GB2312" w:eastAsia="仿宋_GB2312" w:cs="仿宋_GB2312"/>
          <w:b/>
          <w:color w:val="000000"/>
          <w:sz w:val="24"/>
          <w:szCs w:val="24"/>
          <w:highlight w:val="none"/>
        </w:rPr>
        <w:t>（如果有）</w:t>
      </w:r>
    </w:p>
    <w:p w14:paraId="47BBA871">
      <w:pPr>
        <w:spacing w:line="56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（根据招标公告本项目的特定资格要求提供相应的材料；未要求的，无需提供）</w:t>
      </w:r>
    </w:p>
    <w:p w14:paraId="56824A11">
      <w:pPr>
        <w:spacing w:line="560" w:lineRule="exact"/>
        <w:contextualSpacing/>
        <w:jc w:val="center"/>
        <w:rPr>
          <w:rFonts w:hint="eastAsia" w:ascii="仿宋_GB2312" w:hAnsi="仿宋_GB2312" w:eastAsia="仿宋_GB2312" w:cs="仿宋_GB2312"/>
          <w:b/>
          <w:color w:val="000000"/>
          <w:sz w:val="24"/>
          <w:szCs w:val="24"/>
          <w:highlight w:val="none"/>
        </w:rPr>
      </w:pPr>
    </w:p>
    <w:p w14:paraId="0DB2206C">
      <w:pPr>
        <w:pStyle w:val="12"/>
        <w:rPr>
          <w:rFonts w:hint="eastAsia" w:ascii="仿宋_GB2312" w:hAnsi="仿宋_GB2312" w:eastAsia="仿宋_GB2312" w:cs="仿宋_GB2312"/>
          <w:color w:val="000000"/>
          <w:highlight w:val="none"/>
        </w:rPr>
      </w:pPr>
    </w:p>
    <w:p w14:paraId="71800CF6">
      <w:pPr>
        <w:pStyle w:val="12"/>
        <w:rPr>
          <w:rFonts w:hint="eastAsia" w:ascii="仿宋_GB2312" w:hAnsi="仿宋_GB2312" w:eastAsia="仿宋_GB2312" w:cs="仿宋_GB2312"/>
          <w:color w:val="000000"/>
          <w:highlight w:val="none"/>
        </w:rPr>
      </w:pPr>
    </w:p>
    <w:p w14:paraId="642C8675">
      <w:pPr>
        <w:pStyle w:val="12"/>
        <w:rPr>
          <w:rFonts w:hint="eastAsia" w:ascii="仿宋_GB2312" w:hAnsi="仿宋_GB2312" w:eastAsia="仿宋_GB2312" w:cs="仿宋_GB2312"/>
          <w:color w:val="000000"/>
          <w:highlight w:val="none"/>
        </w:rPr>
      </w:pPr>
    </w:p>
    <w:p w14:paraId="43A80A46">
      <w:pPr>
        <w:spacing w:line="56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商务技术文件部分</w:t>
      </w:r>
    </w:p>
    <w:p w14:paraId="59D3BC3A">
      <w:pPr>
        <w:spacing w:line="560" w:lineRule="exact"/>
        <w:contextualSpacing/>
        <w:rPr>
          <w:rFonts w:hint="eastAsia" w:ascii="仿宋_GB2312" w:hAnsi="仿宋_GB2312" w:eastAsia="仿宋_GB2312" w:cs="仿宋_GB2312"/>
          <w:color w:val="000000"/>
          <w:sz w:val="28"/>
          <w:szCs w:val="28"/>
          <w:highlight w:val="none"/>
        </w:rPr>
      </w:pPr>
    </w:p>
    <w:p w14:paraId="5526DA4B">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目录</w:t>
      </w:r>
    </w:p>
    <w:p w14:paraId="32BFAAEF">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投标函…………………………………………………………………………（页码）</w:t>
      </w:r>
    </w:p>
    <w:p w14:paraId="71B42F7A">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授权委托书或法定代表人（单位负责人、自然人本人）身份证明………（页码）</w:t>
      </w:r>
    </w:p>
    <w:p w14:paraId="1D9E4F76">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联合协议（如果有）…………………………………………………………（页码）</w:t>
      </w:r>
    </w:p>
    <w:p w14:paraId="623C7546">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分包意向协议（如果有）……………………………………………………（页码）</w:t>
      </w:r>
    </w:p>
    <w:p w14:paraId="357CB944">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符合性审查资料………………………………………………………………（页码）</w:t>
      </w:r>
    </w:p>
    <w:p w14:paraId="1867BCD0">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拟投入的项目班子格式（如果有）…………………………………………（页码）</w:t>
      </w:r>
    </w:p>
    <w:p w14:paraId="4AB34CDD">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评标标准相应的商务技术资料………………………………………………（页码）</w:t>
      </w:r>
    </w:p>
    <w:p w14:paraId="2EC8BD3A">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投标标的清单………………………………………………………………（页码）</w:t>
      </w:r>
    </w:p>
    <w:p w14:paraId="0148CE71">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商务技术偏离表……………………………………………………………（页码）</w:t>
      </w:r>
    </w:p>
    <w:p w14:paraId="34DB1583">
      <w:pPr>
        <w:pStyle w:val="58"/>
        <w:numPr>
          <w:ilvl w:val="0"/>
          <w:numId w:val="6"/>
        </w:numPr>
        <w:spacing w:line="540" w:lineRule="exact"/>
        <w:ind w:firstLineChars="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政府采购供应商廉洁自律承诺书……………………………………………（页码）</w:t>
      </w:r>
    </w:p>
    <w:p w14:paraId="2CFE7081">
      <w:pPr>
        <w:spacing w:line="540" w:lineRule="exact"/>
        <w:contextualSpacing/>
        <w:rPr>
          <w:rFonts w:hint="eastAsia" w:ascii="仿宋_GB2312" w:hAnsi="仿宋_GB2312" w:eastAsia="仿宋_GB2312" w:cs="仿宋_GB2312"/>
          <w:color w:val="000000"/>
          <w:sz w:val="24"/>
          <w:szCs w:val="24"/>
          <w:highlight w:val="none"/>
        </w:rPr>
      </w:pPr>
    </w:p>
    <w:p w14:paraId="52EE5469">
      <w:pPr>
        <w:spacing w:line="540" w:lineRule="exact"/>
        <w:contextualSpacing/>
        <w:rPr>
          <w:rFonts w:hint="eastAsia" w:ascii="仿宋_GB2312" w:hAnsi="仿宋_GB2312" w:eastAsia="仿宋_GB2312" w:cs="仿宋_GB2312"/>
          <w:color w:val="000000"/>
          <w:sz w:val="24"/>
          <w:szCs w:val="24"/>
          <w:highlight w:val="none"/>
        </w:rPr>
      </w:pPr>
    </w:p>
    <w:p w14:paraId="3F7D3E39">
      <w:pPr>
        <w:pStyle w:val="10"/>
        <w:rPr>
          <w:rFonts w:hint="eastAsia" w:ascii="仿宋_GB2312" w:hAnsi="仿宋_GB2312" w:eastAsia="仿宋_GB2312" w:cs="仿宋_GB2312"/>
          <w:color w:val="000000"/>
          <w:highlight w:val="none"/>
        </w:rPr>
      </w:pPr>
    </w:p>
    <w:p w14:paraId="18DC0ECD">
      <w:pPr>
        <w:spacing w:line="540" w:lineRule="exact"/>
        <w:contextualSpacing/>
        <w:rPr>
          <w:rFonts w:hint="eastAsia" w:ascii="仿宋_GB2312" w:hAnsi="仿宋_GB2312" w:eastAsia="仿宋_GB2312" w:cs="仿宋_GB2312"/>
          <w:color w:val="000000"/>
          <w:sz w:val="24"/>
          <w:szCs w:val="24"/>
          <w:highlight w:val="none"/>
        </w:rPr>
      </w:pPr>
    </w:p>
    <w:p w14:paraId="760B90CB">
      <w:pPr>
        <w:spacing w:line="540" w:lineRule="exact"/>
        <w:contextualSpacing/>
        <w:rPr>
          <w:rFonts w:hint="eastAsia" w:ascii="仿宋_GB2312" w:hAnsi="仿宋_GB2312" w:eastAsia="仿宋_GB2312" w:cs="仿宋_GB2312"/>
          <w:color w:val="000000"/>
          <w:sz w:val="24"/>
          <w:szCs w:val="24"/>
          <w:highlight w:val="none"/>
        </w:rPr>
      </w:pPr>
    </w:p>
    <w:p w14:paraId="6C615264">
      <w:pPr>
        <w:spacing w:line="540" w:lineRule="exact"/>
        <w:contextualSpacing/>
        <w:rPr>
          <w:rFonts w:hint="eastAsia" w:ascii="仿宋_GB2312" w:hAnsi="仿宋_GB2312" w:eastAsia="仿宋_GB2312" w:cs="仿宋_GB2312"/>
          <w:color w:val="000000"/>
          <w:sz w:val="24"/>
          <w:szCs w:val="24"/>
          <w:highlight w:val="none"/>
        </w:rPr>
      </w:pPr>
    </w:p>
    <w:p w14:paraId="31350A91">
      <w:pPr>
        <w:spacing w:line="540" w:lineRule="exact"/>
        <w:contextualSpacing/>
        <w:rPr>
          <w:rFonts w:hint="eastAsia" w:ascii="仿宋_GB2312" w:hAnsi="仿宋_GB2312" w:eastAsia="仿宋_GB2312" w:cs="仿宋_GB2312"/>
          <w:color w:val="000000"/>
          <w:sz w:val="24"/>
          <w:szCs w:val="24"/>
          <w:highlight w:val="none"/>
        </w:rPr>
      </w:pPr>
    </w:p>
    <w:p w14:paraId="434962AE">
      <w:pPr>
        <w:spacing w:line="540" w:lineRule="exact"/>
        <w:contextualSpacing/>
        <w:rPr>
          <w:rFonts w:hint="eastAsia" w:ascii="仿宋_GB2312" w:hAnsi="仿宋_GB2312" w:eastAsia="仿宋_GB2312" w:cs="仿宋_GB2312"/>
          <w:color w:val="000000"/>
          <w:sz w:val="24"/>
          <w:szCs w:val="24"/>
          <w:highlight w:val="none"/>
        </w:rPr>
      </w:pPr>
    </w:p>
    <w:p w14:paraId="7EA7F01C">
      <w:pPr>
        <w:spacing w:line="540" w:lineRule="exact"/>
        <w:contextualSpacing/>
        <w:rPr>
          <w:rFonts w:hint="eastAsia" w:ascii="仿宋_GB2312" w:hAnsi="仿宋_GB2312" w:eastAsia="仿宋_GB2312" w:cs="仿宋_GB2312"/>
          <w:color w:val="000000"/>
          <w:sz w:val="24"/>
          <w:szCs w:val="24"/>
          <w:highlight w:val="none"/>
        </w:rPr>
      </w:pPr>
    </w:p>
    <w:p w14:paraId="687F5C33">
      <w:pPr>
        <w:spacing w:line="540" w:lineRule="exact"/>
        <w:contextualSpacing/>
        <w:rPr>
          <w:rFonts w:hint="eastAsia" w:ascii="仿宋_GB2312" w:hAnsi="仿宋_GB2312" w:eastAsia="仿宋_GB2312" w:cs="仿宋_GB2312"/>
          <w:color w:val="000000"/>
          <w:sz w:val="24"/>
          <w:szCs w:val="24"/>
          <w:highlight w:val="none"/>
        </w:rPr>
      </w:pPr>
    </w:p>
    <w:p w14:paraId="6B49176F">
      <w:pPr>
        <w:spacing w:line="540" w:lineRule="exact"/>
        <w:contextualSpacing/>
        <w:rPr>
          <w:rFonts w:hint="eastAsia" w:ascii="仿宋_GB2312" w:hAnsi="仿宋_GB2312" w:eastAsia="仿宋_GB2312" w:cs="仿宋_GB2312"/>
          <w:color w:val="000000"/>
          <w:sz w:val="24"/>
          <w:szCs w:val="24"/>
          <w:highlight w:val="none"/>
        </w:rPr>
      </w:pPr>
    </w:p>
    <w:p w14:paraId="3BFCD454">
      <w:pPr>
        <w:spacing w:line="540" w:lineRule="exact"/>
        <w:contextualSpacing/>
        <w:rPr>
          <w:rFonts w:hint="eastAsia" w:ascii="仿宋_GB2312" w:hAnsi="仿宋_GB2312" w:eastAsia="仿宋_GB2312" w:cs="仿宋_GB2312"/>
          <w:color w:val="000000"/>
          <w:sz w:val="24"/>
          <w:szCs w:val="24"/>
          <w:highlight w:val="none"/>
        </w:rPr>
      </w:pPr>
    </w:p>
    <w:p w14:paraId="1E51640E">
      <w:pPr>
        <w:spacing w:line="540" w:lineRule="exact"/>
        <w:contextualSpacing/>
        <w:rPr>
          <w:rFonts w:hint="eastAsia" w:ascii="仿宋_GB2312" w:hAnsi="仿宋_GB2312" w:eastAsia="仿宋_GB2312" w:cs="仿宋_GB2312"/>
          <w:color w:val="000000"/>
          <w:sz w:val="24"/>
          <w:szCs w:val="24"/>
          <w:highlight w:val="none"/>
        </w:rPr>
      </w:pPr>
    </w:p>
    <w:p w14:paraId="5E6611C7">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一、投标函</w:t>
      </w:r>
    </w:p>
    <w:p w14:paraId="35A5220A">
      <w:pPr>
        <w:spacing w:line="540" w:lineRule="exact"/>
        <w:contextualSpacing/>
        <w:rPr>
          <w:rFonts w:hint="eastAsia" w:ascii="仿宋_GB2312" w:hAnsi="仿宋_GB2312" w:eastAsia="仿宋_GB2312" w:cs="仿宋_GB2312"/>
          <w:color w:val="000000"/>
          <w:sz w:val="24"/>
          <w:szCs w:val="24"/>
          <w:highlight w:val="none"/>
        </w:rPr>
      </w:pPr>
    </w:p>
    <w:p w14:paraId="33695DD6">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40EDB594">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我方参加你方组织的（项目名称）【招标编号：（采购编号）】招标的有关活动，并对此项目进行投标。为此：</w:t>
      </w:r>
    </w:p>
    <w:p w14:paraId="22F45367">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我方承诺投标有效期从提交投标文件的截止之日起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天（不少于90天），本投标文件在投标有效期满之前均具有约束力。</w:t>
      </w:r>
    </w:p>
    <w:p w14:paraId="321020B1">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1.我方的投标文件包括以下内容：</w:t>
      </w:r>
    </w:p>
    <w:p w14:paraId="336FFFD1">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2.1资格文件：</w:t>
      </w:r>
    </w:p>
    <w:p w14:paraId="245A2113">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2.1.1承诺函；</w:t>
      </w:r>
    </w:p>
    <w:p w14:paraId="09B23A7B">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2.1.2联合协议（如果有)；</w:t>
      </w:r>
    </w:p>
    <w:p w14:paraId="3BD9E5B6">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2.1.3落实政府采购政策需满足的资格要求（如果有)；</w:t>
      </w:r>
    </w:p>
    <w:p w14:paraId="2D8544FD">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2.2.4本项目的特定资格要求（如果有）。</w:t>
      </w:r>
    </w:p>
    <w:p w14:paraId="2321B8A9">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 商务技术文件：</w:t>
      </w:r>
    </w:p>
    <w:p w14:paraId="79B28774">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2.2.1投标函；</w:t>
      </w:r>
    </w:p>
    <w:p w14:paraId="23DDE290">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2.2.2授权委托书或法定代表人（单位负责人）身份证明；</w:t>
      </w:r>
    </w:p>
    <w:p w14:paraId="07FF0823">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2.2.3联合协议（如果有）；</w:t>
      </w:r>
    </w:p>
    <w:p w14:paraId="026F180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2.2.4分包意向协议（如果有）；</w:t>
      </w:r>
    </w:p>
    <w:p w14:paraId="5E1802B7">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2.2.5符合性审查资料；</w:t>
      </w:r>
    </w:p>
    <w:p w14:paraId="776C78A9">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2.2.6拟投入的项目班子格式（如果有）；</w:t>
      </w:r>
    </w:p>
    <w:p w14:paraId="6901AFB8">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2.2.7评标标准相应的商务技术资料；</w:t>
      </w:r>
    </w:p>
    <w:p w14:paraId="59FBDFDF">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2.2.8投标标的清单；</w:t>
      </w:r>
    </w:p>
    <w:p w14:paraId="5D6D2605">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2.2.9商务技术偏离表；</w:t>
      </w:r>
    </w:p>
    <w:p w14:paraId="46EC17E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2.2.10政府采购供应商廉洁自律承诺书。</w:t>
      </w:r>
    </w:p>
    <w:p w14:paraId="714EE969">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2.3报价文件</w:t>
      </w:r>
    </w:p>
    <w:p w14:paraId="53EC255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2.3.1开标一览表（报价表）；</w:t>
      </w:r>
    </w:p>
    <w:p w14:paraId="781502B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2.3.2中小企业声明函（如果有）。</w:t>
      </w:r>
    </w:p>
    <w:p w14:paraId="28FB854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3.我方承诺除商务技术偏离表（如果有）列出的偏离外，我方响应招标文件的全部要求。</w:t>
      </w:r>
    </w:p>
    <w:p w14:paraId="70352C3B">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4.如我方中标，我方承诺：</w:t>
      </w:r>
    </w:p>
    <w:p w14:paraId="1CDDD235">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4.1在收到中标通知书后，在中标通知书规定的期限内与你方签订合同；</w:t>
      </w:r>
    </w:p>
    <w:p w14:paraId="734EDEB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4.2在签订合同时不向你方提出附加条件；</w:t>
      </w:r>
    </w:p>
    <w:p w14:paraId="4FB188DC">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4.3按照招标文件要求提交履约保证金；</w:t>
      </w:r>
    </w:p>
    <w:p w14:paraId="6FDE5A30">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4.4在合同约定的期限内完成合同规定的全部义务。</w:t>
      </w:r>
    </w:p>
    <w:p w14:paraId="39C90B0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5.其他补充说明:。</w:t>
      </w:r>
    </w:p>
    <w:p w14:paraId="6E885B3A">
      <w:pPr>
        <w:spacing w:line="540" w:lineRule="exact"/>
        <w:contextualSpacing/>
        <w:rPr>
          <w:rFonts w:hint="eastAsia" w:ascii="仿宋_GB2312" w:hAnsi="仿宋_GB2312" w:eastAsia="仿宋_GB2312" w:cs="仿宋_GB2312"/>
          <w:color w:val="000000"/>
          <w:sz w:val="24"/>
          <w:szCs w:val="24"/>
          <w:highlight w:val="none"/>
        </w:rPr>
      </w:pPr>
    </w:p>
    <w:p w14:paraId="006794B1">
      <w:pPr>
        <w:spacing w:line="540" w:lineRule="exact"/>
        <w:contextualSpacing/>
        <w:rPr>
          <w:rFonts w:hint="eastAsia" w:ascii="仿宋_GB2312" w:hAnsi="仿宋_GB2312" w:eastAsia="仿宋_GB2312" w:cs="仿宋_GB2312"/>
          <w:color w:val="000000"/>
          <w:sz w:val="24"/>
          <w:szCs w:val="24"/>
          <w:highlight w:val="none"/>
        </w:rPr>
      </w:pPr>
    </w:p>
    <w:p w14:paraId="213613FF">
      <w:pPr>
        <w:spacing w:line="540" w:lineRule="exact"/>
        <w:contextualSpacing/>
        <w:rPr>
          <w:rFonts w:hint="eastAsia" w:ascii="仿宋_GB2312" w:hAnsi="仿宋_GB2312" w:eastAsia="仿宋_GB2312" w:cs="仿宋_GB2312"/>
          <w:color w:val="000000"/>
          <w:sz w:val="24"/>
          <w:szCs w:val="24"/>
          <w:highlight w:val="none"/>
        </w:rPr>
      </w:pPr>
    </w:p>
    <w:p w14:paraId="586FBF85">
      <w:pPr>
        <w:spacing w:line="540" w:lineRule="exact"/>
        <w:contextualSpacing/>
        <w:rPr>
          <w:rFonts w:hint="eastAsia" w:ascii="仿宋_GB2312" w:hAnsi="仿宋_GB2312" w:eastAsia="仿宋_GB2312" w:cs="仿宋_GB2312"/>
          <w:color w:val="000000"/>
          <w:sz w:val="24"/>
          <w:szCs w:val="24"/>
          <w:highlight w:val="none"/>
        </w:rPr>
      </w:pPr>
    </w:p>
    <w:p w14:paraId="577674C1">
      <w:pPr>
        <w:spacing w:line="540" w:lineRule="exact"/>
        <w:contextualSpacing/>
        <w:rPr>
          <w:rFonts w:hint="eastAsia" w:ascii="仿宋_GB2312" w:hAnsi="仿宋_GB2312" w:eastAsia="仿宋_GB2312" w:cs="仿宋_GB2312"/>
          <w:color w:val="000000"/>
          <w:sz w:val="24"/>
          <w:szCs w:val="24"/>
          <w:highlight w:val="none"/>
        </w:rPr>
      </w:pPr>
    </w:p>
    <w:p w14:paraId="5E13E480">
      <w:pPr>
        <w:spacing w:line="540" w:lineRule="exact"/>
        <w:contextualSpacing/>
        <w:rPr>
          <w:rFonts w:hint="eastAsia" w:ascii="仿宋_GB2312" w:hAnsi="仿宋_GB2312" w:eastAsia="仿宋_GB2312" w:cs="仿宋_GB2312"/>
          <w:color w:val="000000"/>
          <w:sz w:val="24"/>
          <w:szCs w:val="24"/>
          <w:highlight w:val="none"/>
        </w:rPr>
      </w:pPr>
    </w:p>
    <w:p w14:paraId="1DCD4B38">
      <w:pPr>
        <w:spacing w:line="540" w:lineRule="exact"/>
        <w:ind w:firstLine="3840" w:firstLineChars="16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6409ECB9">
      <w:pPr>
        <w:spacing w:line="540" w:lineRule="exact"/>
        <w:ind w:firstLine="3840" w:firstLineChars="16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22A4364B">
      <w:pPr>
        <w:spacing w:line="540" w:lineRule="exact"/>
        <w:contextualSpacing/>
        <w:rPr>
          <w:rFonts w:hint="eastAsia" w:ascii="仿宋_GB2312" w:hAnsi="仿宋_GB2312" w:eastAsia="仿宋_GB2312" w:cs="仿宋_GB2312"/>
          <w:color w:val="000000"/>
          <w:sz w:val="24"/>
          <w:szCs w:val="24"/>
          <w:highlight w:val="none"/>
        </w:rPr>
      </w:pPr>
    </w:p>
    <w:p w14:paraId="0E796BA8">
      <w:pPr>
        <w:spacing w:line="540" w:lineRule="exact"/>
        <w:contextualSpacing/>
        <w:rPr>
          <w:rFonts w:hint="eastAsia" w:ascii="仿宋_GB2312" w:hAnsi="仿宋_GB2312" w:eastAsia="仿宋_GB2312" w:cs="仿宋_GB2312"/>
          <w:color w:val="000000"/>
          <w:sz w:val="24"/>
          <w:szCs w:val="24"/>
          <w:highlight w:val="none"/>
        </w:rPr>
      </w:pPr>
    </w:p>
    <w:p w14:paraId="4D9F9495">
      <w:pPr>
        <w:spacing w:line="540" w:lineRule="exact"/>
        <w:contextualSpacing/>
        <w:rPr>
          <w:rFonts w:hint="eastAsia" w:ascii="仿宋_GB2312" w:hAnsi="仿宋_GB2312" w:eastAsia="仿宋_GB2312" w:cs="仿宋_GB2312"/>
          <w:color w:val="000000"/>
          <w:sz w:val="24"/>
          <w:szCs w:val="24"/>
          <w:highlight w:val="none"/>
        </w:rPr>
      </w:pPr>
    </w:p>
    <w:p w14:paraId="2BBD8FD7">
      <w:pPr>
        <w:spacing w:line="540" w:lineRule="exact"/>
        <w:contextualSpacing/>
        <w:rPr>
          <w:rFonts w:hint="eastAsia" w:ascii="仿宋_GB2312" w:hAnsi="仿宋_GB2312" w:eastAsia="仿宋_GB2312" w:cs="仿宋_GB2312"/>
          <w:color w:val="000000"/>
          <w:sz w:val="24"/>
          <w:szCs w:val="24"/>
          <w:highlight w:val="none"/>
        </w:rPr>
      </w:pPr>
    </w:p>
    <w:p w14:paraId="63A9513C">
      <w:pPr>
        <w:spacing w:line="540" w:lineRule="exact"/>
        <w:contextualSpacing/>
        <w:rPr>
          <w:rFonts w:hint="eastAsia" w:ascii="仿宋_GB2312" w:hAnsi="仿宋_GB2312" w:eastAsia="仿宋_GB2312" w:cs="仿宋_GB2312"/>
          <w:color w:val="000000"/>
          <w:sz w:val="24"/>
          <w:szCs w:val="24"/>
          <w:highlight w:val="none"/>
        </w:rPr>
      </w:pPr>
    </w:p>
    <w:p w14:paraId="5C845307">
      <w:pPr>
        <w:spacing w:line="540" w:lineRule="exact"/>
        <w:contextualSpacing/>
        <w:rPr>
          <w:rFonts w:hint="eastAsia" w:ascii="仿宋_GB2312" w:hAnsi="仿宋_GB2312" w:eastAsia="仿宋_GB2312" w:cs="仿宋_GB2312"/>
          <w:color w:val="000000"/>
          <w:sz w:val="24"/>
          <w:szCs w:val="24"/>
          <w:highlight w:val="none"/>
        </w:rPr>
      </w:pPr>
    </w:p>
    <w:p w14:paraId="313B8DC6">
      <w:pPr>
        <w:spacing w:line="540" w:lineRule="exact"/>
        <w:contextualSpacing/>
        <w:jc w:val="center"/>
        <w:rPr>
          <w:rFonts w:hint="eastAsia" w:ascii="仿宋_GB2312" w:hAnsi="仿宋_GB2312" w:eastAsia="仿宋_GB2312" w:cs="仿宋_GB2312"/>
          <w:b/>
          <w:color w:val="000000"/>
          <w:sz w:val="28"/>
          <w:szCs w:val="28"/>
          <w:highlight w:val="none"/>
        </w:rPr>
      </w:pPr>
    </w:p>
    <w:p w14:paraId="4C476BF9">
      <w:pPr>
        <w:spacing w:line="540" w:lineRule="exact"/>
        <w:contextualSpacing/>
        <w:jc w:val="center"/>
        <w:rPr>
          <w:rFonts w:hint="eastAsia" w:ascii="仿宋_GB2312" w:hAnsi="仿宋_GB2312" w:eastAsia="仿宋_GB2312" w:cs="仿宋_GB2312"/>
          <w:b/>
          <w:color w:val="000000"/>
          <w:sz w:val="28"/>
          <w:szCs w:val="28"/>
          <w:highlight w:val="none"/>
        </w:rPr>
      </w:pPr>
    </w:p>
    <w:p w14:paraId="37F8DD0F">
      <w:pPr>
        <w:spacing w:line="540" w:lineRule="exact"/>
        <w:contextualSpacing/>
        <w:jc w:val="center"/>
        <w:rPr>
          <w:rFonts w:hint="eastAsia" w:ascii="仿宋_GB2312" w:hAnsi="仿宋_GB2312" w:eastAsia="仿宋_GB2312" w:cs="仿宋_GB2312"/>
          <w:b/>
          <w:color w:val="000000"/>
          <w:sz w:val="28"/>
          <w:szCs w:val="28"/>
          <w:highlight w:val="none"/>
        </w:rPr>
      </w:pPr>
    </w:p>
    <w:p w14:paraId="221D2491">
      <w:pPr>
        <w:spacing w:line="540" w:lineRule="exact"/>
        <w:contextualSpacing/>
        <w:jc w:val="center"/>
        <w:rPr>
          <w:rFonts w:hint="eastAsia" w:ascii="仿宋_GB2312" w:hAnsi="仿宋_GB2312" w:eastAsia="仿宋_GB2312" w:cs="仿宋_GB2312"/>
          <w:b/>
          <w:color w:val="000000"/>
          <w:sz w:val="28"/>
          <w:szCs w:val="28"/>
          <w:highlight w:val="none"/>
        </w:rPr>
      </w:pPr>
    </w:p>
    <w:p w14:paraId="73AD58F2">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二、授权委托书或法定代表人（单位负责人、自然人本人）身份证明</w:t>
      </w:r>
    </w:p>
    <w:p w14:paraId="0D6552C2">
      <w:pPr>
        <w:spacing w:line="540" w:lineRule="exact"/>
        <w:contextualSpacing/>
        <w:rPr>
          <w:rFonts w:hint="eastAsia" w:ascii="仿宋_GB2312" w:hAnsi="仿宋_GB2312" w:eastAsia="仿宋_GB2312" w:cs="仿宋_GB2312"/>
          <w:color w:val="000000"/>
          <w:sz w:val="24"/>
          <w:szCs w:val="24"/>
          <w:highlight w:val="none"/>
        </w:rPr>
      </w:pPr>
    </w:p>
    <w:p w14:paraId="68E8B65A">
      <w:pPr>
        <w:spacing w:line="540" w:lineRule="exact"/>
        <w:contextualSpacing/>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授权委托书（适用于非联合体投标）</w:t>
      </w:r>
    </w:p>
    <w:p w14:paraId="6CECC916">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1B5D9755">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现委托（姓名）为我方代理人（身份证号码：，手机：），以我方名义处理</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【招标编号：</w:t>
      </w:r>
      <w:r>
        <w:rPr>
          <w:rFonts w:hint="eastAsia" w:ascii="仿宋_GB2312" w:hAnsi="仿宋_GB2312" w:eastAsia="仿宋_GB2312" w:cs="仿宋_GB2312"/>
          <w:color w:val="000000"/>
          <w:sz w:val="24"/>
          <w:szCs w:val="24"/>
          <w:highlight w:val="none"/>
          <w:u w:val="single"/>
        </w:rPr>
        <w:t>（采购编号）</w:t>
      </w:r>
      <w:r>
        <w:rPr>
          <w:rFonts w:hint="eastAsia" w:ascii="仿宋_GB2312" w:hAnsi="仿宋_GB2312" w:eastAsia="仿宋_GB2312" w:cs="仿宋_GB2312"/>
          <w:color w:val="000000"/>
          <w:sz w:val="24"/>
          <w:szCs w:val="24"/>
          <w:highlight w:val="none"/>
        </w:rPr>
        <w:t>】政府采购投标的一切事项，其法律后果由我方承担。</w:t>
      </w:r>
    </w:p>
    <w:p w14:paraId="442231B7">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委托期限：自年月日起至年月日止。</w:t>
      </w:r>
    </w:p>
    <w:p w14:paraId="5C30CD1D">
      <w:pPr>
        <w:spacing w:line="540" w:lineRule="exact"/>
        <w:ind w:firstLine="552"/>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特此告知。</w:t>
      </w:r>
    </w:p>
    <w:p w14:paraId="4693B845">
      <w:pPr>
        <w:spacing w:line="540" w:lineRule="exact"/>
        <w:ind w:firstLine="552"/>
        <w:contextualSpacing/>
        <w:rPr>
          <w:rFonts w:hint="eastAsia" w:ascii="仿宋_GB2312" w:hAnsi="仿宋_GB2312" w:eastAsia="仿宋_GB2312" w:cs="仿宋_GB2312"/>
          <w:color w:val="000000"/>
          <w:sz w:val="24"/>
          <w:szCs w:val="24"/>
          <w:highlight w:val="none"/>
        </w:rPr>
      </w:pPr>
    </w:p>
    <w:p w14:paraId="48BCF219">
      <w:pPr>
        <w:spacing w:line="540" w:lineRule="exact"/>
        <w:ind w:firstLine="6240" w:firstLineChars="26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62F145CD">
      <w:pPr>
        <w:spacing w:line="540" w:lineRule="exact"/>
        <w:ind w:firstLine="6720" w:firstLineChars="28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签发日期：年月日</w:t>
      </w:r>
    </w:p>
    <w:p w14:paraId="71F4EEAD">
      <w:pPr>
        <w:spacing w:line="540" w:lineRule="exact"/>
        <w:contextualSpacing/>
        <w:jc w:val="center"/>
        <w:rPr>
          <w:rFonts w:hint="eastAsia" w:ascii="仿宋_GB2312" w:hAnsi="仿宋_GB2312" w:eastAsia="仿宋_GB2312" w:cs="仿宋_GB2312"/>
          <w:b/>
          <w:color w:val="000000"/>
          <w:sz w:val="24"/>
          <w:szCs w:val="24"/>
          <w:highlight w:val="none"/>
        </w:rPr>
      </w:pPr>
    </w:p>
    <w:p w14:paraId="0287F70B">
      <w:pPr>
        <w:spacing w:line="540" w:lineRule="exact"/>
        <w:contextualSpacing/>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授权委托书（适用于联合体投标）</w:t>
      </w:r>
    </w:p>
    <w:p w14:paraId="2DF8C848">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546A539F">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现委托（姓名）为我方代理人（身份证号码：，手机：），以我方名义处理</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【招标编号：</w:t>
      </w:r>
      <w:r>
        <w:rPr>
          <w:rFonts w:hint="eastAsia" w:ascii="仿宋_GB2312" w:hAnsi="仿宋_GB2312" w:eastAsia="仿宋_GB2312" w:cs="仿宋_GB2312"/>
          <w:color w:val="000000"/>
          <w:sz w:val="24"/>
          <w:szCs w:val="24"/>
          <w:highlight w:val="none"/>
          <w:u w:val="single"/>
        </w:rPr>
        <w:t>（采购编号）</w:t>
      </w:r>
      <w:r>
        <w:rPr>
          <w:rFonts w:hint="eastAsia" w:ascii="仿宋_GB2312" w:hAnsi="仿宋_GB2312" w:eastAsia="仿宋_GB2312" w:cs="仿宋_GB2312"/>
          <w:color w:val="000000"/>
          <w:sz w:val="24"/>
          <w:szCs w:val="24"/>
          <w:highlight w:val="none"/>
        </w:rPr>
        <w:t>】政府采购投标的一切事项，其法律后果由我方承担。</w:t>
      </w:r>
    </w:p>
    <w:p w14:paraId="0F3F69DF">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委托期限：自年月日起至年月日止。</w:t>
      </w:r>
    </w:p>
    <w:p w14:paraId="359A0ED5">
      <w:pPr>
        <w:spacing w:line="540" w:lineRule="exact"/>
        <w:ind w:firstLine="552"/>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特此告知。</w:t>
      </w:r>
    </w:p>
    <w:p w14:paraId="4034CA19">
      <w:pPr>
        <w:spacing w:line="540" w:lineRule="exact"/>
        <w:ind w:firstLine="552"/>
        <w:contextualSpacing/>
        <w:rPr>
          <w:rFonts w:hint="eastAsia" w:ascii="仿宋_GB2312" w:hAnsi="仿宋_GB2312" w:eastAsia="仿宋_GB2312" w:cs="仿宋_GB2312"/>
          <w:color w:val="000000"/>
          <w:sz w:val="24"/>
          <w:szCs w:val="24"/>
          <w:highlight w:val="none"/>
        </w:rPr>
      </w:pPr>
    </w:p>
    <w:p w14:paraId="388D7DE7">
      <w:pPr>
        <w:spacing w:line="540" w:lineRule="exact"/>
        <w:ind w:firstLine="4560" w:firstLineChars="19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联合体成员名称(电子签名/公章)：</w:t>
      </w:r>
    </w:p>
    <w:p w14:paraId="050E9902">
      <w:pPr>
        <w:spacing w:line="540" w:lineRule="exact"/>
        <w:ind w:firstLine="4440" w:firstLineChars="18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联合体成员名称(电子签名/公章)：</w:t>
      </w:r>
    </w:p>
    <w:p w14:paraId="7A953E8E">
      <w:pPr>
        <w:spacing w:line="540" w:lineRule="exact"/>
        <w:ind w:firstLine="4440" w:firstLineChars="18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p w14:paraId="62C7AD2F">
      <w:pPr>
        <w:spacing w:line="540" w:lineRule="exact"/>
        <w:ind w:firstLine="5760" w:firstLineChars="24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签发日期：年月日</w:t>
      </w:r>
    </w:p>
    <w:p w14:paraId="50855EDF">
      <w:pPr>
        <w:pStyle w:val="12"/>
        <w:rPr>
          <w:rFonts w:hint="eastAsia" w:ascii="仿宋_GB2312" w:hAnsi="仿宋_GB2312" w:eastAsia="仿宋_GB2312" w:cs="仿宋_GB2312"/>
          <w:color w:val="000000"/>
          <w:highlight w:val="none"/>
        </w:rPr>
      </w:pPr>
    </w:p>
    <w:p w14:paraId="59DC6092">
      <w:pPr>
        <w:pStyle w:val="12"/>
        <w:rPr>
          <w:rFonts w:hint="eastAsia" w:ascii="仿宋_GB2312" w:hAnsi="仿宋_GB2312" w:eastAsia="仿宋_GB2312" w:cs="仿宋_GB2312"/>
          <w:color w:val="000000"/>
          <w:highlight w:val="none"/>
        </w:rPr>
      </w:pPr>
    </w:p>
    <w:p w14:paraId="2EE54727">
      <w:pPr>
        <w:spacing w:line="540" w:lineRule="exact"/>
        <w:contextualSpacing/>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法定代表人、单位负责人或自然人本人的身份证明（适用于法定代表人、单位负责人或者自然人本人代表投标人参加投标）</w:t>
      </w:r>
    </w:p>
    <w:p w14:paraId="77BECDAD">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身份证件扫描件：</w:t>
      </w:r>
    </w:p>
    <w:tbl>
      <w:tblPr>
        <w:tblStyle w:val="2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C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8" w:hRule="atLeast"/>
          <w:jc w:val="center"/>
        </w:trPr>
        <w:tc>
          <w:tcPr>
            <w:tcW w:w="9207" w:type="dxa"/>
            <w:noWrap w:val="0"/>
            <w:vAlign w:val="top"/>
          </w:tcPr>
          <w:p w14:paraId="6D6BD107">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正面：反面：</w:t>
            </w:r>
          </w:p>
          <w:p w14:paraId="7938C5AF">
            <w:pPr>
              <w:spacing w:line="540" w:lineRule="exact"/>
              <w:contextualSpacing/>
              <w:rPr>
                <w:rFonts w:hint="eastAsia" w:ascii="仿宋_GB2312" w:hAnsi="仿宋_GB2312" w:eastAsia="仿宋_GB2312" w:cs="仿宋_GB2312"/>
                <w:color w:val="000000"/>
                <w:sz w:val="24"/>
                <w:szCs w:val="24"/>
                <w:highlight w:val="none"/>
              </w:rPr>
            </w:pPr>
          </w:p>
        </w:tc>
      </w:tr>
    </w:tbl>
    <w:p w14:paraId="13368BA7">
      <w:pPr>
        <w:spacing w:line="540" w:lineRule="exact"/>
        <w:contextualSpacing/>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0E6C3D21">
      <w:pPr>
        <w:spacing w:line="540" w:lineRule="exact"/>
        <w:contextualSpacing/>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7B0D034F">
      <w:pPr>
        <w:spacing w:line="540" w:lineRule="exact"/>
        <w:contextualSpacing/>
        <w:jc w:val="center"/>
        <w:rPr>
          <w:rFonts w:hint="eastAsia" w:ascii="仿宋_GB2312" w:hAnsi="仿宋_GB2312" w:eastAsia="仿宋_GB2312" w:cs="仿宋_GB2312"/>
          <w:b/>
          <w:color w:val="000000"/>
          <w:sz w:val="24"/>
          <w:szCs w:val="24"/>
          <w:highlight w:val="none"/>
        </w:rPr>
      </w:pPr>
    </w:p>
    <w:p w14:paraId="681ACC9B">
      <w:pPr>
        <w:spacing w:line="540" w:lineRule="exact"/>
        <w:contextualSpacing/>
        <w:jc w:val="center"/>
        <w:rPr>
          <w:rFonts w:hint="eastAsia" w:ascii="仿宋_GB2312" w:hAnsi="仿宋_GB2312" w:eastAsia="仿宋_GB2312" w:cs="仿宋_GB2312"/>
          <w:b/>
          <w:color w:val="000000"/>
          <w:sz w:val="24"/>
          <w:szCs w:val="24"/>
          <w:highlight w:val="none"/>
        </w:rPr>
      </w:pPr>
    </w:p>
    <w:p w14:paraId="5FB2C29F">
      <w:pPr>
        <w:pStyle w:val="10"/>
        <w:rPr>
          <w:rFonts w:hint="eastAsia" w:ascii="仿宋_GB2312" w:hAnsi="仿宋_GB2312" w:eastAsia="仿宋_GB2312" w:cs="仿宋_GB2312"/>
          <w:color w:val="000000"/>
          <w:highlight w:val="none"/>
        </w:rPr>
      </w:pPr>
    </w:p>
    <w:p w14:paraId="078ACFC1">
      <w:pPr>
        <w:pStyle w:val="20"/>
        <w:rPr>
          <w:rFonts w:hint="eastAsia" w:ascii="仿宋_GB2312" w:hAnsi="仿宋_GB2312" w:eastAsia="仿宋_GB2312" w:cs="仿宋_GB2312"/>
          <w:color w:val="000000"/>
          <w:highlight w:val="none"/>
        </w:rPr>
      </w:pPr>
    </w:p>
    <w:p w14:paraId="70FC8466">
      <w:pPr>
        <w:pStyle w:val="10"/>
        <w:rPr>
          <w:rFonts w:hint="eastAsia" w:ascii="仿宋_GB2312" w:hAnsi="仿宋_GB2312" w:eastAsia="仿宋_GB2312" w:cs="仿宋_GB2312"/>
          <w:color w:val="000000"/>
          <w:highlight w:val="none"/>
        </w:rPr>
      </w:pPr>
    </w:p>
    <w:p w14:paraId="13B35BA1">
      <w:pPr>
        <w:widowControl/>
        <w:spacing w:line="560" w:lineRule="exact"/>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三、联合协议（如果有）</w:t>
      </w:r>
    </w:p>
    <w:p w14:paraId="5642659A">
      <w:pPr>
        <w:widowControl/>
        <w:spacing w:line="560" w:lineRule="exact"/>
        <w:ind w:firstLine="562" w:firstLineChars="200"/>
        <w:jc w:val="left"/>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[以联合体形式投标的，提供联合协议（附件6）；本项目不接受联合体投标或者投标人不以联合体形式投标的，则不需要提供）]</w:t>
      </w:r>
    </w:p>
    <w:p w14:paraId="7D3CA1B1">
      <w:pPr>
        <w:pStyle w:val="20"/>
        <w:rPr>
          <w:rFonts w:hint="eastAsia" w:ascii="仿宋_GB2312" w:hAnsi="仿宋_GB2312" w:eastAsia="仿宋_GB2312" w:cs="仿宋_GB2312"/>
          <w:color w:val="000000"/>
          <w:highlight w:val="none"/>
        </w:rPr>
      </w:pPr>
    </w:p>
    <w:p w14:paraId="6FF024BC">
      <w:pPr>
        <w:pStyle w:val="10"/>
        <w:rPr>
          <w:rFonts w:hint="eastAsia" w:ascii="仿宋_GB2312" w:hAnsi="仿宋_GB2312" w:eastAsia="仿宋_GB2312" w:cs="仿宋_GB2312"/>
          <w:color w:val="000000"/>
          <w:highlight w:val="none"/>
        </w:rPr>
      </w:pPr>
    </w:p>
    <w:p w14:paraId="4E3412EE">
      <w:pPr>
        <w:snapToGrid w:val="0"/>
        <w:spacing w:line="360" w:lineRule="auto"/>
        <w:jc w:val="center"/>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四、分包意向协议（如果有）</w:t>
      </w:r>
    </w:p>
    <w:p w14:paraId="571766CB">
      <w:pPr>
        <w:widowControl/>
        <w:spacing w:line="360" w:lineRule="auto"/>
        <w:jc w:val="left"/>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b/>
          <w:color w:val="000000"/>
          <w:sz w:val="28"/>
          <w:szCs w:val="28"/>
          <w:highlight w:val="none"/>
        </w:rPr>
        <w:t>中标后以分包方式履行合同的，提供分包意向协议(附件7)；采购人不同意分包或者投标人中标后不以分包方式履行合同的，则不需要提供。</w:t>
      </w:r>
      <w:r>
        <w:rPr>
          <w:rFonts w:hint="eastAsia" w:ascii="仿宋_GB2312" w:hAnsi="仿宋_GB2312" w:eastAsia="仿宋_GB2312" w:cs="仿宋_GB2312"/>
          <w:color w:val="000000"/>
          <w:sz w:val="28"/>
          <w:szCs w:val="28"/>
          <w:highlight w:val="none"/>
        </w:rPr>
        <w:t>]</w:t>
      </w:r>
    </w:p>
    <w:p w14:paraId="199E8482">
      <w:pPr>
        <w:spacing w:line="540" w:lineRule="exact"/>
        <w:contextualSpacing/>
        <w:jc w:val="center"/>
        <w:rPr>
          <w:rFonts w:hint="eastAsia" w:ascii="仿宋_GB2312" w:hAnsi="仿宋_GB2312" w:eastAsia="仿宋_GB2312" w:cs="仿宋_GB2312"/>
          <w:b/>
          <w:color w:val="000000"/>
          <w:sz w:val="24"/>
          <w:szCs w:val="24"/>
          <w:highlight w:val="none"/>
        </w:rPr>
      </w:pPr>
    </w:p>
    <w:p w14:paraId="3F361C97">
      <w:pPr>
        <w:pStyle w:val="12"/>
        <w:rPr>
          <w:rFonts w:hint="eastAsia" w:ascii="仿宋_GB2312" w:hAnsi="仿宋_GB2312" w:eastAsia="仿宋_GB2312" w:cs="仿宋_GB2312"/>
          <w:color w:val="000000"/>
          <w:highlight w:val="none"/>
        </w:rPr>
      </w:pPr>
    </w:p>
    <w:p w14:paraId="02FB2DE4">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五、符合性审查资料</w:t>
      </w:r>
    </w:p>
    <w:tbl>
      <w:tblPr>
        <w:tblStyle w:val="2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5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7EC1CCEA">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4991" w:type="dxa"/>
            <w:noWrap w:val="0"/>
            <w:vAlign w:val="center"/>
          </w:tcPr>
          <w:p w14:paraId="52685C13">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实质性要求</w:t>
            </w:r>
          </w:p>
        </w:tc>
        <w:tc>
          <w:tcPr>
            <w:tcW w:w="2551" w:type="dxa"/>
            <w:noWrap w:val="0"/>
            <w:vAlign w:val="center"/>
          </w:tcPr>
          <w:p w14:paraId="015B77ED">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需要提供的符合性审查资料</w:t>
            </w:r>
          </w:p>
        </w:tc>
        <w:tc>
          <w:tcPr>
            <w:tcW w:w="1418" w:type="dxa"/>
            <w:noWrap w:val="0"/>
            <w:vAlign w:val="center"/>
          </w:tcPr>
          <w:p w14:paraId="6F681415">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投标文件中的页码位置</w:t>
            </w:r>
          </w:p>
        </w:tc>
      </w:tr>
      <w:tr w14:paraId="1D44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AA16595">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4991" w:type="dxa"/>
            <w:noWrap w:val="0"/>
            <w:vAlign w:val="center"/>
          </w:tcPr>
          <w:p w14:paraId="45F6D5AA">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投标文件按照招标文件要求签署、盖章。</w:t>
            </w:r>
          </w:p>
        </w:tc>
        <w:tc>
          <w:tcPr>
            <w:tcW w:w="2551" w:type="dxa"/>
            <w:noWrap w:val="0"/>
            <w:vAlign w:val="center"/>
          </w:tcPr>
          <w:p w14:paraId="02D43F1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需要使用电子签名或者签字盖章的投标文件的组成部分</w:t>
            </w:r>
          </w:p>
        </w:tc>
        <w:tc>
          <w:tcPr>
            <w:tcW w:w="1418" w:type="dxa"/>
            <w:noWrap w:val="0"/>
            <w:vAlign w:val="center"/>
          </w:tcPr>
          <w:p w14:paraId="1E337DAA">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见投标文件</w:t>
            </w:r>
          </w:p>
          <w:p w14:paraId="089DC1B5">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第页</w:t>
            </w:r>
          </w:p>
        </w:tc>
      </w:tr>
      <w:tr w14:paraId="06F5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18141C7">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4991" w:type="dxa"/>
            <w:noWrap w:val="0"/>
            <w:vAlign w:val="center"/>
          </w:tcPr>
          <w:p w14:paraId="0DBD1982">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14:paraId="36BEA72E">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节能产品认证证书（本项目拟采购的产品不属于政府强制采购的节能产品品目清单范围的，无需提供）</w:t>
            </w:r>
          </w:p>
        </w:tc>
        <w:tc>
          <w:tcPr>
            <w:tcW w:w="1418" w:type="dxa"/>
            <w:noWrap w:val="0"/>
            <w:vAlign w:val="center"/>
          </w:tcPr>
          <w:p w14:paraId="1AAD8992">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见投标文件</w:t>
            </w:r>
          </w:p>
          <w:p w14:paraId="4A10A2FF">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第页</w:t>
            </w:r>
          </w:p>
        </w:tc>
      </w:tr>
      <w:tr w14:paraId="7C2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0BC9C50">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4991" w:type="dxa"/>
            <w:noWrap w:val="0"/>
            <w:vAlign w:val="center"/>
          </w:tcPr>
          <w:p w14:paraId="34D5FC40">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投标文件中承诺的投标有效期不少于招标文件中载明的投标有效期。</w:t>
            </w:r>
          </w:p>
        </w:tc>
        <w:tc>
          <w:tcPr>
            <w:tcW w:w="2551" w:type="dxa"/>
            <w:noWrap w:val="0"/>
            <w:vAlign w:val="center"/>
          </w:tcPr>
          <w:p w14:paraId="264F0D4B">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投标函</w:t>
            </w:r>
          </w:p>
        </w:tc>
        <w:tc>
          <w:tcPr>
            <w:tcW w:w="1418" w:type="dxa"/>
            <w:noWrap w:val="0"/>
            <w:vAlign w:val="center"/>
          </w:tcPr>
          <w:p w14:paraId="65F76DBD">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见投标文件第页</w:t>
            </w:r>
          </w:p>
        </w:tc>
      </w:tr>
      <w:tr w14:paraId="12C4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686CC28">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4991" w:type="dxa"/>
            <w:noWrap w:val="0"/>
            <w:vAlign w:val="center"/>
          </w:tcPr>
          <w:p w14:paraId="72772F84">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投标文件满足招标文件的其它实质性要求。</w:t>
            </w:r>
          </w:p>
        </w:tc>
        <w:tc>
          <w:tcPr>
            <w:tcW w:w="2551" w:type="dxa"/>
            <w:noWrap w:val="0"/>
            <w:vAlign w:val="center"/>
          </w:tcPr>
          <w:p w14:paraId="6C634645">
            <w:p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招标文件其它实质性要求相应的材料（“▲”系指实质性要求条款，招标文件无其它实质性要求的，无需提供）</w:t>
            </w:r>
          </w:p>
        </w:tc>
        <w:tc>
          <w:tcPr>
            <w:tcW w:w="1418" w:type="dxa"/>
            <w:noWrap w:val="0"/>
            <w:vAlign w:val="center"/>
          </w:tcPr>
          <w:p w14:paraId="0011DB5A">
            <w:pPr>
              <w:spacing w:line="40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见投标文件第页</w:t>
            </w:r>
          </w:p>
        </w:tc>
      </w:tr>
    </w:tbl>
    <w:p w14:paraId="7705AC48">
      <w:pPr>
        <w:spacing w:line="540" w:lineRule="exact"/>
        <w:contextualSpacing/>
        <w:rPr>
          <w:rFonts w:hint="eastAsia" w:ascii="仿宋_GB2312" w:hAnsi="仿宋_GB2312" w:eastAsia="仿宋_GB2312" w:cs="仿宋_GB2312"/>
          <w:color w:val="000000"/>
          <w:sz w:val="24"/>
          <w:szCs w:val="24"/>
          <w:highlight w:val="none"/>
        </w:rPr>
      </w:pPr>
    </w:p>
    <w:p w14:paraId="2E63642F">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六、拟投入的项目班子格式（如果有）</w:t>
      </w:r>
    </w:p>
    <w:p w14:paraId="522CA9A8">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（格式仅供参考）</w:t>
      </w:r>
    </w:p>
    <w:p w14:paraId="017CB1A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项目负责人简历表</w:t>
      </w:r>
    </w:p>
    <w:tbl>
      <w:tblPr>
        <w:tblStyle w:val="26"/>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09"/>
        <w:gridCol w:w="456"/>
        <w:gridCol w:w="1155"/>
        <w:gridCol w:w="686"/>
        <w:gridCol w:w="469"/>
        <w:gridCol w:w="1232"/>
        <w:gridCol w:w="1513"/>
        <w:gridCol w:w="1800"/>
      </w:tblGrid>
      <w:tr w14:paraId="27C1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15D3B7E9">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姓名</w:t>
            </w:r>
          </w:p>
        </w:tc>
        <w:tc>
          <w:tcPr>
            <w:tcW w:w="1165" w:type="dxa"/>
            <w:gridSpan w:val="2"/>
            <w:noWrap w:val="0"/>
            <w:vAlign w:val="center"/>
          </w:tcPr>
          <w:p w14:paraId="76218B5B">
            <w:pPr>
              <w:spacing w:line="540" w:lineRule="exact"/>
              <w:contextualSpacing/>
              <w:rPr>
                <w:rFonts w:hint="eastAsia" w:ascii="仿宋_GB2312" w:hAnsi="仿宋_GB2312" w:eastAsia="仿宋_GB2312" w:cs="仿宋_GB2312"/>
                <w:color w:val="000000"/>
                <w:sz w:val="24"/>
                <w:szCs w:val="24"/>
                <w:highlight w:val="none"/>
              </w:rPr>
            </w:pPr>
          </w:p>
        </w:tc>
        <w:tc>
          <w:tcPr>
            <w:tcW w:w="1155" w:type="dxa"/>
            <w:noWrap w:val="0"/>
            <w:vAlign w:val="center"/>
          </w:tcPr>
          <w:p w14:paraId="17EB82A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年龄</w:t>
            </w:r>
          </w:p>
        </w:tc>
        <w:tc>
          <w:tcPr>
            <w:tcW w:w="1155" w:type="dxa"/>
            <w:gridSpan w:val="2"/>
            <w:noWrap w:val="0"/>
            <w:vAlign w:val="center"/>
          </w:tcPr>
          <w:p w14:paraId="36493A64">
            <w:pPr>
              <w:spacing w:line="540" w:lineRule="exact"/>
              <w:contextualSpacing/>
              <w:rPr>
                <w:rFonts w:hint="eastAsia" w:ascii="仿宋_GB2312" w:hAnsi="仿宋_GB2312" w:eastAsia="仿宋_GB2312" w:cs="仿宋_GB2312"/>
                <w:color w:val="000000"/>
                <w:sz w:val="24"/>
                <w:szCs w:val="24"/>
                <w:highlight w:val="none"/>
              </w:rPr>
            </w:pPr>
          </w:p>
        </w:tc>
        <w:tc>
          <w:tcPr>
            <w:tcW w:w="2745" w:type="dxa"/>
            <w:gridSpan w:val="2"/>
            <w:noWrap w:val="0"/>
            <w:vAlign w:val="center"/>
          </w:tcPr>
          <w:p w14:paraId="3D108927">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学历</w:t>
            </w:r>
          </w:p>
        </w:tc>
        <w:tc>
          <w:tcPr>
            <w:tcW w:w="1800" w:type="dxa"/>
            <w:noWrap w:val="0"/>
            <w:vAlign w:val="center"/>
          </w:tcPr>
          <w:p w14:paraId="317F0A06">
            <w:pPr>
              <w:spacing w:line="540" w:lineRule="exact"/>
              <w:contextualSpacing/>
              <w:rPr>
                <w:rFonts w:hint="eastAsia" w:ascii="仿宋_GB2312" w:hAnsi="仿宋_GB2312" w:eastAsia="仿宋_GB2312" w:cs="仿宋_GB2312"/>
                <w:color w:val="000000"/>
                <w:sz w:val="24"/>
                <w:szCs w:val="24"/>
                <w:highlight w:val="none"/>
              </w:rPr>
            </w:pPr>
          </w:p>
        </w:tc>
      </w:tr>
      <w:tr w14:paraId="4469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AADCBD8">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职称</w:t>
            </w:r>
          </w:p>
        </w:tc>
        <w:tc>
          <w:tcPr>
            <w:tcW w:w="1165" w:type="dxa"/>
            <w:gridSpan w:val="2"/>
            <w:noWrap w:val="0"/>
            <w:vAlign w:val="center"/>
          </w:tcPr>
          <w:p w14:paraId="43392B21">
            <w:pPr>
              <w:spacing w:line="540" w:lineRule="exact"/>
              <w:contextualSpacing/>
              <w:rPr>
                <w:rFonts w:hint="eastAsia" w:ascii="仿宋_GB2312" w:hAnsi="仿宋_GB2312" w:eastAsia="仿宋_GB2312" w:cs="仿宋_GB2312"/>
                <w:color w:val="000000"/>
                <w:sz w:val="24"/>
                <w:szCs w:val="24"/>
                <w:highlight w:val="none"/>
              </w:rPr>
            </w:pPr>
          </w:p>
        </w:tc>
        <w:tc>
          <w:tcPr>
            <w:tcW w:w="1155" w:type="dxa"/>
            <w:noWrap w:val="0"/>
            <w:vAlign w:val="center"/>
          </w:tcPr>
          <w:p w14:paraId="7610112D">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职务</w:t>
            </w:r>
          </w:p>
        </w:tc>
        <w:tc>
          <w:tcPr>
            <w:tcW w:w="1155" w:type="dxa"/>
            <w:gridSpan w:val="2"/>
            <w:noWrap w:val="0"/>
            <w:vAlign w:val="center"/>
          </w:tcPr>
          <w:p w14:paraId="739FAEC6">
            <w:pPr>
              <w:spacing w:line="540" w:lineRule="exact"/>
              <w:contextualSpacing/>
              <w:rPr>
                <w:rFonts w:hint="eastAsia" w:ascii="仿宋_GB2312" w:hAnsi="仿宋_GB2312" w:eastAsia="仿宋_GB2312" w:cs="仿宋_GB2312"/>
                <w:color w:val="000000"/>
                <w:sz w:val="24"/>
                <w:szCs w:val="24"/>
                <w:highlight w:val="none"/>
              </w:rPr>
            </w:pPr>
          </w:p>
        </w:tc>
        <w:tc>
          <w:tcPr>
            <w:tcW w:w="2745" w:type="dxa"/>
            <w:gridSpan w:val="2"/>
            <w:noWrap w:val="0"/>
            <w:vAlign w:val="center"/>
          </w:tcPr>
          <w:p w14:paraId="3C5D6658">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拟在本项目任职</w:t>
            </w:r>
          </w:p>
        </w:tc>
        <w:tc>
          <w:tcPr>
            <w:tcW w:w="1800" w:type="dxa"/>
            <w:noWrap w:val="0"/>
            <w:vAlign w:val="center"/>
          </w:tcPr>
          <w:p w14:paraId="64600137">
            <w:pPr>
              <w:spacing w:line="540" w:lineRule="exact"/>
              <w:contextualSpacing/>
              <w:rPr>
                <w:rFonts w:hint="eastAsia" w:ascii="仿宋_GB2312" w:hAnsi="仿宋_GB2312" w:eastAsia="仿宋_GB2312" w:cs="仿宋_GB2312"/>
                <w:color w:val="000000"/>
                <w:sz w:val="24"/>
                <w:szCs w:val="24"/>
                <w:highlight w:val="none"/>
              </w:rPr>
            </w:pPr>
          </w:p>
        </w:tc>
      </w:tr>
      <w:tr w14:paraId="33E8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noWrap w:val="0"/>
            <w:vAlign w:val="center"/>
          </w:tcPr>
          <w:p w14:paraId="3B459A25">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毕业院校</w:t>
            </w:r>
          </w:p>
        </w:tc>
        <w:tc>
          <w:tcPr>
            <w:tcW w:w="8020" w:type="dxa"/>
            <w:gridSpan w:val="8"/>
            <w:noWrap w:val="0"/>
            <w:vAlign w:val="center"/>
          </w:tcPr>
          <w:p w14:paraId="172F8F12">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年毕业于学校专业</w:t>
            </w:r>
          </w:p>
        </w:tc>
      </w:tr>
      <w:tr w14:paraId="35C2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24" w:type="dxa"/>
            <w:gridSpan w:val="9"/>
            <w:noWrap w:val="0"/>
            <w:vAlign w:val="center"/>
          </w:tcPr>
          <w:p w14:paraId="7C6514C9">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主要工作履历</w:t>
            </w:r>
          </w:p>
        </w:tc>
      </w:tr>
      <w:tr w14:paraId="2EEF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466B6879">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时间</w:t>
            </w:r>
          </w:p>
        </w:tc>
        <w:tc>
          <w:tcPr>
            <w:tcW w:w="2297" w:type="dxa"/>
            <w:gridSpan w:val="3"/>
            <w:noWrap w:val="0"/>
            <w:vAlign w:val="center"/>
          </w:tcPr>
          <w:p w14:paraId="6D393E65">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参加过类似项目</w:t>
            </w:r>
          </w:p>
        </w:tc>
        <w:tc>
          <w:tcPr>
            <w:tcW w:w="1701" w:type="dxa"/>
            <w:gridSpan w:val="2"/>
            <w:noWrap w:val="0"/>
            <w:vAlign w:val="center"/>
          </w:tcPr>
          <w:p w14:paraId="6574C280">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担任职务</w:t>
            </w:r>
          </w:p>
        </w:tc>
        <w:tc>
          <w:tcPr>
            <w:tcW w:w="3313" w:type="dxa"/>
            <w:gridSpan w:val="2"/>
            <w:noWrap w:val="0"/>
            <w:vAlign w:val="center"/>
          </w:tcPr>
          <w:p w14:paraId="45EC3A1D">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业主及联系电话</w:t>
            </w:r>
          </w:p>
        </w:tc>
      </w:tr>
      <w:tr w14:paraId="76ED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05B515D4">
            <w:pPr>
              <w:spacing w:line="540" w:lineRule="exact"/>
              <w:contextualSpacing/>
              <w:rPr>
                <w:rFonts w:hint="eastAsia" w:ascii="仿宋_GB2312" w:hAnsi="仿宋_GB2312" w:eastAsia="仿宋_GB2312" w:cs="仿宋_GB2312"/>
                <w:color w:val="000000"/>
                <w:sz w:val="24"/>
                <w:szCs w:val="24"/>
                <w:highlight w:val="none"/>
              </w:rPr>
            </w:pPr>
          </w:p>
        </w:tc>
        <w:tc>
          <w:tcPr>
            <w:tcW w:w="2297" w:type="dxa"/>
            <w:gridSpan w:val="3"/>
            <w:noWrap w:val="0"/>
            <w:vAlign w:val="center"/>
          </w:tcPr>
          <w:p w14:paraId="63D035FF">
            <w:pPr>
              <w:spacing w:line="540" w:lineRule="exact"/>
              <w:contextualSpacing/>
              <w:rPr>
                <w:rFonts w:hint="eastAsia" w:ascii="仿宋_GB2312" w:hAnsi="仿宋_GB2312" w:eastAsia="仿宋_GB2312" w:cs="仿宋_GB2312"/>
                <w:color w:val="000000"/>
                <w:sz w:val="24"/>
                <w:szCs w:val="24"/>
                <w:highlight w:val="none"/>
              </w:rPr>
            </w:pPr>
          </w:p>
        </w:tc>
        <w:tc>
          <w:tcPr>
            <w:tcW w:w="1701" w:type="dxa"/>
            <w:gridSpan w:val="2"/>
            <w:noWrap w:val="0"/>
            <w:vAlign w:val="center"/>
          </w:tcPr>
          <w:p w14:paraId="0474A3D3">
            <w:pPr>
              <w:spacing w:line="540" w:lineRule="exact"/>
              <w:contextualSpacing/>
              <w:rPr>
                <w:rFonts w:hint="eastAsia" w:ascii="仿宋_GB2312" w:hAnsi="仿宋_GB2312" w:eastAsia="仿宋_GB2312" w:cs="仿宋_GB2312"/>
                <w:color w:val="000000"/>
                <w:sz w:val="24"/>
                <w:szCs w:val="24"/>
                <w:highlight w:val="none"/>
              </w:rPr>
            </w:pPr>
          </w:p>
        </w:tc>
        <w:tc>
          <w:tcPr>
            <w:tcW w:w="3313" w:type="dxa"/>
            <w:gridSpan w:val="2"/>
            <w:noWrap w:val="0"/>
            <w:vAlign w:val="center"/>
          </w:tcPr>
          <w:p w14:paraId="084DE355">
            <w:pPr>
              <w:spacing w:line="540" w:lineRule="exact"/>
              <w:contextualSpacing/>
              <w:rPr>
                <w:rFonts w:hint="eastAsia" w:ascii="仿宋_GB2312" w:hAnsi="仿宋_GB2312" w:eastAsia="仿宋_GB2312" w:cs="仿宋_GB2312"/>
                <w:color w:val="000000"/>
                <w:sz w:val="24"/>
                <w:szCs w:val="24"/>
                <w:highlight w:val="none"/>
              </w:rPr>
            </w:pPr>
          </w:p>
        </w:tc>
      </w:tr>
      <w:tr w14:paraId="0C77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13" w:type="dxa"/>
            <w:gridSpan w:val="2"/>
            <w:noWrap w:val="0"/>
            <w:vAlign w:val="center"/>
          </w:tcPr>
          <w:p w14:paraId="7D9E768A">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c>
          <w:tcPr>
            <w:tcW w:w="2297" w:type="dxa"/>
            <w:gridSpan w:val="3"/>
            <w:noWrap w:val="0"/>
            <w:vAlign w:val="center"/>
          </w:tcPr>
          <w:p w14:paraId="6129A67A">
            <w:pPr>
              <w:spacing w:line="540" w:lineRule="exact"/>
              <w:contextualSpacing/>
              <w:rPr>
                <w:rFonts w:hint="eastAsia" w:ascii="仿宋_GB2312" w:hAnsi="仿宋_GB2312" w:eastAsia="仿宋_GB2312" w:cs="仿宋_GB2312"/>
                <w:color w:val="000000"/>
                <w:sz w:val="24"/>
                <w:szCs w:val="24"/>
                <w:highlight w:val="none"/>
              </w:rPr>
            </w:pPr>
          </w:p>
        </w:tc>
        <w:tc>
          <w:tcPr>
            <w:tcW w:w="1701" w:type="dxa"/>
            <w:gridSpan w:val="2"/>
            <w:noWrap w:val="0"/>
            <w:vAlign w:val="center"/>
          </w:tcPr>
          <w:p w14:paraId="6DB409DF">
            <w:pPr>
              <w:spacing w:line="540" w:lineRule="exact"/>
              <w:contextualSpacing/>
              <w:rPr>
                <w:rFonts w:hint="eastAsia" w:ascii="仿宋_GB2312" w:hAnsi="仿宋_GB2312" w:eastAsia="仿宋_GB2312" w:cs="仿宋_GB2312"/>
                <w:color w:val="000000"/>
                <w:sz w:val="24"/>
                <w:szCs w:val="24"/>
                <w:highlight w:val="none"/>
              </w:rPr>
            </w:pPr>
          </w:p>
        </w:tc>
        <w:tc>
          <w:tcPr>
            <w:tcW w:w="3313" w:type="dxa"/>
            <w:gridSpan w:val="2"/>
            <w:noWrap w:val="0"/>
            <w:vAlign w:val="center"/>
          </w:tcPr>
          <w:p w14:paraId="6892D92B">
            <w:pPr>
              <w:spacing w:line="540" w:lineRule="exact"/>
              <w:contextualSpacing/>
              <w:rPr>
                <w:rFonts w:hint="eastAsia" w:ascii="仿宋_GB2312" w:hAnsi="仿宋_GB2312" w:eastAsia="仿宋_GB2312" w:cs="仿宋_GB2312"/>
                <w:color w:val="000000"/>
                <w:sz w:val="24"/>
                <w:szCs w:val="24"/>
                <w:highlight w:val="none"/>
              </w:rPr>
            </w:pPr>
          </w:p>
        </w:tc>
      </w:tr>
    </w:tbl>
    <w:p w14:paraId="2CF81436">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附：执业资格证书、职称证书、学历证书等证明材料</w:t>
      </w:r>
    </w:p>
    <w:p w14:paraId="301EEDD9">
      <w:pPr>
        <w:spacing w:line="540" w:lineRule="exact"/>
        <w:contextualSpacing/>
        <w:rPr>
          <w:rFonts w:hint="eastAsia" w:ascii="仿宋_GB2312" w:hAnsi="仿宋_GB2312" w:eastAsia="仿宋_GB2312" w:cs="仿宋_GB2312"/>
          <w:color w:val="000000"/>
          <w:sz w:val="24"/>
          <w:szCs w:val="24"/>
          <w:highlight w:val="none"/>
        </w:rPr>
      </w:pPr>
    </w:p>
    <w:p w14:paraId="64C85006">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项目班子一览表</w:t>
      </w:r>
    </w:p>
    <w:tbl>
      <w:tblPr>
        <w:tblStyle w:val="2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984"/>
        <w:gridCol w:w="1843"/>
        <w:gridCol w:w="2755"/>
      </w:tblGrid>
      <w:tr w14:paraId="56CD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64F33790">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姓名</w:t>
            </w:r>
          </w:p>
        </w:tc>
        <w:tc>
          <w:tcPr>
            <w:tcW w:w="1418" w:type="dxa"/>
            <w:noWrap w:val="0"/>
            <w:vAlign w:val="center"/>
          </w:tcPr>
          <w:p w14:paraId="55218D12">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职务</w:t>
            </w:r>
          </w:p>
        </w:tc>
        <w:tc>
          <w:tcPr>
            <w:tcW w:w="1984" w:type="dxa"/>
            <w:noWrap w:val="0"/>
            <w:vAlign w:val="center"/>
          </w:tcPr>
          <w:p w14:paraId="2745F736">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专业技术资格</w:t>
            </w:r>
          </w:p>
        </w:tc>
        <w:tc>
          <w:tcPr>
            <w:tcW w:w="1843" w:type="dxa"/>
            <w:noWrap w:val="0"/>
            <w:vAlign w:val="center"/>
          </w:tcPr>
          <w:p w14:paraId="21573F72">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证书编号</w:t>
            </w:r>
          </w:p>
        </w:tc>
        <w:tc>
          <w:tcPr>
            <w:tcW w:w="2755" w:type="dxa"/>
            <w:noWrap w:val="0"/>
            <w:vAlign w:val="center"/>
          </w:tcPr>
          <w:p w14:paraId="0FD8E839">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实施经验说明</w:t>
            </w:r>
          </w:p>
        </w:tc>
      </w:tr>
      <w:tr w14:paraId="0A55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489D573F">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center"/>
          </w:tcPr>
          <w:p w14:paraId="0C47591A">
            <w:pPr>
              <w:spacing w:line="540" w:lineRule="exact"/>
              <w:contextualSpacing/>
              <w:rPr>
                <w:rFonts w:hint="eastAsia" w:ascii="仿宋_GB2312" w:hAnsi="仿宋_GB2312" w:eastAsia="仿宋_GB2312" w:cs="仿宋_GB2312"/>
                <w:color w:val="000000"/>
                <w:sz w:val="24"/>
                <w:szCs w:val="24"/>
                <w:highlight w:val="none"/>
              </w:rPr>
            </w:pPr>
          </w:p>
        </w:tc>
        <w:tc>
          <w:tcPr>
            <w:tcW w:w="1984" w:type="dxa"/>
            <w:noWrap w:val="0"/>
            <w:vAlign w:val="center"/>
          </w:tcPr>
          <w:p w14:paraId="497C1A76">
            <w:pPr>
              <w:spacing w:line="540" w:lineRule="exact"/>
              <w:contextualSpacing/>
              <w:rPr>
                <w:rFonts w:hint="eastAsia" w:ascii="仿宋_GB2312" w:hAnsi="仿宋_GB2312" w:eastAsia="仿宋_GB2312" w:cs="仿宋_GB2312"/>
                <w:color w:val="000000"/>
                <w:sz w:val="24"/>
                <w:szCs w:val="24"/>
                <w:highlight w:val="none"/>
              </w:rPr>
            </w:pPr>
          </w:p>
        </w:tc>
        <w:tc>
          <w:tcPr>
            <w:tcW w:w="1843" w:type="dxa"/>
            <w:noWrap w:val="0"/>
            <w:vAlign w:val="center"/>
          </w:tcPr>
          <w:p w14:paraId="128574E6">
            <w:pPr>
              <w:spacing w:line="540" w:lineRule="exact"/>
              <w:contextualSpacing/>
              <w:rPr>
                <w:rFonts w:hint="eastAsia" w:ascii="仿宋_GB2312" w:hAnsi="仿宋_GB2312" w:eastAsia="仿宋_GB2312" w:cs="仿宋_GB2312"/>
                <w:color w:val="000000"/>
                <w:sz w:val="24"/>
                <w:szCs w:val="24"/>
                <w:highlight w:val="none"/>
              </w:rPr>
            </w:pPr>
          </w:p>
        </w:tc>
        <w:tc>
          <w:tcPr>
            <w:tcW w:w="2755" w:type="dxa"/>
            <w:noWrap w:val="0"/>
            <w:vAlign w:val="center"/>
          </w:tcPr>
          <w:p w14:paraId="059B0A17">
            <w:pPr>
              <w:spacing w:line="540" w:lineRule="exact"/>
              <w:contextualSpacing/>
              <w:rPr>
                <w:rFonts w:hint="eastAsia" w:ascii="仿宋_GB2312" w:hAnsi="仿宋_GB2312" w:eastAsia="仿宋_GB2312" w:cs="仿宋_GB2312"/>
                <w:color w:val="000000"/>
                <w:sz w:val="24"/>
                <w:szCs w:val="24"/>
                <w:highlight w:val="none"/>
              </w:rPr>
            </w:pPr>
          </w:p>
        </w:tc>
      </w:tr>
      <w:tr w14:paraId="02B6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noWrap w:val="0"/>
            <w:vAlign w:val="center"/>
          </w:tcPr>
          <w:p w14:paraId="37AA65B3">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c>
          <w:tcPr>
            <w:tcW w:w="1418" w:type="dxa"/>
            <w:noWrap w:val="0"/>
            <w:vAlign w:val="center"/>
          </w:tcPr>
          <w:p w14:paraId="69EFE65B">
            <w:pPr>
              <w:spacing w:line="540" w:lineRule="exact"/>
              <w:contextualSpacing/>
              <w:rPr>
                <w:rFonts w:hint="eastAsia" w:ascii="仿宋_GB2312" w:hAnsi="仿宋_GB2312" w:eastAsia="仿宋_GB2312" w:cs="仿宋_GB2312"/>
                <w:color w:val="000000"/>
                <w:sz w:val="24"/>
                <w:szCs w:val="24"/>
                <w:highlight w:val="none"/>
              </w:rPr>
            </w:pPr>
          </w:p>
        </w:tc>
        <w:tc>
          <w:tcPr>
            <w:tcW w:w="1984" w:type="dxa"/>
            <w:noWrap w:val="0"/>
            <w:vAlign w:val="center"/>
          </w:tcPr>
          <w:p w14:paraId="234D254C">
            <w:pPr>
              <w:spacing w:line="540" w:lineRule="exact"/>
              <w:contextualSpacing/>
              <w:rPr>
                <w:rFonts w:hint="eastAsia" w:ascii="仿宋_GB2312" w:hAnsi="仿宋_GB2312" w:eastAsia="仿宋_GB2312" w:cs="仿宋_GB2312"/>
                <w:color w:val="000000"/>
                <w:sz w:val="24"/>
                <w:szCs w:val="24"/>
                <w:highlight w:val="none"/>
              </w:rPr>
            </w:pPr>
          </w:p>
        </w:tc>
        <w:tc>
          <w:tcPr>
            <w:tcW w:w="1843" w:type="dxa"/>
            <w:noWrap w:val="0"/>
            <w:vAlign w:val="center"/>
          </w:tcPr>
          <w:p w14:paraId="678EC92D">
            <w:pPr>
              <w:spacing w:line="540" w:lineRule="exact"/>
              <w:contextualSpacing/>
              <w:rPr>
                <w:rFonts w:hint="eastAsia" w:ascii="仿宋_GB2312" w:hAnsi="仿宋_GB2312" w:eastAsia="仿宋_GB2312" w:cs="仿宋_GB2312"/>
                <w:color w:val="000000"/>
                <w:sz w:val="24"/>
                <w:szCs w:val="24"/>
                <w:highlight w:val="none"/>
              </w:rPr>
            </w:pPr>
          </w:p>
        </w:tc>
        <w:tc>
          <w:tcPr>
            <w:tcW w:w="2755" w:type="dxa"/>
            <w:noWrap w:val="0"/>
            <w:vAlign w:val="center"/>
          </w:tcPr>
          <w:p w14:paraId="2B1C7D1C">
            <w:pPr>
              <w:spacing w:line="540" w:lineRule="exact"/>
              <w:contextualSpacing/>
              <w:rPr>
                <w:rFonts w:hint="eastAsia" w:ascii="仿宋_GB2312" w:hAnsi="仿宋_GB2312" w:eastAsia="仿宋_GB2312" w:cs="仿宋_GB2312"/>
                <w:color w:val="000000"/>
                <w:sz w:val="24"/>
                <w:szCs w:val="24"/>
                <w:highlight w:val="none"/>
              </w:rPr>
            </w:pPr>
          </w:p>
        </w:tc>
      </w:tr>
    </w:tbl>
    <w:p w14:paraId="4F981749">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附：相关人员的专业技术资格证书证明材料</w:t>
      </w:r>
    </w:p>
    <w:p w14:paraId="35A26B1D">
      <w:pPr>
        <w:spacing w:line="540" w:lineRule="exact"/>
        <w:contextualSpacing/>
        <w:rPr>
          <w:rFonts w:hint="eastAsia" w:ascii="仿宋_GB2312" w:hAnsi="仿宋_GB2312" w:eastAsia="仿宋_GB2312" w:cs="仿宋_GB2312"/>
          <w:color w:val="000000"/>
          <w:sz w:val="24"/>
          <w:szCs w:val="24"/>
          <w:highlight w:val="none"/>
        </w:rPr>
      </w:pPr>
    </w:p>
    <w:p w14:paraId="2F2EA3F3">
      <w:pPr>
        <w:spacing w:line="540" w:lineRule="exact"/>
        <w:contextualSpacing/>
        <w:rPr>
          <w:rFonts w:hint="eastAsia" w:ascii="仿宋_GB2312" w:hAnsi="仿宋_GB2312" w:eastAsia="仿宋_GB2312" w:cs="仿宋_GB2312"/>
          <w:color w:val="000000"/>
          <w:sz w:val="24"/>
          <w:szCs w:val="24"/>
          <w:highlight w:val="none"/>
        </w:rPr>
      </w:pPr>
    </w:p>
    <w:p w14:paraId="70C65683">
      <w:pPr>
        <w:spacing w:line="540" w:lineRule="exact"/>
        <w:contextualSpacing/>
        <w:rPr>
          <w:rFonts w:hint="eastAsia" w:ascii="仿宋_GB2312" w:hAnsi="仿宋_GB2312" w:eastAsia="仿宋_GB2312" w:cs="仿宋_GB2312"/>
          <w:color w:val="000000"/>
          <w:sz w:val="24"/>
          <w:szCs w:val="24"/>
          <w:highlight w:val="none"/>
        </w:rPr>
      </w:pPr>
    </w:p>
    <w:p w14:paraId="40CB8E5B">
      <w:pPr>
        <w:spacing w:line="540" w:lineRule="exact"/>
        <w:contextualSpacing/>
        <w:rPr>
          <w:rFonts w:hint="eastAsia" w:ascii="仿宋_GB2312" w:hAnsi="仿宋_GB2312" w:eastAsia="仿宋_GB2312" w:cs="仿宋_GB2312"/>
          <w:color w:val="000000"/>
          <w:sz w:val="24"/>
          <w:szCs w:val="24"/>
          <w:highlight w:val="none"/>
        </w:rPr>
      </w:pPr>
    </w:p>
    <w:p w14:paraId="158AAE3F">
      <w:pPr>
        <w:spacing w:line="540" w:lineRule="exact"/>
        <w:ind w:firstLine="4440" w:firstLineChars="18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2D81972E">
      <w:pPr>
        <w:spacing w:line="540" w:lineRule="exact"/>
        <w:ind w:firstLine="4440" w:firstLineChars="18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w:t>
      </w:r>
    </w:p>
    <w:p w14:paraId="02B65BB2">
      <w:pPr>
        <w:spacing w:line="540" w:lineRule="exact"/>
        <w:contextualSpacing/>
        <w:jc w:val="center"/>
        <w:rPr>
          <w:rFonts w:hint="eastAsia" w:ascii="仿宋_GB2312" w:hAnsi="仿宋_GB2312" w:eastAsia="仿宋_GB2312" w:cs="仿宋_GB2312"/>
          <w:b/>
          <w:color w:val="000000"/>
          <w:sz w:val="24"/>
          <w:szCs w:val="24"/>
          <w:highlight w:val="none"/>
        </w:rPr>
      </w:pPr>
    </w:p>
    <w:p w14:paraId="1A7CCCE5">
      <w:pPr>
        <w:spacing w:line="540" w:lineRule="exact"/>
        <w:contextualSpacing/>
        <w:jc w:val="center"/>
        <w:rPr>
          <w:rFonts w:hint="eastAsia" w:ascii="仿宋_GB2312" w:hAnsi="仿宋_GB2312" w:eastAsia="仿宋_GB2312" w:cs="仿宋_GB2312"/>
          <w:b/>
          <w:color w:val="000000"/>
          <w:sz w:val="28"/>
          <w:szCs w:val="28"/>
          <w:highlight w:val="none"/>
        </w:rPr>
      </w:pPr>
    </w:p>
    <w:p w14:paraId="0D8D6884">
      <w:pPr>
        <w:pStyle w:val="12"/>
        <w:rPr>
          <w:rFonts w:hint="eastAsia" w:ascii="仿宋_GB2312" w:hAnsi="仿宋_GB2312" w:eastAsia="仿宋_GB2312" w:cs="仿宋_GB2312"/>
          <w:color w:val="000000"/>
          <w:highlight w:val="none"/>
        </w:rPr>
      </w:pPr>
    </w:p>
    <w:p w14:paraId="315D5E6C">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七、评标标准相应的商务技术资料</w:t>
      </w:r>
    </w:p>
    <w:p w14:paraId="0E5AEA92">
      <w:pPr>
        <w:spacing w:line="54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（按招标文件第四部分评标办法前附表中“投标文件中评标标准相应的商务技术资料目录”提供资料）</w:t>
      </w:r>
    </w:p>
    <w:p w14:paraId="56AD1285">
      <w:pPr>
        <w:ind w:firstLine="2891" w:firstLineChars="900"/>
        <w:rPr>
          <w:rFonts w:hint="eastAsia" w:ascii="仿宋_GB2312" w:hAnsi="仿宋_GB2312" w:eastAsia="仿宋_GB2312" w:cs="仿宋_GB2312"/>
          <w:b/>
          <w:color w:val="000000"/>
          <w:kern w:val="0"/>
          <w:sz w:val="32"/>
          <w:szCs w:val="32"/>
          <w:highlight w:val="none"/>
        </w:rPr>
      </w:pPr>
    </w:p>
    <w:p w14:paraId="2A76F6E5">
      <w:pPr>
        <w:rPr>
          <w:rFonts w:hint="eastAsia" w:ascii="仿宋_GB2312" w:hAnsi="仿宋_GB2312" w:eastAsia="仿宋_GB2312" w:cs="仿宋_GB2312"/>
          <w:b/>
          <w:color w:val="000000"/>
          <w:kern w:val="0"/>
          <w:sz w:val="32"/>
          <w:szCs w:val="32"/>
          <w:highlight w:val="none"/>
        </w:rPr>
      </w:pPr>
    </w:p>
    <w:p w14:paraId="071D95A6">
      <w:pPr>
        <w:jc w:val="center"/>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八、投标标的清单</w:t>
      </w:r>
    </w:p>
    <w:tbl>
      <w:tblPr>
        <w:tblStyle w:val="26"/>
        <w:tblW w:w="9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2126"/>
        <w:gridCol w:w="851"/>
        <w:gridCol w:w="1701"/>
        <w:gridCol w:w="992"/>
        <w:gridCol w:w="1134"/>
        <w:gridCol w:w="851"/>
        <w:gridCol w:w="699"/>
      </w:tblGrid>
      <w:tr w14:paraId="46597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64DEEE6">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99141AB">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产品名称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AB66721">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品牌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952463B">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规格型号</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3641B68">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91144B">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B638A90">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产地</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3D3DB0B2">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14:paraId="6B927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91C2E33">
            <w:pPr>
              <w:snapToGrid w:val="0"/>
              <w:jc w:val="center"/>
              <w:rPr>
                <w:rFonts w:hint="eastAsia" w:ascii="仿宋_GB2312" w:hAnsi="仿宋_GB2312" w:eastAsia="仿宋_GB2312" w:cs="仿宋_GB2312"/>
                <w:color w:val="000000"/>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0A91070">
            <w:pPr>
              <w:snapToGrid w:val="0"/>
              <w:jc w:val="center"/>
              <w:rPr>
                <w:rFonts w:hint="eastAsia" w:ascii="仿宋_GB2312" w:hAnsi="仿宋_GB2312" w:eastAsia="仿宋_GB2312" w:cs="仿宋_GB2312"/>
                <w:color w:val="00000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201ADA39">
            <w:pPr>
              <w:snapToGrid w:val="0"/>
              <w:jc w:val="center"/>
              <w:rPr>
                <w:rFonts w:hint="eastAsia" w:ascii="仿宋_GB2312" w:hAnsi="仿宋_GB2312" w:eastAsia="仿宋_GB2312" w:cs="仿宋_GB2312"/>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B004962">
            <w:pPr>
              <w:snapToGrid w:val="0"/>
              <w:jc w:val="center"/>
              <w:rPr>
                <w:rFonts w:hint="eastAsia" w:ascii="仿宋_GB2312" w:hAnsi="仿宋_GB2312" w:eastAsia="仿宋_GB2312" w:cs="仿宋_GB2312"/>
                <w:color w:val="00000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944DF79">
            <w:pPr>
              <w:snapToGrid w:val="0"/>
              <w:jc w:val="center"/>
              <w:rPr>
                <w:rFonts w:hint="eastAsia" w:ascii="仿宋_GB2312" w:hAnsi="仿宋_GB2312" w:eastAsia="仿宋_GB2312" w:cs="仿宋_GB2312"/>
                <w:color w:val="00000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96EE7">
            <w:pPr>
              <w:snapToGrid w:val="0"/>
              <w:jc w:val="center"/>
              <w:rPr>
                <w:rFonts w:hint="eastAsia" w:ascii="仿宋_GB2312" w:hAnsi="仿宋_GB2312" w:eastAsia="仿宋_GB2312" w:cs="仿宋_GB2312"/>
                <w:color w:val="00000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795471">
            <w:pPr>
              <w:snapToGrid w:val="0"/>
              <w:jc w:val="center"/>
              <w:rPr>
                <w:rFonts w:hint="eastAsia" w:ascii="仿宋_GB2312" w:hAnsi="仿宋_GB2312" w:eastAsia="仿宋_GB2312" w:cs="仿宋_GB2312"/>
                <w:color w:val="000000"/>
                <w:sz w:val="24"/>
                <w:szCs w:val="24"/>
                <w:highlight w:val="none"/>
              </w:rPr>
            </w:pPr>
          </w:p>
        </w:tc>
        <w:tc>
          <w:tcPr>
            <w:tcW w:w="699" w:type="dxa"/>
            <w:tcBorders>
              <w:top w:val="single" w:color="auto" w:sz="4" w:space="0"/>
              <w:left w:val="single" w:color="auto" w:sz="4" w:space="0"/>
              <w:bottom w:val="single" w:color="auto" w:sz="4" w:space="0"/>
              <w:right w:val="single" w:color="auto" w:sz="4" w:space="0"/>
            </w:tcBorders>
            <w:noWrap w:val="0"/>
            <w:vAlign w:val="center"/>
          </w:tcPr>
          <w:p w14:paraId="534350C1">
            <w:pPr>
              <w:snapToGrid w:val="0"/>
              <w:jc w:val="center"/>
              <w:rPr>
                <w:rFonts w:hint="eastAsia" w:ascii="仿宋_GB2312" w:hAnsi="仿宋_GB2312" w:eastAsia="仿宋_GB2312" w:cs="仿宋_GB2312"/>
                <w:color w:val="000000"/>
                <w:sz w:val="24"/>
                <w:szCs w:val="24"/>
                <w:highlight w:val="none"/>
              </w:rPr>
            </w:pPr>
          </w:p>
        </w:tc>
      </w:tr>
      <w:tr w14:paraId="45CEF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827EE3C">
            <w:pPr>
              <w:snapToGrid w:val="0"/>
              <w:jc w:val="center"/>
              <w:rPr>
                <w:rFonts w:hint="eastAsia" w:ascii="仿宋_GB2312" w:hAnsi="仿宋_GB2312" w:eastAsia="仿宋_GB2312" w:cs="仿宋_GB2312"/>
                <w:color w:val="000000"/>
                <w:sz w:val="24"/>
                <w:szCs w:val="24"/>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F49D578">
            <w:pPr>
              <w:snapToGrid w:val="0"/>
              <w:jc w:val="center"/>
              <w:rPr>
                <w:rFonts w:hint="eastAsia" w:ascii="仿宋_GB2312" w:hAnsi="仿宋_GB2312" w:eastAsia="仿宋_GB2312" w:cs="仿宋_GB2312"/>
                <w:color w:val="00000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B37B1E0">
            <w:pPr>
              <w:snapToGrid w:val="0"/>
              <w:jc w:val="center"/>
              <w:rPr>
                <w:rFonts w:hint="eastAsia" w:ascii="仿宋_GB2312" w:hAnsi="仿宋_GB2312" w:eastAsia="仿宋_GB2312" w:cs="仿宋_GB2312"/>
                <w:color w:val="00000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D59D85F">
            <w:pPr>
              <w:snapToGrid w:val="0"/>
              <w:jc w:val="center"/>
              <w:rPr>
                <w:rFonts w:hint="eastAsia" w:ascii="仿宋_GB2312" w:hAnsi="仿宋_GB2312" w:eastAsia="仿宋_GB2312" w:cs="仿宋_GB2312"/>
                <w:color w:val="00000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9F2984">
            <w:pPr>
              <w:snapToGrid w:val="0"/>
              <w:jc w:val="center"/>
              <w:rPr>
                <w:rFonts w:hint="eastAsia" w:ascii="仿宋_GB2312" w:hAnsi="仿宋_GB2312" w:eastAsia="仿宋_GB2312" w:cs="仿宋_GB2312"/>
                <w:color w:val="00000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6F2FEF">
            <w:pPr>
              <w:snapToGrid w:val="0"/>
              <w:jc w:val="center"/>
              <w:rPr>
                <w:rFonts w:hint="eastAsia" w:ascii="仿宋_GB2312" w:hAnsi="仿宋_GB2312" w:eastAsia="仿宋_GB2312" w:cs="仿宋_GB2312"/>
                <w:color w:val="000000"/>
                <w:sz w:val="24"/>
                <w:szCs w:val="24"/>
                <w:highlight w:val="none"/>
              </w:rPr>
            </w:pPr>
          </w:p>
        </w:tc>
        <w:tc>
          <w:tcPr>
            <w:tcW w:w="851" w:type="dxa"/>
            <w:tcBorders>
              <w:top w:val="single" w:color="auto" w:sz="4" w:space="0"/>
              <w:left w:val="single" w:color="auto" w:sz="4" w:space="0"/>
              <w:bottom w:val="nil"/>
              <w:right w:val="single" w:color="auto" w:sz="4" w:space="0"/>
            </w:tcBorders>
            <w:noWrap w:val="0"/>
            <w:vAlign w:val="center"/>
          </w:tcPr>
          <w:p w14:paraId="17D4B63E">
            <w:pPr>
              <w:snapToGrid w:val="0"/>
              <w:jc w:val="center"/>
              <w:rPr>
                <w:rFonts w:hint="eastAsia" w:ascii="仿宋_GB2312" w:hAnsi="仿宋_GB2312" w:eastAsia="仿宋_GB2312" w:cs="仿宋_GB2312"/>
                <w:color w:val="000000"/>
                <w:sz w:val="24"/>
                <w:szCs w:val="24"/>
                <w:highlight w:val="none"/>
              </w:rPr>
            </w:pPr>
          </w:p>
        </w:tc>
        <w:tc>
          <w:tcPr>
            <w:tcW w:w="699" w:type="dxa"/>
            <w:tcBorders>
              <w:top w:val="single" w:color="auto" w:sz="4" w:space="0"/>
              <w:left w:val="single" w:color="auto" w:sz="4" w:space="0"/>
              <w:bottom w:val="nil"/>
              <w:right w:val="single" w:color="auto" w:sz="4" w:space="0"/>
            </w:tcBorders>
            <w:noWrap w:val="0"/>
            <w:vAlign w:val="center"/>
          </w:tcPr>
          <w:p w14:paraId="33BDB366">
            <w:pPr>
              <w:snapToGrid w:val="0"/>
              <w:jc w:val="center"/>
              <w:rPr>
                <w:rFonts w:hint="eastAsia" w:ascii="仿宋_GB2312" w:hAnsi="仿宋_GB2312" w:eastAsia="仿宋_GB2312" w:cs="仿宋_GB2312"/>
                <w:color w:val="000000"/>
                <w:sz w:val="24"/>
                <w:szCs w:val="24"/>
                <w:highlight w:val="none"/>
              </w:rPr>
            </w:pPr>
          </w:p>
        </w:tc>
      </w:tr>
      <w:tr w14:paraId="3B622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0675EC8">
            <w:pPr>
              <w:snapToGrid w:val="0"/>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D5ACE8C">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C368B41">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3FD0B51">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CA7F8C">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CEB65F">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EDAB2EC">
            <w:pPr>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w:t>
            </w:r>
          </w:p>
        </w:tc>
        <w:tc>
          <w:tcPr>
            <w:tcW w:w="699" w:type="dxa"/>
            <w:tcBorders>
              <w:top w:val="single" w:color="auto" w:sz="4" w:space="0"/>
              <w:left w:val="single" w:color="auto" w:sz="4" w:space="0"/>
              <w:bottom w:val="single" w:color="auto" w:sz="4" w:space="0"/>
              <w:right w:val="single" w:color="auto" w:sz="4" w:space="0"/>
            </w:tcBorders>
            <w:noWrap w:val="0"/>
            <w:vAlign w:val="center"/>
          </w:tcPr>
          <w:p w14:paraId="6BE0C7A1">
            <w:pPr>
              <w:jc w:val="center"/>
              <w:rPr>
                <w:rFonts w:hint="eastAsia" w:ascii="仿宋_GB2312" w:hAnsi="仿宋_GB2312" w:eastAsia="仿宋_GB2312" w:cs="仿宋_GB2312"/>
                <w:color w:val="000000"/>
                <w:highlight w:val="none"/>
              </w:rPr>
            </w:pPr>
          </w:p>
        </w:tc>
      </w:tr>
    </w:tbl>
    <w:p w14:paraId="064D6D54">
      <w:pPr>
        <w:pStyle w:val="10"/>
        <w:rPr>
          <w:rFonts w:hint="eastAsia" w:ascii="仿宋_GB2312" w:hAnsi="仿宋_GB2312" w:eastAsia="仿宋_GB2312" w:cs="仿宋_GB2312"/>
          <w:color w:val="000000"/>
          <w:highlight w:val="none"/>
        </w:rPr>
      </w:pPr>
    </w:p>
    <w:p w14:paraId="45F57FD1">
      <w:pPr>
        <w:jc w:val="center"/>
        <w:rPr>
          <w:rFonts w:hint="eastAsia" w:ascii="仿宋_GB2312" w:hAnsi="仿宋_GB2312" w:eastAsia="仿宋_GB2312" w:cs="仿宋_GB2312"/>
          <w:b/>
          <w:color w:val="000000"/>
          <w:kern w:val="0"/>
          <w:sz w:val="28"/>
          <w:szCs w:val="28"/>
          <w:highlight w:val="none"/>
        </w:rPr>
      </w:pPr>
    </w:p>
    <w:p w14:paraId="27C0B10E">
      <w:pPr>
        <w:jc w:val="center"/>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九、商务技术偏离表</w:t>
      </w:r>
    </w:p>
    <w:tbl>
      <w:tblPr>
        <w:tblStyle w:val="27"/>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512"/>
      </w:tblGrid>
      <w:tr w14:paraId="2B91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DE0F178">
            <w:pPr>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序号</w:t>
            </w:r>
          </w:p>
        </w:tc>
        <w:tc>
          <w:tcPr>
            <w:tcW w:w="3683" w:type="dxa"/>
            <w:noWrap w:val="0"/>
            <w:vAlign w:val="top"/>
          </w:tcPr>
          <w:p w14:paraId="3076A96F">
            <w:pPr>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招标文件章节及具体内容</w:t>
            </w:r>
          </w:p>
        </w:tc>
        <w:tc>
          <w:tcPr>
            <w:tcW w:w="3546" w:type="dxa"/>
            <w:noWrap w:val="0"/>
            <w:vAlign w:val="top"/>
          </w:tcPr>
          <w:p w14:paraId="44F043E5">
            <w:pPr>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投标文件章节及具体内容</w:t>
            </w:r>
          </w:p>
        </w:tc>
        <w:tc>
          <w:tcPr>
            <w:tcW w:w="1512" w:type="dxa"/>
            <w:noWrap w:val="0"/>
            <w:vAlign w:val="top"/>
          </w:tcPr>
          <w:p w14:paraId="0533FDA0">
            <w:pPr>
              <w:jc w:val="center"/>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rPr>
              <w:t>偏离说明</w:t>
            </w:r>
          </w:p>
        </w:tc>
      </w:tr>
      <w:tr w14:paraId="5D9F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EB9CCB">
            <w:pPr>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w:t>
            </w:r>
          </w:p>
        </w:tc>
        <w:tc>
          <w:tcPr>
            <w:tcW w:w="3683" w:type="dxa"/>
            <w:noWrap w:val="0"/>
            <w:vAlign w:val="top"/>
          </w:tcPr>
          <w:p w14:paraId="3D18BB2A">
            <w:pPr>
              <w:jc w:val="center"/>
              <w:rPr>
                <w:rFonts w:hint="eastAsia" w:ascii="仿宋_GB2312" w:hAnsi="仿宋_GB2312" w:eastAsia="仿宋_GB2312" w:cs="仿宋_GB2312"/>
                <w:b/>
                <w:color w:val="000000"/>
                <w:kern w:val="0"/>
                <w:sz w:val="28"/>
                <w:szCs w:val="28"/>
                <w:highlight w:val="none"/>
              </w:rPr>
            </w:pPr>
          </w:p>
        </w:tc>
        <w:tc>
          <w:tcPr>
            <w:tcW w:w="3546" w:type="dxa"/>
            <w:noWrap w:val="0"/>
            <w:vAlign w:val="top"/>
          </w:tcPr>
          <w:p w14:paraId="790D73C4">
            <w:pPr>
              <w:jc w:val="center"/>
              <w:rPr>
                <w:rFonts w:hint="eastAsia" w:ascii="仿宋_GB2312" w:hAnsi="仿宋_GB2312" w:eastAsia="仿宋_GB2312" w:cs="仿宋_GB2312"/>
                <w:b/>
                <w:color w:val="000000"/>
                <w:kern w:val="0"/>
                <w:sz w:val="28"/>
                <w:szCs w:val="28"/>
                <w:highlight w:val="none"/>
              </w:rPr>
            </w:pPr>
          </w:p>
        </w:tc>
        <w:tc>
          <w:tcPr>
            <w:tcW w:w="1512" w:type="dxa"/>
            <w:noWrap w:val="0"/>
            <w:vAlign w:val="top"/>
          </w:tcPr>
          <w:p w14:paraId="197C2679">
            <w:pPr>
              <w:jc w:val="center"/>
              <w:rPr>
                <w:rFonts w:hint="eastAsia" w:ascii="仿宋_GB2312" w:hAnsi="仿宋_GB2312" w:eastAsia="仿宋_GB2312" w:cs="仿宋_GB2312"/>
                <w:b/>
                <w:color w:val="000000"/>
                <w:kern w:val="0"/>
                <w:sz w:val="28"/>
                <w:szCs w:val="28"/>
                <w:highlight w:val="none"/>
              </w:rPr>
            </w:pPr>
          </w:p>
        </w:tc>
      </w:tr>
      <w:tr w14:paraId="3D4B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59E399A">
            <w:pPr>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w:t>
            </w:r>
          </w:p>
        </w:tc>
        <w:tc>
          <w:tcPr>
            <w:tcW w:w="3683" w:type="dxa"/>
            <w:noWrap w:val="0"/>
            <w:vAlign w:val="top"/>
          </w:tcPr>
          <w:p w14:paraId="200D9463">
            <w:pPr>
              <w:jc w:val="center"/>
              <w:rPr>
                <w:rFonts w:hint="eastAsia" w:ascii="仿宋_GB2312" w:hAnsi="仿宋_GB2312" w:eastAsia="仿宋_GB2312" w:cs="仿宋_GB2312"/>
                <w:b/>
                <w:color w:val="000000"/>
                <w:kern w:val="0"/>
                <w:sz w:val="28"/>
                <w:szCs w:val="28"/>
                <w:highlight w:val="none"/>
              </w:rPr>
            </w:pPr>
          </w:p>
        </w:tc>
        <w:tc>
          <w:tcPr>
            <w:tcW w:w="3546" w:type="dxa"/>
            <w:noWrap w:val="0"/>
            <w:vAlign w:val="top"/>
          </w:tcPr>
          <w:p w14:paraId="1ACA22CE">
            <w:pPr>
              <w:jc w:val="center"/>
              <w:rPr>
                <w:rFonts w:hint="eastAsia" w:ascii="仿宋_GB2312" w:hAnsi="仿宋_GB2312" w:eastAsia="仿宋_GB2312" w:cs="仿宋_GB2312"/>
                <w:b/>
                <w:color w:val="000000"/>
                <w:kern w:val="0"/>
                <w:sz w:val="28"/>
                <w:szCs w:val="28"/>
                <w:highlight w:val="none"/>
              </w:rPr>
            </w:pPr>
          </w:p>
        </w:tc>
        <w:tc>
          <w:tcPr>
            <w:tcW w:w="1512" w:type="dxa"/>
            <w:noWrap w:val="0"/>
            <w:vAlign w:val="top"/>
          </w:tcPr>
          <w:p w14:paraId="5C7B55FD">
            <w:pPr>
              <w:jc w:val="center"/>
              <w:rPr>
                <w:rFonts w:hint="eastAsia" w:ascii="仿宋_GB2312" w:hAnsi="仿宋_GB2312" w:eastAsia="仿宋_GB2312" w:cs="仿宋_GB2312"/>
                <w:b/>
                <w:color w:val="000000"/>
                <w:kern w:val="0"/>
                <w:sz w:val="28"/>
                <w:szCs w:val="28"/>
                <w:highlight w:val="none"/>
              </w:rPr>
            </w:pPr>
          </w:p>
        </w:tc>
      </w:tr>
      <w:tr w14:paraId="5BCF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181182">
            <w:pPr>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w:t>
            </w:r>
          </w:p>
        </w:tc>
        <w:tc>
          <w:tcPr>
            <w:tcW w:w="3683" w:type="dxa"/>
            <w:noWrap w:val="0"/>
            <w:vAlign w:val="top"/>
          </w:tcPr>
          <w:p w14:paraId="41E50312">
            <w:pPr>
              <w:jc w:val="center"/>
              <w:rPr>
                <w:rFonts w:hint="eastAsia" w:ascii="仿宋_GB2312" w:hAnsi="仿宋_GB2312" w:eastAsia="仿宋_GB2312" w:cs="仿宋_GB2312"/>
                <w:b/>
                <w:color w:val="000000"/>
                <w:kern w:val="0"/>
                <w:sz w:val="28"/>
                <w:szCs w:val="28"/>
                <w:highlight w:val="none"/>
              </w:rPr>
            </w:pPr>
          </w:p>
        </w:tc>
        <w:tc>
          <w:tcPr>
            <w:tcW w:w="3546" w:type="dxa"/>
            <w:noWrap w:val="0"/>
            <w:vAlign w:val="top"/>
          </w:tcPr>
          <w:p w14:paraId="11400ADB">
            <w:pPr>
              <w:jc w:val="center"/>
              <w:rPr>
                <w:rFonts w:hint="eastAsia" w:ascii="仿宋_GB2312" w:hAnsi="仿宋_GB2312" w:eastAsia="仿宋_GB2312" w:cs="仿宋_GB2312"/>
                <w:b/>
                <w:color w:val="000000"/>
                <w:kern w:val="0"/>
                <w:sz w:val="28"/>
                <w:szCs w:val="28"/>
                <w:highlight w:val="none"/>
              </w:rPr>
            </w:pPr>
          </w:p>
        </w:tc>
        <w:tc>
          <w:tcPr>
            <w:tcW w:w="1512" w:type="dxa"/>
            <w:noWrap w:val="0"/>
            <w:vAlign w:val="top"/>
          </w:tcPr>
          <w:p w14:paraId="59AB8364">
            <w:pPr>
              <w:jc w:val="center"/>
              <w:rPr>
                <w:rFonts w:hint="eastAsia" w:ascii="仿宋_GB2312" w:hAnsi="仿宋_GB2312" w:eastAsia="仿宋_GB2312" w:cs="仿宋_GB2312"/>
                <w:b/>
                <w:color w:val="000000"/>
                <w:kern w:val="0"/>
                <w:sz w:val="28"/>
                <w:szCs w:val="28"/>
                <w:highlight w:val="none"/>
              </w:rPr>
            </w:pPr>
          </w:p>
        </w:tc>
      </w:tr>
    </w:tbl>
    <w:p w14:paraId="1B80C2B6">
      <w:pPr>
        <w:jc w:val="left"/>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投标人保证：除商务技术偏离表列出的偏离外，投标人响应招标文件的全部要求</w:t>
      </w:r>
    </w:p>
    <w:p w14:paraId="060F8BC1">
      <w:pPr>
        <w:jc w:val="center"/>
        <w:rPr>
          <w:rFonts w:hint="eastAsia" w:ascii="仿宋_GB2312" w:hAnsi="仿宋_GB2312" w:eastAsia="仿宋_GB2312" w:cs="仿宋_GB2312"/>
          <w:b/>
          <w:color w:val="000000"/>
          <w:kern w:val="0"/>
          <w:sz w:val="28"/>
          <w:szCs w:val="28"/>
          <w:highlight w:val="none"/>
        </w:rPr>
      </w:pPr>
    </w:p>
    <w:p w14:paraId="0E80D6BC">
      <w:pPr>
        <w:spacing w:line="540" w:lineRule="exact"/>
        <w:contextualSpacing/>
        <w:rPr>
          <w:rFonts w:hint="eastAsia" w:ascii="仿宋_GB2312" w:hAnsi="仿宋_GB2312" w:eastAsia="仿宋_GB2312" w:cs="仿宋_GB2312"/>
          <w:color w:val="000000"/>
          <w:sz w:val="24"/>
          <w:szCs w:val="24"/>
          <w:highlight w:val="none"/>
        </w:rPr>
      </w:pPr>
    </w:p>
    <w:p w14:paraId="78DCA50E">
      <w:pPr>
        <w:spacing w:line="540" w:lineRule="exact"/>
        <w:contextualSpacing/>
        <w:rPr>
          <w:rFonts w:hint="eastAsia" w:ascii="仿宋_GB2312" w:hAnsi="仿宋_GB2312" w:eastAsia="仿宋_GB2312" w:cs="仿宋_GB2312"/>
          <w:color w:val="000000"/>
          <w:sz w:val="24"/>
          <w:szCs w:val="24"/>
          <w:highlight w:val="none"/>
        </w:rPr>
      </w:pPr>
    </w:p>
    <w:p w14:paraId="61503C33">
      <w:pPr>
        <w:spacing w:line="540" w:lineRule="exact"/>
        <w:contextualSpacing/>
        <w:jc w:val="center"/>
        <w:rPr>
          <w:rFonts w:hint="eastAsia" w:ascii="仿宋_GB2312" w:hAnsi="仿宋_GB2312" w:eastAsia="仿宋_GB2312" w:cs="仿宋_GB2312"/>
          <w:b/>
          <w:color w:val="000000"/>
          <w:sz w:val="24"/>
          <w:szCs w:val="24"/>
          <w:highlight w:val="none"/>
        </w:rPr>
      </w:pPr>
    </w:p>
    <w:p w14:paraId="5EFB3590">
      <w:pPr>
        <w:spacing w:line="540" w:lineRule="exact"/>
        <w:contextualSpacing/>
        <w:jc w:val="center"/>
        <w:rPr>
          <w:rFonts w:hint="eastAsia" w:ascii="仿宋_GB2312" w:hAnsi="仿宋_GB2312" w:eastAsia="仿宋_GB2312" w:cs="仿宋_GB2312"/>
          <w:b/>
          <w:color w:val="000000"/>
          <w:sz w:val="24"/>
          <w:szCs w:val="24"/>
          <w:highlight w:val="none"/>
        </w:rPr>
      </w:pPr>
    </w:p>
    <w:p w14:paraId="261039C8">
      <w:pPr>
        <w:spacing w:line="540" w:lineRule="exact"/>
        <w:contextualSpacing/>
        <w:jc w:val="center"/>
        <w:rPr>
          <w:rFonts w:hint="eastAsia" w:ascii="仿宋_GB2312" w:hAnsi="仿宋_GB2312" w:eastAsia="仿宋_GB2312" w:cs="仿宋_GB2312"/>
          <w:b/>
          <w:color w:val="000000"/>
          <w:sz w:val="24"/>
          <w:szCs w:val="24"/>
          <w:highlight w:val="none"/>
        </w:rPr>
      </w:pPr>
    </w:p>
    <w:p w14:paraId="7D780F9D">
      <w:pPr>
        <w:pStyle w:val="12"/>
        <w:rPr>
          <w:rFonts w:hint="eastAsia" w:ascii="仿宋_GB2312" w:hAnsi="仿宋_GB2312" w:eastAsia="仿宋_GB2312" w:cs="仿宋_GB2312"/>
          <w:color w:val="000000"/>
          <w:highlight w:val="none"/>
        </w:rPr>
      </w:pPr>
    </w:p>
    <w:p w14:paraId="2FB2C2CF">
      <w:pPr>
        <w:pStyle w:val="12"/>
        <w:rPr>
          <w:rFonts w:hint="eastAsia" w:ascii="仿宋_GB2312" w:hAnsi="仿宋_GB2312" w:eastAsia="仿宋_GB2312" w:cs="仿宋_GB2312"/>
          <w:color w:val="000000"/>
          <w:highlight w:val="none"/>
        </w:rPr>
      </w:pPr>
    </w:p>
    <w:p w14:paraId="0CEED6BA">
      <w:pPr>
        <w:pStyle w:val="12"/>
        <w:rPr>
          <w:rFonts w:hint="eastAsia" w:ascii="仿宋_GB2312" w:hAnsi="仿宋_GB2312" w:eastAsia="仿宋_GB2312" w:cs="仿宋_GB2312"/>
          <w:color w:val="000000"/>
          <w:highlight w:val="none"/>
        </w:rPr>
      </w:pPr>
    </w:p>
    <w:p w14:paraId="0BC313E4">
      <w:pPr>
        <w:pStyle w:val="12"/>
        <w:rPr>
          <w:rFonts w:hint="eastAsia" w:ascii="仿宋_GB2312" w:hAnsi="仿宋_GB2312" w:eastAsia="仿宋_GB2312" w:cs="仿宋_GB2312"/>
          <w:color w:val="000000"/>
          <w:highlight w:val="none"/>
        </w:rPr>
      </w:pPr>
    </w:p>
    <w:p w14:paraId="0DA394FE">
      <w:pPr>
        <w:pStyle w:val="12"/>
        <w:rPr>
          <w:rFonts w:hint="eastAsia" w:ascii="仿宋_GB2312" w:hAnsi="仿宋_GB2312" w:eastAsia="仿宋_GB2312" w:cs="仿宋_GB2312"/>
          <w:color w:val="000000"/>
          <w:highlight w:val="none"/>
        </w:rPr>
      </w:pPr>
    </w:p>
    <w:p w14:paraId="31D90C87">
      <w:pPr>
        <w:spacing w:line="540" w:lineRule="exact"/>
        <w:contextualSpacing/>
        <w:jc w:val="center"/>
        <w:rPr>
          <w:rFonts w:hint="eastAsia" w:ascii="仿宋_GB2312" w:hAnsi="仿宋_GB2312" w:eastAsia="仿宋_GB2312" w:cs="仿宋_GB2312"/>
          <w:b/>
          <w:color w:val="000000"/>
          <w:sz w:val="28"/>
          <w:szCs w:val="28"/>
          <w:highlight w:val="none"/>
        </w:rPr>
      </w:pPr>
    </w:p>
    <w:p w14:paraId="4D21EC17">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十、政府采购供应商廉洁自律承诺书</w:t>
      </w:r>
    </w:p>
    <w:p w14:paraId="437F570C">
      <w:pPr>
        <w:spacing w:line="540" w:lineRule="exact"/>
        <w:contextualSpacing/>
        <w:rPr>
          <w:rFonts w:hint="eastAsia" w:ascii="仿宋_GB2312" w:hAnsi="仿宋_GB2312" w:eastAsia="仿宋_GB2312" w:cs="仿宋_GB2312"/>
          <w:color w:val="000000"/>
          <w:sz w:val="24"/>
          <w:szCs w:val="24"/>
          <w:highlight w:val="none"/>
        </w:rPr>
      </w:pPr>
    </w:p>
    <w:p w14:paraId="6CA96EBF">
      <w:pPr>
        <w:spacing w:line="5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0C045EFD">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我单位响应你单位项目招标要求参加投标。在这次投标过程中和中标后，我们将严格遵守国家法律法规要求，并郑重承诺：</w:t>
      </w:r>
    </w:p>
    <w:p w14:paraId="2187A1DB">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一、不向项目有关人员及部门赠送礼金礼物、有价证券、回扣以及中介费、介绍费、咨询费等好处费；</w:t>
      </w:r>
    </w:p>
    <w:p w14:paraId="17D71A92">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二、不为项目有关人员及部门报销应由你方单位或个人支付的费用；</w:t>
      </w:r>
    </w:p>
    <w:p w14:paraId="3BCAF3BF">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三、不向项目有关人员及部门提供有可能影响公正的宴请和健身娱乐等活动；</w:t>
      </w:r>
    </w:p>
    <w:p w14:paraId="3125EA97">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四、不为项目有关人员及部门出国（境）、旅游等提供方便；</w:t>
      </w:r>
    </w:p>
    <w:p w14:paraId="3748DF3D">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五、不为项目有关人员个人装修住房、婚丧嫁娶、配偶子女工作安排等提供好处；</w:t>
      </w:r>
    </w:p>
    <w:p w14:paraId="320CC26D">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六、严格遵守《中华人民共和国政府采购法》《中华人民共和国招标投标法》《中华人民共和国民法典》等法律法规，诚实守信，合法经营，坚决抵制各种违法违纪行为。</w:t>
      </w:r>
    </w:p>
    <w:p w14:paraId="104C6D7F">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A44CA6E">
      <w:pPr>
        <w:spacing w:line="500" w:lineRule="exact"/>
        <w:contextualSpacing/>
        <w:rPr>
          <w:rFonts w:hint="eastAsia" w:ascii="仿宋_GB2312" w:hAnsi="仿宋_GB2312" w:eastAsia="仿宋_GB2312" w:cs="仿宋_GB2312"/>
          <w:color w:val="000000"/>
          <w:sz w:val="24"/>
          <w:szCs w:val="24"/>
          <w:highlight w:val="none"/>
        </w:rPr>
      </w:pPr>
    </w:p>
    <w:p w14:paraId="3B4C69F0">
      <w:pPr>
        <w:pStyle w:val="10"/>
        <w:rPr>
          <w:rFonts w:hint="eastAsia" w:ascii="仿宋_GB2312" w:hAnsi="仿宋_GB2312" w:eastAsia="仿宋_GB2312" w:cs="仿宋_GB2312"/>
          <w:color w:val="000000"/>
          <w:highlight w:val="none"/>
        </w:rPr>
      </w:pPr>
    </w:p>
    <w:p w14:paraId="02935FE8">
      <w:pPr>
        <w:spacing w:line="500" w:lineRule="exact"/>
        <w:ind w:firstLine="4560" w:firstLineChars="19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75C8BDF5">
      <w:pPr>
        <w:spacing w:line="500" w:lineRule="exact"/>
        <w:ind w:firstLine="4680" w:firstLineChars="19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7755C6AC">
      <w:pPr>
        <w:spacing w:line="540" w:lineRule="exact"/>
        <w:contextualSpacing/>
        <w:rPr>
          <w:rFonts w:hint="eastAsia" w:ascii="仿宋_GB2312" w:hAnsi="仿宋_GB2312" w:eastAsia="仿宋_GB2312" w:cs="仿宋_GB2312"/>
          <w:color w:val="000000"/>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605CC6F">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报价文件部分</w:t>
      </w:r>
    </w:p>
    <w:p w14:paraId="25157AFC">
      <w:pPr>
        <w:spacing w:line="540" w:lineRule="exact"/>
        <w:contextualSpacing/>
        <w:rPr>
          <w:rFonts w:hint="eastAsia" w:ascii="仿宋_GB2312" w:hAnsi="仿宋_GB2312" w:eastAsia="仿宋_GB2312" w:cs="仿宋_GB2312"/>
          <w:color w:val="000000"/>
          <w:sz w:val="24"/>
          <w:szCs w:val="24"/>
          <w:highlight w:val="none"/>
        </w:rPr>
      </w:pPr>
    </w:p>
    <w:p w14:paraId="03F16E09">
      <w:pPr>
        <w:numPr>
          <w:ilvl w:val="0"/>
          <w:numId w:val="7"/>
        </w:num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开标一览表（报价表）………………………………………………………（页码）</w:t>
      </w:r>
    </w:p>
    <w:p w14:paraId="57579843">
      <w:pPr>
        <w:pStyle w:val="10"/>
        <w:numPr>
          <w:ilvl w:val="0"/>
          <w:numId w:val="7"/>
        </w:numP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中小企业声明函（如果有）…………………………………………………（页码）</w:t>
      </w:r>
    </w:p>
    <w:p w14:paraId="4E4AB856">
      <w:pPr>
        <w:spacing w:line="540" w:lineRule="exact"/>
        <w:contextualSpacing/>
        <w:rPr>
          <w:rFonts w:hint="eastAsia" w:ascii="仿宋_GB2312" w:hAnsi="仿宋_GB2312" w:eastAsia="仿宋_GB2312" w:cs="仿宋_GB2312"/>
          <w:color w:val="000000"/>
          <w:sz w:val="24"/>
          <w:szCs w:val="24"/>
          <w:highlight w:val="none"/>
        </w:rPr>
      </w:pPr>
    </w:p>
    <w:p w14:paraId="6B8AF638">
      <w:pPr>
        <w:spacing w:line="540" w:lineRule="exact"/>
        <w:contextualSpacing/>
        <w:rPr>
          <w:rFonts w:hint="eastAsia" w:ascii="仿宋_GB2312" w:hAnsi="仿宋_GB2312" w:eastAsia="仿宋_GB2312" w:cs="仿宋_GB2312"/>
          <w:color w:val="000000"/>
          <w:sz w:val="24"/>
          <w:szCs w:val="24"/>
          <w:highlight w:val="none"/>
        </w:rPr>
      </w:pPr>
    </w:p>
    <w:p w14:paraId="7630AF0D">
      <w:pPr>
        <w:spacing w:line="540" w:lineRule="exact"/>
        <w:contextualSpacing/>
        <w:rPr>
          <w:rFonts w:hint="eastAsia" w:ascii="仿宋_GB2312" w:hAnsi="仿宋_GB2312" w:eastAsia="仿宋_GB2312" w:cs="仿宋_GB2312"/>
          <w:color w:val="000000"/>
          <w:sz w:val="24"/>
          <w:szCs w:val="24"/>
          <w:highlight w:val="none"/>
        </w:rPr>
      </w:pPr>
    </w:p>
    <w:p w14:paraId="2D763392">
      <w:pPr>
        <w:spacing w:line="540" w:lineRule="exact"/>
        <w:contextualSpacing/>
        <w:rPr>
          <w:rFonts w:hint="eastAsia" w:ascii="仿宋_GB2312" w:hAnsi="仿宋_GB2312" w:eastAsia="仿宋_GB2312" w:cs="仿宋_GB2312"/>
          <w:color w:val="000000"/>
          <w:sz w:val="24"/>
          <w:szCs w:val="24"/>
          <w:highlight w:val="none"/>
        </w:rPr>
      </w:pPr>
    </w:p>
    <w:p w14:paraId="4E08F779">
      <w:pPr>
        <w:spacing w:line="540" w:lineRule="exact"/>
        <w:contextualSpacing/>
        <w:rPr>
          <w:rFonts w:hint="eastAsia" w:ascii="仿宋_GB2312" w:hAnsi="仿宋_GB2312" w:eastAsia="仿宋_GB2312" w:cs="仿宋_GB2312"/>
          <w:color w:val="000000"/>
          <w:sz w:val="24"/>
          <w:szCs w:val="24"/>
          <w:highlight w:val="none"/>
        </w:rPr>
      </w:pPr>
    </w:p>
    <w:p w14:paraId="278DC775">
      <w:pPr>
        <w:spacing w:line="540" w:lineRule="exact"/>
        <w:contextualSpacing/>
        <w:rPr>
          <w:rFonts w:hint="eastAsia" w:ascii="仿宋_GB2312" w:hAnsi="仿宋_GB2312" w:eastAsia="仿宋_GB2312" w:cs="仿宋_GB2312"/>
          <w:color w:val="000000"/>
          <w:sz w:val="24"/>
          <w:szCs w:val="24"/>
          <w:highlight w:val="none"/>
        </w:rPr>
      </w:pPr>
    </w:p>
    <w:p w14:paraId="53051757">
      <w:pPr>
        <w:spacing w:line="540" w:lineRule="exact"/>
        <w:contextualSpacing/>
        <w:rPr>
          <w:rFonts w:hint="eastAsia" w:ascii="仿宋_GB2312" w:hAnsi="仿宋_GB2312" w:eastAsia="仿宋_GB2312" w:cs="仿宋_GB2312"/>
          <w:color w:val="000000"/>
          <w:sz w:val="24"/>
          <w:szCs w:val="24"/>
          <w:highlight w:val="none"/>
        </w:rPr>
      </w:pPr>
    </w:p>
    <w:p w14:paraId="550765CB">
      <w:pPr>
        <w:spacing w:line="540" w:lineRule="exact"/>
        <w:contextualSpacing/>
        <w:rPr>
          <w:rFonts w:hint="eastAsia" w:ascii="仿宋_GB2312" w:hAnsi="仿宋_GB2312" w:eastAsia="仿宋_GB2312" w:cs="仿宋_GB2312"/>
          <w:color w:val="000000"/>
          <w:sz w:val="24"/>
          <w:szCs w:val="24"/>
          <w:highlight w:val="none"/>
        </w:rPr>
      </w:pPr>
    </w:p>
    <w:p w14:paraId="68AF050F">
      <w:pPr>
        <w:spacing w:line="540" w:lineRule="exact"/>
        <w:contextualSpacing/>
        <w:rPr>
          <w:rFonts w:hint="eastAsia" w:ascii="仿宋_GB2312" w:hAnsi="仿宋_GB2312" w:eastAsia="仿宋_GB2312" w:cs="仿宋_GB2312"/>
          <w:color w:val="000000"/>
          <w:sz w:val="24"/>
          <w:szCs w:val="24"/>
          <w:highlight w:val="none"/>
        </w:rPr>
      </w:pPr>
    </w:p>
    <w:p w14:paraId="4E4D12C7">
      <w:pPr>
        <w:spacing w:line="540" w:lineRule="exact"/>
        <w:contextualSpacing/>
        <w:rPr>
          <w:rFonts w:hint="eastAsia" w:ascii="仿宋_GB2312" w:hAnsi="仿宋_GB2312" w:eastAsia="仿宋_GB2312" w:cs="仿宋_GB2312"/>
          <w:color w:val="000000"/>
          <w:sz w:val="24"/>
          <w:szCs w:val="24"/>
          <w:highlight w:val="none"/>
        </w:rPr>
      </w:pPr>
    </w:p>
    <w:p w14:paraId="179A3716">
      <w:pPr>
        <w:spacing w:line="540" w:lineRule="exact"/>
        <w:contextualSpacing/>
        <w:rPr>
          <w:rFonts w:hint="eastAsia" w:ascii="仿宋_GB2312" w:hAnsi="仿宋_GB2312" w:eastAsia="仿宋_GB2312" w:cs="仿宋_GB2312"/>
          <w:color w:val="000000"/>
          <w:sz w:val="24"/>
          <w:szCs w:val="24"/>
          <w:highlight w:val="none"/>
        </w:rPr>
      </w:pPr>
    </w:p>
    <w:p w14:paraId="00150238">
      <w:pPr>
        <w:spacing w:line="540" w:lineRule="exact"/>
        <w:contextualSpacing/>
        <w:rPr>
          <w:rFonts w:hint="eastAsia" w:ascii="仿宋_GB2312" w:hAnsi="仿宋_GB2312" w:eastAsia="仿宋_GB2312" w:cs="仿宋_GB2312"/>
          <w:color w:val="000000"/>
          <w:sz w:val="24"/>
          <w:szCs w:val="24"/>
          <w:highlight w:val="none"/>
        </w:rPr>
      </w:pPr>
    </w:p>
    <w:p w14:paraId="60B20DDC">
      <w:pPr>
        <w:spacing w:line="540" w:lineRule="exact"/>
        <w:contextualSpacing/>
        <w:rPr>
          <w:rFonts w:hint="eastAsia" w:ascii="仿宋_GB2312" w:hAnsi="仿宋_GB2312" w:eastAsia="仿宋_GB2312" w:cs="仿宋_GB2312"/>
          <w:color w:val="000000"/>
          <w:sz w:val="24"/>
          <w:szCs w:val="24"/>
          <w:highlight w:val="none"/>
        </w:rPr>
      </w:pPr>
    </w:p>
    <w:p w14:paraId="730277C7">
      <w:pPr>
        <w:spacing w:line="540" w:lineRule="exact"/>
        <w:contextualSpacing/>
        <w:rPr>
          <w:rFonts w:hint="eastAsia" w:ascii="仿宋_GB2312" w:hAnsi="仿宋_GB2312" w:eastAsia="仿宋_GB2312" w:cs="仿宋_GB2312"/>
          <w:color w:val="000000"/>
          <w:sz w:val="24"/>
          <w:szCs w:val="24"/>
          <w:highlight w:val="none"/>
        </w:rPr>
      </w:pPr>
    </w:p>
    <w:p w14:paraId="0DD8A50D">
      <w:pPr>
        <w:spacing w:line="540" w:lineRule="exact"/>
        <w:contextualSpacing/>
        <w:rPr>
          <w:rFonts w:hint="eastAsia" w:ascii="仿宋_GB2312" w:hAnsi="仿宋_GB2312" w:eastAsia="仿宋_GB2312" w:cs="仿宋_GB2312"/>
          <w:color w:val="000000"/>
          <w:sz w:val="24"/>
          <w:szCs w:val="24"/>
          <w:highlight w:val="none"/>
        </w:rPr>
      </w:pPr>
    </w:p>
    <w:p w14:paraId="66F1686F">
      <w:pPr>
        <w:spacing w:line="540" w:lineRule="exact"/>
        <w:contextualSpacing/>
        <w:rPr>
          <w:rFonts w:hint="eastAsia" w:ascii="仿宋_GB2312" w:hAnsi="仿宋_GB2312" w:eastAsia="仿宋_GB2312" w:cs="仿宋_GB2312"/>
          <w:color w:val="000000"/>
          <w:sz w:val="24"/>
          <w:szCs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394F8B2A">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一、开标一览表（报价表）</w:t>
      </w:r>
    </w:p>
    <w:p w14:paraId="69B85D4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3D653F51">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按你方招标文件要求，我们，本投标文件签字方，谨此向你方发出要约如下：如你方接受本投标，我方承诺按照如下开标一览表（报价表）的价格完成（项目名称）【招标编号：（采购编号）】的实施。</w:t>
      </w:r>
    </w:p>
    <w:p w14:paraId="2B89ACA5">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开标一览表（报价表）(单位均为人民币元)</w:t>
      </w:r>
    </w:p>
    <w:tbl>
      <w:tblPr>
        <w:tblStyle w:val="26"/>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893"/>
        <w:gridCol w:w="929"/>
        <w:gridCol w:w="1418"/>
        <w:gridCol w:w="809"/>
        <w:gridCol w:w="864"/>
        <w:gridCol w:w="1118"/>
        <w:gridCol w:w="965"/>
      </w:tblGrid>
      <w:tr w14:paraId="600D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0" w:type="dxa"/>
            <w:noWrap w:val="0"/>
            <w:vAlign w:val="center"/>
          </w:tcPr>
          <w:p w14:paraId="501D6526">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序号</w:t>
            </w:r>
          </w:p>
        </w:tc>
        <w:tc>
          <w:tcPr>
            <w:tcW w:w="1893" w:type="dxa"/>
            <w:noWrap w:val="0"/>
            <w:vAlign w:val="center"/>
          </w:tcPr>
          <w:p w14:paraId="17D31795">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名称</w:t>
            </w:r>
          </w:p>
        </w:tc>
        <w:tc>
          <w:tcPr>
            <w:tcW w:w="929" w:type="dxa"/>
            <w:noWrap w:val="0"/>
            <w:vAlign w:val="center"/>
          </w:tcPr>
          <w:p w14:paraId="4180055F">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品牌</w:t>
            </w:r>
          </w:p>
        </w:tc>
        <w:tc>
          <w:tcPr>
            <w:tcW w:w="1418" w:type="dxa"/>
            <w:noWrap w:val="0"/>
            <w:vAlign w:val="center"/>
          </w:tcPr>
          <w:p w14:paraId="20696C25">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规格型号</w:t>
            </w:r>
          </w:p>
        </w:tc>
        <w:tc>
          <w:tcPr>
            <w:tcW w:w="809" w:type="dxa"/>
            <w:noWrap w:val="0"/>
            <w:vAlign w:val="center"/>
          </w:tcPr>
          <w:p w14:paraId="47C4335C">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单价</w:t>
            </w:r>
          </w:p>
        </w:tc>
        <w:tc>
          <w:tcPr>
            <w:tcW w:w="864" w:type="dxa"/>
            <w:noWrap w:val="0"/>
            <w:vAlign w:val="center"/>
          </w:tcPr>
          <w:p w14:paraId="68E96E68">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数量</w:t>
            </w:r>
          </w:p>
        </w:tc>
        <w:tc>
          <w:tcPr>
            <w:tcW w:w="1118" w:type="dxa"/>
            <w:noWrap w:val="0"/>
            <w:vAlign w:val="center"/>
          </w:tcPr>
          <w:p w14:paraId="6DB93F8E">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总价</w:t>
            </w:r>
          </w:p>
        </w:tc>
        <w:tc>
          <w:tcPr>
            <w:tcW w:w="965" w:type="dxa"/>
            <w:noWrap w:val="0"/>
            <w:vAlign w:val="center"/>
          </w:tcPr>
          <w:p w14:paraId="5577987D">
            <w:pPr>
              <w:spacing w:line="36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备注</w:t>
            </w:r>
          </w:p>
        </w:tc>
      </w:tr>
      <w:tr w14:paraId="2FC6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dxa"/>
            <w:noWrap w:val="0"/>
            <w:vAlign w:val="center"/>
          </w:tcPr>
          <w:p w14:paraId="12C19062">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p>
        </w:tc>
        <w:tc>
          <w:tcPr>
            <w:tcW w:w="1893" w:type="dxa"/>
            <w:noWrap w:val="0"/>
            <w:vAlign w:val="bottom"/>
          </w:tcPr>
          <w:p w14:paraId="682BA2C6">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4AA31BDF">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27D259B9">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69711287">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5086F4FA">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6D7F666F">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3CFB7F8F">
            <w:pPr>
              <w:spacing w:line="540" w:lineRule="exact"/>
              <w:contextualSpacing/>
              <w:rPr>
                <w:rFonts w:hint="eastAsia" w:ascii="仿宋_GB2312" w:hAnsi="仿宋_GB2312" w:eastAsia="仿宋_GB2312" w:cs="仿宋_GB2312"/>
                <w:color w:val="000000"/>
                <w:sz w:val="24"/>
                <w:szCs w:val="24"/>
                <w:highlight w:val="none"/>
              </w:rPr>
            </w:pPr>
          </w:p>
        </w:tc>
      </w:tr>
      <w:tr w14:paraId="525E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90" w:type="dxa"/>
            <w:noWrap w:val="0"/>
            <w:vAlign w:val="center"/>
          </w:tcPr>
          <w:p w14:paraId="7E87B079">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w:t>
            </w:r>
          </w:p>
        </w:tc>
        <w:tc>
          <w:tcPr>
            <w:tcW w:w="1893" w:type="dxa"/>
            <w:noWrap w:val="0"/>
            <w:vAlign w:val="bottom"/>
          </w:tcPr>
          <w:p w14:paraId="55BC171C">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64541E37">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3CBABE2E">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56E5EE13">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122EB9CC">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275DE5F8">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756089C3">
            <w:pPr>
              <w:spacing w:line="540" w:lineRule="exact"/>
              <w:contextualSpacing/>
              <w:rPr>
                <w:rFonts w:hint="eastAsia" w:ascii="仿宋_GB2312" w:hAnsi="仿宋_GB2312" w:eastAsia="仿宋_GB2312" w:cs="仿宋_GB2312"/>
                <w:color w:val="000000"/>
                <w:sz w:val="24"/>
                <w:szCs w:val="24"/>
                <w:highlight w:val="none"/>
              </w:rPr>
            </w:pPr>
          </w:p>
        </w:tc>
      </w:tr>
      <w:tr w14:paraId="0179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90" w:type="dxa"/>
            <w:noWrap w:val="0"/>
            <w:vAlign w:val="center"/>
          </w:tcPr>
          <w:p w14:paraId="054D04C1">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w:t>
            </w:r>
          </w:p>
        </w:tc>
        <w:tc>
          <w:tcPr>
            <w:tcW w:w="1893" w:type="dxa"/>
            <w:noWrap w:val="0"/>
            <w:vAlign w:val="bottom"/>
          </w:tcPr>
          <w:p w14:paraId="03F6521B">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5FABEAD7">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312FBD2B">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75411131">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6C3CB8B6">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7E3FCC42">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47A28765">
            <w:pPr>
              <w:spacing w:line="540" w:lineRule="exact"/>
              <w:contextualSpacing/>
              <w:rPr>
                <w:rFonts w:hint="eastAsia" w:ascii="仿宋_GB2312" w:hAnsi="仿宋_GB2312" w:eastAsia="仿宋_GB2312" w:cs="仿宋_GB2312"/>
                <w:color w:val="000000"/>
                <w:sz w:val="24"/>
                <w:szCs w:val="24"/>
                <w:highlight w:val="none"/>
              </w:rPr>
            </w:pPr>
          </w:p>
        </w:tc>
      </w:tr>
      <w:tr w14:paraId="4EFF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90" w:type="dxa"/>
            <w:noWrap w:val="0"/>
            <w:vAlign w:val="center"/>
          </w:tcPr>
          <w:p w14:paraId="280C6BE4">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w:t>
            </w:r>
          </w:p>
        </w:tc>
        <w:tc>
          <w:tcPr>
            <w:tcW w:w="1893" w:type="dxa"/>
            <w:noWrap w:val="0"/>
            <w:vAlign w:val="bottom"/>
          </w:tcPr>
          <w:p w14:paraId="2ADE6BB8">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5AFE494B">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671E0CE8">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2444973C">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48D4667F">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01015AAE">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1EFF6510">
            <w:pPr>
              <w:spacing w:line="540" w:lineRule="exact"/>
              <w:contextualSpacing/>
              <w:rPr>
                <w:rFonts w:hint="eastAsia" w:ascii="仿宋_GB2312" w:hAnsi="仿宋_GB2312" w:eastAsia="仿宋_GB2312" w:cs="仿宋_GB2312"/>
                <w:color w:val="000000"/>
                <w:sz w:val="24"/>
                <w:szCs w:val="24"/>
                <w:highlight w:val="none"/>
              </w:rPr>
            </w:pPr>
          </w:p>
        </w:tc>
      </w:tr>
      <w:tr w14:paraId="298B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7AA8B50A">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w:t>
            </w:r>
          </w:p>
        </w:tc>
        <w:tc>
          <w:tcPr>
            <w:tcW w:w="1893" w:type="dxa"/>
            <w:noWrap w:val="0"/>
            <w:vAlign w:val="bottom"/>
          </w:tcPr>
          <w:p w14:paraId="2ED409FD">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47FEE1FE">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794E0950">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6BA25932">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62529012">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43203BEC">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4CC46DFC">
            <w:pPr>
              <w:spacing w:line="540" w:lineRule="exact"/>
              <w:contextualSpacing/>
              <w:rPr>
                <w:rFonts w:hint="eastAsia" w:ascii="仿宋_GB2312" w:hAnsi="仿宋_GB2312" w:eastAsia="仿宋_GB2312" w:cs="仿宋_GB2312"/>
                <w:color w:val="000000"/>
                <w:sz w:val="24"/>
                <w:szCs w:val="24"/>
                <w:highlight w:val="none"/>
              </w:rPr>
            </w:pPr>
          </w:p>
        </w:tc>
      </w:tr>
      <w:tr w14:paraId="68C3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90" w:type="dxa"/>
            <w:noWrap w:val="0"/>
            <w:vAlign w:val="center"/>
          </w:tcPr>
          <w:p w14:paraId="1F93C867">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w:t>
            </w:r>
          </w:p>
        </w:tc>
        <w:tc>
          <w:tcPr>
            <w:tcW w:w="1893" w:type="dxa"/>
            <w:noWrap w:val="0"/>
            <w:vAlign w:val="bottom"/>
          </w:tcPr>
          <w:p w14:paraId="26D7B549">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bottom"/>
          </w:tcPr>
          <w:p w14:paraId="26E7E869">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bottom"/>
          </w:tcPr>
          <w:p w14:paraId="0FFB08FC">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6924D459">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2394D1D6">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6A6860BE">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42D36DCB">
            <w:pPr>
              <w:spacing w:line="540" w:lineRule="exact"/>
              <w:contextualSpacing/>
              <w:rPr>
                <w:rFonts w:hint="eastAsia" w:ascii="仿宋_GB2312" w:hAnsi="仿宋_GB2312" w:eastAsia="仿宋_GB2312" w:cs="仿宋_GB2312"/>
                <w:color w:val="000000"/>
                <w:sz w:val="24"/>
                <w:szCs w:val="24"/>
                <w:highlight w:val="none"/>
              </w:rPr>
            </w:pPr>
          </w:p>
        </w:tc>
      </w:tr>
      <w:tr w14:paraId="20BB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90" w:type="dxa"/>
            <w:noWrap w:val="0"/>
            <w:vAlign w:val="center"/>
          </w:tcPr>
          <w:p w14:paraId="26591CEA">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w:t>
            </w:r>
          </w:p>
        </w:tc>
        <w:tc>
          <w:tcPr>
            <w:tcW w:w="1893" w:type="dxa"/>
            <w:noWrap w:val="0"/>
            <w:vAlign w:val="center"/>
          </w:tcPr>
          <w:p w14:paraId="5226454C">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center"/>
          </w:tcPr>
          <w:p w14:paraId="19E56CA3">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center"/>
          </w:tcPr>
          <w:p w14:paraId="124C1ED0">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4E7A0136">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7EF06817">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0BA75E31">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7FC1C5A4">
            <w:pPr>
              <w:spacing w:line="540" w:lineRule="exact"/>
              <w:contextualSpacing/>
              <w:rPr>
                <w:rFonts w:hint="eastAsia" w:ascii="仿宋_GB2312" w:hAnsi="仿宋_GB2312" w:eastAsia="仿宋_GB2312" w:cs="仿宋_GB2312"/>
                <w:color w:val="000000"/>
                <w:sz w:val="24"/>
                <w:szCs w:val="24"/>
                <w:highlight w:val="none"/>
              </w:rPr>
            </w:pPr>
          </w:p>
        </w:tc>
      </w:tr>
      <w:tr w14:paraId="34EB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4D744FD">
            <w:pPr>
              <w:spacing w:line="540" w:lineRule="exact"/>
              <w:contextualSpacing/>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w:t>
            </w:r>
          </w:p>
        </w:tc>
        <w:tc>
          <w:tcPr>
            <w:tcW w:w="1893" w:type="dxa"/>
            <w:noWrap w:val="0"/>
            <w:vAlign w:val="center"/>
          </w:tcPr>
          <w:p w14:paraId="20D2A47C">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center"/>
          </w:tcPr>
          <w:p w14:paraId="7E3331B7">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center"/>
          </w:tcPr>
          <w:p w14:paraId="1C051540">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4F3B45B0">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225AAE48">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0B154517">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5B17ED8E">
            <w:pPr>
              <w:spacing w:line="540" w:lineRule="exact"/>
              <w:contextualSpacing/>
              <w:rPr>
                <w:rFonts w:hint="eastAsia" w:ascii="仿宋_GB2312" w:hAnsi="仿宋_GB2312" w:eastAsia="仿宋_GB2312" w:cs="仿宋_GB2312"/>
                <w:color w:val="000000"/>
                <w:sz w:val="24"/>
                <w:szCs w:val="24"/>
                <w:highlight w:val="none"/>
              </w:rPr>
            </w:pPr>
          </w:p>
        </w:tc>
      </w:tr>
      <w:tr w14:paraId="6407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590" w:type="dxa"/>
            <w:noWrap w:val="0"/>
            <w:vAlign w:val="center"/>
          </w:tcPr>
          <w:p w14:paraId="03DCFB7A">
            <w:pPr>
              <w:spacing w:line="540" w:lineRule="exact"/>
              <w:contextualSpacing/>
              <w:jc w:val="center"/>
              <w:rPr>
                <w:rFonts w:hint="eastAsia" w:ascii="仿宋_GB2312" w:hAnsi="仿宋_GB2312" w:eastAsia="仿宋_GB2312" w:cs="仿宋_GB2312"/>
                <w:color w:val="000000"/>
                <w:sz w:val="24"/>
                <w:szCs w:val="24"/>
                <w:highlight w:val="none"/>
              </w:rPr>
            </w:pPr>
          </w:p>
        </w:tc>
        <w:tc>
          <w:tcPr>
            <w:tcW w:w="1893" w:type="dxa"/>
            <w:noWrap w:val="0"/>
            <w:vAlign w:val="center"/>
          </w:tcPr>
          <w:p w14:paraId="11F32D1E">
            <w:pPr>
              <w:spacing w:line="540" w:lineRule="exact"/>
              <w:contextualSpacing/>
              <w:rPr>
                <w:rFonts w:hint="eastAsia" w:ascii="仿宋_GB2312" w:hAnsi="仿宋_GB2312" w:eastAsia="仿宋_GB2312" w:cs="仿宋_GB2312"/>
                <w:color w:val="000000"/>
                <w:sz w:val="24"/>
                <w:szCs w:val="24"/>
                <w:highlight w:val="none"/>
              </w:rPr>
            </w:pPr>
          </w:p>
        </w:tc>
        <w:tc>
          <w:tcPr>
            <w:tcW w:w="929" w:type="dxa"/>
            <w:noWrap w:val="0"/>
            <w:vAlign w:val="center"/>
          </w:tcPr>
          <w:p w14:paraId="73DFB9F8">
            <w:pPr>
              <w:spacing w:line="540" w:lineRule="exact"/>
              <w:contextualSpacing/>
              <w:rPr>
                <w:rFonts w:hint="eastAsia" w:ascii="仿宋_GB2312" w:hAnsi="仿宋_GB2312" w:eastAsia="仿宋_GB2312" w:cs="仿宋_GB2312"/>
                <w:color w:val="000000"/>
                <w:sz w:val="24"/>
                <w:szCs w:val="24"/>
                <w:highlight w:val="none"/>
              </w:rPr>
            </w:pPr>
          </w:p>
        </w:tc>
        <w:tc>
          <w:tcPr>
            <w:tcW w:w="1418" w:type="dxa"/>
            <w:noWrap w:val="0"/>
            <w:vAlign w:val="center"/>
          </w:tcPr>
          <w:p w14:paraId="2ABE3B42">
            <w:pPr>
              <w:spacing w:line="540" w:lineRule="exact"/>
              <w:contextualSpacing/>
              <w:rPr>
                <w:rFonts w:hint="eastAsia" w:ascii="仿宋_GB2312" w:hAnsi="仿宋_GB2312" w:eastAsia="仿宋_GB2312" w:cs="仿宋_GB2312"/>
                <w:color w:val="000000"/>
                <w:sz w:val="24"/>
                <w:szCs w:val="24"/>
                <w:highlight w:val="none"/>
              </w:rPr>
            </w:pPr>
          </w:p>
        </w:tc>
        <w:tc>
          <w:tcPr>
            <w:tcW w:w="809" w:type="dxa"/>
            <w:noWrap w:val="0"/>
            <w:vAlign w:val="center"/>
          </w:tcPr>
          <w:p w14:paraId="03101CDB">
            <w:pPr>
              <w:spacing w:line="540" w:lineRule="exact"/>
              <w:contextualSpacing/>
              <w:rPr>
                <w:rFonts w:hint="eastAsia" w:ascii="仿宋_GB2312" w:hAnsi="仿宋_GB2312" w:eastAsia="仿宋_GB2312" w:cs="仿宋_GB2312"/>
                <w:color w:val="000000"/>
                <w:sz w:val="24"/>
                <w:szCs w:val="24"/>
                <w:highlight w:val="none"/>
              </w:rPr>
            </w:pPr>
          </w:p>
        </w:tc>
        <w:tc>
          <w:tcPr>
            <w:tcW w:w="864" w:type="dxa"/>
            <w:noWrap w:val="0"/>
            <w:vAlign w:val="center"/>
          </w:tcPr>
          <w:p w14:paraId="5A514A9C">
            <w:pPr>
              <w:spacing w:line="540" w:lineRule="exact"/>
              <w:contextualSpacing/>
              <w:rPr>
                <w:rFonts w:hint="eastAsia" w:ascii="仿宋_GB2312" w:hAnsi="仿宋_GB2312" w:eastAsia="仿宋_GB2312" w:cs="仿宋_GB2312"/>
                <w:color w:val="000000"/>
                <w:sz w:val="24"/>
                <w:szCs w:val="24"/>
                <w:highlight w:val="none"/>
              </w:rPr>
            </w:pPr>
          </w:p>
        </w:tc>
        <w:tc>
          <w:tcPr>
            <w:tcW w:w="1118" w:type="dxa"/>
            <w:noWrap w:val="0"/>
            <w:vAlign w:val="center"/>
          </w:tcPr>
          <w:p w14:paraId="76FDDDF9">
            <w:pPr>
              <w:spacing w:line="540" w:lineRule="exact"/>
              <w:contextualSpacing/>
              <w:rPr>
                <w:rFonts w:hint="eastAsia" w:ascii="仿宋_GB2312" w:hAnsi="仿宋_GB2312" w:eastAsia="仿宋_GB2312" w:cs="仿宋_GB2312"/>
                <w:color w:val="000000"/>
                <w:sz w:val="24"/>
                <w:szCs w:val="24"/>
                <w:highlight w:val="none"/>
              </w:rPr>
            </w:pPr>
          </w:p>
        </w:tc>
        <w:tc>
          <w:tcPr>
            <w:tcW w:w="965" w:type="dxa"/>
            <w:noWrap w:val="0"/>
            <w:vAlign w:val="center"/>
          </w:tcPr>
          <w:p w14:paraId="1AB5C72C">
            <w:pPr>
              <w:spacing w:line="540" w:lineRule="exact"/>
              <w:contextualSpacing/>
              <w:rPr>
                <w:rFonts w:hint="eastAsia" w:ascii="仿宋_GB2312" w:hAnsi="仿宋_GB2312" w:eastAsia="仿宋_GB2312" w:cs="仿宋_GB2312"/>
                <w:color w:val="000000"/>
                <w:sz w:val="24"/>
                <w:szCs w:val="24"/>
                <w:highlight w:val="none"/>
              </w:rPr>
            </w:pPr>
          </w:p>
        </w:tc>
      </w:tr>
      <w:tr w14:paraId="2A53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03" w:type="dxa"/>
            <w:gridSpan w:val="6"/>
            <w:noWrap w:val="0"/>
            <w:vAlign w:val="center"/>
          </w:tcPr>
          <w:p w14:paraId="358BBEDA">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投标报价（小写）</w:t>
            </w:r>
          </w:p>
        </w:tc>
        <w:tc>
          <w:tcPr>
            <w:tcW w:w="2083" w:type="dxa"/>
            <w:gridSpan w:val="2"/>
            <w:noWrap w:val="0"/>
            <w:vAlign w:val="top"/>
          </w:tcPr>
          <w:p w14:paraId="097CD3F5">
            <w:pPr>
              <w:spacing w:line="540" w:lineRule="exact"/>
              <w:contextualSpacing/>
              <w:rPr>
                <w:rFonts w:hint="eastAsia" w:ascii="仿宋_GB2312" w:hAnsi="仿宋_GB2312" w:eastAsia="仿宋_GB2312" w:cs="仿宋_GB2312"/>
                <w:color w:val="000000"/>
                <w:sz w:val="24"/>
                <w:szCs w:val="24"/>
                <w:highlight w:val="none"/>
              </w:rPr>
            </w:pPr>
          </w:p>
        </w:tc>
      </w:tr>
      <w:tr w14:paraId="5E70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503" w:type="dxa"/>
            <w:gridSpan w:val="6"/>
            <w:noWrap w:val="0"/>
            <w:vAlign w:val="center"/>
          </w:tcPr>
          <w:p w14:paraId="6EBA05A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投标报价（大写）</w:t>
            </w:r>
          </w:p>
        </w:tc>
        <w:tc>
          <w:tcPr>
            <w:tcW w:w="2083" w:type="dxa"/>
            <w:gridSpan w:val="2"/>
            <w:noWrap w:val="0"/>
            <w:vAlign w:val="top"/>
          </w:tcPr>
          <w:p w14:paraId="662DA4B6">
            <w:pPr>
              <w:spacing w:line="540" w:lineRule="exact"/>
              <w:contextualSpacing/>
              <w:rPr>
                <w:rFonts w:hint="eastAsia" w:ascii="仿宋_GB2312" w:hAnsi="仿宋_GB2312" w:eastAsia="仿宋_GB2312" w:cs="仿宋_GB2312"/>
                <w:color w:val="000000"/>
                <w:sz w:val="24"/>
                <w:szCs w:val="24"/>
                <w:highlight w:val="none"/>
              </w:rPr>
            </w:pPr>
          </w:p>
        </w:tc>
      </w:tr>
    </w:tbl>
    <w:p w14:paraId="101D75E6">
      <w:pPr>
        <w:spacing w:line="540" w:lineRule="exact"/>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注：</w:t>
      </w:r>
    </w:p>
    <w:p w14:paraId="3383ECF5">
      <w:pPr>
        <w:spacing w:line="540" w:lineRule="exact"/>
        <w:ind w:firstLine="472" w:firstLineChars="196"/>
        <w:contextualSpacing/>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1.投标报价中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A66B7D6">
      <w:pPr>
        <w:spacing w:line="540" w:lineRule="exact"/>
        <w:ind w:firstLine="470" w:firstLineChars="196"/>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2.特别提示：采购代理机构将对项目名称和项目编号，中标供应商名称、地址和中标金额，主要中标标的的名称、规格型号、数量、单价、服务要求等予以公示。</w:t>
      </w:r>
    </w:p>
    <w:p w14:paraId="0D046298">
      <w:pPr>
        <w:spacing w:line="540" w:lineRule="exact"/>
        <w:ind w:firstLine="470" w:firstLineChars="196"/>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BCE1BAD">
      <w:pPr>
        <w:spacing w:line="540" w:lineRule="exact"/>
        <w:ind w:firstLine="470" w:firstLineChars="196"/>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4.投标报价一经涂改，应在涂改处加盖单位公章或投标人代表签字（或盖章），否则其投标作无效标处理。</w:t>
      </w:r>
    </w:p>
    <w:p w14:paraId="40C773C4">
      <w:pPr>
        <w:spacing w:line="540" w:lineRule="exact"/>
        <w:ind w:firstLine="470" w:firstLineChars="196"/>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投标报价应包括产品、产品标准配件、备品备件、专用工具、包装、工时、运输、装卸、保险、税金、设备保护、安装、调试与试运行、培训、保修、售后服务费、工程配套费、以及实施本项目所需的其他一切费用。</w:t>
      </w:r>
    </w:p>
    <w:p w14:paraId="35A1F3C3">
      <w:pPr>
        <w:spacing w:line="540" w:lineRule="exact"/>
        <w:ind w:firstLine="472" w:firstLineChars="196"/>
        <w:contextualSpacing/>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▲6.特别说明：供应商投标报价低于项目预算50%的，应当在报价文件中详细阐述不影响产品质量或者诚信履约的具体原因。</w:t>
      </w:r>
    </w:p>
    <w:p w14:paraId="221B4723">
      <w:pPr>
        <w:spacing w:line="540" w:lineRule="exact"/>
        <w:contextualSpacing/>
        <w:rPr>
          <w:rFonts w:hint="eastAsia" w:ascii="仿宋_GB2312" w:hAnsi="仿宋_GB2312" w:eastAsia="仿宋_GB2312" w:cs="仿宋_GB2312"/>
          <w:color w:val="000000"/>
          <w:sz w:val="24"/>
          <w:szCs w:val="24"/>
          <w:highlight w:val="none"/>
        </w:rPr>
      </w:pPr>
    </w:p>
    <w:p w14:paraId="16DF55B6">
      <w:pPr>
        <w:spacing w:line="540" w:lineRule="exact"/>
        <w:contextualSpacing/>
        <w:rPr>
          <w:rFonts w:hint="eastAsia" w:ascii="仿宋_GB2312" w:hAnsi="仿宋_GB2312" w:eastAsia="仿宋_GB2312" w:cs="仿宋_GB2312"/>
          <w:color w:val="000000"/>
          <w:sz w:val="24"/>
          <w:szCs w:val="24"/>
          <w:highlight w:val="none"/>
        </w:rPr>
      </w:pPr>
    </w:p>
    <w:p w14:paraId="596FE534">
      <w:pPr>
        <w:spacing w:line="540" w:lineRule="exact"/>
        <w:ind w:right="480" w:firstLine="4680" w:firstLineChars="19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40B3D250">
      <w:pPr>
        <w:spacing w:line="500" w:lineRule="exact"/>
        <w:ind w:firstLine="4680" w:firstLineChars="19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0DFA10E1">
      <w:pPr>
        <w:pStyle w:val="10"/>
        <w:rPr>
          <w:rFonts w:hint="eastAsia" w:ascii="仿宋_GB2312" w:hAnsi="仿宋_GB2312" w:eastAsia="仿宋_GB2312" w:cs="仿宋_GB2312"/>
          <w:color w:val="000000"/>
          <w:highlight w:val="none"/>
        </w:rPr>
      </w:pPr>
    </w:p>
    <w:p w14:paraId="323F6F42">
      <w:pPr>
        <w:pStyle w:val="20"/>
        <w:rPr>
          <w:rFonts w:hint="eastAsia" w:ascii="仿宋_GB2312" w:hAnsi="仿宋_GB2312" w:eastAsia="仿宋_GB2312" w:cs="仿宋_GB2312"/>
          <w:color w:val="000000"/>
          <w:highlight w:val="none"/>
        </w:rPr>
      </w:pPr>
    </w:p>
    <w:p w14:paraId="6E2CE942">
      <w:pPr>
        <w:rPr>
          <w:rFonts w:hint="eastAsia" w:ascii="仿宋_GB2312" w:hAnsi="仿宋_GB2312" w:eastAsia="仿宋_GB2312" w:cs="仿宋_GB2312"/>
          <w:color w:val="000000"/>
          <w:highlight w:val="none"/>
        </w:rPr>
      </w:pPr>
    </w:p>
    <w:p w14:paraId="160EF459">
      <w:pPr>
        <w:pStyle w:val="12"/>
        <w:rPr>
          <w:rFonts w:hint="eastAsia" w:ascii="仿宋_GB2312" w:hAnsi="仿宋_GB2312" w:eastAsia="仿宋_GB2312" w:cs="仿宋_GB2312"/>
          <w:color w:val="000000"/>
          <w:highlight w:val="none"/>
        </w:rPr>
      </w:pPr>
    </w:p>
    <w:p w14:paraId="540F4B60">
      <w:pPr>
        <w:pStyle w:val="12"/>
        <w:rPr>
          <w:rFonts w:hint="eastAsia" w:ascii="仿宋_GB2312" w:hAnsi="仿宋_GB2312" w:eastAsia="仿宋_GB2312" w:cs="仿宋_GB2312"/>
          <w:color w:val="000000"/>
          <w:highlight w:val="none"/>
        </w:rPr>
      </w:pPr>
    </w:p>
    <w:p w14:paraId="6C58BBA7">
      <w:pPr>
        <w:pStyle w:val="12"/>
        <w:rPr>
          <w:rFonts w:hint="eastAsia" w:ascii="仿宋_GB2312" w:hAnsi="仿宋_GB2312" w:eastAsia="仿宋_GB2312" w:cs="仿宋_GB2312"/>
          <w:color w:val="000000"/>
          <w:highlight w:val="none"/>
        </w:rPr>
      </w:pPr>
    </w:p>
    <w:p w14:paraId="71550E26">
      <w:pPr>
        <w:pStyle w:val="12"/>
        <w:rPr>
          <w:rFonts w:hint="eastAsia" w:ascii="仿宋_GB2312" w:hAnsi="仿宋_GB2312" w:eastAsia="仿宋_GB2312" w:cs="仿宋_GB2312"/>
          <w:color w:val="000000"/>
          <w:highlight w:val="none"/>
        </w:rPr>
      </w:pPr>
    </w:p>
    <w:p w14:paraId="143CD67F">
      <w:pPr>
        <w:pStyle w:val="12"/>
        <w:rPr>
          <w:rFonts w:hint="eastAsia" w:ascii="仿宋_GB2312" w:hAnsi="仿宋_GB2312" w:eastAsia="仿宋_GB2312" w:cs="仿宋_GB2312"/>
          <w:color w:val="000000"/>
          <w:highlight w:val="none"/>
        </w:rPr>
      </w:pPr>
    </w:p>
    <w:p w14:paraId="133498FB">
      <w:pPr>
        <w:pStyle w:val="12"/>
        <w:rPr>
          <w:rFonts w:hint="eastAsia" w:ascii="仿宋_GB2312" w:hAnsi="仿宋_GB2312" w:eastAsia="仿宋_GB2312" w:cs="仿宋_GB2312"/>
          <w:color w:val="000000"/>
          <w:highlight w:val="none"/>
        </w:rPr>
      </w:pPr>
    </w:p>
    <w:p w14:paraId="10EF3FCE">
      <w:pPr>
        <w:pStyle w:val="12"/>
        <w:rPr>
          <w:rFonts w:hint="eastAsia" w:ascii="仿宋_GB2312" w:hAnsi="仿宋_GB2312" w:eastAsia="仿宋_GB2312" w:cs="仿宋_GB2312"/>
          <w:color w:val="000000"/>
          <w:highlight w:val="none"/>
        </w:rPr>
      </w:pPr>
    </w:p>
    <w:p w14:paraId="35286163">
      <w:pPr>
        <w:pStyle w:val="10"/>
        <w:rPr>
          <w:rFonts w:hint="eastAsia" w:ascii="仿宋_GB2312" w:hAnsi="仿宋_GB2312" w:eastAsia="仿宋_GB2312" w:cs="仿宋_GB2312"/>
          <w:color w:val="000000"/>
          <w:highlight w:val="none"/>
        </w:rPr>
      </w:pPr>
    </w:p>
    <w:p w14:paraId="0B5EE56A">
      <w:pPr>
        <w:spacing w:line="540" w:lineRule="exact"/>
        <w:contextualSpacing/>
        <w:jc w:val="center"/>
        <w:rPr>
          <w:rFonts w:hint="eastAsia" w:ascii="仿宋_GB2312" w:hAnsi="仿宋_GB2312" w:eastAsia="仿宋_GB2312" w:cs="仿宋_GB2312"/>
          <w:b/>
          <w:color w:val="000000"/>
          <w:sz w:val="28"/>
          <w:szCs w:val="28"/>
          <w:highlight w:val="none"/>
        </w:rPr>
      </w:pPr>
    </w:p>
    <w:p w14:paraId="40AC8C8A">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二、中小企业声明函（如果有）</w:t>
      </w:r>
    </w:p>
    <w:p w14:paraId="17F1FBF2">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4AD56FF0">
      <w:pPr>
        <w:rPr>
          <w:rFonts w:hint="eastAsia" w:ascii="仿宋_GB2312" w:hAnsi="仿宋_GB2312" w:eastAsia="仿宋_GB2312" w:cs="仿宋_GB2312"/>
          <w:color w:val="000000"/>
          <w:highlight w:val="none"/>
        </w:rPr>
        <w:sectPr>
          <w:pgSz w:w="11906" w:h="16838"/>
          <w:pgMar w:top="1247" w:right="1418" w:bottom="1276" w:left="1418" w:header="851" w:footer="992" w:gutter="0"/>
          <w:cols w:space="720" w:num="1"/>
          <w:titlePg/>
          <w:docGrid w:linePitch="312" w:charSpace="0"/>
        </w:sectPr>
      </w:pPr>
    </w:p>
    <w:p w14:paraId="64B88DCC">
      <w:pPr>
        <w:spacing w:line="540" w:lineRule="exact"/>
        <w:contextualSpacing/>
        <w:jc w:val="center"/>
        <w:rPr>
          <w:rFonts w:hint="eastAsia" w:ascii="仿宋_GB2312" w:hAnsi="仿宋_GB2312" w:eastAsia="仿宋_GB2312" w:cs="仿宋_GB2312"/>
          <w:b/>
          <w:color w:val="000000"/>
          <w:sz w:val="28"/>
          <w:szCs w:val="28"/>
          <w:highlight w:val="none"/>
        </w:rPr>
      </w:pPr>
      <w:bookmarkStart w:id="502" w:name="_Toc465665161"/>
      <w:r>
        <w:rPr>
          <w:rFonts w:hint="eastAsia" w:ascii="仿宋_GB2312" w:hAnsi="仿宋_GB2312" w:eastAsia="仿宋_GB2312" w:cs="仿宋_GB2312"/>
          <w:b/>
          <w:color w:val="000000"/>
          <w:sz w:val="28"/>
          <w:szCs w:val="28"/>
          <w:highlight w:val="none"/>
        </w:rPr>
        <w:t>附件</w:t>
      </w:r>
      <w:bookmarkEnd w:id="502"/>
    </w:p>
    <w:p w14:paraId="30CC2464">
      <w:pPr>
        <w:spacing w:line="540" w:lineRule="exact"/>
        <w:contextualSpacing/>
        <w:rPr>
          <w:rFonts w:hint="eastAsia" w:ascii="仿宋_GB2312" w:hAnsi="仿宋_GB2312" w:eastAsia="仿宋_GB2312" w:cs="仿宋_GB2312"/>
          <w:color w:val="000000"/>
          <w:sz w:val="24"/>
          <w:szCs w:val="24"/>
          <w:highlight w:val="none"/>
        </w:rPr>
      </w:pPr>
    </w:p>
    <w:p w14:paraId="1455FF5D">
      <w:pPr>
        <w:spacing w:line="540" w:lineRule="exact"/>
        <w:contextualSpacing/>
        <w:rPr>
          <w:rFonts w:hint="eastAsia" w:ascii="仿宋_GB2312" w:hAnsi="仿宋_GB2312" w:eastAsia="仿宋_GB2312" w:cs="仿宋_GB2312"/>
          <w:color w:val="000000"/>
          <w:sz w:val="24"/>
          <w:szCs w:val="24"/>
          <w:highlight w:val="none"/>
        </w:rPr>
      </w:pPr>
    </w:p>
    <w:p w14:paraId="196B85CC">
      <w:pPr>
        <w:spacing w:line="540" w:lineRule="exact"/>
        <w:contextualSpacing/>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附件1：</w:t>
      </w:r>
    </w:p>
    <w:p w14:paraId="17000ED6">
      <w:pPr>
        <w:spacing w:line="540" w:lineRule="exact"/>
        <w:contextualSpacing/>
        <w:jc w:val="center"/>
        <w:rPr>
          <w:rFonts w:hint="eastAsia" w:ascii="仿宋_GB2312" w:hAnsi="仿宋_GB2312" w:eastAsia="仿宋_GB2312" w:cs="仿宋_GB2312"/>
          <w:color w:val="000000"/>
          <w:sz w:val="24"/>
          <w:szCs w:val="24"/>
          <w:highlight w:val="none"/>
        </w:rPr>
      </w:pPr>
      <w:bookmarkStart w:id="503" w:name="OLE_LINK13"/>
      <w:bookmarkStart w:id="504" w:name="OLE_LINK14"/>
      <w:r>
        <w:rPr>
          <w:rFonts w:hint="eastAsia" w:ascii="仿宋_GB2312" w:hAnsi="仿宋_GB2312" w:eastAsia="仿宋_GB2312" w:cs="仿宋_GB2312"/>
          <w:color w:val="000000"/>
          <w:sz w:val="24"/>
          <w:szCs w:val="24"/>
          <w:highlight w:val="none"/>
        </w:rPr>
        <w:t>残疾人福利性单位声明函</w:t>
      </w:r>
    </w:p>
    <w:bookmarkEnd w:id="503"/>
    <w:bookmarkEnd w:id="504"/>
    <w:p w14:paraId="4EC1B2C3">
      <w:pPr>
        <w:spacing w:line="540" w:lineRule="exact"/>
        <w:contextualSpacing/>
        <w:rPr>
          <w:rFonts w:hint="eastAsia" w:ascii="仿宋_GB2312" w:hAnsi="仿宋_GB2312" w:eastAsia="仿宋_GB2312" w:cs="仿宋_GB2312"/>
          <w:color w:val="000000"/>
          <w:sz w:val="24"/>
          <w:szCs w:val="24"/>
          <w:highlight w:val="none"/>
        </w:rPr>
      </w:pPr>
    </w:p>
    <w:p w14:paraId="773827E5">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color w:val="000000"/>
          <w:sz w:val="24"/>
          <w:szCs w:val="24"/>
          <w:highlight w:val="none"/>
          <w:u w:val="single"/>
        </w:rPr>
        <w:t>(采购人)</w:t>
      </w:r>
      <w:r>
        <w:rPr>
          <w:rFonts w:hint="eastAsia" w:ascii="仿宋_GB2312" w:hAnsi="仿宋_GB2312" w:eastAsia="仿宋_GB2312" w:cs="仿宋_GB2312"/>
          <w:color w:val="000000"/>
          <w:sz w:val="24"/>
          <w:szCs w:val="24"/>
          <w:highlight w:val="none"/>
        </w:rPr>
        <w:t>单位的</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项目采购活动提供本单位制造的货物（由本单位承担工程/提供服务），或者提供其他残疾人福利性单位制造的货物（不包括使用非残疾人福利性单位注册商标的货物）。</w:t>
      </w:r>
    </w:p>
    <w:p w14:paraId="302D31C8">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本单位对上述声明的真实性负责。如有虚假，将依法承担相应责任。</w:t>
      </w:r>
    </w:p>
    <w:p w14:paraId="1ED68589">
      <w:pPr>
        <w:spacing w:line="540" w:lineRule="exact"/>
        <w:contextualSpacing/>
        <w:rPr>
          <w:rFonts w:hint="eastAsia" w:ascii="仿宋_GB2312" w:hAnsi="仿宋_GB2312" w:eastAsia="仿宋_GB2312" w:cs="仿宋_GB2312"/>
          <w:color w:val="000000"/>
          <w:sz w:val="24"/>
          <w:szCs w:val="24"/>
          <w:highlight w:val="none"/>
        </w:rPr>
      </w:pPr>
    </w:p>
    <w:p w14:paraId="5C7C3B4C">
      <w:pPr>
        <w:spacing w:line="540" w:lineRule="exact"/>
        <w:contextualSpacing/>
        <w:rPr>
          <w:rFonts w:hint="eastAsia" w:ascii="仿宋_GB2312" w:hAnsi="仿宋_GB2312" w:eastAsia="仿宋_GB2312" w:cs="仿宋_GB2312"/>
          <w:color w:val="000000"/>
          <w:sz w:val="24"/>
          <w:szCs w:val="24"/>
          <w:highlight w:val="none"/>
        </w:rPr>
      </w:pPr>
    </w:p>
    <w:p w14:paraId="5251D61D">
      <w:pPr>
        <w:spacing w:line="540" w:lineRule="exact"/>
        <w:contextualSpacing/>
        <w:rPr>
          <w:rFonts w:hint="eastAsia" w:ascii="仿宋_GB2312" w:hAnsi="仿宋_GB2312" w:eastAsia="仿宋_GB2312" w:cs="仿宋_GB2312"/>
          <w:color w:val="000000"/>
          <w:sz w:val="24"/>
          <w:szCs w:val="24"/>
          <w:highlight w:val="none"/>
        </w:rPr>
      </w:pPr>
    </w:p>
    <w:p w14:paraId="36FF5CBD">
      <w:pPr>
        <w:spacing w:line="540" w:lineRule="exact"/>
        <w:contextualSpacing/>
        <w:rPr>
          <w:rFonts w:hint="eastAsia" w:ascii="仿宋_GB2312" w:hAnsi="仿宋_GB2312" w:eastAsia="仿宋_GB2312" w:cs="仿宋_GB2312"/>
          <w:color w:val="000000"/>
          <w:sz w:val="24"/>
          <w:szCs w:val="24"/>
          <w:highlight w:val="none"/>
        </w:rPr>
      </w:pPr>
    </w:p>
    <w:p w14:paraId="65A49FEB">
      <w:pPr>
        <w:spacing w:line="540" w:lineRule="exact"/>
        <w:contextualSpacing/>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058D07A4">
      <w:pPr>
        <w:spacing w:line="540" w:lineRule="exact"/>
        <w:contextualSpacing/>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w:t>
      </w:r>
    </w:p>
    <w:p w14:paraId="6DD90C9B">
      <w:pPr>
        <w:spacing w:line="540" w:lineRule="exact"/>
        <w:contextualSpacing/>
        <w:rPr>
          <w:rFonts w:hint="eastAsia" w:ascii="仿宋_GB2312" w:hAnsi="仿宋_GB2312" w:eastAsia="仿宋_GB2312" w:cs="仿宋_GB2312"/>
          <w:color w:val="000000"/>
          <w:sz w:val="24"/>
          <w:szCs w:val="24"/>
          <w:highlight w:val="none"/>
        </w:rPr>
      </w:pPr>
    </w:p>
    <w:p w14:paraId="22712390">
      <w:pPr>
        <w:spacing w:line="540" w:lineRule="exact"/>
        <w:contextualSpacing/>
        <w:rPr>
          <w:rFonts w:hint="eastAsia" w:ascii="仿宋_GB2312" w:hAnsi="仿宋_GB2312" w:eastAsia="仿宋_GB2312" w:cs="仿宋_GB2312"/>
          <w:color w:val="000000"/>
          <w:sz w:val="24"/>
          <w:szCs w:val="24"/>
          <w:highlight w:val="none"/>
        </w:rPr>
      </w:pPr>
    </w:p>
    <w:p w14:paraId="72F1A8A5">
      <w:pPr>
        <w:spacing w:line="540" w:lineRule="exact"/>
        <w:contextualSpacing/>
        <w:rPr>
          <w:rFonts w:hint="eastAsia" w:ascii="仿宋_GB2312" w:hAnsi="仿宋_GB2312" w:eastAsia="仿宋_GB2312" w:cs="仿宋_GB2312"/>
          <w:color w:val="000000"/>
          <w:sz w:val="24"/>
          <w:szCs w:val="24"/>
          <w:highlight w:val="none"/>
        </w:rPr>
      </w:pPr>
    </w:p>
    <w:p w14:paraId="02A1D631">
      <w:pPr>
        <w:spacing w:line="540" w:lineRule="exact"/>
        <w:contextualSpacing/>
        <w:rPr>
          <w:rFonts w:hint="eastAsia" w:ascii="仿宋_GB2312" w:hAnsi="仿宋_GB2312" w:eastAsia="仿宋_GB2312" w:cs="仿宋_GB2312"/>
          <w:color w:val="000000"/>
          <w:sz w:val="24"/>
          <w:szCs w:val="24"/>
          <w:highlight w:val="none"/>
        </w:rPr>
      </w:pPr>
    </w:p>
    <w:p w14:paraId="733C5E1C">
      <w:pPr>
        <w:spacing w:line="540" w:lineRule="exact"/>
        <w:contextualSpacing/>
        <w:rPr>
          <w:rFonts w:hint="eastAsia" w:ascii="仿宋_GB2312" w:hAnsi="仿宋_GB2312" w:eastAsia="仿宋_GB2312" w:cs="仿宋_GB2312"/>
          <w:color w:val="000000"/>
          <w:sz w:val="24"/>
          <w:szCs w:val="24"/>
          <w:highlight w:val="none"/>
        </w:rPr>
      </w:pPr>
    </w:p>
    <w:p w14:paraId="1CBD09E6">
      <w:pPr>
        <w:spacing w:line="540" w:lineRule="exact"/>
        <w:contextualSpacing/>
        <w:rPr>
          <w:rFonts w:hint="eastAsia" w:ascii="仿宋_GB2312" w:hAnsi="仿宋_GB2312" w:eastAsia="仿宋_GB2312" w:cs="仿宋_GB2312"/>
          <w:color w:val="000000"/>
          <w:sz w:val="24"/>
          <w:szCs w:val="24"/>
          <w:highlight w:val="none"/>
        </w:rPr>
      </w:pPr>
    </w:p>
    <w:p w14:paraId="20E131DD">
      <w:pPr>
        <w:spacing w:line="540" w:lineRule="exact"/>
        <w:contextualSpacing/>
        <w:rPr>
          <w:rFonts w:hint="eastAsia" w:ascii="仿宋_GB2312" w:hAnsi="仿宋_GB2312" w:eastAsia="仿宋_GB2312" w:cs="仿宋_GB2312"/>
          <w:color w:val="000000"/>
          <w:sz w:val="24"/>
          <w:szCs w:val="24"/>
          <w:highlight w:val="none"/>
        </w:rPr>
      </w:pPr>
    </w:p>
    <w:p w14:paraId="05D281CD">
      <w:pPr>
        <w:spacing w:line="540" w:lineRule="exact"/>
        <w:contextualSpacing/>
        <w:rPr>
          <w:rFonts w:hint="eastAsia" w:ascii="仿宋_GB2312" w:hAnsi="仿宋_GB2312" w:eastAsia="仿宋_GB2312" w:cs="仿宋_GB2312"/>
          <w:color w:val="000000"/>
          <w:sz w:val="24"/>
          <w:szCs w:val="24"/>
          <w:highlight w:val="none"/>
        </w:rPr>
      </w:pPr>
    </w:p>
    <w:p w14:paraId="5E2D8C40">
      <w:pPr>
        <w:spacing w:line="540" w:lineRule="exact"/>
        <w:contextualSpacing/>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color w:val="000000"/>
          <w:sz w:val="28"/>
          <w:szCs w:val="28"/>
          <w:highlight w:val="none"/>
        </w:rPr>
        <w:t>附件2：</w:t>
      </w:r>
      <w:r>
        <w:rPr>
          <w:rFonts w:hint="eastAsia" w:ascii="仿宋_GB2312" w:hAnsi="仿宋_GB2312" w:eastAsia="仿宋_GB2312" w:cs="仿宋_GB2312"/>
          <w:b/>
          <w:color w:val="000000"/>
          <w:sz w:val="28"/>
          <w:szCs w:val="28"/>
          <w:highlight w:val="none"/>
        </w:rPr>
        <w:t>质疑函范本及制作说明</w:t>
      </w:r>
    </w:p>
    <w:p w14:paraId="5025C7CE">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质疑函范本</w:t>
      </w:r>
    </w:p>
    <w:p w14:paraId="1207F9EE">
      <w:pPr>
        <w:snapToGrid w:val="0"/>
        <w:spacing w:before="312" w:beforeLines="100" w:line="360" w:lineRule="auto"/>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一、质疑供应商基本信息</w:t>
      </w:r>
    </w:p>
    <w:p w14:paraId="06A972E5">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质疑供应商：</w:t>
      </w:r>
    </w:p>
    <w:p w14:paraId="12DB6A0C">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地址：邮编：</w:t>
      </w:r>
    </w:p>
    <w:p w14:paraId="653C8BE5">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联系人：联系电话：</w:t>
      </w:r>
    </w:p>
    <w:p w14:paraId="309A5B2E">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授权代表：</w:t>
      </w:r>
    </w:p>
    <w:p w14:paraId="6D2D80B5">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联系电话：</w:t>
      </w:r>
    </w:p>
    <w:p w14:paraId="0C9F2F93">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地址：邮编：</w:t>
      </w:r>
    </w:p>
    <w:p w14:paraId="3001F4A3">
      <w:pPr>
        <w:snapToGrid w:val="0"/>
        <w:spacing w:line="360" w:lineRule="auto"/>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二、质疑项目基本情况</w:t>
      </w:r>
    </w:p>
    <w:p w14:paraId="085EFBF2">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质疑项目的名称：</w:t>
      </w:r>
    </w:p>
    <w:p w14:paraId="07CCA0B3">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质疑项目的编号：包号：</w:t>
      </w:r>
    </w:p>
    <w:p w14:paraId="58F8E7BD">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采购人名称：</w:t>
      </w:r>
    </w:p>
    <w:p w14:paraId="2ABFF0CE">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采购文件获取日期：</w:t>
      </w:r>
    </w:p>
    <w:p w14:paraId="3FBA88EC">
      <w:pPr>
        <w:snapToGrid w:val="0"/>
        <w:spacing w:line="360" w:lineRule="auto"/>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三、质疑事项具体内容</w:t>
      </w:r>
    </w:p>
    <w:p w14:paraId="5F996EE5">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质疑事项1：</w:t>
      </w:r>
    </w:p>
    <w:p w14:paraId="0CB65544">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事实依据：</w:t>
      </w:r>
    </w:p>
    <w:p w14:paraId="23337B78">
      <w:pPr>
        <w:snapToGrid w:val="0"/>
        <w:spacing w:line="360" w:lineRule="auto"/>
        <w:rPr>
          <w:rFonts w:hint="eastAsia" w:ascii="仿宋_GB2312" w:hAnsi="仿宋_GB2312" w:eastAsia="仿宋_GB2312" w:cs="仿宋_GB2312"/>
          <w:color w:val="000000"/>
          <w:sz w:val="24"/>
          <w:highlight w:val="none"/>
        </w:rPr>
      </w:pPr>
    </w:p>
    <w:p w14:paraId="2EE538B5">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法律依据：</w:t>
      </w:r>
    </w:p>
    <w:p w14:paraId="624BB167">
      <w:pPr>
        <w:snapToGrid w:val="0"/>
        <w:spacing w:line="360" w:lineRule="auto"/>
        <w:rPr>
          <w:rFonts w:hint="eastAsia" w:ascii="仿宋_GB2312" w:hAnsi="仿宋_GB2312" w:eastAsia="仿宋_GB2312" w:cs="仿宋_GB2312"/>
          <w:color w:val="000000"/>
          <w:sz w:val="24"/>
          <w:highlight w:val="none"/>
          <w:u w:val="dotted"/>
        </w:rPr>
      </w:pPr>
    </w:p>
    <w:p w14:paraId="79A74BFA">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质疑事项2</w:t>
      </w:r>
    </w:p>
    <w:p w14:paraId="68A315D9">
      <w:pPr>
        <w:snapToGrid w:val="0"/>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w:t>
      </w:r>
    </w:p>
    <w:p w14:paraId="08A38C57">
      <w:pPr>
        <w:snapToGrid w:val="0"/>
        <w:spacing w:line="360" w:lineRule="auto"/>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四、与质疑事项相关的质疑请求</w:t>
      </w:r>
    </w:p>
    <w:p w14:paraId="45722C43">
      <w:pPr>
        <w:snapToGrid w:val="0"/>
        <w:spacing w:line="360" w:lineRule="auto"/>
        <w:rPr>
          <w:rFonts w:hint="eastAsia" w:ascii="仿宋_GB2312" w:hAnsi="仿宋_GB2312" w:eastAsia="仿宋_GB2312" w:cs="仿宋_GB2312"/>
          <w:color w:val="000000"/>
          <w:sz w:val="24"/>
          <w:highlight w:val="none"/>
          <w:u w:val="dotted"/>
        </w:rPr>
      </w:pPr>
      <w:r>
        <w:rPr>
          <w:rFonts w:hint="eastAsia" w:ascii="仿宋_GB2312" w:hAnsi="仿宋_GB2312" w:eastAsia="仿宋_GB2312" w:cs="仿宋_GB2312"/>
          <w:color w:val="000000"/>
          <w:sz w:val="24"/>
          <w:highlight w:val="none"/>
        </w:rPr>
        <w:t>请求：</w:t>
      </w:r>
    </w:p>
    <w:p w14:paraId="316E17C7">
      <w:pPr>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签字(签章)：公章：</w:t>
      </w:r>
    </w:p>
    <w:p w14:paraId="37008173">
      <w:pPr>
        <w:spacing w:line="360" w:lineRule="auto"/>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日期：</w:t>
      </w:r>
    </w:p>
    <w:p w14:paraId="47B59221">
      <w:pPr>
        <w:spacing w:line="360" w:lineRule="auto"/>
        <w:jc w:val="center"/>
        <w:rPr>
          <w:rFonts w:hint="eastAsia" w:ascii="仿宋_GB2312" w:hAnsi="仿宋_GB2312" w:eastAsia="仿宋_GB2312" w:cs="仿宋_GB2312"/>
          <w:b/>
          <w:bCs/>
          <w:color w:val="000000"/>
          <w:sz w:val="24"/>
          <w:highlight w:val="none"/>
        </w:rPr>
      </w:pPr>
    </w:p>
    <w:p w14:paraId="119B3943">
      <w:pPr>
        <w:spacing w:line="360" w:lineRule="auto"/>
        <w:rPr>
          <w:rFonts w:hint="eastAsia" w:ascii="仿宋_GB2312" w:hAnsi="仿宋_GB2312" w:eastAsia="仿宋_GB2312" w:cs="仿宋_GB2312"/>
          <w:b/>
          <w:color w:val="000000"/>
          <w:sz w:val="24"/>
          <w:highlight w:val="none"/>
        </w:rPr>
      </w:pPr>
    </w:p>
    <w:p w14:paraId="5FFA31A0">
      <w:pPr>
        <w:spacing w:line="360" w:lineRule="auto"/>
        <w:rPr>
          <w:rFonts w:hint="eastAsia" w:ascii="仿宋_GB2312" w:hAnsi="仿宋_GB2312" w:eastAsia="仿宋_GB2312" w:cs="仿宋_GB2312"/>
          <w:b/>
          <w:color w:val="000000"/>
          <w:sz w:val="24"/>
          <w:highlight w:val="none"/>
        </w:rPr>
      </w:pPr>
    </w:p>
    <w:p w14:paraId="7104EA70">
      <w:pPr>
        <w:spacing w:line="360" w:lineRule="auto"/>
        <w:rPr>
          <w:rFonts w:hint="eastAsia" w:ascii="仿宋_GB2312" w:hAnsi="仿宋_GB2312" w:eastAsia="仿宋_GB2312" w:cs="仿宋_GB2312"/>
          <w:b/>
          <w:color w:val="000000"/>
          <w:sz w:val="24"/>
          <w:highlight w:val="none"/>
        </w:rPr>
      </w:pPr>
    </w:p>
    <w:p w14:paraId="3452BA04">
      <w:pPr>
        <w:spacing w:line="360" w:lineRule="auto"/>
        <w:rPr>
          <w:rFonts w:hint="eastAsia"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质疑函制作说明：</w:t>
      </w:r>
    </w:p>
    <w:p w14:paraId="39BDA210">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1.供应商提出质疑时，应提交质疑函和必要的证明材料。</w:t>
      </w:r>
    </w:p>
    <w:p w14:paraId="1EA0EF78">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000000"/>
          <w:kern w:val="0"/>
          <w:sz w:val="24"/>
          <w:highlight w:val="none"/>
        </w:rPr>
        <w:t>供应商签署的授权委托书。授权委托书应载明代理人的姓名或者名称、代理事项、具体权限、期限和相关事项。</w:t>
      </w:r>
    </w:p>
    <w:p w14:paraId="3FAA9270">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3.质疑供应商若对项目的某一分包进行质疑，质疑函中应列明具体分包号。</w:t>
      </w:r>
    </w:p>
    <w:p w14:paraId="7C9C59FB">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4.质疑函的质疑事项应具体、明确，并有必要的事实依据和法律依据。</w:t>
      </w:r>
    </w:p>
    <w:p w14:paraId="60555A60">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5.质疑函的质疑请求应与质疑事项相关。</w:t>
      </w:r>
    </w:p>
    <w:p w14:paraId="371330CE">
      <w:pPr>
        <w:widowControl/>
        <w:spacing w:line="360" w:lineRule="auto"/>
        <w:ind w:firstLine="480" w:firstLineChars="200"/>
        <w:jc w:val="lef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6B302F3E">
      <w:pPr>
        <w:spacing w:line="540" w:lineRule="exact"/>
        <w:contextualSpacing/>
        <w:rPr>
          <w:rFonts w:hint="eastAsia" w:ascii="仿宋_GB2312" w:hAnsi="仿宋_GB2312" w:eastAsia="仿宋_GB2312" w:cs="仿宋_GB2312"/>
          <w:color w:val="000000"/>
          <w:sz w:val="24"/>
          <w:szCs w:val="24"/>
          <w:highlight w:val="none"/>
        </w:rPr>
      </w:pPr>
    </w:p>
    <w:p w14:paraId="507E7605">
      <w:pPr>
        <w:spacing w:line="540" w:lineRule="exact"/>
        <w:contextualSpacing/>
        <w:rPr>
          <w:rFonts w:hint="eastAsia" w:ascii="仿宋_GB2312" w:hAnsi="仿宋_GB2312" w:eastAsia="仿宋_GB2312" w:cs="仿宋_GB2312"/>
          <w:color w:val="000000"/>
          <w:sz w:val="24"/>
          <w:szCs w:val="24"/>
          <w:highlight w:val="none"/>
        </w:rPr>
      </w:pPr>
    </w:p>
    <w:p w14:paraId="12D21A72">
      <w:pPr>
        <w:spacing w:line="540" w:lineRule="exact"/>
        <w:contextualSpacing/>
        <w:rPr>
          <w:rFonts w:hint="eastAsia" w:ascii="仿宋_GB2312" w:hAnsi="仿宋_GB2312" w:eastAsia="仿宋_GB2312" w:cs="仿宋_GB2312"/>
          <w:color w:val="000000"/>
          <w:sz w:val="24"/>
          <w:szCs w:val="24"/>
          <w:highlight w:val="none"/>
        </w:rPr>
      </w:pPr>
    </w:p>
    <w:p w14:paraId="2D267F9E">
      <w:pPr>
        <w:spacing w:line="540" w:lineRule="exact"/>
        <w:contextualSpacing/>
        <w:rPr>
          <w:rFonts w:hint="eastAsia" w:ascii="仿宋_GB2312" w:hAnsi="仿宋_GB2312" w:eastAsia="仿宋_GB2312" w:cs="仿宋_GB2312"/>
          <w:color w:val="000000"/>
          <w:sz w:val="24"/>
          <w:szCs w:val="24"/>
          <w:highlight w:val="none"/>
        </w:rPr>
      </w:pPr>
    </w:p>
    <w:p w14:paraId="6AE13419">
      <w:pPr>
        <w:spacing w:line="540" w:lineRule="exact"/>
        <w:contextualSpacing/>
        <w:rPr>
          <w:rFonts w:hint="eastAsia" w:ascii="仿宋_GB2312" w:hAnsi="仿宋_GB2312" w:eastAsia="仿宋_GB2312" w:cs="仿宋_GB2312"/>
          <w:color w:val="000000"/>
          <w:sz w:val="24"/>
          <w:szCs w:val="24"/>
          <w:highlight w:val="none"/>
        </w:rPr>
      </w:pPr>
    </w:p>
    <w:p w14:paraId="2C5FE267">
      <w:pPr>
        <w:spacing w:line="540" w:lineRule="exact"/>
        <w:contextualSpacing/>
        <w:rPr>
          <w:rFonts w:hint="eastAsia" w:ascii="仿宋_GB2312" w:hAnsi="仿宋_GB2312" w:eastAsia="仿宋_GB2312" w:cs="仿宋_GB2312"/>
          <w:color w:val="000000"/>
          <w:sz w:val="24"/>
          <w:szCs w:val="24"/>
          <w:highlight w:val="none"/>
        </w:rPr>
      </w:pPr>
    </w:p>
    <w:p w14:paraId="22EACF1F">
      <w:pPr>
        <w:spacing w:line="540" w:lineRule="exact"/>
        <w:contextualSpacing/>
        <w:rPr>
          <w:rFonts w:hint="eastAsia" w:ascii="仿宋_GB2312" w:hAnsi="仿宋_GB2312" w:eastAsia="仿宋_GB2312" w:cs="仿宋_GB2312"/>
          <w:color w:val="000000"/>
          <w:sz w:val="24"/>
          <w:szCs w:val="24"/>
          <w:highlight w:val="none"/>
        </w:rPr>
      </w:pPr>
    </w:p>
    <w:p w14:paraId="253A6336">
      <w:pPr>
        <w:spacing w:line="540" w:lineRule="exact"/>
        <w:contextualSpacing/>
        <w:rPr>
          <w:rFonts w:hint="eastAsia" w:ascii="仿宋_GB2312" w:hAnsi="仿宋_GB2312" w:eastAsia="仿宋_GB2312" w:cs="仿宋_GB2312"/>
          <w:color w:val="000000"/>
          <w:sz w:val="24"/>
          <w:szCs w:val="24"/>
          <w:highlight w:val="none"/>
        </w:rPr>
      </w:pPr>
    </w:p>
    <w:p w14:paraId="2C168B66">
      <w:pPr>
        <w:spacing w:line="540" w:lineRule="exact"/>
        <w:contextualSpacing/>
        <w:rPr>
          <w:rFonts w:hint="eastAsia" w:ascii="仿宋_GB2312" w:hAnsi="仿宋_GB2312" w:eastAsia="仿宋_GB2312" w:cs="仿宋_GB2312"/>
          <w:color w:val="000000"/>
          <w:sz w:val="24"/>
          <w:szCs w:val="24"/>
          <w:highlight w:val="none"/>
        </w:rPr>
      </w:pPr>
    </w:p>
    <w:p w14:paraId="3B48F21D">
      <w:pPr>
        <w:spacing w:line="540" w:lineRule="exact"/>
        <w:contextualSpacing/>
        <w:rPr>
          <w:rFonts w:hint="eastAsia" w:ascii="仿宋_GB2312" w:hAnsi="仿宋_GB2312" w:eastAsia="仿宋_GB2312" w:cs="仿宋_GB2312"/>
          <w:color w:val="000000"/>
          <w:sz w:val="24"/>
          <w:szCs w:val="24"/>
          <w:highlight w:val="none"/>
        </w:rPr>
      </w:pPr>
    </w:p>
    <w:p w14:paraId="69036224">
      <w:pPr>
        <w:spacing w:line="540" w:lineRule="exact"/>
        <w:contextualSpacing/>
        <w:rPr>
          <w:rFonts w:hint="eastAsia" w:ascii="仿宋_GB2312" w:hAnsi="仿宋_GB2312" w:eastAsia="仿宋_GB2312" w:cs="仿宋_GB2312"/>
          <w:color w:val="000000"/>
          <w:sz w:val="24"/>
          <w:szCs w:val="24"/>
          <w:highlight w:val="none"/>
        </w:rPr>
      </w:pPr>
    </w:p>
    <w:p w14:paraId="35DB03F5">
      <w:pPr>
        <w:spacing w:line="540" w:lineRule="exact"/>
        <w:contextualSpacing/>
        <w:rPr>
          <w:rFonts w:hint="eastAsia" w:ascii="仿宋_GB2312" w:hAnsi="仿宋_GB2312" w:eastAsia="仿宋_GB2312" w:cs="仿宋_GB2312"/>
          <w:color w:val="000000"/>
          <w:sz w:val="24"/>
          <w:szCs w:val="24"/>
          <w:highlight w:val="none"/>
        </w:rPr>
      </w:pPr>
    </w:p>
    <w:p w14:paraId="35EE6937">
      <w:pPr>
        <w:spacing w:line="540" w:lineRule="exact"/>
        <w:contextualSpacing/>
        <w:rPr>
          <w:rFonts w:hint="eastAsia" w:ascii="仿宋_GB2312" w:hAnsi="仿宋_GB2312" w:eastAsia="仿宋_GB2312" w:cs="仿宋_GB2312"/>
          <w:color w:val="000000"/>
          <w:sz w:val="24"/>
          <w:szCs w:val="24"/>
          <w:highlight w:val="none"/>
        </w:rPr>
      </w:pPr>
    </w:p>
    <w:p w14:paraId="67896902">
      <w:pPr>
        <w:spacing w:line="540" w:lineRule="exact"/>
        <w:contextualSpacing/>
        <w:rPr>
          <w:rFonts w:hint="eastAsia" w:ascii="仿宋_GB2312" w:hAnsi="仿宋_GB2312" w:eastAsia="仿宋_GB2312" w:cs="仿宋_GB2312"/>
          <w:color w:val="000000"/>
          <w:sz w:val="24"/>
          <w:szCs w:val="24"/>
          <w:highlight w:val="none"/>
        </w:rPr>
      </w:pPr>
    </w:p>
    <w:p w14:paraId="61052D92">
      <w:pPr>
        <w:pStyle w:val="10"/>
        <w:rPr>
          <w:rFonts w:hint="eastAsia" w:ascii="仿宋_GB2312" w:hAnsi="仿宋_GB2312" w:eastAsia="仿宋_GB2312" w:cs="仿宋_GB2312"/>
          <w:color w:val="000000"/>
          <w:highlight w:val="none"/>
        </w:rPr>
      </w:pPr>
    </w:p>
    <w:p w14:paraId="27AFAAC7">
      <w:pPr>
        <w:pStyle w:val="20"/>
        <w:rPr>
          <w:rFonts w:hint="eastAsia" w:ascii="仿宋_GB2312" w:hAnsi="仿宋_GB2312" w:eastAsia="仿宋_GB2312" w:cs="仿宋_GB2312"/>
          <w:color w:val="000000"/>
          <w:highlight w:val="none"/>
        </w:rPr>
      </w:pPr>
    </w:p>
    <w:p w14:paraId="5DF181F5">
      <w:pPr>
        <w:spacing w:line="540" w:lineRule="exact"/>
        <w:contextualSpacing/>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附件3：</w:t>
      </w:r>
    </w:p>
    <w:p w14:paraId="339F8B01">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投诉书范本及制作说明</w:t>
      </w:r>
    </w:p>
    <w:p w14:paraId="7009510B">
      <w:pPr>
        <w:spacing w:line="540" w:lineRule="exact"/>
        <w:contextualSpacing/>
        <w:rPr>
          <w:rFonts w:hint="eastAsia" w:ascii="仿宋_GB2312" w:hAnsi="仿宋_GB2312" w:eastAsia="仿宋_GB2312" w:cs="仿宋_GB2312"/>
          <w:color w:val="000000"/>
          <w:sz w:val="24"/>
          <w:szCs w:val="24"/>
          <w:highlight w:val="none"/>
        </w:rPr>
      </w:pPr>
    </w:p>
    <w:p w14:paraId="674528F8">
      <w:pPr>
        <w:spacing w:line="360" w:lineRule="auto"/>
        <w:jc w:val="center"/>
        <w:rPr>
          <w:rFonts w:hint="eastAsia" w:ascii="仿宋_GB2312" w:hAnsi="仿宋_GB2312" w:eastAsia="仿宋_GB2312" w:cs="仿宋_GB2312"/>
          <w:b/>
          <w:color w:val="000000"/>
          <w:spacing w:val="6"/>
          <w:sz w:val="24"/>
          <w:szCs w:val="24"/>
          <w:highlight w:val="none"/>
        </w:rPr>
      </w:pPr>
      <w:r>
        <w:rPr>
          <w:rFonts w:hint="eastAsia" w:ascii="仿宋_GB2312" w:hAnsi="仿宋_GB2312" w:eastAsia="仿宋_GB2312" w:cs="仿宋_GB2312"/>
          <w:b/>
          <w:color w:val="000000"/>
          <w:spacing w:val="6"/>
          <w:sz w:val="24"/>
          <w:szCs w:val="24"/>
          <w:highlight w:val="none"/>
        </w:rPr>
        <w:t>投诉书范本</w:t>
      </w:r>
    </w:p>
    <w:p w14:paraId="26928D34">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一、投诉相关主体基本情况</w:t>
      </w:r>
    </w:p>
    <w:p w14:paraId="6520A958">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投诉人：</w:t>
      </w:r>
    </w:p>
    <w:p w14:paraId="31BC4EF5">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地址：邮编：</w:t>
      </w:r>
    </w:p>
    <w:p w14:paraId="135FEFAA">
      <w:pPr>
        <w:tabs>
          <w:tab w:val="left" w:pos="6510"/>
        </w:tabs>
        <w:spacing w:line="360" w:lineRule="auto"/>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法定代表人/主要负责人：</w:t>
      </w:r>
    </w:p>
    <w:p w14:paraId="0343FCD6">
      <w:pPr>
        <w:tabs>
          <w:tab w:val="left" w:pos="6510"/>
        </w:tabs>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联系电话：</w:t>
      </w:r>
    </w:p>
    <w:p w14:paraId="726E414E">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授权代表：联系电话</w:t>
      </w:r>
      <w:r>
        <w:rPr>
          <w:rFonts w:hint="eastAsia" w:ascii="仿宋_GB2312" w:hAnsi="仿宋_GB2312" w:eastAsia="仿宋_GB2312" w:cs="仿宋_GB2312"/>
          <w:color w:val="000000"/>
          <w:sz w:val="24"/>
          <w:szCs w:val="24"/>
          <w:highlight w:val="none"/>
          <w:u w:val="dotted"/>
        </w:rPr>
        <w:t>：</w:t>
      </w:r>
    </w:p>
    <w:p w14:paraId="23162D6D">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地址：邮编：</w:t>
      </w:r>
    </w:p>
    <w:p w14:paraId="39B322A5">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被投诉人1：</w:t>
      </w:r>
    </w:p>
    <w:p w14:paraId="03D407C2">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地址：邮编：</w:t>
      </w:r>
    </w:p>
    <w:p w14:paraId="5C32B187">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联系人：联系电话：</w:t>
      </w:r>
    </w:p>
    <w:p w14:paraId="3E144B71">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被投诉人2</w:t>
      </w:r>
    </w:p>
    <w:p w14:paraId="61768DFA">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w:t>
      </w:r>
    </w:p>
    <w:p w14:paraId="32A61EEA">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相关供应商：</w:t>
      </w:r>
    </w:p>
    <w:p w14:paraId="36862E5B">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地址：邮编：</w:t>
      </w:r>
    </w:p>
    <w:p w14:paraId="4ADFAAD6">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联系人：联系电话：</w:t>
      </w:r>
    </w:p>
    <w:p w14:paraId="392A0021">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二、投诉项目基本情况</w:t>
      </w:r>
    </w:p>
    <w:p w14:paraId="66D5D116">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采购项目名称：</w:t>
      </w:r>
    </w:p>
    <w:p w14:paraId="1655086A">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采购项目编号：包号：</w:t>
      </w:r>
    </w:p>
    <w:p w14:paraId="15599B0A">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采购人名称：</w:t>
      </w:r>
    </w:p>
    <w:p w14:paraId="7CF7BE77">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代理机构名称：</w:t>
      </w:r>
    </w:p>
    <w:p w14:paraId="39F15606">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采购文件公告:</w:t>
      </w:r>
      <w:r>
        <w:rPr>
          <w:rFonts w:hint="eastAsia" w:ascii="仿宋_GB2312" w:hAnsi="仿宋_GB2312" w:eastAsia="仿宋_GB2312" w:cs="仿宋_GB2312"/>
          <w:color w:val="000000"/>
          <w:sz w:val="24"/>
          <w:szCs w:val="24"/>
          <w:highlight w:val="none"/>
          <w:u w:val="dotted"/>
        </w:rPr>
        <w:t>是/否</w:t>
      </w:r>
      <w:r>
        <w:rPr>
          <w:rFonts w:hint="eastAsia" w:ascii="仿宋_GB2312" w:hAnsi="仿宋_GB2312" w:eastAsia="仿宋_GB2312" w:cs="仿宋_GB2312"/>
          <w:color w:val="000000"/>
          <w:sz w:val="24"/>
          <w:szCs w:val="24"/>
          <w:highlight w:val="none"/>
        </w:rPr>
        <w:t>公告期限：</w:t>
      </w:r>
    </w:p>
    <w:p w14:paraId="046EEE1B">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采购结果公告:</w:t>
      </w:r>
      <w:r>
        <w:rPr>
          <w:rFonts w:hint="eastAsia" w:ascii="仿宋_GB2312" w:hAnsi="仿宋_GB2312" w:eastAsia="仿宋_GB2312" w:cs="仿宋_GB2312"/>
          <w:color w:val="000000"/>
          <w:sz w:val="24"/>
          <w:szCs w:val="24"/>
          <w:highlight w:val="none"/>
          <w:u w:val="dotted"/>
        </w:rPr>
        <w:t>是/否</w:t>
      </w:r>
      <w:r>
        <w:rPr>
          <w:rFonts w:hint="eastAsia" w:ascii="仿宋_GB2312" w:hAnsi="仿宋_GB2312" w:eastAsia="仿宋_GB2312" w:cs="仿宋_GB2312"/>
          <w:color w:val="000000"/>
          <w:sz w:val="24"/>
          <w:szCs w:val="24"/>
          <w:highlight w:val="none"/>
        </w:rPr>
        <w:t>公告期限：</w:t>
      </w:r>
    </w:p>
    <w:p w14:paraId="68742312">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三、质疑基本情况</w:t>
      </w:r>
    </w:p>
    <w:p w14:paraId="2C6038F0">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投诉人于年月日,向提出质疑，质疑事项为：</w:t>
      </w:r>
    </w:p>
    <w:p w14:paraId="7DADC9E7">
      <w:pPr>
        <w:spacing w:line="360" w:lineRule="auto"/>
        <w:rPr>
          <w:rFonts w:hint="eastAsia" w:ascii="仿宋_GB2312" w:hAnsi="仿宋_GB2312" w:eastAsia="仿宋_GB2312" w:cs="仿宋_GB2312"/>
          <w:color w:val="000000"/>
          <w:sz w:val="24"/>
          <w:szCs w:val="24"/>
          <w:highlight w:val="none"/>
          <w:u w:val="dotted"/>
        </w:rPr>
      </w:pPr>
    </w:p>
    <w:p w14:paraId="5BB475CB">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u w:val="dotted"/>
        </w:rPr>
        <w:t>采购人/代理机构</w:t>
      </w:r>
      <w:r>
        <w:rPr>
          <w:rFonts w:hint="eastAsia" w:ascii="仿宋_GB2312" w:hAnsi="仿宋_GB2312" w:eastAsia="仿宋_GB2312" w:cs="仿宋_GB2312"/>
          <w:color w:val="000000"/>
          <w:sz w:val="24"/>
          <w:szCs w:val="24"/>
          <w:highlight w:val="none"/>
        </w:rPr>
        <w:t>于年月日,就质疑事项作出了答复/没有在法定期限内作出答复。</w:t>
      </w:r>
    </w:p>
    <w:p w14:paraId="725B2F08">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四、投诉事项具体内容</w:t>
      </w:r>
    </w:p>
    <w:p w14:paraId="52813F0B">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投诉事项 1：</w:t>
      </w:r>
    </w:p>
    <w:p w14:paraId="7462C6B3">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事实依据：</w:t>
      </w:r>
    </w:p>
    <w:p w14:paraId="4537265F">
      <w:pPr>
        <w:spacing w:line="360" w:lineRule="auto"/>
        <w:rPr>
          <w:rFonts w:hint="eastAsia" w:ascii="仿宋_GB2312" w:hAnsi="仿宋_GB2312" w:eastAsia="仿宋_GB2312" w:cs="仿宋_GB2312"/>
          <w:color w:val="000000"/>
          <w:sz w:val="24"/>
          <w:szCs w:val="24"/>
          <w:highlight w:val="none"/>
          <w:u w:val="dotted"/>
        </w:rPr>
      </w:pPr>
    </w:p>
    <w:p w14:paraId="00B5DD4D">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法律依据：</w:t>
      </w:r>
    </w:p>
    <w:p w14:paraId="082578A3">
      <w:pPr>
        <w:spacing w:line="360" w:lineRule="auto"/>
        <w:rPr>
          <w:rFonts w:hint="eastAsia" w:ascii="仿宋_GB2312" w:hAnsi="仿宋_GB2312" w:eastAsia="仿宋_GB2312" w:cs="仿宋_GB2312"/>
          <w:color w:val="000000"/>
          <w:sz w:val="24"/>
          <w:szCs w:val="24"/>
          <w:highlight w:val="none"/>
          <w:u w:val="dotted"/>
        </w:rPr>
      </w:pPr>
    </w:p>
    <w:p w14:paraId="7EF02550">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投诉事项2</w:t>
      </w:r>
    </w:p>
    <w:p w14:paraId="6EB69192">
      <w:pPr>
        <w:spacing w:line="360" w:lineRule="auto"/>
        <w:rPr>
          <w:rFonts w:hint="eastAsia" w:ascii="仿宋_GB2312" w:hAnsi="仿宋_GB2312" w:eastAsia="仿宋_GB2312" w:cs="仿宋_GB2312"/>
          <w:color w:val="000000"/>
          <w:sz w:val="24"/>
          <w:szCs w:val="24"/>
          <w:highlight w:val="none"/>
          <w:u w:val="dotted"/>
        </w:rPr>
      </w:pPr>
      <w:r>
        <w:rPr>
          <w:rFonts w:hint="eastAsia" w:ascii="仿宋_GB2312" w:hAnsi="仿宋_GB2312" w:eastAsia="仿宋_GB2312" w:cs="仿宋_GB2312"/>
          <w:color w:val="000000"/>
          <w:sz w:val="24"/>
          <w:szCs w:val="24"/>
          <w:highlight w:val="none"/>
        </w:rPr>
        <w:t>……</w:t>
      </w:r>
    </w:p>
    <w:p w14:paraId="670A82DF">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五、与投诉事项相关的投诉请求</w:t>
      </w:r>
    </w:p>
    <w:p w14:paraId="3ED175BF">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请求：</w:t>
      </w:r>
    </w:p>
    <w:p w14:paraId="7B7443C7">
      <w:pPr>
        <w:spacing w:line="360" w:lineRule="auto"/>
        <w:rPr>
          <w:rFonts w:hint="eastAsia" w:ascii="仿宋_GB2312" w:hAnsi="仿宋_GB2312" w:eastAsia="仿宋_GB2312" w:cs="仿宋_GB2312"/>
          <w:color w:val="000000"/>
          <w:sz w:val="24"/>
          <w:szCs w:val="24"/>
          <w:highlight w:val="none"/>
          <w:u w:val="single"/>
        </w:rPr>
      </w:pPr>
    </w:p>
    <w:p w14:paraId="6AF94CF6">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签字(签章)：公章：</w:t>
      </w:r>
    </w:p>
    <w:p w14:paraId="3C04FADB">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w:t>
      </w:r>
    </w:p>
    <w:p w14:paraId="30CDF5EB">
      <w:pPr>
        <w:spacing w:line="360" w:lineRule="auto"/>
        <w:rPr>
          <w:rFonts w:hint="eastAsia" w:ascii="仿宋_GB2312" w:hAnsi="仿宋_GB2312" w:eastAsia="仿宋_GB2312" w:cs="仿宋_GB2312"/>
          <w:b/>
          <w:color w:val="000000"/>
          <w:sz w:val="24"/>
          <w:szCs w:val="24"/>
          <w:highlight w:val="none"/>
        </w:rPr>
      </w:pPr>
    </w:p>
    <w:p w14:paraId="77FDC420">
      <w:pPr>
        <w:spacing w:line="360" w:lineRule="auto"/>
        <w:rPr>
          <w:rFonts w:hint="eastAsia" w:ascii="仿宋_GB2312" w:hAnsi="仿宋_GB2312" w:eastAsia="仿宋_GB2312" w:cs="仿宋_GB2312"/>
          <w:b/>
          <w:color w:val="000000"/>
          <w:sz w:val="24"/>
          <w:szCs w:val="24"/>
          <w:highlight w:val="none"/>
        </w:rPr>
      </w:pPr>
    </w:p>
    <w:p w14:paraId="65C2B7E5">
      <w:pPr>
        <w:spacing w:line="360" w:lineRule="auto"/>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投诉书制作说明：</w:t>
      </w:r>
    </w:p>
    <w:p w14:paraId="54B50DF8">
      <w:pPr>
        <w:widowControl/>
        <w:spacing w:line="360" w:lineRule="auto"/>
        <w:ind w:firstLine="480" w:firstLineChars="200"/>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1.投诉人提起投诉时，应当提交投诉书和必要的证明材料，并按照被投诉人和与投诉事项有关的供应商数量提供投诉书副本。</w:t>
      </w:r>
    </w:p>
    <w:p w14:paraId="0EC03873">
      <w:pPr>
        <w:widowControl/>
        <w:spacing w:line="360" w:lineRule="auto"/>
        <w:ind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000000"/>
          <w:kern w:val="0"/>
          <w:sz w:val="24"/>
          <w:szCs w:val="24"/>
          <w:highlight w:val="none"/>
        </w:rPr>
        <w:t>投诉人签署的授权委托书。授权委托书应当载明代理人的姓名或者名称、代理事项、具体权限、期限和相关事项。</w:t>
      </w:r>
    </w:p>
    <w:p w14:paraId="2E3B952E">
      <w:pPr>
        <w:widowControl/>
        <w:spacing w:line="360" w:lineRule="auto"/>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3.投诉人若对项目的某一分包进行投诉，投诉书应列明具体分包号。</w:t>
      </w:r>
    </w:p>
    <w:p w14:paraId="2D691CF7">
      <w:pPr>
        <w:widowControl/>
        <w:spacing w:line="360" w:lineRule="auto"/>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4.投诉书应简要列明质疑事项，质疑函、质疑答复等作为附件材料提供。</w:t>
      </w:r>
    </w:p>
    <w:p w14:paraId="2D535707">
      <w:pPr>
        <w:widowControl/>
        <w:spacing w:line="360" w:lineRule="auto"/>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5.投诉书的投诉事项应具体、明确，并有必要的事实依据和法律依据。</w:t>
      </w:r>
    </w:p>
    <w:p w14:paraId="4D6C556D">
      <w:pPr>
        <w:widowControl/>
        <w:spacing w:line="360" w:lineRule="auto"/>
        <w:ind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6.投诉书的投诉请求应与投诉事项相关。</w:t>
      </w:r>
    </w:p>
    <w:p w14:paraId="0B0A1DA5">
      <w:pPr>
        <w:spacing w:line="360" w:lineRule="auto"/>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7.投诉人为自然人的，投诉书应当由本人签字；投诉人为法人或者其他组织的，投诉书应当由法定代表人、主要负责人，或者其授权代表签字或者盖章，并加盖公章。</w:t>
      </w:r>
    </w:p>
    <w:p w14:paraId="14771D86">
      <w:pPr>
        <w:spacing w:line="540" w:lineRule="exact"/>
        <w:contextualSpacing/>
        <w:rPr>
          <w:rFonts w:hint="eastAsia" w:ascii="仿宋_GB2312" w:hAnsi="仿宋_GB2312" w:eastAsia="仿宋_GB2312" w:cs="仿宋_GB2312"/>
          <w:color w:val="000000"/>
          <w:sz w:val="28"/>
          <w:szCs w:val="28"/>
          <w:highlight w:val="none"/>
        </w:rPr>
      </w:pPr>
    </w:p>
    <w:p w14:paraId="67008638">
      <w:pPr>
        <w:spacing w:line="540" w:lineRule="exact"/>
        <w:contextualSpacing/>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附件4：</w:t>
      </w:r>
    </w:p>
    <w:p w14:paraId="62E8C6D3">
      <w:pPr>
        <w:spacing w:line="540" w:lineRule="exact"/>
        <w:contextualSpacing/>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业务专用章使用说明函</w:t>
      </w:r>
    </w:p>
    <w:p w14:paraId="76DC78EB">
      <w:pPr>
        <w:spacing w:line="540" w:lineRule="exact"/>
        <w:contextualSpacing/>
        <w:rPr>
          <w:rFonts w:hint="eastAsia" w:ascii="仿宋_GB2312" w:hAnsi="仿宋_GB2312" w:eastAsia="仿宋_GB2312" w:cs="仿宋_GB2312"/>
          <w:color w:val="000000"/>
          <w:sz w:val="24"/>
          <w:szCs w:val="24"/>
          <w:highlight w:val="none"/>
        </w:rPr>
      </w:pPr>
    </w:p>
    <w:p w14:paraId="4302EA91">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（采购人）、（采购代理机构）：</w:t>
      </w:r>
    </w:p>
    <w:p w14:paraId="4B85D865">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我方(投标人全称)是中华人民共和国依法登记注册的合法企业，在参加你方组织的</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项目【招标编号：</w:t>
      </w:r>
      <w:r>
        <w:rPr>
          <w:rFonts w:hint="eastAsia" w:ascii="仿宋_GB2312" w:hAnsi="仿宋_GB2312" w:eastAsia="仿宋_GB2312" w:cs="仿宋_GB2312"/>
          <w:color w:val="000000"/>
          <w:sz w:val="24"/>
          <w:szCs w:val="24"/>
          <w:highlight w:val="none"/>
          <w:u w:val="single"/>
        </w:rPr>
        <w:t>（采购编号）</w:t>
      </w:r>
      <w:r>
        <w:rPr>
          <w:rFonts w:hint="eastAsia" w:ascii="仿宋_GB2312" w:hAnsi="仿宋_GB2312" w:eastAsia="仿宋_GB2312" w:cs="仿宋_GB2312"/>
          <w:color w:val="000000"/>
          <w:sz w:val="24"/>
          <w:szCs w:val="24"/>
          <w:highlight w:val="none"/>
        </w:rPr>
        <w:t>】投标活动中作如下说明：我方所使用的“XX专用章”与法定名称章具有同等的法律效力，对使用“XX专用章”的行为予以完全承认，并愿意承担相应责任。</w:t>
      </w:r>
    </w:p>
    <w:p w14:paraId="18986A5A">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特此说明。</w:t>
      </w:r>
    </w:p>
    <w:p w14:paraId="205D00C4">
      <w:pPr>
        <w:spacing w:line="540" w:lineRule="exact"/>
        <w:contextualSpacing/>
        <w:rPr>
          <w:rFonts w:hint="eastAsia" w:ascii="仿宋_GB2312" w:hAnsi="仿宋_GB2312" w:eastAsia="仿宋_GB2312" w:cs="仿宋_GB2312"/>
          <w:color w:val="000000"/>
          <w:sz w:val="24"/>
          <w:szCs w:val="24"/>
          <w:highlight w:val="none"/>
        </w:rPr>
      </w:pPr>
    </w:p>
    <w:p w14:paraId="197C7A33">
      <w:pPr>
        <w:spacing w:line="540" w:lineRule="exact"/>
        <w:contextualSpacing/>
        <w:rPr>
          <w:rFonts w:hint="eastAsia" w:ascii="仿宋_GB2312" w:hAnsi="仿宋_GB2312" w:eastAsia="仿宋_GB2312" w:cs="仿宋_GB2312"/>
          <w:color w:val="000000"/>
          <w:sz w:val="24"/>
          <w:szCs w:val="24"/>
          <w:highlight w:val="none"/>
        </w:rPr>
      </w:pPr>
    </w:p>
    <w:p w14:paraId="7E1E0208">
      <w:pPr>
        <w:spacing w:line="540" w:lineRule="exact"/>
        <w:ind w:firstLine="3600" w:firstLineChars="15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投标单位（法定名称章）：</w:t>
      </w:r>
    </w:p>
    <w:p w14:paraId="7B41A93D">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日期：年月日</w:t>
      </w:r>
    </w:p>
    <w:p w14:paraId="6FCD745C">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w:t>
      </w:r>
    </w:p>
    <w:p w14:paraId="1E345FA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投标单位法定名称章（印模）投标单位“XX专用章”（印模）</w:t>
      </w:r>
    </w:p>
    <w:p w14:paraId="255E948E">
      <w:pPr>
        <w:spacing w:line="54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13335</wp:posOffset>
                </wp:positionV>
                <wp:extent cx="1213485" cy="715010"/>
                <wp:effectExtent l="5080" t="4445" r="15875" b="12065"/>
                <wp:wrapNone/>
                <wp:docPr id="1" name="1026"/>
                <wp:cNvGraphicFramePr/>
                <a:graphic xmlns:a="http://schemas.openxmlformats.org/drawingml/2006/main">
                  <a:graphicData uri="http://schemas.microsoft.com/office/word/2010/wordprocessingShape">
                    <wps:wsp>
                      <wps:cNvSpPr/>
                      <wps:spPr>
                        <a:xfrm>
                          <a:off x="0" y="0"/>
                          <a:ext cx="12134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6" o:spid="_x0000_s1026" o:spt="1" style="position:absolute;left:0pt;margin-left:238.9pt;margin-top:1.05pt;height:56.3pt;width:95.55pt;z-index:-251657216;mso-width-relative:page;mso-height-relative:page;" fillcolor="#FFFFFF" filled="t" stroked="t" coordsize="21600,21600" o:gfxdata="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JkmuLXAAAACQEAAA8AAAAAAAAAAQAgAAAAIgAAAGRycy9kb3ducmV2LnhtbFBLAQIU&#10;ABQAAAAIAIdO4kClobj29AEAACgEAAAOAAAAAAAAAAEAIAAAACYBAABkcnMvZTJvRG9jLnhtbFBL&#10;BQYAAAAABgAGAFkBAACMBQAAAAA=&#10;">
                <v:fill on="t" focussize="0,0"/>
                <v:stroke color="#000000" joinstyle="miter"/>
                <v:imagedata o:title=""/>
                <o:lock v:ext="edit" aspectratio="f"/>
              </v:rect>
            </w:pict>
          </mc:Fallback>
        </mc:AlternateContent>
      </w:r>
      <w:r>
        <w:rPr>
          <w:rFonts w:hint="eastAsia" w:ascii="仿宋_GB2312" w:hAnsi="仿宋_GB2312" w:eastAsia="仿宋_GB2312" w:cs="仿宋_GB2312"/>
          <w:color w:val="000000"/>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-45720</wp:posOffset>
                </wp:positionH>
                <wp:positionV relativeFrom="paragraph">
                  <wp:posOffset>13335</wp:posOffset>
                </wp:positionV>
                <wp:extent cx="1188085" cy="715010"/>
                <wp:effectExtent l="4445" t="4445" r="11430" b="12065"/>
                <wp:wrapNone/>
                <wp:docPr id="2" name="1027"/>
                <wp:cNvGraphicFramePr/>
                <a:graphic xmlns:a="http://schemas.openxmlformats.org/drawingml/2006/main">
                  <a:graphicData uri="http://schemas.microsoft.com/office/word/2010/wordprocessingShape">
                    <wps:wsp>
                      <wps:cNvSpPr/>
                      <wps:spPr>
                        <a:xfrm>
                          <a:off x="0" y="0"/>
                          <a:ext cx="1188085" cy="71501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1027" o:spid="_x0000_s1026" o:spt="1" style="position:absolute;left:0pt;margin-left:-3.6pt;margin-top:1.05pt;height:56.3pt;width:93.55pt;z-index:-251656192;mso-width-relative:page;mso-height-relative:page;" fillcolor="#FFFFFF" filled="t" stroked="t" coordsize="21600,21600" o:gfxdata="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mi3RNcAAAAIAQAADwAAAAAAAAABACAAAAAiAAAAZHJzL2Rvd25yZXYueG1sUEsBAhQA&#10;FAAAAAgAh07iQLcWT+jzAQAAKAQAAA4AAAAAAAAAAQAgAAAAJgEAAGRycy9lMm9Eb2MueG1sUEsF&#10;BgAAAAAGAAYAWQEAAIsFAAAAAA==&#10;">
                <v:fill on="t" focussize="0,0"/>
                <v:stroke color="#000000" joinstyle="miter"/>
                <v:imagedata o:title=""/>
                <o:lock v:ext="edit" aspectratio="f"/>
              </v:rect>
            </w:pict>
          </mc:Fallback>
        </mc:AlternateContent>
      </w:r>
    </w:p>
    <w:p w14:paraId="73FC015A">
      <w:pPr>
        <w:spacing w:line="540" w:lineRule="exact"/>
        <w:contextualSpacing/>
        <w:rPr>
          <w:rFonts w:hint="eastAsia" w:ascii="仿宋_GB2312" w:hAnsi="仿宋_GB2312" w:eastAsia="仿宋_GB2312" w:cs="仿宋_GB2312"/>
          <w:color w:val="000000"/>
          <w:sz w:val="24"/>
          <w:szCs w:val="24"/>
          <w:highlight w:val="none"/>
        </w:rPr>
      </w:pPr>
    </w:p>
    <w:p w14:paraId="19F362C1">
      <w:pPr>
        <w:spacing w:line="540" w:lineRule="exact"/>
        <w:contextualSpacing/>
        <w:rPr>
          <w:rFonts w:hint="eastAsia" w:ascii="仿宋_GB2312" w:hAnsi="仿宋_GB2312" w:eastAsia="仿宋_GB2312" w:cs="仿宋_GB2312"/>
          <w:color w:val="000000"/>
          <w:sz w:val="24"/>
          <w:szCs w:val="24"/>
          <w:highlight w:val="none"/>
        </w:rPr>
      </w:pPr>
    </w:p>
    <w:p w14:paraId="534373E3">
      <w:pPr>
        <w:spacing w:line="540" w:lineRule="exact"/>
        <w:contextualSpacing/>
        <w:rPr>
          <w:rFonts w:hint="eastAsia" w:ascii="仿宋_GB2312" w:hAnsi="仿宋_GB2312" w:eastAsia="仿宋_GB2312" w:cs="仿宋_GB2312"/>
          <w:color w:val="000000"/>
          <w:sz w:val="24"/>
          <w:szCs w:val="24"/>
          <w:highlight w:val="none"/>
        </w:rPr>
      </w:pPr>
    </w:p>
    <w:p w14:paraId="4DF96BA7">
      <w:pPr>
        <w:spacing w:line="540" w:lineRule="exact"/>
        <w:contextualSpacing/>
        <w:rPr>
          <w:rFonts w:hint="eastAsia" w:ascii="仿宋_GB2312" w:hAnsi="仿宋_GB2312" w:eastAsia="仿宋_GB2312" w:cs="仿宋_GB2312"/>
          <w:color w:val="000000"/>
          <w:sz w:val="24"/>
          <w:szCs w:val="24"/>
          <w:highlight w:val="none"/>
        </w:rPr>
      </w:pPr>
    </w:p>
    <w:p w14:paraId="770FF480">
      <w:pPr>
        <w:spacing w:line="540" w:lineRule="exact"/>
        <w:contextualSpacing/>
        <w:rPr>
          <w:rFonts w:hint="eastAsia" w:ascii="仿宋_GB2312" w:hAnsi="仿宋_GB2312" w:eastAsia="仿宋_GB2312" w:cs="仿宋_GB2312"/>
          <w:color w:val="000000"/>
          <w:sz w:val="24"/>
          <w:szCs w:val="24"/>
          <w:highlight w:val="none"/>
        </w:rPr>
      </w:pPr>
    </w:p>
    <w:p w14:paraId="4035275B">
      <w:pPr>
        <w:spacing w:line="540" w:lineRule="exact"/>
        <w:contextualSpacing/>
        <w:rPr>
          <w:rFonts w:hint="eastAsia" w:ascii="仿宋_GB2312" w:hAnsi="仿宋_GB2312" w:eastAsia="仿宋_GB2312" w:cs="仿宋_GB2312"/>
          <w:color w:val="000000"/>
          <w:sz w:val="24"/>
          <w:szCs w:val="24"/>
          <w:highlight w:val="none"/>
        </w:rPr>
      </w:pPr>
    </w:p>
    <w:p w14:paraId="4C37119F">
      <w:pPr>
        <w:spacing w:line="540" w:lineRule="exact"/>
        <w:contextualSpacing/>
        <w:rPr>
          <w:rFonts w:hint="eastAsia" w:ascii="仿宋_GB2312" w:hAnsi="仿宋_GB2312" w:eastAsia="仿宋_GB2312" w:cs="仿宋_GB2312"/>
          <w:color w:val="000000"/>
          <w:sz w:val="24"/>
          <w:szCs w:val="24"/>
          <w:highlight w:val="none"/>
        </w:rPr>
      </w:pPr>
    </w:p>
    <w:p w14:paraId="1EEFBC65">
      <w:pPr>
        <w:spacing w:line="540" w:lineRule="exact"/>
        <w:contextualSpacing/>
        <w:rPr>
          <w:rFonts w:hint="eastAsia" w:ascii="仿宋_GB2312" w:hAnsi="仿宋_GB2312" w:eastAsia="仿宋_GB2312" w:cs="仿宋_GB2312"/>
          <w:color w:val="000000"/>
          <w:sz w:val="24"/>
          <w:szCs w:val="24"/>
          <w:highlight w:val="none"/>
        </w:rPr>
      </w:pPr>
    </w:p>
    <w:p w14:paraId="5D6870A7">
      <w:pPr>
        <w:pStyle w:val="12"/>
        <w:rPr>
          <w:rFonts w:hint="eastAsia" w:ascii="仿宋_GB2312" w:hAnsi="仿宋_GB2312" w:eastAsia="仿宋_GB2312" w:cs="仿宋_GB2312"/>
          <w:color w:val="000000"/>
          <w:highlight w:val="none"/>
        </w:rPr>
      </w:pPr>
    </w:p>
    <w:p w14:paraId="67AA6D2D">
      <w:pPr>
        <w:spacing w:line="540" w:lineRule="exact"/>
        <w:contextualSpacing/>
        <w:rPr>
          <w:rFonts w:hint="eastAsia" w:ascii="仿宋_GB2312" w:hAnsi="仿宋_GB2312" w:eastAsia="仿宋_GB2312" w:cs="仿宋_GB2312"/>
          <w:color w:val="000000"/>
          <w:sz w:val="24"/>
          <w:szCs w:val="24"/>
          <w:highlight w:val="none"/>
        </w:rPr>
      </w:pPr>
    </w:p>
    <w:p w14:paraId="46A2521D">
      <w:pPr>
        <w:spacing w:line="540" w:lineRule="exact"/>
        <w:contextualSpacing/>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附件5：</w:t>
      </w:r>
    </w:p>
    <w:p w14:paraId="3606EAF4">
      <w:pPr>
        <w:spacing w:line="540" w:lineRule="exact"/>
        <w:contextualSpacing/>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中小企业声明函（货物）</w:t>
      </w:r>
    </w:p>
    <w:p w14:paraId="6DFFA8C5">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本公司（联合体）郑重声明，根据《政府采购促进中小企业发展管理办法》（财库﹝2020﹞46 号）的规定，本公司（联合体）参加</w:t>
      </w:r>
      <w:r>
        <w:rPr>
          <w:rFonts w:hint="eastAsia" w:ascii="仿宋_GB2312" w:hAnsi="仿宋_GB2312" w:eastAsia="仿宋_GB2312" w:cs="仿宋_GB2312"/>
          <w:color w:val="000000"/>
          <w:sz w:val="24"/>
          <w:highlight w:val="none"/>
          <w:u w:val="single"/>
          <w:lang w:eastAsia="zh-CN"/>
        </w:rPr>
        <w:t>舟山第一小学勾山校区</w:t>
      </w:r>
      <w:r>
        <w:rPr>
          <w:rFonts w:hint="eastAsia" w:ascii="仿宋_GB2312" w:hAnsi="仿宋_GB2312" w:eastAsia="仿宋_GB2312" w:cs="仿宋_GB2312"/>
          <w:color w:val="000000"/>
          <w:sz w:val="24"/>
          <w:szCs w:val="24"/>
          <w:highlight w:val="none"/>
        </w:rPr>
        <w:t>的</w:t>
      </w:r>
      <w:r>
        <w:rPr>
          <w:rFonts w:hint="eastAsia" w:ascii="仿宋_GB2312" w:hAnsi="仿宋_GB2312" w:eastAsia="仿宋_GB2312" w:cs="仿宋_GB2312"/>
          <w:bCs/>
          <w:color w:val="000000"/>
          <w:sz w:val="24"/>
          <w:szCs w:val="24"/>
          <w:highlight w:val="none"/>
          <w:u w:val="single"/>
          <w:lang w:eastAsia="zh-CN"/>
        </w:rPr>
        <w:t>舟山第一小学勾山校区新建学校触控一体机采购</w:t>
      </w:r>
      <w:r>
        <w:rPr>
          <w:rFonts w:hint="eastAsia" w:ascii="仿宋_GB2312" w:hAnsi="仿宋_GB2312" w:eastAsia="仿宋_GB2312" w:cs="仿宋_GB2312"/>
          <w:color w:val="000000"/>
          <w:sz w:val="24"/>
          <w:szCs w:val="24"/>
          <w:highlight w:val="none"/>
        </w:rPr>
        <w:t>采购活动，提供的货物全部由符合政策要求的中小企业制造。相关企业（含联合体中的中小企业、签订分包意向协议的中小企业）的具体情况如下：</w:t>
      </w: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42"/>
        <w:gridCol w:w="1266"/>
        <w:gridCol w:w="936"/>
        <w:gridCol w:w="1239"/>
        <w:gridCol w:w="1134"/>
        <w:gridCol w:w="1824"/>
      </w:tblGrid>
      <w:tr w14:paraId="59AB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1B85FAC6">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标的名称</w:t>
            </w:r>
          </w:p>
          <w:p w14:paraId="2B79CAB9">
            <w:pPr>
              <w:pStyle w:val="68"/>
              <w:ind w:firstLine="0" w:firstLineChars="0"/>
              <w:jc w:val="center"/>
              <w:rPr>
                <w:rFonts w:hint="eastAsia" w:ascii="仿宋_GB2312" w:hAnsi="仿宋_GB2312" w:eastAsia="仿宋_GB2312" w:cs="仿宋_GB2312"/>
                <w:color w:val="000000"/>
                <w:kern w:val="0"/>
                <w:szCs w:val="24"/>
                <w:highlight w:val="none"/>
              </w:rPr>
            </w:pPr>
          </w:p>
        </w:tc>
        <w:tc>
          <w:tcPr>
            <w:tcW w:w="1242" w:type="dxa"/>
            <w:noWrap w:val="0"/>
            <w:vAlign w:val="center"/>
          </w:tcPr>
          <w:p w14:paraId="63E9BA1B">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采购文件中明确的所属行业</w:t>
            </w:r>
          </w:p>
        </w:tc>
        <w:tc>
          <w:tcPr>
            <w:tcW w:w="1266" w:type="dxa"/>
            <w:noWrap w:val="0"/>
            <w:vAlign w:val="center"/>
          </w:tcPr>
          <w:p w14:paraId="5B13BD6C">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制造商</w:t>
            </w:r>
          </w:p>
          <w:p w14:paraId="6B5071F3">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（企业名称）</w:t>
            </w:r>
          </w:p>
        </w:tc>
        <w:tc>
          <w:tcPr>
            <w:tcW w:w="936" w:type="dxa"/>
            <w:noWrap w:val="0"/>
            <w:vAlign w:val="center"/>
          </w:tcPr>
          <w:p w14:paraId="0E6ACD6D">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从业人员（人）</w:t>
            </w:r>
          </w:p>
        </w:tc>
        <w:tc>
          <w:tcPr>
            <w:tcW w:w="1239" w:type="dxa"/>
            <w:noWrap w:val="0"/>
            <w:vAlign w:val="center"/>
          </w:tcPr>
          <w:p w14:paraId="19289D48">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营业收入（万元）</w:t>
            </w:r>
          </w:p>
        </w:tc>
        <w:tc>
          <w:tcPr>
            <w:tcW w:w="1134" w:type="dxa"/>
            <w:noWrap w:val="0"/>
            <w:vAlign w:val="center"/>
          </w:tcPr>
          <w:p w14:paraId="35D699D4">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资产总额（万元）</w:t>
            </w:r>
          </w:p>
        </w:tc>
        <w:tc>
          <w:tcPr>
            <w:tcW w:w="1824" w:type="dxa"/>
            <w:noWrap w:val="0"/>
            <w:vAlign w:val="center"/>
          </w:tcPr>
          <w:p w14:paraId="50D597F4">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Cs w:val="24"/>
                <w:highlight w:val="none"/>
              </w:rPr>
              <w:t>属于</w:t>
            </w:r>
          </w:p>
          <w:p w14:paraId="13E21479">
            <w:pPr>
              <w:pStyle w:val="68"/>
              <w:ind w:firstLine="0" w:firstLineChars="0"/>
              <w:jc w:val="center"/>
              <w:rPr>
                <w:rFonts w:hint="eastAsia" w:ascii="仿宋_GB2312" w:hAnsi="仿宋_GB2312" w:eastAsia="仿宋_GB2312" w:cs="仿宋_GB2312"/>
                <w:color w:val="000000"/>
                <w:kern w:val="0"/>
                <w:szCs w:val="24"/>
                <w:highlight w:val="none"/>
              </w:rPr>
            </w:pPr>
            <w:r>
              <w:rPr>
                <w:rFonts w:hint="eastAsia" w:ascii="仿宋_GB2312" w:hAnsi="仿宋_GB2312" w:eastAsia="仿宋_GB2312" w:cs="仿宋_GB2312"/>
                <w:color w:val="000000"/>
                <w:kern w:val="0"/>
                <w:sz w:val="21"/>
                <w:szCs w:val="21"/>
                <w:highlight w:val="none"/>
              </w:rPr>
              <w:t>（中型企业、小型企业、微型企业）</w:t>
            </w:r>
          </w:p>
        </w:tc>
      </w:tr>
      <w:tr w14:paraId="749C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BBB7D30">
            <w:pPr>
              <w:spacing w:line="440" w:lineRule="exact"/>
              <w:rPr>
                <w:rFonts w:hint="eastAsia" w:ascii="仿宋_GB2312" w:hAnsi="仿宋_GB2312" w:eastAsia="仿宋_GB2312" w:cs="仿宋_GB2312"/>
                <w:color w:val="000000"/>
                <w:kern w:val="0"/>
                <w:sz w:val="24"/>
                <w:szCs w:val="24"/>
                <w:highlight w:val="none"/>
              </w:rPr>
            </w:pPr>
          </w:p>
        </w:tc>
        <w:tc>
          <w:tcPr>
            <w:tcW w:w="1242" w:type="dxa"/>
            <w:noWrap w:val="0"/>
            <w:vAlign w:val="center"/>
          </w:tcPr>
          <w:p w14:paraId="2288D616">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43E69682">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5E33A577">
            <w:pPr>
              <w:pStyle w:val="68"/>
              <w:rPr>
                <w:rFonts w:hint="eastAsia" w:ascii="仿宋_GB2312" w:hAnsi="仿宋_GB2312" w:eastAsia="仿宋_GB2312" w:cs="仿宋_GB2312"/>
                <w:color w:val="000000"/>
                <w:kern w:val="0"/>
                <w:highlight w:val="none"/>
              </w:rPr>
            </w:pPr>
          </w:p>
        </w:tc>
        <w:tc>
          <w:tcPr>
            <w:tcW w:w="1239" w:type="dxa"/>
            <w:noWrap w:val="0"/>
            <w:vAlign w:val="top"/>
          </w:tcPr>
          <w:p w14:paraId="11544834">
            <w:pPr>
              <w:pStyle w:val="68"/>
              <w:rPr>
                <w:rFonts w:hint="eastAsia" w:ascii="仿宋_GB2312" w:hAnsi="仿宋_GB2312" w:eastAsia="仿宋_GB2312" w:cs="仿宋_GB2312"/>
                <w:color w:val="000000"/>
                <w:kern w:val="0"/>
                <w:highlight w:val="none"/>
              </w:rPr>
            </w:pPr>
          </w:p>
        </w:tc>
        <w:tc>
          <w:tcPr>
            <w:tcW w:w="1134" w:type="dxa"/>
            <w:noWrap w:val="0"/>
            <w:vAlign w:val="top"/>
          </w:tcPr>
          <w:p w14:paraId="199478D4">
            <w:pPr>
              <w:pStyle w:val="68"/>
              <w:rPr>
                <w:rFonts w:hint="eastAsia" w:ascii="仿宋_GB2312" w:hAnsi="仿宋_GB2312" w:eastAsia="仿宋_GB2312" w:cs="仿宋_GB2312"/>
                <w:color w:val="000000"/>
                <w:kern w:val="0"/>
                <w:highlight w:val="none"/>
              </w:rPr>
            </w:pPr>
          </w:p>
        </w:tc>
        <w:tc>
          <w:tcPr>
            <w:tcW w:w="1824" w:type="dxa"/>
            <w:noWrap w:val="0"/>
            <w:vAlign w:val="top"/>
          </w:tcPr>
          <w:p w14:paraId="48CDD6C8">
            <w:pPr>
              <w:pStyle w:val="68"/>
              <w:ind w:firstLine="0" w:firstLineChars="0"/>
              <w:jc w:val="center"/>
              <w:rPr>
                <w:rFonts w:hint="eastAsia" w:ascii="仿宋_GB2312" w:hAnsi="仿宋_GB2312" w:eastAsia="仿宋_GB2312" w:cs="仿宋_GB2312"/>
                <w:color w:val="000000"/>
                <w:kern w:val="0"/>
                <w:szCs w:val="24"/>
                <w:highlight w:val="none"/>
              </w:rPr>
            </w:pPr>
          </w:p>
        </w:tc>
      </w:tr>
      <w:tr w14:paraId="060C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B420BBA">
            <w:pPr>
              <w:spacing w:line="440" w:lineRule="exact"/>
              <w:rPr>
                <w:rFonts w:hint="eastAsia" w:ascii="仿宋_GB2312" w:hAnsi="仿宋_GB2312" w:eastAsia="仿宋_GB2312" w:cs="仿宋_GB2312"/>
                <w:color w:val="000000"/>
                <w:kern w:val="0"/>
                <w:sz w:val="24"/>
                <w:szCs w:val="24"/>
                <w:highlight w:val="none"/>
              </w:rPr>
            </w:pPr>
          </w:p>
        </w:tc>
        <w:tc>
          <w:tcPr>
            <w:tcW w:w="1242" w:type="dxa"/>
            <w:noWrap w:val="0"/>
            <w:vAlign w:val="center"/>
          </w:tcPr>
          <w:p w14:paraId="34B5B783">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167F6104">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3DFDE7BC">
            <w:pPr>
              <w:pStyle w:val="68"/>
              <w:rPr>
                <w:rFonts w:hint="eastAsia" w:ascii="仿宋_GB2312" w:hAnsi="仿宋_GB2312" w:eastAsia="仿宋_GB2312" w:cs="仿宋_GB2312"/>
                <w:color w:val="000000"/>
                <w:kern w:val="0"/>
                <w:highlight w:val="none"/>
              </w:rPr>
            </w:pPr>
          </w:p>
        </w:tc>
        <w:tc>
          <w:tcPr>
            <w:tcW w:w="1239" w:type="dxa"/>
            <w:noWrap w:val="0"/>
            <w:vAlign w:val="top"/>
          </w:tcPr>
          <w:p w14:paraId="7E0A0564">
            <w:pPr>
              <w:pStyle w:val="68"/>
              <w:rPr>
                <w:rFonts w:hint="eastAsia" w:ascii="仿宋_GB2312" w:hAnsi="仿宋_GB2312" w:eastAsia="仿宋_GB2312" w:cs="仿宋_GB2312"/>
                <w:color w:val="000000"/>
                <w:kern w:val="0"/>
                <w:highlight w:val="none"/>
              </w:rPr>
            </w:pPr>
          </w:p>
        </w:tc>
        <w:tc>
          <w:tcPr>
            <w:tcW w:w="1134" w:type="dxa"/>
            <w:noWrap w:val="0"/>
            <w:vAlign w:val="top"/>
          </w:tcPr>
          <w:p w14:paraId="1F208F99">
            <w:pPr>
              <w:pStyle w:val="68"/>
              <w:rPr>
                <w:rFonts w:hint="eastAsia" w:ascii="仿宋_GB2312" w:hAnsi="仿宋_GB2312" w:eastAsia="仿宋_GB2312" w:cs="仿宋_GB2312"/>
                <w:color w:val="000000"/>
                <w:kern w:val="0"/>
                <w:highlight w:val="none"/>
              </w:rPr>
            </w:pPr>
          </w:p>
        </w:tc>
        <w:tc>
          <w:tcPr>
            <w:tcW w:w="1824" w:type="dxa"/>
            <w:noWrap w:val="0"/>
            <w:vAlign w:val="top"/>
          </w:tcPr>
          <w:p w14:paraId="74246B9F">
            <w:pPr>
              <w:pStyle w:val="68"/>
              <w:ind w:firstLine="0" w:firstLineChars="0"/>
              <w:jc w:val="center"/>
              <w:rPr>
                <w:rFonts w:hint="eastAsia" w:ascii="仿宋_GB2312" w:hAnsi="仿宋_GB2312" w:eastAsia="仿宋_GB2312" w:cs="仿宋_GB2312"/>
                <w:color w:val="000000"/>
                <w:kern w:val="0"/>
                <w:szCs w:val="24"/>
                <w:highlight w:val="none"/>
              </w:rPr>
            </w:pPr>
          </w:p>
        </w:tc>
      </w:tr>
      <w:tr w14:paraId="4B67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2510B76A">
            <w:pPr>
              <w:spacing w:line="440" w:lineRule="exact"/>
              <w:rPr>
                <w:rFonts w:hint="eastAsia" w:ascii="仿宋_GB2312" w:hAnsi="仿宋_GB2312" w:eastAsia="仿宋_GB2312" w:cs="仿宋_GB2312"/>
                <w:color w:val="000000"/>
                <w:kern w:val="0"/>
                <w:sz w:val="24"/>
                <w:szCs w:val="24"/>
                <w:highlight w:val="none"/>
              </w:rPr>
            </w:pPr>
          </w:p>
        </w:tc>
        <w:tc>
          <w:tcPr>
            <w:tcW w:w="1242" w:type="dxa"/>
            <w:noWrap w:val="0"/>
            <w:vAlign w:val="center"/>
          </w:tcPr>
          <w:p w14:paraId="40FDE716">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34A1A701">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24B5AF6D">
            <w:pPr>
              <w:pStyle w:val="68"/>
              <w:rPr>
                <w:rFonts w:hint="eastAsia" w:ascii="仿宋_GB2312" w:hAnsi="仿宋_GB2312" w:eastAsia="仿宋_GB2312" w:cs="仿宋_GB2312"/>
                <w:color w:val="000000"/>
                <w:kern w:val="0"/>
                <w:highlight w:val="none"/>
              </w:rPr>
            </w:pPr>
          </w:p>
        </w:tc>
        <w:tc>
          <w:tcPr>
            <w:tcW w:w="1239" w:type="dxa"/>
            <w:noWrap w:val="0"/>
            <w:vAlign w:val="top"/>
          </w:tcPr>
          <w:p w14:paraId="17340A5B">
            <w:pPr>
              <w:pStyle w:val="68"/>
              <w:rPr>
                <w:rFonts w:hint="eastAsia" w:ascii="仿宋_GB2312" w:hAnsi="仿宋_GB2312" w:eastAsia="仿宋_GB2312" w:cs="仿宋_GB2312"/>
                <w:color w:val="000000"/>
                <w:kern w:val="0"/>
                <w:highlight w:val="none"/>
              </w:rPr>
            </w:pPr>
          </w:p>
        </w:tc>
        <w:tc>
          <w:tcPr>
            <w:tcW w:w="1134" w:type="dxa"/>
            <w:noWrap w:val="0"/>
            <w:vAlign w:val="top"/>
          </w:tcPr>
          <w:p w14:paraId="0333A4A6">
            <w:pPr>
              <w:pStyle w:val="68"/>
              <w:rPr>
                <w:rFonts w:hint="eastAsia" w:ascii="仿宋_GB2312" w:hAnsi="仿宋_GB2312" w:eastAsia="仿宋_GB2312" w:cs="仿宋_GB2312"/>
                <w:color w:val="000000"/>
                <w:kern w:val="0"/>
                <w:highlight w:val="none"/>
              </w:rPr>
            </w:pPr>
          </w:p>
        </w:tc>
        <w:tc>
          <w:tcPr>
            <w:tcW w:w="1824" w:type="dxa"/>
            <w:noWrap w:val="0"/>
            <w:vAlign w:val="top"/>
          </w:tcPr>
          <w:p w14:paraId="418E61E8">
            <w:pPr>
              <w:pStyle w:val="68"/>
              <w:ind w:firstLine="0" w:firstLineChars="0"/>
              <w:jc w:val="center"/>
              <w:rPr>
                <w:rFonts w:hint="eastAsia" w:ascii="仿宋_GB2312" w:hAnsi="仿宋_GB2312" w:eastAsia="仿宋_GB2312" w:cs="仿宋_GB2312"/>
                <w:color w:val="000000"/>
                <w:kern w:val="0"/>
                <w:szCs w:val="24"/>
                <w:highlight w:val="none"/>
              </w:rPr>
            </w:pPr>
          </w:p>
        </w:tc>
      </w:tr>
      <w:tr w14:paraId="1990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5E91BB6">
            <w:pPr>
              <w:spacing w:line="440" w:lineRule="exact"/>
              <w:rPr>
                <w:rFonts w:hint="eastAsia" w:ascii="仿宋_GB2312" w:hAnsi="仿宋_GB2312" w:eastAsia="仿宋_GB2312" w:cs="仿宋_GB2312"/>
                <w:color w:val="000000"/>
                <w:sz w:val="24"/>
                <w:szCs w:val="24"/>
                <w:highlight w:val="none"/>
              </w:rPr>
            </w:pPr>
          </w:p>
        </w:tc>
        <w:tc>
          <w:tcPr>
            <w:tcW w:w="1242" w:type="dxa"/>
            <w:noWrap w:val="0"/>
            <w:vAlign w:val="center"/>
          </w:tcPr>
          <w:p w14:paraId="21DFF9B6">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792F5FD6">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50ADBB39">
            <w:pPr>
              <w:pStyle w:val="68"/>
              <w:rPr>
                <w:rFonts w:hint="eastAsia" w:ascii="仿宋_GB2312" w:hAnsi="仿宋_GB2312" w:eastAsia="仿宋_GB2312" w:cs="仿宋_GB2312"/>
                <w:color w:val="000000"/>
                <w:kern w:val="0"/>
                <w:highlight w:val="none"/>
              </w:rPr>
            </w:pPr>
          </w:p>
        </w:tc>
        <w:tc>
          <w:tcPr>
            <w:tcW w:w="1239" w:type="dxa"/>
            <w:noWrap w:val="0"/>
            <w:vAlign w:val="top"/>
          </w:tcPr>
          <w:p w14:paraId="1537EA5F">
            <w:pPr>
              <w:pStyle w:val="68"/>
              <w:rPr>
                <w:rFonts w:hint="eastAsia" w:ascii="仿宋_GB2312" w:hAnsi="仿宋_GB2312" w:eastAsia="仿宋_GB2312" w:cs="仿宋_GB2312"/>
                <w:color w:val="000000"/>
                <w:kern w:val="0"/>
                <w:highlight w:val="none"/>
              </w:rPr>
            </w:pPr>
          </w:p>
        </w:tc>
        <w:tc>
          <w:tcPr>
            <w:tcW w:w="1134" w:type="dxa"/>
            <w:noWrap w:val="0"/>
            <w:vAlign w:val="top"/>
          </w:tcPr>
          <w:p w14:paraId="460A7DB3">
            <w:pPr>
              <w:pStyle w:val="68"/>
              <w:rPr>
                <w:rFonts w:hint="eastAsia" w:ascii="仿宋_GB2312" w:hAnsi="仿宋_GB2312" w:eastAsia="仿宋_GB2312" w:cs="仿宋_GB2312"/>
                <w:color w:val="000000"/>
                <w:kern w:val="0"/>
                <w:highlight w:val="none"/>
              </w:rPr>
            </w:pPr>
          </w:p>
        </w:tc>
        <w:tc>
          <w:tcPr>
            <w:tcW w:w="1824" w:type="dxa"/>
            <w:noWrap w:val="0"/>
            <w:vAlign w:val="top"/>
          </w:tcPr>
          <w:p w14:paraId="32908C58">
            <w:pPr>
              <w:pStyle w:val="68"/>
              <w:ind w:firstLine="0" w:firstLineChars="0"/>
              <w:jc w:val="center"/>
              <w:rPr>
                <w:rFonts w:hint="eastAsia" w:ascii="仿宋_GB2312" w:hAnsi="仿宋_GB2312" w:eastAsia="仿宋_GB2312" w:cs="仿宋_GB2312"/>
                <w:color w:val="000000"/>
                <w:kern w:val="0"/>
                <w:szCs w:val="24"/>
                <w:highlight w:val="none"/>
              </w:rPr>
            </w:pPr>
          </w:p>
        </w:tc>
      </w:tr>
      <w:tr w14:paraId="1BE2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598B54">
            <w:pPr>
              <w:spacing w:line="440" w:lineRule="exact"/>
              <w:rPr>
                <w:rFonts w:hint="eastAsia" w:ascii="仿宋_GB2312" w:hAnsi="仿宋_GB2312" w:eastAsia="仿宋_GB2312" w:cs="仿宋_GB2312"/>
                <w:color w:val="000000"/>
                <w:kern w:val="0"/>
                <w:sz w:val="24"/>
                <w:szCs w:val="24"/>
                <w:highlight w:val="none"/>
              </w:rPr>
            </w:pPr>
          </w:p>
        </w:tc>
        <w:tc>
          <w:tcPr>
            <w:tcW w:w="1242" w:type="dxa"/>
            <w:noWrap w:val="0"/>
            <w:vAlign w:val="center"/>
          </w:tcPr>
          <w:p w14:paraId="2350ECBA">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33883418">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5D11BE0F">
            <w:pPr>
              <w:pStyle w:val="68"/>
              <w:rPr>
                <w:rFonts w:hint="eastAsia" w:ascii="仿宋_GB2312" w:hAnsi="仿宋_GB2312" w:eastAsia="仿宋_GB2312" w:cs="仿宋_GB2312"/>
                <w:color w:val="000000"/>
                <w:kern w:val="0"/>
                <w:highlight w:val="none"/>
              </w:rPr>
            </w:pPr>
          </w:p>
        </w:tc>
        <w:tc>
          <w:tcPr>
            <w:tcW w:w="1239" w:type="dxa"/>
            <w:noWrap w:val="0"/>
            <w:vAlign w:val="top"/>
          </w:tcPr>
          <w:p w14:paraId="521BE342">
            <w:pPr>
              <w:pStyle w:val="68"/>
              <w:rPr>
                <w:rFonts w:hint="eastAsia" w:ascii="仿宋_GB2312" w:hAnsi="仿宋_GB2312" w:eastAsia="仿宋_GB2312" w:cs="仿宋_GB2312"/>
                <w:color w:val="000000"/>
                <w:kern w:val="0"/>
                <w:highlight w:val="none"/>
              </w:rPr>
            </w:pPr>
          </w:p>
        </w:tc>
        <w:tc>
          <w:tcPr>
            <w:tcW w:w="1134" w:type="dxa"/>
            <w:noWrap w:val="0"/>
            <w:vAlign w:val="top"/>
          </w:tcPr>
          <w:p w14:paraId="46EB4222">
            <w:pPr>
              <w:pStyle w:val="68"/>
              <w:rPr>
                <w:rFonts w:hint="eastAsia" w:ascii="仿宋_GB2312" w:hAnsi="仿宋_GB2312" w:eastAsia="仿宋_GB2312" w:cs="仿宋_GB2312"/>
                <w:color w:val="000000"/>
                <w:kern w:val="0"/>
                <w:highlight w:val="none"/>
              </w:rPr>
            </w:pPr>
          </w:p>
        </w:tc>
        <w:tc>
          <w:tcPr>
            <w:tcW w:w="1824" w:type="dxa"/>
            <w:noWrap w:val="0"/>
            <w:vAlign w:val="top"/>
          </w:tcPr>
          <w:p w14:paraId="3F7BE8D8">
            <w:pPr>
              <w:pStyle w:val="68"/>
              <w:rPr>
                <w:rFonts w:hint="eastAsia" w:ascii="仿宋_GB2312" w:hAnsi="仿宋_GB2312" w:eastAsia="仿宋_GB2312" w:cs="仿宋_GB2312"/>
                <w:color w:val="000000"/>
                <w:kern w:val="0"/>
                <w:highlight w:val="none"/>
              </w:rPr>
            </w:pPr>
          </w:p>
        </w:tc>
      </w:tr>
      <w:tr w14:paraId="502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F6E25B4">
            <w:pPr>
              <w:spacing w:line="440" w:lineRule="exact"/>
              <w:rPr>
                <w:rFonts w:hint="eastAsia" w:ascii="仿宋_GB2312" w:hAnsi="仿宋_GB2312" w:eastAsia="仿宋_GB2312" w:cs="仿宋_GB2312"/>
                <w:color w:val="000000"/>
                <w:kern w:val="0"/>
                <w:sz w:val="24"/>
                <w:szCs w:val="24"/>
                <w:highlight w:val="none"/>
              </w:rPr>
            </w:pPr>
          </w:p>
        </w:tc>
        <w:tc>
          <w:tcPr>
            <w:tcW w:w="1242" w:type="dxa"/>
            <w:noWrap w:val="0"/>
            <w:vAlign w:val="center"/>
          </w:tcPr>
          <w:p w14:paraId="38D00B42">
            <w:pPr>
              <w:jc w:val="center"/>
              <w:rPr>
                <w:rFonts w:hint="eastAsia" w:ascii="仿宋_GB2312" w:hAnsi="仿宋_GB2312" w:eastAsia="仿宋_GB2312" w:cs="仿宋_GB2312"/>
                <w:color w:val="000000"/>
                <w:kern w:val="0"/>
                <w:sz w:val="24"/>
                <w:szCs w:val="20"/>
                <w:highlight w:val="none"/>
              </w:rPr>
            </w:pPr>
          </w:p>
        </w:tc>
        <w:tc>
          <w:tcPr>
            <w:tcW w:w="1266" w:type="dxa"/>
            <w:noWrap w:val="0"/>
            <w:vAlign w:val="center"/>
          </w:tcPr>
          <w:p w14:paraId="6E681B4B">
            <w:pPr>
              <w:widowControl/>
              <w:spacing w:line="276" w:lineRule="auto"/>
              <w:jc w:val="center"/>
              <w:rPr>
                <w:rFonts w:hint="eastAsia" w:ascii="仿宋_GB2312" w:hAnsi="仿宋_GB2312" w:eastAsia="仿宋_GB2312" w:cs="仿宋_GB2312"/>
                <w:color w:val="000000"/>
                <w:kern w:val="0"/>
                <w:sz w:val="24"/>
                <w:szCs w:val="24"/>
                <w:highlight w:val="none"/>
              </w:rPr>
            </w:pPr>
          </w:p>
        </w:tc>
        <w:tc>
          <w:tcPr>
            <w:tcW w:w="936" w:type="dxa"/>
            <w:noWrap w:val="0"/>
            <w:vAlign w:val="top"/>
          </w:tcPr>
          <w:p w14:paraId="25DB2EE4">
            <w:pPr>
              <w:pStyle w:val="68"/>
              <w:rPr>
                <w:rFonts w:hint="eastAsia" w:ascii="仿宋_GB2312" w:hAnsi="仿宋_GB2312" w:eastAsia="仿宋_GB2312" w:cs="仿宋_GB2312"/>
                <w:color w:val="000000"/>
                <w:kern w:val="0"/>
                <w:highlight w:val="none"/>
              </w:rPr>
            </w:pPr>
          </w:p>
        </w:tc>
        <w:tc>
          <w:tcPr>
            <w:tcW w:w="1239" w:type="dxa"/>
            <w:noWrap w:val="0"/>
            <w:vAlign w:val="top"/>
          </w:tcPr>
          <w:p w14:paraId="3B73DD87">
            <w:pPr>
              <w:pStyle w:val="68"/>
              <w:rPr>
                <w:rFonts w:hint="eastAsia" w:ascii="仿宋_GB2312" w:hAnsi="仿宋_GB2312" w:eastAsia="仿宋_GB2312" w:cs="仿宋_GB2312"/>
                <w:color w:val="000000"/>
                <w:kern w:val="0"/>
                <w:highlight w:val="none"/>
              </w:rPr>
            </w:pPr>
          </w:p>
        </w:tc>
        <w:tc>
          <w:tcPr>
            <w:tcW w:w="1134" w:type="dxa"/>
            <w:noWrap w:val="0"/>
            <w:vAlign w:val="top"/>
          </w:tcPr>
          <w:p w14:paraId="1FB6503F">
            <w:pPr>
              <w:pStyle w:val="68"/>
              <w:rPr>
                <w:rFonts w:hint="eastAsia" w:ascii="仿宋_GB2312" w:hAnsi="仿宋_GB2312" w:eastAsia="仿宋_GB2312" w:cs="仿宋_GB2312"/>
                <w:color w:val="000000"/>
                <w:kern w:val="0"/>
                <w:highlight w:val="none"/>
              </w:rPr>
            </w:pPr>
          </w:p>
        </w:tc>
        <w:tc>
          <w:tcPr>
            <w:tcW w:w="1824" w:type="dxa"/>
            <w:noWrap w:val="0"/>
            <w:vAlign w:val="top"/>
          </w:tcPr>
          <w:p w14:paraId="50C892C9">
            <w:pPr>
              <w:pStyle w:val="68"/>
              <w:rPr>
                <w:rFonts w:hint="eastAsia" w:ascii="仿宋_GB2312" w:hAnsi="仿宋_GB2312" w:eastAsia="仿宋_GB2312" w:cs="仿宋_GB2312"/>
                <w:color w:val="000000"/>
                <w:kern w:val="0"/>
                <w:highlight w:val="none"/>
              </w:rPr>
            </w:pPr>
          </w:p>
        </w:tc>
      </w:tr>
      <w:tr w14:paraId="3540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2" w:type="dxa"/>
            <w:noWrap w:val="0"/>
            <w:vAlign w:val="center"/>
          </w:tcPr>
          <w:p w14:paraId="03407E5F">
            <w:pPr>
              <w:spacing w:line="440" w:lineRule="exact"/>
              <w:rPr>
                <w:rFonts w:hint="eastAsia" w:ascii="仿宋_GB2312" w:hAnsi="仿宋_GB2312" w:eastAsia="仿宋_GB2312" w:cs="仿宋_GB2312"/>
                <w:color w:val="000000"/>
                <w:highlight w:val="none"/>
              </w:rPr>
            </w:pPr>
          </w:p>
        </w:tc>
        <w:tc>
          <w:tcPr>
            <w:tcW w:w="1242" w:type="dxa"/>
            <w:noWrap w:val="0"/>
            <w:vAlign w:val="center"/>
          </w:tcPr>
          <w:p w14:paraId="291FB4A3">
            <w:pPr>
              <w:jc w:val="center"/>
              <w:rPr>
                <w:rFonts w:hint="eastAsia" w:ascii="仿宋_GB2312" w:hAnsi="仿宋_GB2312" w:eastAsia="仿宋_GB2312" w:cs="仿宋_GB2312"/>
                <w:color w:val="000000"/>
                <w:kern w:val="0"/>
                <w:sz w:val="24"/>
                <w:szCs w:val="20"/>
                <w:highlight w:val="none"/>
              </w:rPr>
            </w:pPr>
          </w:p>
        </w:tc>
        <w:tc>
          <w:tcPr>
            <w:tcW w:w="1266" w:type="dxa"/>
            <w:noWrap w:val="0"/>
            <w:vAlign w:val="top"/>
          </w:tcPr>
          <w:p w14:paraId="23D47928">
            <w:pPr>
              <w:pStyle w:val="68"/>
              <w:rPr>
                <w:rFonts w:hint="eastAsia" w:ascii="仿宋_GB2312" w:hAnsi="仿宋_GB2312" w:eastAsia="仿宋_GB2312" w:cs="仿宋_GB2312"/>
                <w:color w:val="000000"/>
                <w:kern w:val="0"/>
                <w:highlight w:val="none"/>
              </w:rPr>
            </w:pPr>
          </w:p>
        </w:tc>
        <w:tc>
          <w:tcPr>
            <w:tcW w:w="936" w:type="dxa"/>
            <w:noWrap w:val="0"/>
            <w:vAlign w:val="top"/>
          </w:tcPr>
          <w:p w14:paraId="782F0E4A">
            <w:pPr>
              <w:pStyle w:val="68"/>
              <w:rPr>
                <w:rFonts w:hint="eastAsia" w:ascii="仿宋_GB2312" w:hAnsi="仿宋_GB2312" w:eastAsia="仿宋_GB2312" w:cs="仿宋_GB2312"/>
                <w:color w:val="000000"/>
                <w:kern w:val="0"/>
                <w:highlight w:val="none"/>
              </w:rPr>
            </w:pPr>
          </w:p>
        </w:tc>
        <w:tc>
          <w:tcPr>
            <w:tcW w:w="1239" w:type="dxa"/>
            <w:noWrap w:val="0"/>
            <w:vAlign w:val="top"/>
          </w:tcPr>
          <w:p w14:paraId="2BED7C28">
            <w:pPr>
              <w:pStyle w:val="68"/>
              <w:rPr>
                <w:rFonts w:hint="eastAsia" w:ascii="仿宋_GB2312" w:hAnsi="仿宋_GB2312" w:eastAsia="仿宋_GB2312" w:cs="仿宋_GB2312"/>
                <w:color w:val="000000"/>
                <w:kern w:val="0"/>
                <w:highlight w:val="none"/>
              </w:rPr>
            </w:pPr>
          </w:p>
        </w:tc>
        <w:tc>
          <w:tcPr>
            <w:tcW w:w="1134" w:type="dxa"/>
            <w:noWrap w:val="0"/>
            <w:vAlign w:val="top"/>
          </w:tcPr>
          <w:p w14:paraId="6D887FCC">
            <w:pPr>
              <w:pStyle w:val="68"/>
              <w:rPr>
                <w:rFonts w:hint="eastAsia" w:ascii="仿宋_GB2312" w:hAnsi="仿宋_GB2312" w:eastAsia="仿宋_GB2312" w:cs="仿宋_GB2312"/>
                <w:color w:val="000000"/>
                <w:kern w:val="0"/>
                <w:highlight w:val="none"/>
              </w:rPr>
            </w:pPr>
          </w:p>
        </w:tc>
        <w:tc>
          <w:tcPr>
            <w:tcW w:w="1824" w:type="dxa"/>
            <w:noWrap w:val="0"/>
            <w:vAlign w:val="top"/>
          </w:tcPr>
          <w:p w14:paraId="056F1058">
            <w:pPr>
              <w:pStyle w:val="68"/>
              <w:rPr>
                <w:rFonts w:hint="eastAsia" w:ascii="仿宋_GB2312" w:hAnsi="仿宋_GB2312" w:eastAsia="仿宋_GB2312" w:cs="仿宋_GB2312"/>
                <w:color w:val="000000"/>
                <w:kern w:val="0"/>
                <w:highlight w:val="none"/>
              </w:rPr>
            </w:pPr>
          </w:p>
        </w:tc>
      </w:tr>
      <w:tr w14:paraId="044C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22" w:type="dxa"/>
            <w:noWrap w:val="0"/>
            <w:vAlign w:val="center"/>
          </w:tcPr>
          <w:p w14:paraId="691EE7ED">
            <w:pPr>
              <w:pStyle w:val="33"/>
              <w:ind w:firstLine="0" w:firstLineChars="0"/>
              <w:rPr>
                <w:rFonts w:hint="eastAsia" w:ascii="仿宋_GB2312" w:hAnsi="仿宋_GB2312" w:eastAsia="仿宋_GB2312" w:cs="仿宋_GB2312"/>
                <w:color w:val="000000"/>
                <w:szCs w:val="24"/>
                <w:highlight w:val="none"/>
              </w:rPr>
            </w:pPr>
          </w:p>
        </w:tc>
        <w:tc>
          <w:tcPr>
            <w:tcW w:w="1242" w:type="dxa"/>
            <w:noWrap w:val="0"/>
            <w:vAlign w:val="center"/>
          </w:tcPr>
          <w:p w14:paraId="64948240">
            <w:pPr>
              <w:jc w:val="center"/>
              <w:rPr>
                <w:rFonts w:hint="eastAsia" w:ascii="仿宋_GB2312" w:hAnsi="仿宋_GB2312" w:eastAsia="仿宋_GB2312" w:cs="仿宋_GB2312"/>
                <w:color w:val="000000"/>
                <w:kern w:val="0"/>
                <w:sz w:val="24"/>
                <w:szCs w:val="20"/>
                <w:highlight w:val="none"/>
              </w:rPr>
            </w:pPr>
          </w:p>
        </w:tc>
        <w:tc>
          <w:tcPr>
            <w:tcW w:w="1266" w:type="dxa"/>
            <w:noWrap w:val="0"/>
            <w:vAlign w:val="top"/>
          </w:tcPr>
          <w:p w14:paraId="190B7AD1">
            <w:pPr>
              <w:pStyle w:val="68"/>
              <w:rPr>
                <w:rFonts w:hint="eastAsia" w:ascii="仿宋_GB2312" w:hAnsi="仿宋_GB2312" w:eastAsia="仿宋_GB2312" w:cs="仿宋_GB2312"/>
                <w:color w:val="000000"/>
                <w:kern w:val="0"/>
                <w:highlight w:val="none"/>
              </w:rPr>
            </w:pPr>
          </w:p>
        </w:tc>
        <w:tc>
          <w:tcPr>
            <w:tcW w:w="936" w:type="dxa"/>
            <w:noWrap w:val="0"/>
            <w:vAlign w:val="top"/>
          </w:tcPr>
          <w:p w14:paraId="2898CBA0">
            <w:pPr>
              <w:pStyle w:val="68"/>
              <w:rPr>
                <w:rFonts w:hint="eastAsia" w:ascii="仿宋_GB2312" w:hAnsi="仿宋_GB2312" w:eastAsia="仿宋_GB2312" w:cs="仿宋_GB2312"/>
                <w:color w:val="000000"/>
                <w:kern w:val="0"/>
                <w:highlight w:val="none"/>
              </w:rPr>
            </w:pPr>
          </w:p>
        </w:tc>
        <w:tc>
          <w:tcPr>
            <w:tcW w:w="1239" w:type="dxa"/>
            <w:noWrap w:val="0"/>
            <w:vAlign w:val="top"/>
          </w:tcPr>
          <w:p w14:paraId="2ADB45BB">
            <w:pPr>
              <w:pStyle w:val="68"/>
              <w:rPr>
                <w:rFonts w:hint="eastAsia" w:ascii="仿宋_GB2312" w:hAnsi="仿宋_GB2312" w:eastAsia="仿宋_GB2312" w:cs="仿宋_GB2312"/>
                <w:color w:val="000000"/>
                <w:kern w:val="0"/>
                <w:highlight w:val="none"/>
              </w:rPr>
            </w:pPr>
          </w:p>
        </w:tc>
        <w:tc>
          <w:tcPr>
            <w:tcW w:w="1134" w:type="dxa"/>
            <w:noWrap w:val="0"/>
            <w:vAlign w:val="top"/>
          </w:tcPr>
          <w:p w14:paraId="128AA6EF">
            <w:pPr>
              <w:pStyle w:val="68"/>
              <w:rPr>
                <w:rFonts w:hint="eastAsia" w:ascii="仿宋_GB2312" w:hAnsi="仿宋_GB2312" w:eastAsia="仿宋_GB2312" w:cs="仿宋_GB2312"/>
                <w:color w:val="000000"/>
                <w:kern w:val="0"/>
                <w:highlight w:val="none"/>
              </w:rPr>
            </w:pPr>
          </w:p>
        </w:tc>
        <w:tc>
          <w:tcPr>
            <w:tcW w:w="1824" w:type="dxa"/>
            <w:noWrap w:val="0"/>
            <w:vAlign w:val="top"/>
          </w:tcPr>
          <w:p w14:paraId="40FC3B88">
            <w:pPr>
              <w:pStyle w:val="68"/>
              <w:rPr>
                <w:rFonts w:hint="eastAsia" w:ascii="仿宋_GB2312" w:hAnsi="仿宋_GB2312" w:eastAsia="仿宋_GB2312" w:cs="仿宋_GB2312"/>
                <w:color w:val="000000"/>
                <w:kern w:val="0"/>
                <w:highlight w:val="none"/>
              </w:rPr>
            </w:pPr>
          </w:p>
        </w:tc>
      </w:tr>
    </w:tbl>
    <w:p w14:paraId="10903901">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以上企业，不属于大企业的分支机构，不存在控股股东为大企业的情形，也不存在与大企业的负责人为同一人的情形。</w:t>
      </w:r>
    </w:p>
    <w:p w14:paraId="70163D74">
      <w:pPr>
        <w:spacing w:line="50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本企业对上述声明内容的真实性负责。如有虚假，将依法承担相应责任。</w:t>
      </w:r>
    </w:p>
    <w:p w14:paraId="73C7FE92">
      <w:pPr>
        <w:spacing w:line="500" w:lineRule="exact"/>
        <w:ind w:firstLine="4680" w:firstLineChars="195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投标人名称（电子签名）：</w:t>
      </w:r>
    </w:p>
    <w:p w14:paraId="12B755A3">
      <w:pPr>
        <w:spacing w:line="500" w:lineRule="exact"/>
        <w:ind w:firstLine="5520" w:firstLineChars="23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日期：</w:t>
      </w:r>
    </w:p>
    <w:p w14:paraId="777A5324">
      <w:pPr>
        <w:spacing w:line="46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CCEC9E">
      <w:pPr>
        <w:spacing w:line="360" w:lineRule="auto"/>
        <w:ind w:right="42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填写要求：①“标的名称”、“采购文件中明确的所属行业”依据招标文件第二部分投标人须知前附表中“采购标的及其对应的中小企业划分标准所属行业”的指引逐一填写，“制造商”按实际填写，以上内容不得缺漏；②从业人员、营业收入、资产总额应填报上一年度数据，无上一年度数据的新成立企业可不填报；③中型企业、小型企业、微型企业等3种企业类型，结合以上数据，应依据《中小企业划型标准规定》（工信部联企业〔2011〕300号）确定；④投标人提供的《中小企业声明函》与实际情况不符的或者未按以上要求填写的，中小企业声明函无效，不享受中小企业扶持政策；作为资格条件的，视作不符合资格要求。声明内容不实的，属于提供虚假材料谋取中标、成交的，依法承担法律责任。</w:t>
      </w:r>
    </w:p>
    <w:p w14:paraId="4A496BE3">
      <w:pPr>
        <w:spacing w:line="460" w:lineRule="exact"/>
        <w:contextualSpacing/>
        <w:rPr>
          <w:rFonts w:hint="eastAsia" w:ascii="仿宋_GB2312" w:hAnsi="仿宋_GB2312" w:eastAsia="仿宋_GB2312" w:cs="仿宋_GB2312"/>
          <w:color w:val="000000"/>
          <w:sz w:val="24"/>
          <w:szCs w:val="24"/>
          <w:highlight w:val="none"/>
        </w:rPr>
      </w:pPr>
    </w:p>
    <w:p w14:paraId="20848144">
      <w:pPr>
        <w:pStyle w:val="12"/>
        <w:rPr>
          <w:rFonts w:hint="eastAsia" w:ascii="仿宋_GB2312" w:hAnsi="仿宋_GB2312" w:eastAsia="仿宋_GB2312" w:cs="仿宋_GB2312"/>
          <w:color w:val="000000"/>
          <w:highlight w:val="none"/>
        </w:rPr>
      </w:pPr>
    </w:p>
    <w:p w14:paraId="4D35E9AD">
      <w:pPr>
        <w:pStyle w:val="12"/>
        <w:rPr>
          <w:rFonts w:hint="eastAsia" w:ascii="仿宋_GB2312" w:hAnsi="仿宋_GB2312" w:eastAsia="仿宋_GB2312" w:cs="仿宋_GB2312"/>
          <w:color w:val="000000"/>
          <w:highlight w:val="none"/>
        </w:rPr>
      </w:pPr>
    </w:p>
    <w:p w14:paraId="6218A35F">
      <w:pPr>
        <w:pStyle w:val="12"/>
        <w:rPr>
          <w:rFonts w:hint="eastAsia" w:ascii="仿宋_GB2312" w:hAnsi="仿宋_GB2312" w:eastAsia="仿宋_GB2312" w:cs="仿宋_GB2312"/>
          <w:color w:val="000000"/>
          <w:highlight w:val="none"/>
        </w:rPr>
      </w:pPr>
    </w:p>
    <w:p w14:paraId="65B8B2FA">
      <w:pPr>
        <w:pStyle w:val="12"/>
        <w:rPr>
          <w:rFonts w:hint="eastAsia" w:ascii="仿宋_GB2312" w:hAnsi="仿宋_GB2312" w:eastAsia="仿宋_GB2312" w:cs="仿宋_GB2312"/>
          <w:color w:val="000000"/>
          <w:highlight w:val="none"/>
        </w:rPr>
      </w:pPr>
    </w:p>
    <w:p w14:paraId="093E214D">
      <w:pPr>
        <w:pStyle w:val="12"/>
        <w:rPr>
          <w:rFonts w:hint="eastAsia" w:ascii="仿宋_GB2312" w:hAnsi="仿宋_GB2312" w:eastAsia="仿宋_GB2312" w:cs="仿宋_GB2312"/>
          <w:color w:val="000000"/>
          <w:highlight w:val="none"/>
        </w:rPr>
      </w:pPr>
    </w:p>
    <w:p w14:paraId="79AD47AC">
      <w:pPr>
        <w:pStyle w:val="12"/>
        <w:rPr>
          <w:rFonts w:hint="eastAsia" w:ascii="仿宋_GB2312" w:hAnsi="仿宋_GB2312" w:eastAsia="仿宋_GB2312" w:cs="仿宋_GB2312"/>
          <w:color w:val="000000"/>
          <w:highlight w:val="none"/>
        </w:rPr>
      </w:pPr>
    </w:p>
    <w:p w14:paraId="515E4B19">
      <w:pPr>
        <w:pStyle w:val="12"/>
        <w:rPr>
          <w:rFonts w:hint="eastAsia" w:ascii="仿宋_GB2312" w:hAnsi="仿宋_GB2312" w:eastAsia="仿宋_GB2312" w:cs="仿宋_GB2312"/>
          <w:color w:val="000000"/>
          <w:highlight w:val="none"/>
        </w:rPr>
      </w:pPr>
    </w:p>
    <w:p w14:paraId="4831A8B5">
      <w:pPr>
        <w:pStyle w:val="12"/>
        <w:rPr>
          <w:rFonts w:hint="eastAsia" w:ascii="仿宋_GB2312" w:hAnsi="仿宋_GB2312" w:eastAsia="仿宋_GB2312" w:cs="仿宋_GB2312"/>
          <w:color w:val="000000"/>
          <w:highlight w:val="none"/>
        </w:rPr>
      </w:pPr>
    </w:p>
    <w:p w14:paraId="7B069B4B">
      <w:pPr>
        <w:pStyle w:val="12"/>
        <w:rPr>
          <w:rFonts w:hint="eastAsia" w:ascii="仿宋_GB2312" w:hAnsi="仿宋_GB2312" w:eastAsia="仿宋_GB2312" w:cs="仿宋_GB2312"/>
          <w:color w:val="000000"/>
          <w:highlight w:val="none"/>
        </w:rPr>
      </w:pPr>
    </w:p>
    <w:p w14:paraId="7E44054E">
      <w:pPr>
        <w:pStyle w:val="12"/>
        <w:rPr>
          <w:rFonts w:hint="eastAsia" w:ascii="仿宋_GB2312" w:hAnsi="仿宋_GB2312" w:eastAsia="仿宋_GB2312" w:cs="仿宋_GB2312"/>
          <w:color w:val="000000"/>
          <w:highlight w:val="none"/>
        </w:rPr>
      </w:pPr>
    </w:p>
    <w:p w14:paraId="1FBE3057">
      <w:pPr>
        <w:pStyle w:val="12"/>
        <w:rPr>
          <w:rFonts w:hint="eastAsia" w:ascii="仿宋_GB2312" w:hAnsi="仿宋_GB2312" w:eastAsia="仿宋_GB2312" w:cs="仿宋_GB2312"/>
          <w:color w:val="000000"/>
          <w:highlight w:val="none"/>
        </w:rPr>
      </w:pPr>
    </w:p>
    <w:p w14:paraId="512B4BF8">
      <w:pPr>
        <w:pStyle w:val="12"/>
        <w:rPr>
          <w:rFonts w:hint="eastAsia" w:ascii="仿宋_GB2312" w:hAnsi="仿宋_GB2312" w:eastAsia="仿宋_GB2312" w:cs="仿宋_GB2312"/>
          <w:color w:val="000000"/>
          <w:highlight w:val="none"/>
        </w:rPr>
      </w:pPr>
    </w:p>
    <w:p w14:paraId="10272ADE">
      <w:pPr>
        <w:pStyle w:val="12"/>
        <w:rPr>
          <w:rFonts w:hint="eastAsia" w:ascii="仿宋_GB2312" w:hAnsi="仿宋_GB2312" w:eastAsia="仿宋_GB2312" w:cs="仿宋_GB2312"/>
          <w:color w:val="000000"/>
          <w:highlight w:val="none"/>
        </w:rPr>
      </w:pPr>
    </w:p>
    <w:p w14:paraId="593B178F">
      <w:pPr>
        <w:pStyle w:val="12"/>
        <w:rPr>
          <w:rFonts w:hint="eastAsia" w:ascii="仿宋_GB2312" w:hAnsi="仿宋_GB2312" w:eastAsia="仿宋_GB2312" w:cs="仿宋_GB2312"/>
          <w:color w:val="000000"/>
          <w:highlight w:val="none"/>
        </w:rPr>
      </w:pPr>
    </w:p>
    <w:p w14:paraId="54D95046">
      <w:pPr>
        <w:pStyle w:val="12"/>
        <w:rPr>
          <w:rFonts w:hint="eastAsia" w:ascii="仿宋_GB2312" w:hAnsi="仿宋_GB2312" w:eastAsia="仿宋_GB2312" w:cs="仿宋_GB2312"/>
          <w:color w:val="000000"/>
          <w:highlight w:val="none"/>
        </w:rPr>
      </w:pPr>
    </w:p>
    <w:p w14:paraId="0E0EE3A7">
      <w:pPr>
        <w:pStyle w:val="12"/>
        <w:rPr>
          <w:rFonts w:hint="eastAsia" w:ascii="仿宋_GB2312" w:hAnsi="仿宋_GB2312" w:eastAsia="仿宋_GB2312" w:cs="仿宋_GB2312"/>
          <w:color w:val="000000"/>
          <w:highlight w:val="none"/>
        </w:rPr>
      </w:pPr>
    </w:p>
    <w:p w14:paraId="556B5A6D">
      <w:pPr>
        <w:pStyle w:val="12"/>
        <w:rPr>
          <w:rFonts w:hint="eastAsia" w:ascii="仿宋_GB2312" w:hAnsi="仿宋_GB2312" w:eastAsia="仿宋_GB2312" w:cs="仿宋_GB2312"/>
          <w:color w:val="000000"/>
          <w:highlight w:val="none"/>
        </w:rPr>
      </w:pPr>
    </w:p>
    <w:p w14:paraId="4B92DE6A">
      <w:pPr>
        <w:pStyle w:val="12"/>
        <w:rPr>
          <w:rFonts w:hint="eastAsia" w:ascii="仿宋_GB2312" w:hAnsi="仿宋_GB2312" w:eastAsia="仿宋_GB2312" w:cs="仿宋_GB2312"/>
          <w:color w:val="000000"/>
          <w:highlight w:val="none"/>
        </w:rPr>
      </w:pPr>
    </w:p>
    <w:p w14:paraId="5E0601A4">
      <w:pPr>
        <w:pStyle w:val="12"/>
        <w:rPr>
          <w:rFonts w:hint="eastAsia" w:ascii="仿宋_GB2312" w:hAnsi="仿宋_GB2312" w:eastAsia="仿宋_GB2312" w:cs="仿宋_GB2312"/>
          <w:color w:val="000000"/>
          <w:highlight w:val="none"/>
        </w:rPr>
      </w:pPr>
    </w:p>
    <w:p w14:paraId="0C4C92BC">
      <w:pPr>
        <w:pStyle w:val="12"/>
        <w:rPr>
          <w:rFonts w:hint="eastAsia" w:ascii="仿宋_GB2312" w:hAnsi="仿宋_GB2312" w:eastAsia="仿宋_GB2312" w:cs="仿宋_GB2312"/>
          <w:color w:val="000000"/>
          <w:highlight w:val="none"/>
        </w:rPr>
      </w:pPr>
    </w:p>
    <w:p w14:paraId="19914AB6">
      <w:pPr>
        <w:autoSpaceDE w:val="0"/>
        <w:autoSpaceDN w:val="0"/>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highlight w:val="none"/>
        </w:rPr>
        <w:t>附件6：</w:t>
      </w:r>
    </w:p>
    <w:p w14:paraId="4510AE06">
      <w:pPr>
        <w:autoSpaceDE w:val="0"/>
        <w:autoSpaceDN w:val="0"/>
        <w:jc w:val="center"/>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联合协议</w:t>
      </w:r>
    </w:p>
    <w:p w14:paraId="591A4859">
      <w:pPr>
        <w:widowControl/>
        <w:spacing w:line="360" w:lineRule="auto"/>
        <w:ind w:firstLine="482" w:firstLineChars="200"/>
        <w:jc w:val="left"/>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（以联合体形式投标的，提供联合协议；本项目不接受联合体投标或者投标人不以联合体形式投标的，则不需要提供）</w:t>
      </w:r>
    </w:p>
    <w:p w14:paraId="0F3E352B">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u w:val="single"/>
        </w:rPr>
        <w:t>（联合体所有成员名称）</w:t>
      </w:r>
      <w:r>
        <w:rPr>
          <w:rFonts w:hint="eastAsia" w:ascii="仿宋_GB2312" w:hAnsi="仿宋_GB2312" w:eastAsia="仿宋_GB2312" w:cs="仿宋_GB2312"/>
          <w:color w:val="000000"/>
          <w:kern w:val="0"/>
          <w:sz w:val="24"/>
          <w:szCs w:val="24"/>
          <w:highlight w:val="none"/>
        </w:rPr>
        <w:t>自愿</w:t>
      </w:r>
      <w:r>
        <w:rPr>
          <w:rFonts w:hint="eastAsia" w:ascii="仿宋_GB2312" w:hAnsi="仿宋_GB2312" w:eastAsia="仿宋_GB2312" w:cs="仿宋_GB2312"/>
          <w:color w:val="000000"/>
          <w:kern w:val="0"/>
          <w:sz w:val="24"/>
          <w:szCs w:val="24"/>
          <w:highlight w:val="none"/>
          <w:lang w:val="zh-CN"/>
        </w:rPr>
        <w:t>组成一个联合体，以一个投标人的身份</w:t>
      </w:r>
      <w:r>
        <w:rPr>
          <w:rFonts w:hint="eastAsia" w:ascii="仿宋_GB2312" w:hAnsi="仿宋_GB2312" w:eastAsia="仿宋_GB2312" w:cs="仿宋_GB2312"/>
          <w:color w:val="000000"/>
          <w:kern w:val="0"/>
          <w:sz w:val="24"/>
          <w:szCs w:val="24"/>
          <w:highlight w:val="none"/>
        </w:rPr>
        <w:t>参加</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【招标编号：</w:t>
      </w:r>
      <w:r>
        <w:rPr>
          <w:rFonts w:hint="eastAsia" w:ascii="仿宋_GB2312" w:hAnsi="仿宋_GB2312" w:eastAsia="仿宋_GB2312" w:cs="仿宋_GB2312"/>
          <w:color w:val="000000"/>
          <w:sz w:val="24"/>
          <w:szCs w:val="24"/>
          <w:highlight w:val="none"/>
          <w:u w:val="single"/>
        </w:rPr>
        <w:t>（采购编号）</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kern w:val="0"/>
          <w:sz w:val="24"/>
          <w:szCs w:val="24"/>
          <w:highlight w:val="none"/>
          <w:lang w:val="zh-CN"/>
        </w:rPr>
        <w:t>投标。</w:t>
      </w:r>
    </w:p>
    <w:p w14:paraId="51779B85">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一、各方一致决定，</w:t>
      </w:r>
      <w:r>
        <w:rPr>
          <w:rFonts w:hint="eastAsia" w:ascii="仿宋_GB2312" w:hAnsi="仿宋_GB2312" w:eastAsia="仿宋_GB2312" w:cs="仿宋_GB2312"/>
          <w:color w:val="000000"/>
          <w:kern w:val="0"/>
          <w:sz w:val="24"/>
          <w:szCs w:val="24"/>
          <w:highlight w:val="none"/>
          <w:u w:val="single"/>
        </w:rPr>
        <w:t>（某联合体成员名称）</w:t>
      </w:r>
      <w:r>
        <w:rPr>
          <w:rFonts w:hint="eastAsia" w:ascii="仿宋_GB2312" w:hAnsi="仿宋_GB2312" w:eastAsia="仿宋_GB2312" w:cs="仿宋_GB2312"/>
          <w:color w:val="000000"/>
          <w:kern w:val="0"/>
          <w:sz w:val="24"/>
          <w:szCs w:val="24"/>
          <w:highlight w:val="none"/>
        </w:rPr>
        <w:t>为联合体</w:t>
      </w:r>
      <w:r>
        <w:rPr>
          <w:rFonts w:hint="eastAsia" w:ascii="仿宋_GB2312" w:hAnsi="仿宋_GB2312" w:eastAsia="仿宋_GB2312" w:cs="仿宋_GB2312"/>
          <w:color w:val="000000"/>
          <w:kern w:val="0"/>
          <w:sz w:val="24"/>
          <w:szCs w:val="24"/>
          <w:highlight w:val="none"/>
          <w:lang w:val="zh-CN"/>
        </w:rPr>
        <w:t>牵头人</w:t>
      </w:r>
      <w:r>
        <w:rPr>
          <w:rFonts w:hint="eastAsia" w:ascii="仿宋_GB2312" w:hAnsi="仿宋_GB2312" w:eastAsia="仿宋_GB2312" w:cs="仿宋_GB2312"/>
          <w:color w:val="000000"/>
          <w:sz w:val="24"/>
          <w:szCs w:val="24"/>
          <w:highlight w:val="none"/>
        </w:rPr>
        <w:t>，代表所有联合体成员负责投标和合同实施阶段的主办、协调工作</w:t>
      </w:r>
      <w:r>
        <w:rPr>
          <w:rFonts w:hint="eastAsia" w:ascii="仿宋_GB2312" w:hAnsi="仿宋_GB2312" w:eastAsia="仿宋_GB2312" w:cs="仿宋_GB2312"/>
          <w:color w:val="000000"/>
          <w:kern w:val="0"/>
          <w:sz w:val="24"/>
          <w:szCs w:val="24"/>
          <w:highlight w:val="none"/>
          <w:lang w:val="zh-CN"/>
        </w:rPr>
        <w:t>。</w:t>
      </w:r>
    </w:p>
    <w:p w14:paraId="1484FEE9">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二、</w:t>
      </w:r>
      <w:r>
        <w:rPr>
          <w:rFonts w:hint="eastAsia" w:ascii="仿宋_GB2312" w:hAnsi="仿宋_GB2312" w:eastAsia="仿宋_GB2312" w:cs="仿宋_GB2312"/>
          <w:color w:val="000000"/>
          <w:sz w:val="24"/>
          <w:szCs w:val="24"/>
          <w:highlight w:val="none"/>
        </w:rPr>
        <w:t>所有联合体成员各方签署授权书，授权书载明的</w:t>
      </w:r>
      <w:r>
        <w:rPr>
          <w:rFonts w:hint="eastAsia" w:ascii="仿宋_GB2312" w:hAnsi="仿宋_GB2312" w:eastAsia="仿宋_GB2312" w:cs="仿宋_GB2312"/>
          <w:color w:val="000000"/>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08983240">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三、本次联合投标中，分工如下：</w:t>
      </w:r>
    </w:p>
    <w:p w14:paraId="7DACB832">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u w:val="single"/>
        </w:rPr>
        <w:t>（联合体成员1）</w:t>
      </w:r>
      <w:r>
        <w:rPr>
          <w:rFonts w:hint="eastAsia" w:ascii="仿宋_GB2312" w:hAnsi="仿宋_GB2312" w:eastAsia="仿宋_GB2312" w:cs="仿宋_GB2312"/>
          <w:color w:val="000000"/>
          <w:kern w:val="0"/>
          <w:sz w:val="24"/>
          <w:szCs w:val="24"/>
          <w:highlight w:val="none"/>
          <w:lang w:val="zh-CN"/>
        </w:rPr>
        <w:t>承担的工作和义务为：；</w:t>
      </w:r>
    </w:p>
    <w:p w14:paraId="2A337D10">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u w:val="single"/>
        </w:rPr>
        <w:t>（联合体成员2）</w:t>
      </w:r>
      <w:r>
        <w:rPr>
          <w:rFonts w:hint="eastAsia" w:ascii="仿宋_GB2312" w:hAnsi="仿宋_GB2312" w:eastAsia="仿宋_GB2312" w:cs="仿宋_GB2312"/>
          <w:color w:val="000000"/>
          <w:kern w:val="0"/>
          <w:sz w:val="24"/>
          <w:szCs w:val="24"/>
          <w:highlight w:val="none"/>
          <w:lang w:val="zh-CN"/>
        </w:rPr>
        <w:t>承担的工作和义务为：；</w:t>
      </w:r>
    </w:p>
    <w:p w14:paraId="3D961479">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w:t>
      </w:r>
    </w:p>
    <w:p w14:paraId="0CF85BDE">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四、联合体成员中小企业合同份额。</w:t>
      </w:r>
    </w:p>
    <w:p w14:paraId="370B88E2">
      <w:pPr>
        <w:snapToGrid w:val="0"/>
        <w:spacing w:line="360" w:lineRule="auto"/>
        <w:ind w:firstLine="576"/>
        <w:rPr>
          <w:rFonts w:hint="eastAsia" w:ascii="仿宋_GB2312" w:hAnsi="仿宋_GB2312" w:eastAsia="仿宋_GB2312" w:cs="仿宋_GB2312"/>
          <w:b/>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1、</w:t>
      </w:r>
      <w:r>
        <w:rPr>
          <w:rFonts w:hint="eastAsia" w:ascii="仿宋_GB2312" w:hAnsi="仿宋_GB2312" w:eastAsia="仿宋_GB2312" w:cs="仿宋_GB2312"/>
          <w:color w:val="000000"/>
          <w:kern w:val="0"/>
          <w:sz w:val="24"/>
          <w:szCs w:val="24"/>
          <w:highlight w:val="none"/>
          <w:u w:val="single"/>
        </w:rPr>
        <w:t>（</w:t>
      </w:r>
      <w:bookmarkStart w:id="505" w:name="_Hlk101131882"/>
      <w:r>
        <w:rPr>
          <w:rFonts w:hint="eastAsia" w:ascii="仿宋_GB2312" w:hAnsi="仿宋_GB2312" w:eastAsia="仿宋_GB2312" w:cs="仿宋_GB2312"/>
          <w:color w:val="000000"/>
          <w:kern w:val="0"/>
          <w:sz w:val="24"/>
          <w:szCs w:val="24"/>
          <w:highlight w:val="none"/>
          <w:u w:val="single"/>
        </w:rPr>
        <w:t>联合体成员X,……</w:t>
      </w:r>
      <w:bookmarkEnd w:id="505"/>
      <w:r>
        <w:rPr>
          <w:rFonts w:hint="eastAsia" w:ascii="仿宋_GB2312" w:hAnsi="仿宋_GB2312" w:eastAsia="仿宋_GB2312" w:cs="仿宋_GB2312"/>
          <w:color w:val="000000"/>
          <w:kern w:val="0"/>
          <w:sz w:val="24"/>
          <w:szCs w:val="24"/>
          <w:highlight w:val="none"/>
          <w:u w:val="single"/>
        </w:rPr>
        <w:t>）</w:t>
      </w:r>
      <w:r>
        <w:rPr>
          <w:rFonts w:hint="eastAsia" w:ascii="仿宋_GB2312" w:hAnsi="仿宋_GB2312" w:eastAsia="仿宋_GB2312" w:cs="仿宋_GB2312"/>
          <w:color w:val="000000"/>
          <w:kern w:val="0"/>
          <w:sz w:val="24"/>
          <w:szCs w:val="24"/>
          <w:highlight w:val="none"/>
        </w:rPr>
        <w:t>提供的服务由小微企业承接，其合同份额占到合同总金额%以上</w:t>
      </w:r>
      <w:r>
        <w:rPr>
          <w:rFonts w:hint="eastAsia" w:ascii="仿宋_GB2312" w:hAnsi="仿宋_GB2312" w:eastAsia="仿宋_GB2312" w:cs="仿宋_GB2312"/>
          <w:color w:val="000000"/>
          <w:kern w:val="0"/>
          <w:sz w:val="24"/>
          <w:szCs w:val="24"/>
          <w:highlight w:val="none"/>
          <w:lang w:val="zh-CN"/>
        </w:rPr>
        <w:t>。</w:t>
      </w:r>
      <w:r>
        <w:rPr>
          <w:rFonts w:hint="eastAsia" w:ascii="仿宋_GB2312" w:hAnsi="仿宋_GB2312" w:eastAsia="仿宋_GB2312" w:cs="仿宋_GB2312"/>
          <w:b/>
          <w:color w:val="000000"/>
          <w:kern w:val="0"/>
          <w:sz w:val="24"/>
          <w:szCs w:val="24"/>
          <w:highlight w:val="none"/>
          <w:lang w:val="zh-CN"/>
        </w:rPr>
        <w:t>（</w:t>
      </w:r>
      <w:bookmarkStart w:id="506" w:name="_Hlk101133598"/>
      <w:r>
        <w:rPr>
          <w:rFonts w:hint="eastAsia" w:ascii="仿宋_GB2312" w:hAnsi="仿宋_GB2312" w:eastAsia="仿宋_GB2312" w:cs="仿宋_GB2312"/>
          <w:b/>
          <w:color w:val="000000"/>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000000"/>
          <w:sz w:val="24"/>
          <w:szCs w:val="24"/>
          <w:highlight w:val="none"/>
        </w:rPr>
        <w:t>拟享受以上价格扣除政策的，填写有关内容。</w:t>
      </w:r>
      <w:bookmarkEnd w:id="506"/>
      <w:r>
        <w:rPr>
          <w:rFonts w:hint="eastAsia" w:ascii="仿宋_GB2312" w:hAnsi="仿宋_GB2312" w:eastAsia="仿宋_GB2312" w:cs="仿宋_GB2312"/>
          <w:b/>
          <w:color w:val="000000"/>
          <w:kern w:val="0"/>
          <w:sz w:val="24"/>
          <w:szCs w:val="24"/>
          <w:highlight w:val="none"/>
          <w:lang w:val="zh-CN"/>
        </w:rPr>
        <w:t>）</w:t>
      </w:r>
    </w:p>
    <w:p w14:paraId="062532B4">
      <w:pPr>
        <w:spacing w:line="360" w:lineRule="auto"/>
        <w:ind w:firstLine="480" w:firstLineChars="200"/>
        <w:rPr>
          <w:rFonts w:hint="eastAsia" w:ascii="仿宋_GB2312" w:hAnsi="仿宋_GB2312" w:eastAsia="仿宋_GB2312" w:cs="仿宋_GB2312"/>
          <w:b/>
          <w:bCs/>
          <w:color w:val="000000"/>
          <w:kern w:val="0"/>
          <w:sz w:val="24"/>
          <w:szCs w:val="24"/>
          <w:highlight w:val="none"/>
          <w:lang w:val="zh-CN"/>
        </w:rPr>
      </w:pPr>
      <w:r>
        <w:rPr>
          <w:rFonts w:hint="eastAsia" w:ascii="仿宋_GB2312" w:hAnsi="仿宋_GB2312" w:eastAsia="仿宋_GB2312" w:cs="仿宋_GB2312"/>
          <w:color w:val="000000"/>
          <w:sz w:val="24"/>
          <w:szCs w:val="24"/>
          <w:highlight w:val="none"/>
        </w:rPr>
        <w:t>2、</w:t>
      </w:r>
      <w:bookmarkStart w:id="507" w:name="_Hlk101133173"/>
      <w:r>
        <w:rPr>
          <w:rFonts w:hint="eastAsia" w:ascii="仿宋_GB2312" w:hAnsi="仿宋_GB2312" w:eastAsia="仿宋_GB2312" w:cs="仿宋_GB2312"/>
          <w:color w:val="000000"/>
          <w:sz w:val="24"/>
          <w:szCs w:val="24"/>
          <w:highlight w:val="none"/>
        </w:rPr>
        <w:t>中小企业合同金额达到%，小微企业合同金额达到%</w:t>
      </w:r>
      <w:r>
        <w:rPr>
          <w:rFonts w:hint="eastAsia" w:ascii="仿宋_GB2312" w:hAnsi="仿宋_GB2312" w:eastAsia="仿宋_GB2312" w:cs="仿宋_GB2312"/>
          <w:color w:val="000000"/>
          <w:kern w:val="0"/>
          <w:sz w:val="24"/>
          <w:szCs w:val="24"/>
          <w:highlight w:val="none"/>
          <w:lang w:val="zh-CN"/>
        </w:rPr>
        <w:t>。</w:t>
      </w:r>
      <w:r>
        <w:rPr>
          <w:rFonts w:hint="eastAsia" w:ascii="仿宋_GB2312" w:hAnsi="仿宋_GB2312" w:eastAsia="仿宋_GB2312" w:cs="仿宋_GB2312"/>
          <w:b/>
          <w:bCs/>
          <w:color w:val="000000"/>
          <w:kern w:val="0"/>
          <w:sz w:val="24"/>
          <w:szCs w:val="24"/>
          <w:highlight w:val="none"/>
          <w:lang w:val="zh-CN"/>
        </w:rPr>
        <w:t>（</w:t>
      </w:r>
      <w:r>
        <w:rPr>
          <w:rFonts w:hint="eastAsia" w:ascii="仿宋_GB2312" w:hAnsi="仿宋_GB2312" w:eastAsia="仿宋_GB2312" w:cs="仿宋_GB2312"/>
          <w:b/>
          <w:bCs/>
          <w:color w:val="000000"/>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000000"/>
          <w:kern w:val="0"/>
          <w:sz w:val="24"/>
          <w:szCs w:val="24"/>
          <w:highlight w:val="none"/>
          <w:lang w:val="zh-CN"/>
        </w:rPr>
        <w:t>）</w:t>
      </w:r>
      <w:bookmarkEnd w:id="507"/>
    </w:p>
    <w:p w14:paraId="756B959C">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五、如果中标，</w:t>
      </w:r>
      <w:r>
        <w:rPr>
          <w:rFonts w:hint="eastAsia" w:ascii="仿宋_GB2312" w:hAnsi="仿宋_GB2312" w:eastAsia="仿宋_GB2312" w:cs="仿宋_GB2312"/>
          <w:color w:val="000000"/>
          <w:sz w:val="24"/>
          <w:szCs w:val="24"/>
          <w:highlight w:val="none"/>
        </w:rPr>
        <w:t>联合体各成员方共同与采购人签订合同，并就采购合同约定的事项对采购人承担连带责任。</w:t>
      </w:r>
    </w:p>
    <w:p w14:paraId="393DC804">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六、有关本次联合投标的其他事宜：</w:t>
      </w:r>
    </w:p>
    <w:p w14:paraId="5BB27886">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1、联合体各方不再单独参加或者与其他供应商另外组成联合体参加同一合同项下的政府采购活动。</w:t>
      </w:r>
    </w:p>
    <w:p w14:paraId="1F3597B4">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2、联合体中有同类资质的各方按照联合体分工承担相同工作的，按照资质等级较低的供应商确定资质等级。</w:t>
      </w:r>
    </w:p>
    <w:p w14:paraId="6BABBC5D">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3、本协议提交采购人、采购代理机构后，联合体各方不得以任何形式对上述内容进行修改或撤销。</w:t>
      </w:r>
    </w:p>
    <w:p w14:paraId="2E1CCF77">
      <w:pPr>
        <w:snapToGrid w:val="0"/>
        <w:spacing w:line="360" w:lineRule="auto"/>
        <w:ind w:firstLine="5040" w:firstLineChars="2100"/>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联合体成员名称(电子签名/公章)：</w:t>
      </w:r>
    </w:p>
    <w:p w14:paraId="3A524072">
      <w:pPr>
        <w:snapToGrid w:val="0"/>
        <w:spacing w:line="360" w:lineRule="auto"/>
        <w:ind w:firstLine="5040" w:firstLineChars="2100"/>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联合体成员名称(电子签名/公章)：</w:t>
      </w:r>
    </w:p>
    <w:p w14:paraId="5682DF4C">
      <w:pPr>
        <w:snapToGrid w:val="0"/>
        <w:spacing w:line="360" w:lineRule="auto"/>
        <w:ind w:right="960"/>
        <w:jc w:val="center"/>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w:t>
      </w:r>
    </w:p>
    <w:p w14:paraId="7B99265B">
      <w:pPr>
        <w:snapToGrid w:val="0"/>
        <w:spacing w:line="360" w:lineRule="auto"/>
        <w:jc w:val="right"/>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日期：年月日</w:t>
      </w:r>
    </w:p>
    <w:p w14:paraId="57BB6E73">
      <w:pPr>
        <w:spacing w:line="540" w:lineRule="exact"/>
        <w:contextualSpacing/>
        <w:jc w:val="center"/>
        <w:rPr>
          <w:rFonts w:hint="eastAsia" w:ascii="仿宋_GB2312" w:hAnsi="仿宋_GB2312" w:eastAsia="仿宋_GB2312" w:cs="仿宋_GB2312"/>
          <w:b/>
          <w:color w:val="000000"/>
          <w:sz w:val="24"/>
          <w:szCs w:val="24"/>
          <w:highlight w:val="none"/>
        </w:rPr>
      </w:pPr>
    </w:p>
    <w:p w14:paraId="6D6F92BF">
      <w:pPr>
        <w:pStyle w:val="12"/>
        <w:rPr>
          <w:rFonts w:hint="eastAsia" w:ascii="仿宋_GB2312" w:hAnsi="仿宋_GB2312" w:eastAsia="仿宋_GB2312" w:cs="仿宋_GB2312"/>
          <w:color w:val="000000"/>
          <w:highlight w:val="none"/>
        </w:rPr>
      </w:pPr>
    </w:p>
    <w:p w14:paraId="16220DDB">
      <w:pPr>
        <w:pStyle w:val="12"/>
        <w:rPr>
          <w:rFonts w:hint="eastAsia" w:ascii="仿宋_GB2312" w:hAnsi="仿宋_GB2312" w:eastAsia="仿宋_GB2312" w:cs="仿宋_GB2312"/>
          <w:color w:val="000000"/>
          <w:highlight w:val="none"/>
        </w:rPr>
      </w:pPr>
    </w:p>
    <w:p w14:paraId="0F6B61CE">
      <w:pPr>
        <w:pStyle w:val="12"/>
        <w:rPr>
          <w:rFonts w:hint="eastAsia" w:ascii="仿宋_GB2312" w:hAnsi="仿宋_GB2312" w:eastAsia="仿宋_GB2312" w:cs="仿宋_GB2312"/>
          <w:color w:val="000000"/>
          <w:highlight w:val="none"/>
        </w:rPr>
      </w:pPr>
    </w:p>
    <w:p w14:paraId="6A25479B">
      <w:pPr>
        <w:pStyle w:val="12"/>
        <w:rPr>
          <w:rFonts w:hint="eastAsia" w:ascii="仿宋_GB2312" w:hAnsi="仿宋_GB2312" w:eastAsia="仿宋_GB2312" w:cs="仿宋_GB2312"/>
          <w:color w:val="000000"/>
          <w:highlight w:val="none"/>
        </w:rPr>
      </w:pPr>
    </w:p>
    <w:p w14:paraId="6C602B54">
      <w:pPr>
        <w:pStyle w:val="12"/>
        <w:rPr>
          <w:rFonts w:hint="eastAsia" w:ascii="仿宋_GB2312" w:hAnsi="仿宋_GB2312" w:eastAsia="仿宋_GB2312" w:cs="仿宋_GB2312"/>
          <w:color w:val="000000"/>
          <w:highlight w:val="none"/>
        </w:rPr>
      </w:pPr>
    </w:p>
    <w:p w14:paraId="6DA039AB">
      <w:pPr>
        <w:pStyle w:val="12"/>
        <w:rPr>
          <w:rFonts w:hint="eastAsia" w:ascii="仿宋_GB2312" w:hAnsi="仿宋_GB2312" w:eastAsia="仿宋_GB2312" w:cs="仿宋_GB2312"/>
          <w:color w:val="000000"/>
          <w:highlight w:val="none"/>
        </w:rPr>
      </w:pPr>
    </w:p>
    <w:p w14:paraId="5AEEE9D8">
      <w:pPr>
        <w:pStyle w:val="12"/>
        <w:rPr>
          <w:rFonts w:hint="eastAsia" w:ascii="仿宋_GB2312" w:hAnsi="仿宋_GB2312" w:eastAsia="仿宋_GB2312" w:cs="仿宋_GB2312"/>
          <w:color w:val="000000"/>
          <w:highlight w:val="none"/>
        </w:rPr>
      </w:pPr>
    </w:p>
    <w:p w14:paraId="65F02847">
      <w:pPr>
        <w:pStyle w:val="12"/>
        <w:rPr>
          <w:rFonts w:hint="eastAsia" w:ascii="仿宋_GB2312" w:hAnsi="仿宋_GB2312" w:eastAsia="仿宋_GB2312" w:cs="仿宋_GB2312"/>
          <w:color w:val="000000"/>
          <w:highlight w:val="none"/>
        </w:rPr>
      </w:pPr>
    </w:p>
    <w:p w14:paraId="67C520DD">
      <w:pPr>
        <w:pStyle w:val="12"/>
        <w:rPr>
          <w:rFonts w:hint="eastAsia" w:ascii="仿宋_GB2312" w:hAnsi="仿宋_GB2312" w:eastAsia="仿宋_GB2312" w:cs="仿宋_GB2312"/>
          <w:color w:val="000000"/>
          <w:highlight w:val="none"/>
        </w:rPr>
      </w:pPr>
    </w:p>
    <w:p w14:paraId="67B3F0B5">
      <w:pPr>
        <w:pStyle w:val="12"/>
        <w:rPr>
          <w:rFonts w:hint="eastAsia" w:ascii="仿宋_GB2312" w:hAnsi="仿宋_GB2312" w:eastAsia="仿宋_GB2312" w:cs="仿宋_GB2312"/>
          <w:color w:val="000000"/>
          <w:highlight w:val="none"/>
        </w:rPr>
      </w:pPr>
    </w:p>
    <w:p w14:paraId="036AB44D">
      <w:pPr>
        <w:pStyle w:val="12"/>
        <w:rPr>
          <w:rFonts w:hint="eastAsia" w:ascii="仿宋_GB2312" w:hAnsi="仿宋_GB2312" w:eastAsia="仿宋_GB2312" w:cs="仿宋_GB2312"/>
          <w:color w:val="000000"/>
          <w:highlight w:val="none"/>
        </w:rPr>
      </w:pPr>
    </w:p>
    <w:p w14:paraId="7C3E2F2C">
      <w:pPr>
        <w:pStyle w:val="12"/>
        <w:rPr>
          <w:rFonts w:hint="eastAsia" w:ascii="仿宋_GB2312" w:hAnsi="仿宋_GB2312" w:eastAsia="仿宋_GB2312" w:cs="仿宋_GB2312"/>
          <w:color w:val="000000"/>
          <w:highlight w:val="none"/>
        </w:rPr>
      </w:pPr>
    </w:p>
    <w:p w14:paraId="3064CA5B">
      <w:pPr>
        <w:pStyle w:val="12"/>
        <w:rPr>
          <w:rFonts w:hint="eastAsia" w:ascii="仿宋_GB2312" w:hAnsi="仿宋_GB2312" w:eastAsia="仿宋_GB2312" w:cs="仿宋_GB2312"/>
          <w:color w:val="000000"/>
          <w:highlight w:val="none"/>
        </w:rPr>
      </w:pPr>
    </w:p>
    <w:p w14:paraId="4FA3442C">
      <w:pPr>
        <w:pStyle w:val="12"/>
        <w:rPr>
          <w:rFonts w:hint="eastAsia" w:ascii="仿宋_GB2312" w:hAnsi="仿宋_GB2312" w:eastAsia="仿宋_GB2312" w:cs="仿宋_GB2312"/>
          <w:color w:val="000000"/>
          <w:highlight w:val="none"/>
        </w:rPr>
      </w:pPr>
    </w:p>
    <w:p w14:paraId="56761FC7">
      <w:pPr>
        <w:pStyle w:val="12"/>
        <w:rPr>
          <w:rFonts w:hint="eastAsia" w:ascii="仿宋_GB2312" w:hAnsi="仿宋_GB2312" w:eastAsia="仿宋_GB2312" w:cs="仿宋_GB2312"/>
          <w:color w:val="000000"/>
          <w:highlight w:val="none"/>
        </w:rPr>
      </w:pPr>
    </w:p>
    <w:p w14:paraId="44475B71">
      <w:pPr>
        <w:pStyle w:val="12"/>
        <w:rPr>
          <w:rFonts w:hint="eastAsia" w:ascii="仿宋_GB2312" w:hAnsi="仿宋_GB2312" w:eastAsia="仿宋_GB2312" w:cs="仿宋_GB2312"/>
          <w:color w:val="000000"/>
          <w:highlight w:val="none"/>
        </w:rPr>
      </w:pPr>
    </w:p>
    <w:p w14:paraId="2FAA24BF">
      <w:pPr>
        <w:pStyle w:val="12"/>
        <w:rPr>
          <w:rFonts w:hint="eastAsia" w:ascii="仿宋_GB2312" w:hAnsi="仿宋_GB2312" w:eastAsia="仿宋_GB2312" w:cs="仿宋_GB2312"/>
          <w:color w:val="000000"/>
          <w:highlight w:val="none"/>
        </w:rPr>
      </w:pPr>
    </w:p>
    <w:p w14:paraId="36F66DB8">
      <w:pPr>
        <w:pStyle w:val="12"/>
        <w:rPr>
          <w:rFonts w:hint="eastAsia" w:ascii="仿宋_GB2312" w:hAnsi="仿宋_GB2312" w:eastAsia="仿宋_GB2312" w:cs="仿宋_GB2312"/>
          <w:color w:val="000000"/>
          <w:highlight w:val="none"/>
        </w:rPr>
      </w:pPr>
    </w:p>
    <w:p w14:paraId="3F2D1E7B">
      <w:pPr>
        <w:pStyle w:val="12"/>
        <w:rPr>
          <w:rFonts w:hint="eastAsia" w:ascii="仿宋_GB2312" w:hAnsi="仿宋_GB2312" w:eastAsia="仿宋_GB2312" w:cs="仿宋_GB2312"/>
          <w:color w:val="000000"/>
          <w:highlight w:val="none"/>
        </w:rPr>
      </w:pPr>
    </w:p>
    <w:p w14:paraId="10B4CA2F">
      <w:pPr>
        <w:pStyle w:val="12"/>
        <w:rPr>
          <w:rFonts w:hint="eastAsia" w:ascii="仿宋_GB2312" w:hAnsi="仿宋_GB2312" w:eastAsia="仿宋_GB2312" w:cs="仿宋_GB2312"/>
          <w:color w:val="000000"/>
          <w:highlight w:val="none"/>
        </w:rPr>
      </w:pPr>
    </w:p>
    <w:p w14:paraId="5F04D3DB">
      <w:pPr>
        <w:snapToGrid w:val="0"/>
        <w:spacing w:line="360" w:lineRule="auto"/>
        <w:rPr>
          <w:rFonts w:hint="eastAsia" w:ascii="仿宋_GB2312" w:hAnsi="仿宋_GB2312" w:eastAsia="仿宋_GB2312" w:cs="仿宋_GB2312"/>
          <w:color w:val="000000"/>
          <w:spacing w:val="6"/>
          <w:sz w:val="28"/>
          <w:szCs w:val="28"/>
          <w:highlight w:val="none"/>
        </w:rPr>
      </w:pPr>
      <w:r>
        <w:rPr>
          <w:rFonts w:hint="eastAsia" w:ascii="仿宋_GB2312" w:hAnsi="仿宋_GB2312" w:eastAsia="仿宋_GB2312" w:cs="仿宋_GB2312"/>
          <w:color w:val="000000"/>
          <w:spacing w:val="6"/>
          <w:sz w:val="28"/>
          <w:szCs w:val="28"/>
          <w:highlight w:val="none"/>
        </w:rPr>
        <w:t>附件7：</w:t>
      </w:r>
    </w:p>
    <w:p w14:paraId="422EA057">
      <w:pPr>
        <w:snapToGrid w:val="0"/>
        <w:spacing w:line="360" w:lineRule="auto"/>
        <w:jc w:val="center"/>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分包意向协议</w:t>
      </w:r>
    </w:p>
    <w:p w14:paraId="53CC7A1E">
      <w:pPr>
        <w:widowControl/>
        <w:spacing w:line="360" w:lineRule="auto"/>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b/>
          <w:color w:val="000000"/>
          <w:sz w:val="24"/>
          <w:szCs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000000"/>
          <w:sz w:val="24"/>
          <w:szCs w:val="24"/>
          <w:highlight w:val="none"/>
        </w:rPr>
        <w:t>）</w:t>
      </w:r>
    </w:p>
    <w:p w14:paraId="7BBFEFF4">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u w:val="single"/>
        </w:rPr>
        <w:t>（投标人名称）</w:t>
      </w:r>
      <w:r>
        <w:rPr>
          <w:rFonts w:hint="eastAsia" w:ascii="仿宋_GB2312" w:hAnsi="仿宋_GB2312" w:eastAsia="仿宋_GB2312" w:cs="仿宋_GB2312"/>
          <w:color w:val="000000"/>
          <w:kern w:val="0"/>
          <w:sz w:val="24"/>
          <w:szCs w:val="24"/>
          <w:highlight w:val="none"/>
          <w:lang w:val="zh-CN"/>
        </w:rPr>
        <w:t>若成为</w:t>
      </w:r>
      <w:r>
        <w:rPr>
          <w:rFonts w:hint="eastAsia" w:ascii="仿宋_GB2312" w:hAnsi="仿宋_GB2312" w:eastAsia="仿宋_GB2312" w:cs="仿宋_GB2312"/>
          <w:color w:val="000000"/>
          <w:sz w:val="24"/>
          <w:szCs w:val="24"/>
          <w:highlight w:val="none"/>
          <w:u w:val="single"/>
        </w:rPr>
        <w:t>（项目名称）</w:t>
      </w:r>
      <w:r>
        <w:rPr>
          <w:rFonts w:hint="eastAsia" w:ascii="仿宋_GB2312" w:hAnsi="仿宋_GB2312" w:eastAsia="仿宋_GB2312" w:cs="仿宋_GB2312"/>
          <w:color w:val="000000"/>
          <w:sz w:val="24"/>
          <w:szCs w:val="24"/>
          <w:highlight w:val="none"/>
        </w:rPr>
        <w:t>【招标编号：</w:t>
      </w:r>
      <w:r>
        <w:rPr>
          <w:rFonts w:hint="eastAsia" w:ascii="仿宋_GB2312" w:hAnsi="仿宋_GB2312" w:eastAsia="仿宋_GB2312" w:cs="仿宋_GB2312"/>
          <w:color w:val="000000"/>
          <w:sz w:val="24"/>
          <w:szCs w:val="24"/>
          <w:highlight w:val="none"/>
          <w:u w:val="single"/>
        </w:rPr>
        <w:t>（采购编号）</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kern w:val="0"/>
          <w:sz w:val="24"/>
          <w:szCs w:val="24"/>
          <w:highlight w:val="none"/>
          <w:lang w:val="zh-CN"/>
        </w:rPr>
        <w:t>的中标供应商，将依法采取分包方式履行合同。</w:t>
      </w:r>
      <w:r>
        <w:rPr>
          <w:rFonts w:hint="eastAsia" w:ascii="仿宋_GB2312" w:hAnsi="仿宋_GB2312" w:eastAsia="仿宋_GB2312" w:cs="仿宋_GB2312"/>
          <w:color w:val="000000"/>
          <w:kern w:val="0"/>
          <w:sz w:val="24"/>
          <w:szCs w:val="24"/>
          <w:highlight w:val="none"/>
          <w:u w:val="single"/>
        </w:rPr>
        <w:t>（投标人名称）</w:t>
      </w:r>
      <w:r>
        <w:rPr>
          <w:rFonts w:hint="eastAsia" w:ascii="仿宋_GB2312" w:hAnsi="仿宋_GB2312" w:eastAsia="仿宋_GB2312" w:cs="仿宋_GB2312"/>
          <w:color w:val="000000"/>
          <w:kern w:val="0"/>
          <w:sz w:val="24"/>
          <w:szCs w:val="24"/>
          <w:highlight w:val="none"/>
        </w:rPr>
        <w:t>与</w:t>
      </w:r>
      <w:r>
        <w:rPr>
          <w:rFonts w:hint="eastAsia" w:ascii="仿宋_GB2312" w:hAnsi="仿宋_GB2312" w:eastAsia="仿宋_GB2312" w:cs="仿宋_GB2312"/>
          <w:color w:val="000000"/>
          <w:kern w:val="0"/>
          <w:sz w:val="24"/>
          <w:szCs w:val="24"/>
          <w:highlight w:val="none"/>
          <w:u w:val="single"/>
        </w:rPr>
        <w:t>（所有分包供应商名称）</w:t>
      </w:r>
      <w:r>
        <w:rPr>
          <w:rFonts w:hint="eastAsia" w:ascii="仿宋_GB2312" w:hAnsi="仿宋_GB2312" w:eastAsia="仿宋_GB2312" w:cs="仿宋_GB2312"/>
          <w:color w:val="000000"/>
          <w:kern w:val="0"/>
          <w:sz w:val="24"/>
          <w:szCs w:val="24"/>
          <w:highlight w:val="none"/>
        </w:rPr>
        <w:t>达成分包意向协议</w:t>
      </w:r>
      <w:r>
        <w:rPr>
          <w:rFonts w:hint="eastAsia" w:ascii="仿宋_GB2312" w:hAnsi="仿宋_GB2312" w:eastAsia="仿宋_GB2312" w:cs="仿宋_GB2312"/>
          <w:color w:val="000000"/>
          <w:kern w:val="0"/>
          <w:sz w:val="24"/>
          <w:szCs w:val="24"/>
          <w:highlight w:val="none"/>
          <w:lang w:val="zh-CN"/>
        </w:rPr>
        <w:t>。</w:t>
      </w:r>
    </w:p>
    <w:p w14:paraId="683924CA">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一、分包标的及数量</w:t>
      </w:r>
    </w:p>
    <w:p w14:paraId="003F87AF">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u w:val="single"/>
        </w:rPr>
        <w:t>（投标人名称）</w:t>
      </w:r>
      <w:r>
        <w:rPr>
          <w:rFonts w:hint="eastAsia" w:ascii="仿宋_GB2312" w:hAnsi="仿宋_GB2312" w:eastAsia="仿宋_GB2312" w:cs="仿宋_GB2312"/>
          <w:color w:val="000000"/>
          <w:kern w:val="0"/>
          <w:sz w:val="24"/>
          <w:szCs w:val="24"/>
          <w:highlight w:val="none"/>
          <w:lang w:val="zh-CN"/>
        </w:rPr>
        <w:t>将</w:t>
      </w:r>
      <w:r>
        <w:rPr>
          <w:rFonts w:hint="eastAsia" w:ascii="仿宋_GB2312" w:hAnsi="仿宋_GB2312" w:eastAsia="仿宋_GB2312" w:cs="仿宋_GB2312"/>
          <w:color w:val="000000"/>
          <w:kern w:val="0"/>
          <w:sz w:val="24"/>
          <w:szCs w:val="24"/>
          <w:highlight w:val="none"/>
          <w:u w:val="single"/>
        </w:rPr>
        <w:t xml:space="preserve"> XX工作内容</w:t>
      </w:r>
      <w:r>
        <w:rPr>
          <w:rFonts w:hint="eastAsia" w:ascii="仿宋_GB2312" w:hAnsi="仿宋_GB2312" w:eastAsia="仿宋_GB2312" w:cs="仿宋_GB2312"/>
          <w:color w:val="000000"/>
          <w:sz w:val="24"/>
          <w:szCs w:val="24"/>
          <w:highlight w:val="none"/>
        </w:rPr>
        <w:t>分包给</w:t>
      </w:r>
      <w:r>
        <w:rPr>
          <w:rFonts w:hint="eastAsia" w:ascii="仿宋_GB2312" w:hAnsi="仿宋_GB2312" w:eastAsia="仿宋_GB2312" w:cs="仿宋_GB2312"/>
          <w:color w:val="000000"/>
          <w:kern w:val="0"/>
          <w:sz w:val="24"/>
          <w:szCs w:val="24"/>
          <w:highlight w:val="none"/>
          <w:u w:val="single"/>
        </w:rPr>
        <w:t>（分包供应商1名称）</w:t>
      </w:r>
      <w:r>
        <w:rPr>
          <w:rFonts w:hint="eastAsia" w:ascii="仿宋_GB2312" w:hAnsi="仿宋_GB2312" w:eastAsia="仿宋_GB2312" w:cs="仿宋_GB2312"/>
          <w:color w:val="000000"/>
          <w:kern w:val="0"/>
          <w:sz w:val="24"/>
          <w:szCs w:val="24"/>
          <w:highlight w:val="none"/>
          <w:lang w:val="zh-CN"/>
        </w:rPr>
        <w:t>，</w:t>
      </w:r>
      <w:r>
        <w:rPr>
          <w:rFonts w:hint="eastAsia" w:ascii="仿宋_GB2312" w:hAnsi="仿宋_GB2312" w:eastAsia="仿宋_GB2312" w:cs="仿宋_GB2312"/>
          <w:color w:val="000000"/>
          <w:kern w:val="0"/>
          <w:sz w:val="24"/>
          <w:szCs w:val="24"/>
          <w:highlight w:val="none"/>
          <w:u w:val="single"/>
        </w:rPr>
        <w:t>（分包供应商2名称），</w:t>
      </w:r>
      <w:r>
        <w:rPr>
          <w:rFonts w:hint="eastAsia" w:ascii="仿宋_GB2312" w:hAnsi="仿宋_GB2312" w:eastAsia="仿宋_GB2312" w:cs="仿宋_GB2312"/>
          <w:color w:val="000000"/>
          <w:kern w:val="0"/>
          <w:sz w:val="24"/>
          <w:szCs w:val="24"/>
          <w:highlight w:val="none"/>
          <w:lang w:val="zh-CN"/>
        </w:rPr>
        <w:t>具备承</w:t>
      </w:r>
      <w:r>
        <w:rPr>
          <w:rFonts w:hint="eastAsia" w:ascii="仿宋_GB2312" w:hAnsi="仿宋_GB2312" w:eastAsia="仿宋_GB2312" w:cs="仿宋_GB2312"/>
          <w:color w:val="000000"/>
          <w:kern w:val="0"/>
          <w:sz w:val="24"/>
          <w:szCs w:val="24"/>
          <w:highlight w:val="none"/>
        </w:rPr>
        <w:t>担</w:t>
      </w:r>
      <w:r>
        <w:rPr>
          <w:rFonts w:hint="eastAsia" w:ascii="仿宋_GB2312" w:hAnsi="仿宋_GB2312" w:eastAsia="仿宋_GB2312" w:cs="仿宋_GB2312"/>
          <w:color w:val="000000"/>
          <w:kern w:val="0"/>
          <w:sz w:val="24"/>
          <w:szCs w:val="24"/>
          <w:highlight w:val="none"/>
          <w:u w:val="single"/>
          <w:lang w:val="zh-CN"/>
        </w:rPr>
        <w:t>XX工作内容</w:t>
      </w:r>
      <w:r>
        <w:rPr>
          <w:rFonts w:hint="eastAsia" w:ascii="仿宋_GB2312" w:hAnsi="仿宋_GB2312" w:eastAsia="仿宋_GB2312" w:cs="仿宋_GB2312"/>
          <w:color w:val="000000"/>
          <w:kern w:val="0"/>
          <w:sz w:val="24"/>
          <w:szCs w:val="24"/>
          <w:highlight w:val="none"/>
          <w:lang w:val="zh-CN"/>
        </w:rPr>
        <w:t>相应资质条件且不得再次分包；</w:t>
      </w:r>
    </w:p>
    <w:p w14:paraId="7F7F9E6C">
      <w:pPr>
        <w:pStyle w:val="2"/>
        <w:ind w:left="664" w:leftChars="316" w:firstLine="229" w:firstLineChars="95"/>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w:t>
      </w:r>
    </w:p>
    <w:p w14:paraId="408E3829">
      <w:pPr>
        <w:rPr>
          <w:rFonts w:hint="eastAsia" w:ascii="仿宋_GB2312" w:hAnsi="仿宋_GB2312" w:eastAsia="仿宋_GB2312" w:cs="仿宋_GB2312"/>
          <w:color w:val="000000"/>
          <w:sz w:val="24"/>
          <w:szCs w:val="24"/>
          <w:highlight w:val="none"/>
        </w:rPr>
      </w:pPr>
    </w:p>
    <w:p w14:paraId="7C814015">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二、分包供应商中小企业合同份额</w:t>
      </w:r>
    </w:p>
    <w:p w14:paraId="54CF1F8C">
      <w:pPr>
        <w:snapToGrid w:val="0"/>
        <w:spacing w:line="360" w:lineRule="auto"/>
        <w:ind w:firstLine="576"/>
        <w:rPr>
          <w:rFonts w:hint="eastAsia" w:ascii="仿宋_GB2312" w:hAnsi="仿宋_GB2312" w:eastAsia="仿宋_GB2312" w:cs="仿宋_GB2312"/>
          <w:b/>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rPr>
        <w:t>（一）</w:t>
      </w:r>
      <w:r>
        <w:rPr>
          <w:rFonts w:hint="eastAsia" w:ascii="仿宋_GB2312" w:hAnsi="仿宋_GB2312" w:eastAsia="仿宋_GB2312" w:cs="仿宋_GB2312"/>
          <w:color w:val="000000"/>
          <w:kern w:val="0"/>
          <w:sz w:val="24"/>
          <w:szCs w:val="24"/>
          <w:highlight w:val="none"/>
          <w:u w:val="single"/>
        </w:rPr>
        <w:t>（分包供应商X,……）提供的服务全部由小微企业承接，</w:t>
      </w:r>
      <w:r>
        <w:rPr>
          <w:rFonts w:hint="eastAsia" w:ascii="仿宋_GB2312" w:hAnsi="仿宋_GB2312" w:eastAsia="仿宋_GB2312" w:cs="仿宋_GB2312"/>
          <w:color w:val="000000"/>
          <w:kern w:val="0"/>
          <w:sz w:val="24"/>
          <w:szCs w:val="24"/>
          <w:highlight w:val="none"/>
        </w:rPr>
        <w:t>其合同份额占到合同总金额%以上</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b/>
          <w:color w:val="000000"/>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000000"/>
          <w:sz w:val="24"/>
          <w:szCs w:val="24"/>
          <w:highlight w:val="none"/>
        </w:rPr>
        <w:t>拟享受以上价格扣除政策的，填写有关内容。</w:t>
      </w:r>
      <w:r>
        <w:rPr>
          <w:rFonts w:hint="eastAsia" w:ascii="仿宋_GB2312" w:hAnsi="仿宋_GB2312" w:eastAsia="仿宋_GB2312" w:cs="仿宋_GB2312"/>
          <w:b/>
          <w:color w:val="000000"/>
          <w:kern w:val="0"/>
          <w:sz w:val="24"/>
          <w:szCs w:val="24"/>
          <w:highlight w:val="none"/>
          <w:lang w:val="zh-CN"/>
        </w:rPr>
        <w:t>）</w:t>
      </w:r>
    </w:p>
    <w:p w14:paraId="7D394FEF">
      <w:pPr>
        <w:spacing w:line="360" w:lineRule="auto"/>
        <w:ind w:firstLine="480" w:firstLineChars="200"/>
        <w:rPr>
          <w:rFonts w:hint="eastAsia" w:ascii="仿宋_GB2312" w:hAnsi="仿宋_GB2312" w:eastAsia="仿宋_GB2312" w:cs="仿宋_GB2312"/>
          <w:b/>
          <w:bCs/>
          <w:color w:val="000000"/>
          <w:kern w:val="0"/>
          <w:sz w:val="24"/>
          <w:szCs w:val="24"/>
          <w:highlight w:val="none"/>
          <w:lang w:val="zh-CN"/>
        </w:rPr>
      </w:pPr>
      <w:r>
        <w:rPr>
          <w:rFonts w:hint="eastAsia" w:ascii="仿宋_GB2312" w:hAnsi="仿宋_GB2312" w:eastAsia="仿宋_GB2312" w:cs="仿宋_GB2312"/>
          <w:color w:val="000000"/>
          <w:sz w:val="24"/>
          <w:szCs w:val="24"/>
          <w:highlight w:val="none"/>
        </w:rPr>
        <w:t>（二）中小企业合同金额达到%，小微企业合同金额达到%</w:t>
      </w:r>
      <w:r>
        <w:rPr>
          <w:rFonts w:hint="eastAsia" w:ascii="仿宋_GB2312" w:hAnsi="仿宋_GB2312" w:eastAsia="仿宋_GB2312" w:cs="仿宋_GB2312"/>
          <w:color w:val="000000"/>
          <w:kern w:val="0"/>
          <w:sz w:val="24"/>
          <w:szCs w:val="24"/>
          <w:highlight w:val="none"/>
          <w:lang w:val="zh-CN"/>
        </w:rPr>
        <w:t>。</w:t>
      </w:r>
      <w:r>
        <w:rPr>
          <w:rFonts w:hint="eastAsia" w:ascii="仿宋_GB2312" w:hAnsi="仿宋_GB2312" w:eastAsia="仿宋_GB2312" w:cs="仿宋_GB2312"/>
          <w:b/>
          <w:bCs/>
          <w:color w:val="000000"/>
          <w:kern w:val="0"/>
          <w:sz w:val="24"/>
          <w:szCs w:val="24"/>
          <w:highlight w:val="none"/>
          <w:lang w:val="zh-CN"/>
        </w:rPr>
        <w:t>（</w:t>
      </w:r>
      <w:r>
        <w:rPr>
          <w:rFonts w:hint="eastAsia" w:ascii="仿宋_GB2312" w:hAnsi="仿宋_GB2312" w:eastAsia="仿宋_GB2312" w:cs="仿宋_GB2312"/>
          <w:b/>
          <w:bCs/>
          <w:color w:val="000000"/>
          <w:sz w:val="24"/>
          <w:szCs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000000"/>
          <w:kern w:val="0"/>
          <w:sz w:val="24"/>
          <w:szCs w:val="24"/>
          <w:highlight w:val="none"/>
          <w:lang w:val="zh-CN"/>
        </w:rPr>
        <w:t>分包意向协议</w:t>
      </w:r>
      <w:r>
        <w:rPr>
          <w:rFonts w:hint="eastAsia" w:ascii="仿宋_GB2312" w:hAnsi="仿宋_GB2312" w:eastAsia="仿宋_GB2312" w:cs="仿宋_GB2312"/>
          <w:b/>
          <w:bCs/>
          <w:color w:val="000000"/>
          <w:sz w:val="24"/>
          <w:szCs w:val="24"/>
          <w:highlight w:val="none"/>
        </w:rPr>
        <w:t>中中小企业、小微企业合同金额应当达到的比例要求填写。</w:t>
      </w:r>
      <w:r>
        <w:rPr>
          <w:rFonts w:hint="eastAsia" w:ascii="仿宋_GB2312" w:hAnsi="仿宋_GB2312" w:eastAsia="仿宋_GB2312" w:cs="仿宋_GB2312"/>
          <w:b/>
          <w:bCs/>
          <w:color w:val="000000"/>
          <w:kern w:val="0"/>
          <w:sz w:val="24"/>
          <w:szCs w:val="24"/>
          <w:highlight w:val="none"/>
          <w:lang w:val="zh-CN"/>
        </w:rPr>
        <w:t>）</w:t>
      </w:r>
    </w:p>
    <w:p w14:paraId="72FF2DD5">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三、分包工作履行期限、地点、方式</w:t>
      </w:r>
    </w:p>
    <w:p w14:paraId="1DFF5C66">
      <w:pPr>
        <w:snapToGrid w:val="0"/>
        <w:spacing w:line="360" w:lineRule="auto"/>
        <w:ind w:firstLine="576"/>
        <w:rPr>
          <w:rFonts w:hint="eastAsia" w:ascii="仿宋_GB2312" w:hAnsi="仿宋_GB2312" w:eastAsia="仿宋_GB2312" w:cs="仿宋_GB2312"/>
          <w:color w:val="000000"/>
          <w:sz w:val="24"/>
          <w:szCs w:val="24"/>
          <w:highlight w:val="none"/>
          <w:u w:val="single"/>
        </w:rPr>
      </w:pPr>
    </w:p>
    <w:p w14:paraId="00B4C22F">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四、质量</w:t>
      </w:r>
    </w:p>
    <w:p w14:paraId="2247452B">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p>
    <w:p w14:paraId="19CD0D2C">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五、价款或者报酬</w:t>
      </w:r>
    </w:p>
    <w:p w14:paraId="7BAB0A53">
      <w:pPr>
        <w:snapToGrid w:val="0"/>
        <w:spacing w:line="360" w:lineRule="auto"/>
        <w:ind w:left="573" w:leftChars="273"/>
        <w:rPr>
          <w:rFonts w:hint="eastAsia" w:ascii="仿宋_GB2312" w:hAnsi="仿宋_GB2312" w:eastAsia="仿宋_GB2312" w:cs="仿宋_GB2312"/>
          <w:color w:val="000000"/>
          <w:kern w:val="0"/>
          <w:sz w:val="24"/>
          <w:szCs w:val="24"/>
          <w:highlight w:val="none"/>
          <w:lang w:val="zh-CN"/>
        </w:rPr>
      </w:pPr>
    </w:p>
    <w:p w14:paraId="1E06FEF8">
      <w:pPr>
        <w:snapToGrid w:val="0"/>
        <w:spacing w:line="360" w:lineRule="auto"/>
        <w:ind w:left="573" w:leftChars="273"/>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六、违约责任</w:t>
      </w:r>
    </w:p>
    <w:p w14:paraId="0805A9F7">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p>
    <w:p w14:paraId="4771E504">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七、争议解决的办法</w:t>
      </w:r>
    </w:p>
    <w:p w14:paraId="6F7819C2">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p>
    <w:p w14:paraId="7C205833">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八、其他</w:t>
      </w:r>
    </w:p>
    <w:p w14:paraId="22D645A8">
      <w:pPr>
        <w:snapToGrid w:val="0"/>
        <w:spacing w:line="360" w:lineRule="auto"/>
        <w:ind w:firstLine="576"/>
        <w:rPr>
          <w:rFonts w:hint="eastAsia" w:ascii="仿宋_GB2312" w:hAnsi="仿宋_GB2312" w:eastAsia="仿宋_GB2312" w:cs="仿宋_GB2312"/>
          <w:color w:val="000000"/>
          <w:kern w:val="0"/>
          <w:sz w:val="24"/>
          <w:szCs w:val="24"/>
          <w:highlight w:val="none"/>
          <w:lang w:val="zh-CN"/>
        </w:rPr>
      </w:pPr>
    </w:p>
    <w:p w14:paraId="3BDF531E">
      <w:pPr>
        <w:snapToGrid w:val="0"/>
        <w:spacing w:line="360" w:lineRule="auto"/>
        <w:ind w:left="5746" w:leftChars="2622" w:hanging="240" w:hangingChars="100"/>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投标人名称(电子签名)：</w:t>
      </w:r>
    </w:p>
    <w:p w14:paraId="6EB07C74">
      <w:pPr>
        <w:snapToGrid w:val="0"/>
        <w:spacing w:line="360" w:lineRule="auto"/>
        <w:jc w:val="right"/>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分包供应商名称(电子签名/公章)：</w:t>
      </w:r>
    </w:p>
    <w:p w14:paraId="6DC50A66">
      <w:pPr>
        <w:snapToGrid w:val="0"/>
        <w:spacing w:line="360" w:lineRule="auto"/>
        <w:ind w:firstLine="5760" w:firstLineChars="24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val="zh-CN"/>
        </w:rPr>
        <w:t>……</w:t>
      </w:r>
    </w:p>
    <w:p w14:paraId="46382899">
      <w:pPr>
        <w:snapToGrid w:val="0"/>
        <w:spacing w:line="360" w:lineRule="auto"/>
        <w:ind w:left="5758" w:leftChars="342" w:hanging="5040" w:hangingChars="2100"/>
        <w:jc w:val="right"/>
        <w:rPr>
          <w:rFonts w:hint="eastAsia" w:ascii="仿宋_GB2312" w:hAnsi="仿宋_GB2312" w:eastAsia="仿宋_GB2312" w:cs="仿宋_GB2312"/>
          <w:color w:val="000000"/>
          <w:kern w:val="0"/>
          <w:sz w:val="24"/>
          <w:szCs w:val="24"/>
          <w:highlight w:val="none"/>
          <w:lang w:val="zh-CN"/>
        </w:rPr>
      </w:pPr>
      <w:r>
        <w:rPr>
          <w:rFonts w:hint="eastAsia" w:ascii="仿宋_GB2312" w:hAnsi="仿宋_GB2312" w:eastAsia="仿宋_GB2312" w:cs="仿宋_GB2312"/>
          <w:color w:val="000000"/>
          <w:kern w:val="0"/>
          <w:sz w:val="24"/>
          <w:szCs w:val="24"/>
          <w:highlight w:val="none"/>
          <w:lang w:val="zh-CN"/>
        </w:rPr>
        <w:t>日期：年月日</w:t>
      </w:r>
    </w:p>
    <w:p w14:paraId="202E9AAC">
      <w:pPr>
        <w:spacing w:line="540" w:lineRule="exact"/>
        <w:contextualSpacing/>
        <w:jc w:val="center"/>
        <w:rPr>
          <w:rFonts w:hint="eastAsia" w:ascii="仿宋_GB2312" w:hAnsi="仿宋_GB2312" w:eastAsia="仿宋_GB2312" w:cs="仿宋_GB2312"/>
          <w:b/>
          <w:color w:val="000000"/>
          <w:sz w:val="24"/>
          <w:szCs w:val="24"/>
          <w:highlight w:val="none"/>
        </w:rPr>
      </w:pPr>
    </w:p>
    <w:p w14:paraId="14D2DD94">
      <w:pPr>
        <w:pStyle w:val="12"/>
        <w:rPr>
          <w:rFonts w:hint="eastAsia" w:ascii="仿宋_GB2312" w:hAnsi="仿宋_GB2312" w:eastAsia="仿宋_GB2312" w:cs="仿宋_GB2312"/>
          <w:color w:val="000000"/>
          <w:highlight w:val="none"/>
        </w:rPr>
      </w:pPr>
    </w:p>
    <w:p w14:paraId="5B37836F">
      <w:pPr>
        <w:pStyle w:val="12"/>
        <w:rPr>
          <w:rFonts w:hint="eastAsia" w:ascii="仿宋_GB2312" w:hAnsi="仿宋_GB2312" w:eastAsia="仿宋_GB2312" w:cs="仿宋_GB2312"/>
          <w:color w:val="000000"/>
          <w:highlight w:val="none"/>
        </w:rPr>
      </w:pPr>
    </w:p>
    <w:p w14:paraId="7C42FAE9">
      <w:pPr>
        <w:pStyle w:val="12"/>
        <w:rPr>
          <w:rFonts w:hint="eastAsia" w:ascii="仿宋_GB2312" w:hAnsi="仿宋_GB2312" w:eastAsia="仿宋_GB2312" w:cs="仿宋_GB2312"/>
          <w:color w:val="000000"/>
          <w:highlight w:val="none"/>
        </w:rPr>
      </w:pPr>
    </w:p>
    <w:p w14:paraId="0DD8BC49">
      <w:pPr>
        <w:pStyle w:val="12"/>
        <w:rPr>
          <w:rFonts w:hint="eastAsia" w:ascii="仿宋_GB2312" w:hAnsi="仿宋_GB2312" w:eastAsia="仿宋_GB2312" w:cs="仿宋_GB2312"/>
          <w:color w:val="000000"/>
          <w:highlight w:val="none"/>
        </w:rPr>
      </w:pPr>
    </w:p>
    <w:p w14:paraId="43A99DC2">
      <w:pPr>
        <w:pStyle w:val="12"/>
        <w:rPr>
          <w:rFonts w:hint="eastAsia" w:ascii="仿宋_GB2312" w:hAnsi="仿宋_GB2312" w:eastAsia="仿宋_GB2312" w:cs="仿宋_GB2312"/>
          <w:color w:val="000000"/>
          <w:highlight w:val="none"/>
        </w:rPr>
      </w:pPr>
    </w:p>
    <w:p w14:paraId="144066F7">
      <w:pPr>
        <w:pStyle w:val="12"/>
        <w:rPr>
          <w:rFonts w:hint="eastAsia" w:ascii="仿宋_GB2312" w:hAnsi="仿宋_GB2312" w:eastAsia="仿宋_GB2312" w:cs="仿宋_GB2312"/>
          <w:color w:val="000000"/>
          <w:highlight w:val="none"/>
        </w:rPr>
      </w:pPr>
    </w:p>
    <w:p w14:paraId="1263E1A8">
      <w:pPr>
        <w:pStyle w:val="12"/>
        <w:rPr>
          <w:rFonts w:hint="eastAsia" w:ascii="仿宋_GB2312" w:hAnsi="仿宋_GB2312" w:eastAsia="仿宋_GB2312" w:cs="仿宋_GB2312"/>
          <w:color w:val="000000"/>
          <w:highlight w:val="none"/>
        </w:rPr>
      </w:pPr>
    </w:p>
    <w:p w14:paraId="3BD13B83">
      <w:pPr>
        <w:pStyle w:val="12"/>
        <w:rPr>
          <w:rFonts w:hint="eastAsia" w:ascii="仿宋_GB2312" w:hAnsi="仿宋_GB2312" w:eastAsia="仿宋_GB2312" w:cs="仿宋_GB2312"/>
          <w:color w:val="000000"/>
          <w:highlight w:val="none"/>
        </w:rPr>
      </w:pPr>
    </w:p>
    <w:p w14:paraId="39FCF43F">
      <w:pPr>
        <w:pStyle w:val="12"/>
        <w:rPr>
          <w:rFonts w:hint="eastAsia" w:ascii="仿宋_GB2312" w:hAnsi="仿宋_GB2312" w:eastAsia="仿宋_GB2312" w:cs="仿宋_GB2312"/>
          <w:color w:val="000000"/>
          <w:highlight w:val="none"/>
        </w:rPr>
      </w:pPr>
    </w:p>
    <w:p w14:paraId="313ECDF6">
      <w:pPr>
        <w:pStyle w:val="12"/>
        <w:rPr>
          <w:rFonts w:hint="eastAsia" w:ascii="仿宋_GB2312" w:hAnsi="仿宋_GB2312" w:eastAsia="仿宋_GB2312" w:cs="仿宋_GB2312"/>
          <w:color w:val="000000"/>
          <w:highlight w:val="none"/>
        </w:rPr>
      </w:pPr>
    </w:p>
    <w:p w14:paraId="75263F42">
      <w:pPr>
        <w:pStyle w:val="12"/>
        <w:rPr>
          <w:rFonts w:hint="eastAsia" w:ascii="仿宋_GB2312" w:hAnsi="仿宋_GB2312" w:eastAsia="仿宋_GB2312" w:cs="仿宋_GB2312"/>
          <w:color w:val="000000"/>
          <w:highlight w:val="none"/>
        </w:rPr>
      </w:pPr>
    </w:p>
    <w:p w14:paraId="08D820F9">
      <w:pPr>
        <w:pStyle w:val="12"/>
        <w:rPr>
          <w:rFonts w:hint="eastAsia" w:ascii="仿宋_GB2312" w:hAnsi="仿宋_GB2312" w:eastAsia="仿宋_GB2312" w:cs="仿宋_GB2312"/>
          <w:color w:val="000000"/>
          <w:highlight w:val="none"/>
        </w:rPr>
      </w:pPr>
    </w:p>
    <w:p w14:paraId="3CF99B9D">
      <w:pPr>
        <w:pStyle w:val="12"/>
        <w:rPr>
          <w:rFonts w:hint="eastAsia" w:ascii="仿宋_GB2312" w:hAnsi="仿宋_GB2312" w:eastAsia="仿宋_GB2312" w:cs="仿宋_GB2312"/>
          <w:color w:val="000000"/>
          <w:highlight w:val="none"/>
        </w:rPr>
      </w:pPr>
    </w:p>
    <w:p w14:paraId="1E082674">
      <w:pPr>
        <w:pStyle w:val="12"/>
        <w:rPr>
          <w:rFonts w:hint="eastAsia" w:ascii="仿宋_GB2312" w:hAnsi="仿宋_GB2312" w:eastAsia="仿宋_GB2312" w:cs="仿宋_GB2312"/>
          <w:color w:val="000000"/>
          <w:highlight w:val="none"/>
        </w:rPr>
      </w:pPr>
    </w:p>
    <w:p w14:paraId="3B604DA3">
      <w:pPr>
        <w:pStyle w:val="12"/>
        <w:rPr>
          <w:rFonts w:hint="eastAsia" w:ascii="仿宋_GB2312" w:hAnsi="仿宋_GB2312" w:eastAsia="仿宋_GB2312" w:cs="仿宋_GB2312"/>
          <w:color w:val="000000"/>
          <w:highlight w:val="none"/>
        </w:rPr>
      </w:pPr>
    </w:p>
    <w:p w14:paraId="7A72C87B">
      <w:pPr>
        <w:pStyle w:val="12"/>
        <w:rPr>
          <w:rFonts w:hint="eastAsia" w:ascii="仿宋_GB2312" w:hAnsi="仿宋_GB2312" w:eastAsia="仿宋_GB2312" w:cs="仿宋_GB2312"/>
          <w:color w:val="000000"/>
          <w:highlight w:val="none"/>
        </w:rPr>
      </w:pPr>
    </w:p>
    <w:p w14:paraId="3AEC4A15">
      <w:pPr>
        <w:pStyle w:val="12"/>
        <w:rPr>
          <w:rFonts w:hint="eastAsia" w:ascii="仿宋_GB2312" w:hAnsi="仿宋_GB2312" w:eastAsia="仿宋_GB2312" w:cs="仿宋_GB2312"/>
          <w:color w:val="000000"/>
          <w:highlight w:val="none"/>
        </w:rPr>
      </w:pPr>
    </w:p>
    <w:p w14:paraId="0BED7A2A">
      <w:pPr>
        <w:pStyle w:val="12"/>
        <w:rPr>
          <w:rFonts w:hint="eastAsia" w:ascii="仿宋_GB2312" w:hAnsi="仿宋_GB2312" w:eastAsia="仿宋_GB2312" w:cs="仿宋_GB2312"/>
          <w:color w:val="000000"/>
          <w:highlight w:val="none"/>
        </w:rPr>
      </w:pPr>
    </w:p>
    <w:p w14:paraId="485E22C9">
      <w:pPr>
        <w:pStyle w:val="12"/>
        <w:rPr>
          <w:rFonts w:hint="eastAsia" w:ascii="仿宋_GB2312" w:hAnsi="仿宋_GB2312" w:eastAsia="仿宋_GB2312" w:cs="仿宋_GB2312"/>
          <w:color w:val="000000"/>
          <w:highlight w:val="none"/>
        </w:rPr>
      </w:pPr>
    </w:p>
    <w:p w14:paraId="76EAC59F">
      <w:pPr>
        <w:pStyle w:val="12"/>
        <w:rPr>
          <w:rFonts w:hint="eastAsia" w:ascii="仿宋_GB2312" w:hAnsi="仿宋_GB2312" w:eastAsia="仿宋_GB2312" w:cs="仿宋_GB2312"/>
          <w:color w:val="000000"/>
          <w:highlight w:val="none"/>
        </w:rPr>
      </w:pPr>
    </w:p>
    <w:p w14:paraId="6A51F0BF">
      <w:pPr>
        <w:spacing w:line="540" w:lineRule="exact"/>
        <w:contextualSpacing/>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政采贷</w:t>
      </w:r>
    </w:p>
    <w:p w14:paraId="6C6C3E6D">
      <w:pPr>
        <w:spacing w:line="540" w:lineRule="exact"/>
        <w:ind w:firstLine="480" w:firstLineChars="200"/>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062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noWrap w:val="0"/>
            <w:vAlign w:val="center"/>
          </w:tcPr>
          <w:p w14:paraId="4CB7173B">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舟山市政府采购信用融资合作银行</w:t>
            </w:r>
          </w:p>
        </w:tc>
      </w:tr>
      <w:tr w14:paraId="2290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noWrap w:val="0"/>
            <w:vAlign w:val="center"/>
          </w:tcPr>
          <w:p w14:paraId="494C5A14">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银行名称</w:t>
            </w:r>
          </w:p>
        </w:tc>
        <w:tc>
          <w:tcPr>
            <w:tcW w:w="3975" w:type="dxa"/>
            <w:noWrap w:val="0"/>
            <w:vAlign w:val="center"/>
          </w:tcPr>
          <w:p w14:paraId="3C5B0C8E">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各银行介绍的产品特点</w:t>
            </w:r>
          </w:p>
        </w:tc>
        <w:tc>
          <w:tcPr>
            <w:tcW w:w="2220" w:type="dxa"/>
            <w:noWrap w:val="0"/>
            <w:vAlign w:val="center"/>
          </w:tcPr>
          <w:p w14:paraId="2376EC35">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经办人</w:t>
            </w:r>
          </w:p>
        </w:tc>
        <w:tc>
          <w:tcPr>
            <w:tcW w:w="1908" w:type="dxa"/>
            <w:noWrap w:val="0"/>
            <w:vAlign w:val="center"/>
          </w:tcPr>
          <w:p w14:paraId="70AFF339">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联系方式</w:t>
            </w:r>
          </w:p>
        </w:tc>
      </w:tr>
      <w:tr w14:paraId="40D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27D8843D">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中国工商银行股份有限公司舟山分行</w:t>
            </w:r>
          </w:p>
        </w:tc>
        <w:tc>
          <w:tcPr>
            <w:tcW w:w="3975" w:type="dxa"/>
            <w:noWrap w:val="0"/>
            <w:vAlign w:val="top"/>
          </w:tcPr>
          <w:p w14:paraId="290FDC52">
            <w:pPr>
              <w:numPr>
                <w:ilvl w:val="0"/>
                <w:numId w:val="8"/>
              </w:numPr>
              <w:spacing w:line="400" w:lineRule="exact"/>
              <w:contextualSpacing/>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融资额度高，融资金额最高可至订单金额70%，线上申请，随借随还。2.融资利率低，最低可至当期LPR利率。</w:t>
            </w:r>
          </w:p>
          <w:p w14:paraId="0C46EA47">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szCs w:val="24"/>
                <w:highlight w:val="none"/>
              </w:rPr>
              <w:t>3.担保方式灵活，以政府采购合同进行融资，无需另外抵押。</w:t>
            </w:r>
          </w:p>
        </w:tc>
        <w:tc>
          <w:tcPr>
            <w:tcW w:w="2220" w:type="dxa"/>
            <w:noWrap w:val="0"/>
            <w:vAlign w:val="center"/>
          </w:tcPr>
          <w:p w14:paraId="10F22E04">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柳超颖</w:t>
            </w:r>
          </w:p>
        </w:tc>
        <w:tc>
          <w:tcPr>
            <w:tcW w:w="1908" w:type="dxa"/>
            <w:noWrap w:val="0"/>
            <w:vAlign w:val="center"/>
          </w:tcPr>
          <w:p w14:paraId="3AA66346">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0580-2166242, 15858076468</w:t>
            </w:r>
          </w:p>
        </w:tc>
      </w:tr>
      <w:tr w14:paraId="1664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noWrap w:val="0"/>
            <w:vAlign w:val="center"/>
          </w:tcPr>
          <w:p w14:paraId="0D7C1F4E">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中国建设银行股份有限公司舟山分行</w:t>
            </w:r>
          </w:p>
        </w:tc>
        <w:tc>
          <w:tcPr>
            <w:tcW w:w="3975" w:type="dxa"/>
            <w:noWrap w:val="0"/>
            <w:vAlign w:val="top"/>
          </w:tcPr>
          <w:p w14:paraId="483DD6B2">
            <w:pPr>
              <w:numPr>
                <w:ilvl w:val="0"/>
                <w:numId w:val="9"/>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快速便捷：全流程线上操作，通过浙江省政府采购网数据审核信用额度，建行供应链平台快速放款。</w:t>
            </w:r>
          </w:p>
          <w:p w14:paraId="004E31EA">
            <w:pPr>
              <w:numPr>
                <w:ilvl w:val="0"/>
                <w:numId w:val="9"/>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申请额度高：单笔融资额度最高可达政府采购合同金额的90%，单户额度最高可达3000万。</w:t>
            </w:r>
          </w:p>
          <w:p w14:paraId="6DFF510D">
            <w:pPr>
              <w:numPr>
                <w:ilvl w:val="0"/>
                <w:numId w:val="9"/>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无需额外抵押：以浙江省政府采购网备案公示的政府采购合同进行融资，无需额外抵押担保。</w:t>
            </w:r>
          </w:p>
          <w:p w14:paraId="50CD69CB">
            <w:pPr>
              <w:numPr>
                <w:ilvl w:val="0"/>
                <w:numId w:val="9"/>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利率优惠：给予流动资金贷款最优惠利率。</w:t>
            </w:r>
          </w:p>
        </w:tc>
        <w:tc>
          <w:tcPr>
            <w:tcW w:w="2220" w:type="dxa"/>
            <w:noWrap w:val="0"/>
            <w:vAlign w:val="center"/>
          </w:tcPr>
          <w:p w14:paraId="0B5470E2">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普陀片区：蔡妮妮</w:t>
            </w:r>
          </w:p>
          <w:p w14:paraId="52FAB456">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定海片区：杨莹</w:t>
            </w:r>
          </w:p>
          <w:p w14:paraId="31AF2345">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自贸区片区：方晓</w:t>
            </w:r>
          </w:p>
        </w:tc>
        <w:tc>
          <w:tcPr>
            <w:tcW w:w="1908" w:type="dxa"/>
            <w:noWrap w:val="0"/>
            <w:vAlign w:val="center"/>
          </w:tcPr>
          <w:p w14:paraId="38AF45CF">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普陀片区：13957201791</w:t>
            </w:r>
          </w:p>
          <w:p w14:paraId="46E6DF10">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定海片区：13655803997</w:t>
            </w:r>
          </w:p>
          <w:p w14:paraId="508C05E6">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自贸区片区：13587086324</w:t>
            </w:r>
          </w:p>
        </w:tc>
      </w:tr>
      <w:tr w14:paraId="76A0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7E614033">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杭州银行股份有限公司舟山市分行</w:t>
            </w:r>
          </w:p>
        </w:tc>
        <w:tc>
          <w:tcPr>
            <w:tcW w:w="3975" w:type="dxa"/>
            <w:noWrap w:val="0"/>
            <w:vAlign w:val="top"/>
          </w:tcPr>
          <w:p w14:paraId="7B9AE305">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noWrap w:val="0"/>
            <w:vAlign w:val="center"/>
          </w:tcPr>
          <w:p w14:paraId="5D19F0E7">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方经理</w:t>
            </w:r>
          </w:p>
        </w:tc>
        <w:tc>
          <w:tcPr>
            <w:tcW w:w="1908" w:type="dxa"/>
            <w:noWrap w:val="0"/>
            <w:vAlign w:val="center"/>
          </w:tcPr>
          <w:p w14:paraId="3574DEE3">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0580-2185201，18205800451</w:t>
            </w:r>
          </w:p>
        </w:tc>
      </w:tr>
      <w:tr w14:paraId="521F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6C3BB287">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招商银行股份有限公司浙江自贸试验区舟山分行</w:t>
            </w:r>
          </w:p>
        </w:tc>
        <w:tc>
          <w:tcPr>
            <w:tcW w:w="3975" w:type="dxa"/>
            <w:noWrap w:val="0"/>
            <w:vAlign w:val="top"/>
          </w:tcPr>
          <w:p w14:paraId="52F33901">
            <w:pPr>
              <w:spacing w:line="4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sz w:val="24"/>
                <w:szCs w:val="24"/>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noWrap w:val="0"/>
            <w:vAlign w:val="center"/>
          </w:tcPr>
          <w:p w14:paraId="1C85A347">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李玲</w:t>
            </w:r>
          </w:p>
        </w:tc>
        <w:tc>
          <w:tcPr>
            <w:tcW w:w="1908" w:type="dxa"/>
            <w:noWrap w:val="0"/>
            <w:vAlign w:val="center"/>
          </w:tcPr>
          <w:p w14:paraId="5C77E57D">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0580-2061710，13957227971</w:t>
            </w:r>
          </w:p>
        </w:tc>
      </w:tr>
      <w:tr w14:paraId="73A2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noWrap w:val="0"/>
            <w:vAlign w:val="center"/>
          </w:tcPr>
          <w:p w14:paraId="1ABBF386">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温州银行股份有限公司舟山市分行</w:t>
            </w:r>
          </w:p>
        </w:tc>
        <w:tc>
          <w:tcPr>
            <w:tcW w:w="3975" w:type="dxa"/>
            <w:noWrap w:val="0"/>
            <w:vAlign w:val="top"/>
          </w:tcPr>
          <w:p w14:paraId="13CFC67D">
            <w:pPr>
              <w:numPr>
                <w:ilvl w:val="0"/>
                <w:numId w:val="10"/>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单户授信敞口最高不超过1000万元，且最高额度核定一般不超过借款人（含实际控制人控制的其他经营实体）最近13个月合计有效中标合同金额的70%。</w:t>
            </w:r>
          </w:p>
          <w:p w14:paraId="62797073">
            <w:pPr>
              <w:numPr>
                <w:ilvl w:val="0"/>
                <w:numId w:val="10"/>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31FF05AD">
            <w:pPr>
              <w:numPr>
                <w:ilvl w:val="0"/>
                <w:numId w:val="10"/>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借款人中标采购人自行采购项目并向我行发起授信申请的，单笔业务授信敞口不超500万元，且不超过借款人中标通知书承载的中标金额或本次申请授信提供的采购合同的80%。</w:t>
            </w:r>
          </w:p>
          <w:p w14:paraId="0685431D">
            <w:pPr>
              <w:numPr>
                <w:ilvl w:val="0"/>
                <w:numId w:val="10"/>
              </w:num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符合我行采购人资质的，且负债率不超75%，配合应收账款质押登记确认的，并可出具确认函，单笔借款额度可按不超过采购合同的90%办理。</w:t>
            </w:r>
          </w:p>
        </w:tc>
        <w:tc>
          <w:tcPr>
            <w:tcW w:w="2220" w:type="dxa"/>
            <w:noWrap w:val="0"/>
            <w:vAlign w:val="center"/>
          </w:tcPr>
          <w:p w14:paraId="3218AE4F">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郑贤栋</w:t>
            </w:r>
          </w:p>
        </w:tc>
        <w:tc>
          <w:tcPr>
            <w:tcW w:w="1908" w:type="dxa"/>
            <w:noWrap w:val="0"/>
            <w:vAlign w:val="center"/>
          </w:tcPr>
          <w:p w14:paraId="25EB58A1">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0580—8866086</w:t>
            </w:r>
          </w:p>
        </w:tc>
      </w:tr>
      <w:tr w14:paraId="0A75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noWrap w:val="0"/>
            <w:vAlign w:val="center"/>
          </w:tcPr>
          <w:p w14:paraId="1F5C3387">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交通银行股份有限公司舟山分行</w:t>
            </w:r>
          </w:p>
        </w:tc>
        <w:tc>
          <w:tcPr>
            <w:tcW w:w="3975" w:type="dxa"/>
            <w:noWrap w:val="0"/>
            <w:vAlign w:val="top"/>
          </w:tcPr>
          <w:p w14:paraId="14118749">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szCs w:val="24"/>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仿宋_GB2312" w:hAnsi="仿宋_GB2312" w:eastAsia="仿宋_GB2312" w:cs="仿宋_GB2312"/>
                <w:color w:val="000000"/>
                <w:highlight w:val="none"/>
              </w:rPr>
              <w:t>PR。</w:t>
            </w:r>
          </w:p>
        </w:tc>
        <w:tc>
          <w:tcPr>
            <w:tcW w:w="2220" w:type="dxa"/>
            <w:noWrap w:val="0"/>
            <w:vAlign w:val="center"/>
          </w:tcPr>
          <w:p w14:paraId="3E295037">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赵争艳</w:t>
            </w:r>
          </w:p>
        </w:tc>
        <w:tc>
          <w:tcPr>
            <w:tcW w:w="1908" w:type="dxa"/>
            <w:noWrap w:val="0"/>
            <w:vAlign w:val="center"/>
          </w:tcPr>
          <w:p w14:paraId="22FEE5EB">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0580-2260728</w:t>
            </w:r>
          </w:p>
          <w:p w14:paraId="16C8EB42">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13758007280</w:t>
            </w:r>
          </w:p>
        </w:tc>
      </w:tr>
      <w:tr w14:paraId="1132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21CE2CD">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中信银行股份有限公司舟山分行</w:t>
            </w:r>
          </w:p>
        </w:tc>
        <w:tc>
          <w:tcPr>
            <w:tcW w:w="3975" w:type="dxa"/>
            <w:noWrap w:val="0"/>
            <w:vAlign w:val="top"/>
          </w:tcPr>
          <w:p w14:paraId="2B23FACD">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noWrap w:val="0"/>
            <w:vAlign w:val="center"/>
          </w:tcPr>
          <w:p w14:paraId="7D0342EE">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黄丽</w:t>
            </w:r>
          </w:p>
        </w:tc>
        <w:tc>
          <w:tcPr>
            <w:tcW w:w="1908" w:type="dxa"/>
            <w:noWrap w:val="0"/>
            <w:vAlign w:val="center"/>
          </w:tcPr>
          <w:p w14:paraId="65B5E9BF">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13905808032</w:t>
            </w:r>
          </w:p>
        </w:tc>
      </w:tr>
      <w:tr w14:paraId="3B7B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39A835A5">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泰隆银行舟山市分行</w:t>
            </w:r>
          </w:p>
        </w:tc>
        <w:tc>
          <w:tcPr>
            <w:tcW w:w="3975" w:type="dxa"/>
            <w:noWrap w:val="0"/>
            <w:vAlign w:val="top"/>
          </w:tcPr>
          <w:p w14:paraId="00B601E3">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noWrap w:val="0"/>
            <w:vAlign w:val="center"/>
          </w:tcPr>
          <w:p w14:paraId="51E6873C">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胡亢宇</w:t>
            </w:r>
          </w:p>
        </w:tc>
        <w:tc>
          <w:tcPr>
            <w:tcW w:w="1908" w:type="dxa"/>
            <w:noWrap w:val="0"/>
            <w:vAlign w:val="center"/>
          </w:tcPr>
          <w:p w14:paraId="608A1C44">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17605868703</w:t>
            </w:r>
          </w:p>
        </w:tc>
      </w:tr>
      <w:tr w14:paraId="15FF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4A46E099">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中国农业银行股份有限公司舟山分行</w:t>
            </w:r>
          </w:p>
        </w:tc>
        <w:tc>
          <w:tcPr>
            <w:tcW w:w="3975" w:type="dxa"/>
            <w:noWrap w:val="0"/>
            <w:vAlign w:val="top"/>
          </w:tcPr>
          <w:p w14:paraId="5B547275">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noWrap w:val="0"/>
            <w:vAlign w:val="center"/>
          </w:tcPr>
          <w:p w14:paraId="2D1A9FD8">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苏华瞻</w:t>
            </w:r>
          </w:p>
        </w:tc>
        <w:tc>
          <w:tcPr>
            <w:tcW w:w="1908" w:type="dxa"/>
            <w:noWrap w:val="0"/>
            <w:vAlign w:val="center"/>
          </w:tcPr>
          <w:p w14:paraId="060F2F4B">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13967228926</w:t>
            </w:r>
          </w:p>
        </w:tc>
      </w:tr>
      <w:tr w14:paraId="0107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noWrap w:val="0"/>
            <w:vAlign w:val="center"/>
          </w:tcPr>
          <w:p w14:paraId="17058F64">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中国邮政储蓄银行股份有限公司舟山市分行</w:t>
            </w:r>
          </w:p>
        </w:tc>
        <w:tc>
          <w:tcPr>
            <w:tcW w:w="3975" w:type="dxa"/>
            <w:noWrap w:val="0"/>
            <w:vAlign w:val="top"/>
          </w:tcPr>
          <w:p w14:paraId="52B85921">
            <w:pPr>
              <w:tabs>
                <w:tab w:val="left" w:pos="0"/>
              </w:tabs>
              <w:spacing w:line="400" w:lineRule="exact"/>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符合我行基本准入，授信额度使用期最高为2年，单户授信最高为500万，担保方式享受信用贷款执行，利率最低可至当期LPR ，有无还本续贷，12月份线上产品可以自主自贷。</w:t>
            </w:r>
          </w:p>
        </w:tc>
        <w:tc>
          <w:tcPr>
            <w:tcW w:w="2220" w:type="dxa"/>
            <w:noWrap w:val="0"/>
            <w:vAlign w:val="center"/>
          </w:tcPr>
          <w:p w14:paraId="04A6A288">
            <w:pPr>
              <w:spacing w:line="400" w:lineRule="exact"/>
              <w:contextualSpacing/>
              <w:jc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蒋志燕</w:t>
            </w:r>
          </w:p>
        </w:tc>
        <w:tc>
          <w:tcPr>
            <w:tcW w:w="1908" w:type="dxa"/>
            <w:noWrap w:val="0"/>
            <w:vAlign w:val="center"/>
          </w:tcPr>
          <w:p w14:paraId="3718C772">
            <w:pPr>
              <w:spacing w:line="400" w:lineRule="exact"/>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13732527321</w:t>
            </w:r>
          </w:p>
        </w:tc>
      </w:tr>
    </w:tbl>
    <w:p w14:paraId="09621F82">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 一般步骤</w:t>
      </w:r>
    </w:p>
    <w:p w14:paraId="1ED2F485">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（1）供应商先与银行对接，办理融资前期手续；</w:t>
      </w:r>
    </w:p>
    <w:p w14:paraId="0FEB888E">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（2）供应商成交后，凭成交通知书等材料，向相关合作银行发出融资申请；</w:t>
      </w:r>
    </w:p>
    <w:p w14:paraId="12BC2E09">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（3）银行、供应商线上办理审批、放贷事宜。</w:t>
      </w:r>
    </w:p>
    <w:p w14:paraId="470992DF">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 注意事项</w:t>
      </w:r>
    </w:p>
    <w:p w14:paraId="47154635">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（1）成交供应商需确保政府采购合同的收款账户与融资银行开户账户一致。</w:t>
      </w:r>
    </w:p>
    <w:p w14:paraId="178AC93D">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（2）用于政府采购信用融资的政府采购合同，应当包含如下条款：“第条：</w:t>
      </w:r>
    </w:p>
    <w:p w14:paraId="28EBBECA">
      <w:pPr>
        <w:spacing w:line="360" w:lineRule="auto"/>
        <w:contextualSpacing/>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政府采购合同贷款本合同同时用于乙方向银行（金融机构）申请政府采购信用贷款。本合同一经签订，原则上不得更改乙方收款账户信息。确须更改的，乙方应取得原合同收款账户开户银行书面同意，否则修改后的合同不予备案，采购资金不予支付。”</w:t>
      </w:r>
    </w:p>
    <w:p w14:paraId="5C378733">
      <w:pPr>
        <w:spacing w:line="540" w:lineRule="exact"/>
        <w:contextualSpacing/>
        <w:rPr>
          <w:rFonts w:hint="eastAsia" w:ascii="仿宋_GB2312" w:hAnsi="仿宋_GB2312" w:eastAsia="仿宋_GB2312" w:cs="仿宋_GB2312"/>
          <w:color w:val="000000"/>
          <w:sz w:val="24"/>
          <w:szCs w:val="24"/>
          <w:highlight w:val="none"/>
        </w:rPr>
      </w:pPr>
    </w:p>
    <w:p w14:paraId="4E6CBB29">
      <w:pPr>
        <w:rPr>
          <w:rFonts w:hint="eastAsia" w:ascii="仿宋_GB2312" w:hAnsi="仿宋_GB2312" w:eastAsia="仿宋_GB2312" w:cs="仿宋_GB2312"/>
          <w:color w:val="000000"/>
          <w:sz w:val="24"/>
          <w:szCs w:val="24"/>
          <w:highlight w:val="none"/>
        </w:rPr>
      </w:pPr>
    </w:p>
    <w:p w14:paraId="3512F8C7">
      <w:pPr>
        <w:rPr>
          <w:rFonts w:hint="eastAsia" w:ascii="仿宋_GB2312" w:hAnsi="仿宋_GB2312" w:eastAsia="仿宋_GB2312" w:cs="仿宋_GB2312"/>
          <w:color w:val="000000"/>
          <w:highlight w:val="none"/>
        </w:rPr>
      </w:pPr>
    </w:p>
    <w:p w14:paraId="3659989E">
      <w:pPr>
        <w:rPr>
          <w:rFonts w:hint="eastAsia" w:ascii="仿宋_GB2312" w:hAnsi="仿宋_GB2312" w:eastAsia="仿宋_GB2312" w:cs="仿宋_GB2312"/>
          <w:color w:val="000000"/>
          <w:highlight w:val="none"/>
        </w:rPr>
      </w:pPr>
    </w:p>
    <w:p w14:paraId="1A237B66">
      <w:pPr>
        <w:rPr>
          <w:rFonts w:hint="eastAsia" w:ascii="仿宋_GB2312" w:hAnsi="仿宋_GB2312" w:eastAsia="仿宋_GB2312" w:cs="仿宋_GB2312"/>
          <w:color w:val="000000"/>
          <w:highlight w:val="none"/>
        </w:rPr>
      </w:pPr>
    </w:p>
    <w:p w14:paraId="08D95212">
      <w:pPr>
        <w:rPr>
          <w:rFonts w:hint="eastAsia" w:ascii="仿宋_GB2312" w:hAnsi="仿宋_GB2312" w:eastAsia="仿宋_GB2312" w:cs="仿宋_GB2312"/>
          <w:color w:val="000000"/>
          <w:highlight w:val="none"/>
        </w:rPr>
      </w:pPr>
    </w:p>
    <w:p w14:paraId="1A427C09">
      <w:pPr>
        <w:rPr>
          <w:rFonts w:hint="eastAsia" w:ascii="仿宋_GB2312" w:hAnsi="仿宋_GB2312" w:eastAsia="仿宋_GB2312" w:cs="仿宋_GB2312"/>
          <w:color w:val="000000"/>
          <w:highlight w:val="none"/>
        </w:rPr>
      </w:pPr>
    </w:p>
    <w:p w14:paraId="46522A11">
      <w:pPr>
        <w:rPr>
          <w:rFonts w:hint="eastAsia" w:ascii="仿宋_GB2312" w:hAnsi="仿宋_GB2312" w:eastAsia="仿宋_GB2312" w:cs="仿宋_GB2312"/>
          <w:color w:val="000000"/>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decorative"/>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3D75">
    <w:pPr>
      <w:pStyle w:val="18"/>
      <w:jc w:val="center"/>
    </w:pPr>
    <w:r>
      <w:fldChar w:fldCharType="begin"/>
    </w:r>
    <w:r>
      <w:instrText xml:space="preserve"> PAGE   \* MERGEFORMAT </w:instrText>
    </w:r>
    <w:r>
      <w:fldChar w:fldCharType="separate"/>
    </w:r>
    <w:r>
      <w:rPr>
        <w:lang w:val="zh-CN"/>
      </w:rPr>
      <w:t>22</w:t>
    </w:r>
    <w:r>
      <w:rPr>
        <w:lang w:val="zh-CN"/>
      </w:rPr>
      <w:fldChar w:fldCharType="end"/>
    </w:r>
  </w:p>
  <w:p w14:paraId="78F75DED">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47BC">
    <w:pPr>
      <w:pStyle w:val="18"/>
      <w:jc w:val="center"/>
    </w:pPr>
    <w:r>
      <w:fldChar w:fldCharType="begin"/>
    </w:r>
    <w:r>
      <w:instrText xml:space="preserve"> PAGE   \* MERGEFORMAT </w:instrText>
    </w:r>
    <w:r>
      <w:fldChar w:fldCharType="separate"/>
    </w:r>
    <w:r>
      <w:rPr>
        <w:lang w:val="zh-CN"/>
      </w:rPr>
      <w:t>79</w:t>
    </w:r>
    <w:r>
      <w:rPr>
        <w:lang w:val="zh-CN"/>
      </w:rPr>
      <w:fldChar w:fldCharType="end"/>
    </w:r>
  </w:p>
  <w:p w14:paraId="0778FD1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1A807">
    <w:pPr>
      <w:pStyle w:val="18"/>
      <w:jc w:val="center"/>
    </w:pPr>
    <w:r>
      <w:fldChar w:fldCharType="begin"/>
    </w:r>
    <w:r>
      <w:instrText xml:space="preserve"> PAGE   \* MERGEFORMAT </w:instrText>
    </w:r>
    <w:r>
      <w:fldChar w:fldCharType="separate"/>
    </w:r>
    <w:r>
      <w:rPr>
        <w:lang w:val="zh-CN"/>
      </w:rPr>
      <w:t>97</w:t>
    </w:r>
    <w:r>
      <w:rPr>
        <w:lang w:val="zh-CN"/>
      </w:rPr>
      <w:fldChar w:fldCharType="end"/>
    </w:r>
  </w:p>
  <w:p w14:paraId="70607F6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7549">
    <w:r>
      <w:fldChar w:fldCharType="begin"/>
    </w:r>
    <w:r>
      <w:instrText xml:space="preserve">PAGE  </w:instrText>
    </w:r>
    <w:r>
      <w:fldChar w:fldCharType="end"/>
    </w:r>
  </w:p>
  <w:p w14:paraId="1964865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2E3B0">
    <w:pPr>
      <w:pStyle w:val="18"/>
      <w:jc w:val="center"/>
    </w:pPr>
    <w:r>
      <w:fldChar w:fldCharType="begin"/>
    </w:r>
    <w:r>
      <w:instrText xml:space="preserve"> PAGE   \* MERGEFORMAT </w:instrText>
    </w:r>
    <w:r>
      <w:fldChar w:fldCharType="separate"/>
    </w:r>
    <w:r>
      <w:rPr>
        <w:lang w:val="zh-CN"/>
      </w:rPr>
      <w:t>82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17FD">
    <w:r>
      <w:fldChar w:fldCharType="begin"/>
    </w:r>
    <w:r>
      <w:instrText xml:space="preserve">PAGE  </w:instrText>
    </w:r>
    <w:r>
      <w:fldChar w:fldCharType="end"/>
    </w:r>
  </w:p>
  <w:p w14:paraId="02DF6B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724CC">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019"/>
    </w:sdtPr>
    <w:sdtContent>
      <w:p w14:paraId="6EB41B48">
        <w:pPr>
          <w:pStyle w:val="18"/>
          <w:jc w:val="center"/>
        </w:pPr>
        <w:r>
          <w:fldChar w:fldCharType="begin"/>
        </w:r>
        <w:r>
          <w:instrText xml:space="preserve"> PAGE   \* MERGEFORMAT </w:instrText>
        </w:r>
        <w:r>
          <w:fldChar w:fldCharType="separate"/>
        </w:r>
        <w:r>
          <w:rPr>
            <w:lang w:val="zh-CN"/>
          </w:rPr>
          <w:t>42</w:t>
        </w:r>
        <w:r>
          <w:rPr>
            <w:lang w:val="zh-CN"/>
          </w:rPr>
          <w:fldChar w:fldCharType="end"/>
        </w:r>
      </w:p>
    </w:sdtContent>
  </w:sdt>
  <w:p w14:paraId="2E76DC5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0FC9">
    <w:r>
      <w:fldChar w:fldCharType="begin"/>
    </w:r>
    <w:r>
      <w:instrText xml:space="preserve">PAGE  </w:instrText>
    </w:r>
    <w:r>
      <w:fldChar w:fldCharType="end"/>
    </w:r>
  </w:p>
  <w:p w14:paraId="49EE01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529"/>
    </w:sdtPr>
    <w:sdtContent>
      <w:p w14:paraId="733C6321">
        <w:pPr>
          <w:pStyle w:val="18"/>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43EF">
    <w:pPr>
      <w:pStyle w:val="18"/>
      <w:jc w:val="center"/>
    </w:pPr>
    <w:r>
      <w:fldChar w:fldCharType="begin"/>
    </w:r>
    <w:r>
      <w:instrText xml:space="preserve"> PAGE   \* MERGEFORMAT </w:instrText>
    </w:r>
    <w:r>
      <w:fldChar w:fldCharType="separate"/>
    </w:r>
    <w:r>
      <w:rPr>
        <w:lang w:val="zh-CN"/>
      </w:rPr>
      <w:t>33</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AB63">
    <w:pPr>
      <w:pStyle w:val="18"/>
      <w:jc w:val="center"/>
    </w:pPr>
    <w:r>
      <w:fldChar w:fldCharType="begin"/>
    </w:r>
    <w:r>
      <w:instrText xml:space="preserve"> PAGE   \* MERGEFORMAT </w:instrText>
    </w:r>
    <w:r>
      <w:fldChar w:fldCharType="separate"/>
    </w:r>
    <w:r>
      <w:rPr>
        <w:lang w:val="zh-CN"/>
      </w:rPr>
      <w:t>23</w:t>
    </w:r>
    <w:r>
      <w:rPr>
        <w:lang w:val="zh-CN"/>
      </w:rPr>
      <w:fldChar w:fldCharType="end"/>
    </w:r>
  </w:p>
  <w:p w14:paraId="3B2BF01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AE09">
    <w:pPr>
      <w:pStyle w:val="18"/>
      <w:jc w:val="center"/>
    </w:pPr>
    <w:r>
      <w:fldChar w:fldCharType="begin"/>
    </w:r>
    <w:r>
      <w:instrText xml:space="preserve"> PAGE   \* MERGEFORMAT </w:instrText>
    </w:r>
    <w:r>
      <w:fldChar w:fldCharType="separate"/>
    </w:r>
    <w:r>
      <w:rPr>
        <w:lang w:val="zh-CN"/>
      </w:rPr>
      <w:t>81</w:t>
    </w:r>
    <w:r>
      <w:rPr>
        <w:lang w:val="zh-CN"/>
      </w:rPr>
      <w:fldChar w:fldCharType="end"/>
    </w:r>
  </w:p>
  <w:p w14:paraId="1014AB4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C4F1">
    <w:r>
      <w:t></w:t>
    </w:r>
  </w:p>
  <w:p w14:paraId="38E59A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F6C2">
    <w:r>
      <w:t></w:t>
    </w:r>
  </w:p>
  <w:p w14:paraId="495846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C97E">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27172">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9EFD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9A5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725E">
    <w:pPr>
      <w:pStyle w:val="19"/>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E57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B4302"/>
    <w:multiLevelType w:val="singleLevel"/>
    <w:tmpl w:val="D21B4302"/>
    <w:lvl w:ilvl="0" w:tentative="0">
      <w:start w:val="2"/>
      <w:numFmt w:val="chineseCounting"/>
      <w:suff w:val="nothing"/>
      <w:lvlText w:val="%1、"/>
      <w:lvlJc w:val="left"/>
      <w:rPr>
        <w:rFonts w:hint="eastAsia"/>
      </w:rPr>
    </w:lvl>
  </w:abstractNum>
  <w:abstractNum w:abstractNumId="1">
    <w:nsid w:val="FFA2D6AE"/>
    <w:multiLevelType w:val="singleLevel"/>
    <w:tmpl w:val="FFA2D6AE"/>
    <w:lvl w:ilvl="0" w:tentative="0">
      <w:start w:val="1"/>
      <w:numFmt w:val="decimal"/>
      <w:suff w:val="nothing"/>
      <w:lvlText w:val="%1、"/>
      <w:lvlJc w:val="left"/>
    </w:lvl>
  </w:abstractNum>
  <w:abstractNum w:abstractNumId="2">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chineseCountingThousand"/>
      <w:pStyle w:val="78"/>
      <w:suff w:val="space"/>
      <w:lvlText w:val="%1. "/>
      <w:lvlJc w:val="left"/>
      <w:pPr>
        <w:ind w:left="1179" w:hanging="907"/>
      </w:pPr>
    </w:lvl>
    <w:lvl w:ilvl="1" w:tentative="0">
      <w:start w:val="1"/>
      <w:numFmt w:val="decimal"/>
      <w:pStyle w:val="79"/>
      <w:isLgl/>
      <w:suff w:val="space"/>
      <w:lvlText w:val="%1.%2 "/>
      <w:lvlJc w:val="left"/>
      <w:pPr>
        <w:ind w:left="1362" w:hanging="794"/>
      </w:pPr>
    </w:lvl>
    <w:lvl w:ilvl="2" w:tentative="0">
      <w:start w:val="1"/>
      <w:numFmt w:val="decimal"/>
      <w:pStyle w:val="80"/>
      <w:isLgl/>
      <w:suff w:val="space"/>
      <w:lvlText w:val="%1.%2.%3 "/>
      <w:lvlJc w:val="left"/>
      <w:pPr>
        <w:ind w:left="907" w:hanging="907"/>
      </w:pPr>
    </w:lvl>
    <w:lvl w:ilvl="3" w:tentative="0">
      <w:start w:val="1"/>
      <w:numFmt w:val="decimal"/>
      <w:pStyle w:val="82"/>
      <w:isLgl/>
      <w:suff w:val="space"/>
      <w:lvlText w:val="%1.%2.%3.%4 "/>
      <w:lvlJc w:val="left"/>
      <w:pPr>
        <w:ind w:left="1021" w:hanging="1021"/>
      </w:pPr>
    </w:lvl>
    <w:lvl w:ilvl="4" w:tentative="0">
      <w:start w:val="1"/>
      <w:numFmt w:val="decimal"/>
      <w:pStyle w:val="83"/>
      <w:isLgl/>
      <w:suff w:val="space"/>
      <w:lvlText w:val="%1.%2.%3.%4.%5 "/>
      <w:lvlJc w:val="left"/>
      <w:pPr>
        <w:ind w:left="1134" w:hanging="1134"/>
      </w:pPr>
    </w:lvl>
    <w:lvl w:ilvl="5" w:tentative="0">
      <w:start w:val="1"/>
      <w:numFmt w:val="decimal"/>
      <w:pStyle w:val="84"/>
      <w:isLgl/>
      <w:suff w:val="space"/>
      <w:lvlText w:val="%1.%2.%3.%4.%5.%6 "/>
      <w:lvlJc w:val="left"/>
      <w:pPr>
        <w:ind w:left="1247" w:hanging="1247"/>
      </w:pPr>
    </w:lvl>
    <w:lvl w:ilvl="6" w:tentative="0">
      <w:start w:val="1"/>
      <w:numFmt w:val="decimal"/>
      <w:isLgl/>
      <w:suff w:val="space"/>
      <w:lvlText w:val="图 %1.%7 "/>
      <w:lvlJc w:val="left"/>
      <w:pPr>
        <w:ind w:left="0" w:firstLine="0"/>
      </w:pPr>
    </w:lvl>
    <w:lvl w:ilvl="7" w:tentative="0">
      <w:start w:val="1"/>
      <w:numFmt w:val="decimal"/>
      <w:isLgl/>
      <w:suff w:val="space"/>
      <w:lvlText w:val="表 %1.%8 "/>
      <w:lvlJc w:val="left"/>
      <w:pPr>
        <w:ind w:left="0" w:firstLine="0"/>
      </w:pPr>
    </w:lvl>
    <w:lvl w:ilvl="8" w:tentative="0">
      <w:start w:val="1"/>
      <w:numFmt w:val="none"/>
      <w:suff w:val="nothing"/>
      <w:lvlText w:val=""/>
      <w:lvlJc w:val="left"/>
      <w:pPr>
        <w:ind w:left="0" w:firstLine="0"/>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3"/>
      <w:numFmt w:val="decimal"/>
      <w:lvlText w:val="%1."/>
      <w:lvlJc w:val="left"/>
      <w:pPr>
        <w:tabs>
          <w:tab w:val="left" w:pos="312"/>
        </w:tabs>
      </w:pPr>
    </w:lvl>
  </w:abstractNum>
  <w:abstractNum w:abstractNumId="6">
    <w:nsid w:val="00000005"/>
    <w:multiLevelType w:val="singleLevel"/>
    <w:tmpl w:val="00000005"/>
    <w:lvl w:ilvl="0" w:tentative="0">
      <w:start w:val="1"/>
      <w:numFmt w:val="decimal"/>
      <w:lvlText w:val="%1."/>
      <w:lvlJc w:val="left"/>
      <w:pPr>
        <w:tabs>
          <w:tab w:val="left" w:pos="312"/>
        </w:tabs>
      </w:p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3BDE3914"/>
    <w:multiLevelType w:val="singleLevel"/>
    <w:tmpl w:val="3BDE3914"/>
    <w:lvl w:ilvl="0" w:tentative="0">
      <w:start w:val="12"/>
      <w:numFmt w:val="decimal"/>
      <w:suff w:val="nothing"/>
      <w:lvlText w:val="%1、"/>
      <w:lvlJc w:val="left"/>
    </w:lvl>
  </w:abstractNum>
  <w:abstractNum w:abstractNumId="9">
    <w:nsid w:val="7A9B6140"/>
    <w:multiLevelType w:val="singleLevel"/>
    <w:tmpl w:val="7A9B6140"/>
    <w:lvl w:ilvl="0" w:tentative="0">
      <w:start w:val="1"/>
      <w:numFmt w:val="decimal"/>
      <w:lvlText w:val="%1."/>
      <w:lvlJc w:val="left"/>
      <w:pPr>
        <w:tabs>
          <w:tab w:val="left" w:pos="312"/>
        </w:tabs>
      </w:pPr>
    </w:lvl>
  </w:abstractNum>
  <w:num w:numId="1">
    <w:abstractNumId w:val="3"/>
  </w:num>
  <w:num w:numId="2">
    <w:abstractNumId w:val="5"/>
  </w:num>
  <w:num w:numId="3">
    <w:abstractNumId w:val="0"/>
  </w:num>
  <w:num w:numId="4">
    <w:abstractNumId w:val="8"/>
  </w:num>
  <w:num w:numId="5">
    <w:abstractNumId w:val="1"/>
  </w:num>
  <w:num w:numId="6">
    <w:abstractNumId w:val="2"/>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YzE4MDM4ZTk3M2Q3OTE5Y2VkNTc0ZDhiZmYwNjIifQ=="/>
  </w:docVars>
  <w:rsids>
    <w:rsidRoot w:val="00D17E4D"/>
    <w:rsid w:val="000059A4"/>
    <w:rsid w:val="00011159"/>
    <w:rsid w:val="000157A0"/>
    <w:rsid w:val="00021F3F"/>
    <w:rsid w:val="00035DB6"/>
    <w:rsid w:val="00042F9F"/>
    <w:rsid w:val="00053B45"/>
    <w:rsid w:val="00062BBC"/>
    <w:rsid w:val="00076E53"/>
    <w:rsid w:val="00084ACE"/>
    <w:rsid w:val="000B02D0"/>
    <w:rsid w:val="000B62A1"/>
    <w:rsid w:val="001011B4"/>
    <w:rsid w:val="001172B0"/>
    <w:rsid w:val="00134331"/>
    <w:rsid w:val="00135D23"/>
    <w:rsid w:val="00147FB7"/>
    <w:rsid w:val="0015191E"/>
    <w:rsid w:val="0015451D"/>
    <w:rsid w:val="00157435"/>
    <w:rsid w:val="00157D62"/>
    <w:rsid w:val="001616D8"/>
    <w:rsid w:val="0016540F"/>
    <w:rsid w:val="00176A78"/>
    <w:rsid w:val="001A31E6"/>
    <w:rsid w:val="001A4182"/>
    <w:rsid w:val="001B396A"/>
    <w:rsid w:val="001C4D70"/>
    <w:rsid w:val="001C733E"/>
    <w:rsid w:val="001E4B66"/>
    <w:rsid w:val="001E7509"/>
    <w:rsid w:val="001F509A"/>
    <w:rsid w:val="00214F14"/>
    <w:rsid w:val="00234C56"/>
    <w:rsid w:val="00237FFB"/>
    <w:rsid w:val="00240926"/>
    <w:rsid w:val="00252FE7"/>
    <w:rsid w:val="0025625E"/>
    <w:rsid w:val="00273789"/>
    <w:rsid w:val="00280EE4"/>
    <w:rsid w:val="002923B4"/>
    <w:rsid w:val="002A487C"/>
    <w:rsid w:val="002C42A0"/>
    <w:rsid w:val="002E0E31"/>
    <w:rsid w:val="002E0FD6"/>
    <w:rsid w:val="002E10C9"/>
    <w:rsid w:val="002E41D9"/>
    <w:rsid w:val="002F6E78"/>
    <w:rsid w:val="00301BF4"/>
    <w:rsid w:val="00302A55"/>
    <w:rsid w:val="00304000"/>
    <w:rsid w:val="00310F98"/>
    <w:rsid w:val="003124F0"/>
    <w:rsid w:val="003173B7"/>
    <w:rsid w:val="00333A85"/>
    <w:rsid w:val="0034529B"/>
    <w:rsid w:val="0034600E"/>
    <w:rsid w:val="003501DB"/>
    <w:rsid w:val="00356572"/>
    <w:rsid w:val="00360950"/>
    <w:rsid w:val="00366837"/>
    <w:rsid w:val="00382235"/>
    <w:rsid w:val="003C3687"/>
    <w:rsid w:val="003C53FE"/>
    <w:rsid w:val="003D452F"/>
    <w:rsid w:val="003D4E0E"/>
    <w:rsid w:val="00402B8A"/>
    <w:rsid w:val="004056D2"/>
    <w:rsid w:val="00406A38"/>
    <w:rsid w:val="00417FE5"/>
    <w:rsid w:val="00426D1B"/>
    <w:rsid w:val="00427945"/>
    <w:rsid w:val="004310E0"/>
    <w:rsid w:val="004339C6"/>
    <w:rsid w:val="00436876"/>
    <w:rsid w:val="00442AA0"/>
    <w:rsid w:val="00446197"/>
    <w:rsid w:val="00455720"/>
    <w:rsid w:val="004827B3"/>
    <w:rsid w:val="00485956"/>
    <w:rsid w:val="0049069A"/>
    <w:rsid w:val="00491128"/>
    <w:rsid w:val="0049281D"/>
    <w:rsid w:val="004A13B9"/>
    <w:rsid w:val="004B4B62"/>
    <w:rsid w:val="004C094D"/>
    <w:rsid w:val="004C7DCF"/>
    <w:rsid w:val="004D7236"/>
    <w:rsid w:val="004E158E"/>
    <w:rsid w:val="004E3200"/>
    <w:rsid w:val="004F1914"/>
    <w:rsid w:val="00502419"/>
    <w:rsid w:val="005073DA"/>
    <w:rsid w:val="00510775"/>
    <w:rsid w:val="005171E2"/>
    <w:rsid w:val="00533438"/>
    <w:rsid w:val="00534468"/>
    <w:rsid w:val="00554450"/>
    <w:rsid w:val="00556153"/>
    <w:rsid w:val="0055687A"/>
    <w:rsid w:val="00557E25"/>
    <w:rsid w:val="005634AA"/>
    <w:rsid w:val="00566EBD"/>
    <w:rsid w:val="00572713"/>
    <w:rsid w:val="00575C59"/>
    <w:rsid w:val="00585E9F"/>
    <w:rsid w:val="00591CFA"/>
    <w:rsid w:val="00594E6C"/>
    <w:rsid w:val="00597461"/>
    <w:rsid w:val="005A1B6C"/>
    <w:rsid w:val="005B726F"/>
    <w:rsid w:val="005C5FAD"/>
    <w:rsid w:val="005E40D9"/>
    <w:rsid w:val="005E648F"/>
    <w:rsid w:val="005E7102"/>
    <w:rsid w:val="005F4F14"/>
    <w:rsid w:val="006068D5"/>
    <w:rsid w:val="00606B84"/>
    <w:rsid w:val="00613AA6"/>
    <w:rsid w:val="00615C5B"/>
    <w:rsid w:val="00621030"/>
    <w:rsid w:val="00626B39"/>
    <w:rsid w:val="00627127"/>
    <w:rsid w:val="00632D5C"/>
    <w:rsid w:val="00632FD1"/>
    <w:rsid w:val="00652985"/>
    <w:rsid w:val="006573A5"/>
    <w:rsid w:val="0066276C"/>
    <w:rsid w:val="0066393F"/>
    <w:rsid w:val="006739BB"/>
    <w:rsid w:val="006858A0"/>
    <w:rsid w:val="006870EA"/>
    <w:rsid w:val="006A0F59"/>
    <w:rsid w:val="006A1E3B"/>
    <w:rsid w:val="006B164C"/>
    <w:rsid w:val="006C3675"/>
    <w:rsid w:val="006C4152"/>
    <w:rsid w:val="006D5934"/>
    <w:rsid w:val="006F630B"/>
    <w:rsid w:val="007030CE"/>
    <w:rsid w:val="007056C9"/>
    <w:rsid w:val="00707E38"/>
    <w:rsid w:val="00715C45"/>
    <w:rsid w:val="007161F4"/>
    <w:rsid w:val="00722EC2"/>
    <w:rsid w:val="0073315C"/>
    <w:rsid w:val="007852C3"/>
    <w:rsid w:val="007966CF"/>
    <w:rsid w:val="007973D0"/>
    <w:rsid w:val="007A4AFA"/>
    <w:rsid w:val="007A4F6E"/>
    <w:rsid w:val="007B1A31"/>
    <w:rsid w:val="007B6A50"/>
    <w:rsid w:val="007C13AE"/>
    <w:rsid w:val="007C4FA7"/>
    <w:rsid w:val="007C74C2"/>
    <w:rsid w:val="007D5114"/>
    <w:rsid w:val="007E1E1B"/>
    <w:rsid w:val="007F1057"/>
    <w:rsid w:val="007F7787"/>
    <w:rsid w:val="00804E9F"/>
    <w:rsid w:val="00806F53"/>
    <w:rsid w:val="008111E6"/>
    <w:rsid w:val="00824DFA"/>
    <w:rsid w:val="00834044"/>
    <w:rsid w:val="008364CE"/>
    <w:rsid w:val="0084607D"/>
    <w:rsid w:val="008478AB"/>
    <w:rsid w:val="00847C06"/>
    <w:rsid w:val="00847D24"/>
    <w:rsid w:val="008500E3"/>
    <w:rsid w:val="008520EE"/>
    <w:rsid w:val="00863908"/>
    <w:rsid w:val="00875864"/>
    <w:rsid w:val="00884D18"/>
    <w:rsid w:val="00886980"/>
    <w:rsid w:val="00890BBC"/>
    <w:rsid w:val="008944CC"/>
    <w:rsid w:val="0089566D"/>
    <w:rsid w:val="008A7C60"/>
    <w:rsid w:val="008B2441"/>
    <w:rsid w:val="008B471C"/>
    <w:rsid w:val="008C07B4"/>
    <w:rsid w:val="008E779C"/>
    <w:rsid w:val="00905FC2"/>
    <w:rsid w:val="00906FCC"/>
    <w:rsid w:val="00912A64"/>
    <w:rsid w:val="00917A7C"/>
    <w:rsid w:val="00923A87"/>
    <w:rsid w:val="009266C8"/>
    <w:rsid w:val="00940931"/>
    <w:rsid w:val="009437B6"/>
    <w:rsid w:val="00950F71"/>
    <w:rsid w:val="0096088C"/>
    <w:rsid w:val="00963BD9"/>
    <w:rsid w:val="0097690B"/>
    <w:rsid w:val="00980C7F"/>
    <w:rsid w:val="00981C5F"/>
    <w:rsid w:val="00994412"/>
    <w:rsid w:val="009A5B24"/>
    <w:rsid w:val="009B2CAB"/>
    <w:rsid w:val="009B6498"/>
    <w:rsid w:val="009C0D0B"/>
    <w:rsid w:val="009C3C43"/>
    <w:rsid w:val="009C4153"/>
    <w:rsid w:val="009C64C8"/>
    <w:rsid w:val="009F67F9"/>
    <w:rsid w:val="00A20251"/>
    <w:rsid w:val="00A731EE"/>
    <w:rsid w:val="00AA14F5"/>
    <w:rsid w:val="00AA3061"/>
    <w:rsid w:val="00AA40A4"/>
    <w:rsid w:val="00AA50B6"/>
    <w:rsid w:val="00AB29F3"/>
    <w:rsid w:val="00AC4213"/>
    <w:rsid w:val="00AD0C2A"/>
    <w:rsid w:val="00AE0FA9"/>
    <w:rsid w:val="00B01C32"/>
    <w:rsid w:val="00B13BEC"/>
    <w:rsid w:val="00B312E6"/>
    <w:rsid w:val="00B4082F"/>
    <w:rsid w:val="00B5443F"/>
    <w:rsid w:val="00B57045"/>
    <w:rsid w:val="00B6258F"/>
    <w:rsid w:val="00B72185"/>
    <w:rsid w:val="00B72C18"/>
    <w:rsid w:val="00B77E47"/>
    <w:rsid w:val="00B96472"/>
    <w:rsid w:val="00B969B9"/>
    <w:rsid w:val="00BA6E13"/>
    <w:rsid w:val="00BD2BE4"/>
    <w:rsid w:val="00BD2DB4"/>
    <w:rsid w:val="00BD78E1"/>
    <w:rsid w:val="00BE03BF"/>
    <w:rsid w:val="00BE58FE"/>
    <w:rsid w:val="00BF0140"/>
    <w:rsid w:val="00BF648C"/>
    <w:rsid w:val="00C064EF"/>
    <w:rsid w:val="00C20DED"/>
    <w:rsid w:val="00C22071"/>
    <w:rsid w:val="00C30258"/>
    <w:rsid w:val="00C35BCE"/>
    <w:rsid w:val="00C517FD"/>
    <w:rsid w:val="00C6215C"/>
    <w:rsid w:val="00C635A7"/>
    <w:rsid w:val="00C87BD2"/>
    <w:rsid w:val="00CD05FD"/>
    <w:rsid w:val="00CD3E81"/>
    <w:rsid w:val="00CD794E"/>
    <w:rsid w:val="00CF529E"/>
    <w:rsid w:val="00D011FF"/>
    <w:rsid w:val="00D17E4D"/>
    <w:rsid w:val="00D30FE6"/>
    <w:rsid w:val="00D40840"/>
    <w:rsid w:val="00D50677"/>
    <w:rsid w:val="00D54994"/>
    <w:rsid w:val="00D7477C"/>
    <w:rsid w:val="00D87E66"/>
    <w:rsid w:val="00DA53EC"/>
    <w:rsid w:val="00DB4E33"/>
    <w:rsid w:val="00DB7912"/>
    <w:rsid w:val="00DC1580"/>
    <w:rsid w:val="00E04B0A"/>
    <w:rsid w:val="00E05F6E"/>
    <w:rsid w:val="00E07C14"/>
    <w:rsid w:val="00E230F4"/>
    <w:rsid w:val="00E45D56"/>
    <w:rsid w:val="00E6462D"/>
    <w:rsid w:val="00E649F3"/>
    <w:rsid w:val="00E8444B"/>
    <w:rsid w:val="00E96894"/>
    <w:rsid w:val="00EA5F5D"/>
    <w:rsid w:val="00EB57C0"/>
    <w:rsid w:val="00EB6236"/>
    <w:rsid w:val="00EC170C"/>
    <w:rsid w:val="00EC3D63"/>
    <w:rsid w:val="00EE0949"/>
    <w:rsid w:val="00F038E5"/>
    <w:rsid w:val="00F04F38"/>
    <w:rsid w:val="00F411E9"/>
    <w:rsid w:val="00F44EAB"/>
    <w:rsid w:val="00F51E56"/>
    <w:rsid w:val="00F5590D"/>
    <w:rsid w:val="00F61C31"/>
    <w:rsid w:val="00F66378"/>
    <w:rsid w:val="00F801F4"/>
    <w:rsid w:val="00FA40C7"/>
    <w:rsid w:val="00FA6275"/>
    <w:rsid w:val="00FB5667"/>
    <w:rsid w:val="00FC1E3E"/>
    <w:rsid w:val="00FC62E3"/>
    <w:rsid w:val="00FE569B"/>
    <w:rsid w:val="00FF5B91"/>
    <w:rsid w:val="00FF6A4F"/>
    <w:rsid w:val="00FF7A23"/>
    <w:rsid w:val="01BB1CBA"/>
    <w:rsid w:val="031605A5"/>
    <w:rsid w:val="032908F4"/>
    <w:rsid w:val="0346189F"/>
    <w:rsid w:val="03587630"/>
    <w:rsid w:val="042F0B9E"/>
    <w:rsid w:val="04CC16F9"/>
    <w:rsid w:val="056F5102"/>
    <w:rsid w:val="062E4A77"/>
    <w:rsid w:val="06640499"/>
    <w:rsid w:val="085B1D6F"/>
    <w:rsid w:val="08DA6189"/>
    <w:rsid w:val="090A22D0"/>
    <w:rsid w:val="097C2F38"/>
    <w:rsid w:val="0ACD72E3"/>
    <w:rsid w:val="0B120B26"/>
    <w:rsid w:val="0B74712A"/>
    <w:rsid w:val="0BEF6A57"/>
    <w:rsid w:val="0C564B9B"/>
    <w:rsid w:val="0CB06C4E"/>
    <w:rsid w:val="0CB16402"/>
    <w:rsid w:val="0DF2282E"/>
    <w:rsid w:val="0E960EFE"/>
    <w:rsid w:val="0ECF31C5"/>
    <w:rsid w:val="0F876CAA"/>
    <w:rsid w:val="10817E99"/>
    <w:rsid w:val="1090605D"/>
    <w:rsid w:val="115640DB"/>
    <w:rsid w:val="119B4F8B"/>
    <w:rsid w:val="11DA1F57"/>
    <w:rsid w:val="121A1366"/>
    <w:rsid w:val="136D0AFA"/>
    <w:rsid w:val="13776361"/>
    <w:rsid w:val="14733F9D"/>
    <w:rsid w:val="150F4C0D"/>
    <w:rsid w:val="15C96B44"/>
    <w:rsid w:val="15D7016F"/>
    <w:rsid w:val="16F1160C"/>
    <w:rsid w:val="170450F8"/>
    <w:rsid w:val="17384607"/>
    <w:rsid w:val="1778450C"/>
    <w:rsid w:val="17D62AA1"/>
    <w:rsid w:val="18215DD1"/>
    <w:rsid w:val="18C63235"/>
    <w:rsid w:val="193C265E"/>
    <w:rsid w:val="195919B3"/>
    <w:rsid w:val="19745C69"/>
    <w:rsid w:val="19E41BC5"/>
    <w:rsid w:val="1A192F67"/>
    <w:rsid w:val="1A8F02A3"/>
    <w:rsid w:val="1B0A18B9"/>
    <w:rsid w:val="1D303373"/>
    <w:rsid w:val="1FF117D2"/>
    <w:rsid w:val="216A0307"/>
    <w:rsid w:val="21D0685C"/>
    <w:rsid w:val="22587809"/>
    <w:rsid w:val="226E1B13"/>
    <w:rsid w:val="23C723AE"/>
    <w:rsid w:val="252B661C"/>
    <w:rsid w:val="2605789F"/>
    <w:rsid w:val="263D67D5"/>
    <w:rsid w:val="27ED550F"/>
    <w:rsid w:val="27F51441"/>
    <w:rsid w:val="28153891"/>
    <w:rsid w:val="285A12A4"/>
    <w:rsid w:val="286D43E2"/>
    <w:rsid w:val="29354CE1"/>
    <w:rsid w:val="2AED63FF"/>
    <w:rsid w:val="2B2362C5"/>
    <w:rsid w:val="2B2F6CA2"/>
    <w:rsid w:val="2B430715"/>
    <w:rsid w:val="2C32224A"/>
    <w:rsid w:val="2C8C26AF"/>
    <w:rsid w:val="2CC47634"/>
    <w:rsid w:val="2DA46DB0"/>
    <w:rsid w:val="30556F21"/>
    <w:rsid w:val="314E2C27"/>
    <w:rsid w:val="317727D0"/>
    <w:rsid w:val="31FA3C94"/>
    <w:rsid w:val="32BF0681"/>
    <w:rsid w:val="33003238"/>
    <w:rsid w:val="33501C21"/>
    <w:rsid w:val="336A2CE3"/>
    <w:rsid w:val="33705E1F"/>
    <w:rsid w:val="33A819B6"/>
    <w:rsid w:val="34070F50"/>
    <w:rsid w:val="3529097C"/>
    <w:rsid w:val="35477D7F"/>
    <w:rsid w:val="354F5B00"/>
    <w:rsid w:val="35666E38"/>
    <w:rsid w:val="35ED589A"/>
    <w:rsid w:val="35FFD3E8"/>
    <w:rsid w:val="369FF079"/>
    <w:rsid w:val="373F5BE4"/>
    <w:rsid w:val="383B2EA0"/>
    <w:rsid w:val="38877E93"/>
    <w:rsid w:val="389E342F"/>
    <w:rsid w:val="397D3044"/>
    <w:rsid w:val="39EE3E95"/>
    <w:rsid w:val="3AB748C0"/>
    <w:rsid w:val="3B04079B"/>
    <w:rsid w:val="3B14DD25"/>
    <w:rsid w:val="3BA30BB0"/>
    <w:rsid w:val="3C322BEA"/>
    <w:rsid w:val="3C390503"/>
    <w:rsid w:val="3CE82ECA"/>
    <w:rsid w:val="3D121CF5"/>
    <w:rsid w:val="3D564C7B"/>
    <w:rsid w:val="3DD31B91"/>
    <w:rsid w:val="3EA37093"/>
    <w:rsid w:val="3ED54C8A"/>
    <w:rsid w:val="3FF7001E"/>
    <w:rsid w:val="4012405C"/>
    <w:rsid w:val="40754A75"/>
    <w:rsid w:val="419D4283"/>
    <w:rsid w:val="41E15A93"/>
    <w:rsid w:val="42707BEA"/>
    <w:rsid w:val="42DA3AB4"/>
    <w:rsid w:val="43081BD1"/>
    <w:rsid w:val="432B3B11"/>
    <w:rsid w:val="43C51A5D"/>
    <w:rsid w:val="43C755E8"/>
    <w:rsid w:val="43D42754"/>
    <w:rsid w:val="443C6BC0"/>
    <w:rsid w:val="4550160D"/>
    <w:rsid w:val="458F2F5C"/>
    <w:rsid w:val="45A831F7"/>
    <w:rsid w:val="45C675F1"/>
    <w:rsid w:val="460F3276"/>
    <w:rsid w:val="4646138E"/>
    <w:rsid w:val="467F3637"/>
    <w:rsid w:val="46FC7C9E"/>
    <w:rsid w:val="47B15601"/>
    <w:rsid w:val="47C95850"/>
    <w:rsid w:val="47FD7C5D"/>
    <w:rsid w:val="48170989"/>
    <w:rsid w:val="48235060"/>
    <w:rsid w:val="48534FEC"/>
    <w:rsid w:val="489649C6"/>
    <w:rsid w:val="4911760F"/>
    <w:rsid w:val="49AF444A"/>
    <w:rsid w:val="4A056E6A"/>
    <w:rsid w:val="4AC565F9"/>
    <w:rsid w:val="4B942086"/>
    <w:rsid w:val="4BCB7EA1"/>
    <w:rsid w:val="4C46376A"/>
    <w:rsid w:val="4C683B50"/>
    <w:rsid w:val="4D553C64"/>
    <w:rsid w:val="4DE91E5D"/>
    <w:rsid w:val="4E332E37"/>
    <w:rsid w:val="4E6A373F"/>
    <w:rsid w:val="4F073148"/>
    <w:rsid w:val="4F3B50DC"/>
    <w:rsid w:val="4FA80E84"/>
    <w:rsid w:val="507B60D8"/>
    <w:rsid w:val="50874A7C"/>
    <w:rsid w:val="50A82787"/>
    <w:rsid w:val="50F61095"/>
    <w:rsid w:val="520E066F"/>
    <w:rsid w:val="52232583"/>
    <w:rsid w:val="542C1497"/>
    <w:rsid w:val="551C2433"/>
    <w:rsid w:val="55964B44"/>
    <w:rsid w:val="55D15DD4"/>
    <w:rsid w:val="563F7BE0"/>
    <w:rsid w:val="56F95A5B"/>
    <w:rsid w:val="56FD1613"/>
    <w:rsid w:val="577709DA"/>
    <w:rsid w:val="58AB504C"/>
    <w:rsid w:val="591C5F7E"/>
    <w:rsid w:val="598F6856"/>
    <w:rsid w:val="59A71687"/>
    <w:rsid w:val="5A680661"/>
    <w:rsid w:val="5BA109BC"/>
    <w:rsid w:val="5C180C7F"/>
    <w:rsid w:val="5C441A74"/>
    <w:rsid w:val="5CB571A6"/>
    <w:rsid w:val="5E547655"/>
    <w:rsid w:val="5E842434"/>
    <w:rsid w:val="5F283FC8"/>
    <w:rsid w:val="5FBA587D"/>
    <w:rsid w:val="608C7E04"/>
    <w:rsid w:val="60D24480"/>
    <w:rsid w:val="60D31618"/>
    <w:rsid w:val="60D3786A"/>
    <w:rsid w:val="60FA4DF7"/>
    <w:rsid w:val="61503E28"/>
    <w:rsid w:val="62287680"/>
    <w:rsid w:val="62734E40"/>
    <w:rsid w:val="62D73E37"/>
    <w:rsid w:val="632D7F1E"/>
    <w:rsid w:val="63A26353"/>
    <w:rsid w:val="643F5A4B"/>
    <w:rsid w:val="65247DF1"/>
    <w:rsid w:val="67136ED0"/>
    <w:rsid w:val="6735520A"/>
    <w:rsid w:val="67A755AC"/>
    <w:rsid w:val="67FE6CA6"/>
    <w:rsid w:val="68106CAE"/>
    <w:rsid w:val="68BB2DAE"/>
    <w:rsid w:val="699B6A4B"/>
    <w:rsid w:val="6ABD4754"/>
    <w:rsid w:val="6B4D72A6"/>
    <w:rsid w:val="6B6C4B43"/>
    <w:rsid w:val="6C5940BA"/>
    <w:rsid w:val="6C7C7008"/>
    <w:rsid w:val="6CC8073C"/>
    <w:rsid w:val="6D34343E"/>
    <w:rsid w:val="6D592EA5"/>
    <w:rsid w:val="6D642F03"/>
    <w:rsid w:val="6D657A9C"/>
    <w:rsid w:val="6E0F17B6"/>
    <w:rsid w:val="6E55586F"/>
    <w:rsid w:val="6EFE7CBF"/>
    <w:rsid w:val="70EA2BA8"/>
    <w:rsid w:val="740616BD"/>
    <w:rsid w:val="74841862"/>
    <w:rsid w:val="757136D3"/>
    <w:rsid w:val="75A938A5"/>
    <w:rsid w:val="77146957"/>
    <w:rsid w:val="77720647"/>
    <w:rsid w:val="777F0DB7"/>
    <w:rsid w:val="77A60C7E"/>
    <w:rsid w:val="77F77772"/>
    <w:rsid w:val="782E5EC7"/>
    <w:rsid w:val="785B5D23"/>
    <w:rsid w:val="78736567"/>
    <w:rsid w:val="79764DDF"/>
    <w:rsid w:val="7A3C0663"/>
    <w:rsid w:val="7AA1E5A1"/>
    <w:rsid w:val="7B7F7F7B"/>
    <w:rsid w:val="7B905F16"/>
    <w:rsid w:val="7BFC0690"/>
    <w:rsid w:val="7D754069"/>
    <w:rsid w:val="7DD56578"/>
    <w:rsid w:val="7DE245E8"/>
    <w:rsid w:val="7E6B5F10"/>
    <w:rsid w:val="7E7D211D"/>
    <w:rsid w:val="7F242D7C"/>
    <w:rsid w:val="D9E7D366"/>
    <w:rsid w:val="E8B5CCBE"/>
    <w:rsid w:val="EEBF8930"/>
    <w:rsid w:val="F75B92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37"/>
    <w:qFormat/>
    <w:uiPriority w:val="99"/>
    <w:pPr>
      <w:keepNext/>
      <w:keepLines/>
      <w:spacing w:before="260" w:after="260" w:line="412" w:lineRule="auto"/>
      <w:outlineLvl w:val="1"/>
    </w:pPr>
    <w:rPr>
      <w:rFonts w:ascii="Arial" w:hAnsi="Arial" w:cs="Times New Roman"/>
      <w:b/>
      <w:sz w:val="32"/>
      <w:szCs w:val="28"/>
    </w:rPr>
  </w:style>
  <w:style w:type="paragraph" w:styleId="5">
    <w:name w:val="heading 3"/>
    <w:basedOn w:val="1"/>
    <w:next w:val="1"/>
    <w:link w:val="38"/>
    <w:qFormat/>
    <w:uiPriority w:val="9"/>
    <w:pPr>
      <w:keepNext/>
      <w:keepLines/>
      <w:spacing w:before="260" w:after="260" w:line="416" w:lineRule="auto"/>
      <w:outlineLvl w:val="2"/>
    </w:pPr>
    <w:rPr>
      <w:b/>
      <w:bCs/>
      <w:sz w:val="32"/>
      <w:szCs w:val="32"/>
    </w:rPr>
  </w:style>
  <w:style w:type="paragraph" w:styleId="6">
    <w:name w:val="heading 4"/>
    <w:basedOn w:val="1"/>
    <w:next w:val="1"/>
    <w:link w:val="39"/>
    <w:qFormat/>
    <w:uiPriority w:val="9"/>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3">
    <w:name w:val="Normal Indent"/>
    <w:basedOn w:val="1"/>
    <w:link w:val="40"/>
    <w:qFormat/>
    <w:uiPriority w:val="0"/>
    <w:pPr>
      <w:ind w:firstLine="420"/>
    </w:pPr>
  </w:style>
  <w:style w:type="paragraph" w:styleId="7">
    <w:name w:val="List Number"/>
    <w:basedOn w:val="1"/>
    <w:qFormat/>
    <w:uiPriority w:val="0"/>
    <w:pPr>
      <w:widowControl/>
      <w:tabs>
        <w:tab w:val="left" w:pos="360"/>
        <w:tab w:val="left" w:pos="454"/>
        <w:tab w:val="left" w:pos="720"/>
      </w:tabs>
      <w:spacing w:afterLines="50"/>
      <w:ind w:left="454" w:hanging="284"/>
      <w:jc w:val="left"/>
    </w:pPr>
    <w:rPr>
      <w:rFonts w:ascii="Times New Roman" w:hAnsi="Times New Roman" w:cs="Times New Roman"/>
      <w:kern w:val="0"/>
      <w:sz w:val="24"/>
      <w:szCs w:val="20"/>
    </w:rPr>
  </w:style>
  <w:style w:type="paragraph" w:styleId="8">
    <w:name w:val="Document Map"/>
    <w:basedOn w:val="1"/>
    <w:link w:val="41"/>
    <w:qFormat/>
    <w:uiPriority w:val="99"/>
    <w:rPr>
      <w:rFonts w:ascii="宋体"/>
      <w:sz w:val="18"/>
      <w:szCs w:val="18"/>
    </w:rPr>
  </w:style>
  <w:style w:type="paragraph" w:styleId="9">
    <w:name w:val="annotation text"/>
    <w:basedOn w:val="1"/>
    <w:link w:val="42"/>
    <w:qFormat/>
    <w:uiPriority w:val="0"/>
    <w:pPr>
      <w:jc w:val="left"/>
    </w:pPr>
  </w:style>
  <w:style w:type="paragraph" w:styleId="10">
    <w:name w:val="Body Text"/>
    <w:basedOn w:val="1"/>
    <w:next w:val="11"/>
    <w:link w:val="34"/>
    <w:qFormat/>
    <w:uiPriority w:val="99"/>
    <w:pPr>
      <w:spacing w:after="120"/>
    </w:pPr>
  </w:style>
  <w:style w:type="paragraph" w:styleId="11">
    <w:name w:val="Body Text First Indent"/>
    <w:basedOn w:val="10"/>
    <w:link w:val="35"/>
    <w:qFormat/>
    <w:uiPriority w:val="0"/>
    <w:pPr>
      <w:widowControl/>
      <w:ind w:firstLine="420" w:firstLineChars="100"/>
      <w:jc w:val="left"/>
    </w:pPr>
    <w:rPr>
      <w:rFonts w:ascii="Times New Roman" w:cs="Times New Roman"/>
      <w:kern w:val="0"/>
      <w:sz w:val="24"/>
      <w:szCs w:val="24"/>
      <w:lang w:eastAsia="en-US" w:bidi="en-US"/>
    </w:rPr>
  </w:style>
  <w:style w:type="paragraph" w:styleId="12">
    <w:name w:val="Body Text Indent"/>
    <w:basedOn w:val="1"/>
    <w:link w:val="43"/>
    <w:qFormat/>
    <w:uiPriority w:val="0"/>
    <w:pPr>
      <w:spacing w:line="480" w:lineRule="exact"/>
      <w:ind w:firstLine="480" w:firstLineChars="200"/>
    </w:pPr>
    <w:rPr>
      <w:rFonts w:ascii="宋体" w:hAnsi="宋体"/>
      <w:sz w:val="24"/>
    </w:rPr>
  </w:style>
  <w:style w:type="paragraph" w:styleId="13">
    <w:name w:val="Block Text"/>
    <w:basedOn w:val="1"/>
    <w:qFormat/>
    <w:uiPriority w:val="0"/>
    <w:pPr>
      <w:spacing w:line="360" w:lineRule="auto"/>
      <w:ind w:left="-359" w:leftChars="-171" w:right="-153" w:rightChars="-73" w:firstLine="420" w:firstLineChars="200"/>
    </w:pPr>
    <w:rPr>
      <w:rFonts w:ascii="仿宋_GB2312" w:hAnsi="宋体" w:eastAsia="仿宋_GB2312"/>
      <w:szCs w:val="21"/>
    </w:rPr>
  </w:style>
  <w:style w:type="paragraph" w:styleId="14">
    <w:name w:val="Plain Text"/>
    <w:basedOn w:val="1"/>
    <w:link w:val="44"/>
    <w:qFormat/>
    <w:uiPriority w:val="0"/>
    <w:pPr>
      <w:snapToGrid w:val="0"/>
      <w:spacing w:line="440" w:lineRule="exact"/>
      <w:jc w:val="left"/>
    </w:pPr>
    <w:rPr>
      <w:rFonts w:ascii="仿宋_GB2312" w:hAnsi="Courier New" w:eastAsia="仿宋_GB2312"/>
      <w:sz w:val="24"/>
      <w:szCs w:val="24"/>
    </w:rPr>
  </w:style>
  <w:style w:type="paragraph" w:styleId="15">
    <w:name w:val="Date"/>
    <w:basedOn w:val="1"/>
    <w:next w:val="1"/>
    <w:link w:val="45"/>
    <w:qFormat/>
    <w:uiPriority w:val="99"/>
    <w:pPr>
      <w:ind w:left="100" w:leftChars="2500"/>
    </w:pPr>
  </w:style>
  <w:style w:type="paragraph" w:styleId="16">
    <w:name w:val="Body Text Indent 2"/>
    <w:basedOn w:val="1"/>
    <w:link w:val="46"/>
    <w:qFormat/>
    <w:uiPriority w:val="99"/>
    <w:pPr>
      <w:spacing w:after="120" w:line="480" w:lineRule="auto"/>
      <w:ind w:left="420" w:leftChars="200"/>
    </w:pPr>
    <w:rPr>
      <w:rFonts w:ascii="Times New Roman" w:hAnsi="Times New Roman" w:cs="Times New Roman"/>
    </w:rPr>
  </w:style>
  <w:style w:type="paragraph" w:styleId="17">
    <w:name w:val="Balloon Text"/>
    <w:basedOn w:val="1"/>
    <w:link w:val="47"/>
    <w:qFormat/>
    <w:uiPriority w:val="99"/>
    <w:rPr>
      <w:sz w:val="18"/>
      <w:szCs w:val="18"/>
    </w:rPr>
  </w:style>
  <w:style w:type="paragraph" w:styleId="18">
    <w:name w:val="footer"/>
    <w:basedOn w:val="1"/>
    <w:link w:val="48"/>
    <w:qFormat/>
    <w:uiPriority w:val="0"/>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50"/>
    <w:qFormat/>
    <w:uiPriority w:val="11"/>
    <w:pPr>
      <w:adjustRightInd w:val="0"/>
      <w:snapToGrid w:val="0"/>
      <w:spacing w:before="240" w:after="480"/>
      <w:jc w:val="center"/>
    </w:pPr>
    <w:rPr>
      <w:rFonts w:ascii="Arial" w:hAnsi="Arial" w:eastAsia="隶书"/>
      <w:b/>
      <w:bCs/>
      <w:kern w:val="28"/>
      <w:sz w:val="44"/>
      <w:szCs w:val="32"/>
    </w:rPr>
  </w:style>
  <w:style w:type="paragraph" w:styleId="21">
    <w:name w:val="toc 2"/>
    <w:basedOn w:val="1"/>
    <w:next w:val="1"/>
    <w:qFormat/>
    <w:uiPriority w:val="0"/>
    <w:pPr>
      <w:widowControl/>
      <w:spacing w:before="120"/>
      <w:ind w:left="240"/>
      <w:jc w:val="left"/>
    </w:pPr>
    <w:rPr>
      <w:b/>
      <w:bCs/>
      <w:kern w:val="0"/>
      <w:sz w:val="22"/>
    </w:rPr>
  </w:style>
  <w:style w:type="paragraph" w:styleId="22">
    <w:name w:val="Normal (Web)"/>
    <w:basedOn w:val="1"/>
    <w:qFormat/>
    <w:uiPriority w:val="99"/>
    <w:pPr>
      <w:spacing w:beforeAutospacing="1" w:afterAutospacing="1"/>
      <w:jc w:val="left"/>
    </w:pPr>
    <w:rPr>
      <w:rFonts w:cs="Times New Roman"/>
      <w:kern w:val="0"/>
      <w:sz w:val="24"/>
    </w:rPr>
  </w:style>
  <w:style w:type="paragraph" w:styleId="23">
    <w:name w:val="Title"/>
    <w:basedOn w:val="1"/>
    <w:next w:val="1"/>
    <w:link w:val="51"/>
    <w:qFormat/>
    <w:uiPriority w:val="0"/>
    <w:pPr>
      <w:widowControl/>
      <w:spacing w:before="240" w:after="60"/>
      <w:jc w:val="center"/>
      <w:outlineLvl w:val="0"/>
    </w:pPr>
    <w:rPr>
      <w:rFonts w:ascii="Cambria" w:hAnsi="Cambria"/>
      <w:b/>
      <w:bCs/>
      <w:kern w:val="28"/>
      <w:sz w:val="32"/>
      <w:szCs w:val="32"/>
      <w:lang w:eastAsia="en-US" w:bidi="en-US"/>
    </w:rPr>
  </w:style>
  <w:style w:type="paragraph" w:styleId="24">
    <w:name w:val="annotation subject"/>
    <w:basedOn w:val="9"/>
    <w:next w:val="9"/>
    <w:link w:val="52"/>
    <w:qFormat/>
    <w:uiPriority w:val="99"/>
    <w:rPr>
      <w:b/>
      <w:bCs/>
    </w:rPr>
  </w:style>
  <w:style w:type="paragraph" w:styleId="25">
    <w:name w:val="Body Text First Indent 2"/>
    <w:basedOn w:val="12"/>
    <w:link w:val="53"/>
    <w:qFormat/>
    <w:uiPriority w:val="99"/>
    <w:pPr>
      <w:spacing w:after="120" w:line="240" w:lineRule="auto"/>
      <w:ind w:left="420" w:leftChars="200" w:firstLine="420"/>
    </w:pPr>
    <w:rPr>
      <w:rFonts w:ascii="Calibri" w:hAnsi="Calibri"/>
      <w:sz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cs="Times New Roman"/>
      <w:b/>
      <w:bCs/>
    </w:rPr>
  </w:style>
  <w:style w:type="character" w:styleId="30">
    <w:name w:val="page number"/>
    <w:basedOn w:val="28"/>
    <w:qFormat/>
    <w:uiPriority w:val="0"/>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paragraph" w:customStyle="1" w:styleId="33">
    <w:name w:val="表格文字"/>
    <w:basedOn w:val="1"/>
    <w:next w:val="10"/>
    <w:qFormat/>
    <w:uiPriority w:val="0"/>
    <w:pPr>
      <w:ind w:firstLine="200" w:firstLineChars="200"/>
    </w:pPr>
    <w:rPr>
      <w:rFonts w:ascii="Arial" w:hAnsi="Arial" w:cs="Times New Roman"/>
      <w:spacing w:val="-5"/>
      <w:kern w:val="0"/>
      <w:sz w:val="24"/>
      <w:szCs w:val="20"/>
    </w:rPr>
  </w:style>
  <w:style w:type="character" w:customStyle="1" w:styleId="34">
    <w:name w:val="正文文本 Char"/>
    <w:basedOn w:val="28"/>
    <w:link w:val="10"/>
    <w:qFormat/>
    <w:uiPriority w:val="99"/>
  </w:style>
  <w:style w:type="character" w:customStyle="1" w:styleId="35">
    <w:name w:val="正文首行缩进 Char"/>
    <w:basedOn w:val="34"/>
    <w:link w:val="11"/>
    <w:qFormat/>
    <w:uiPriority w:val="0"/>
    <w:rPr>
      <w:rFonts w:ascii="Times New Roman" w:cs="Times New Roman"/>
      <w:kern w:val="0"/>
      <w:sz w:val="24"/>
      <w:szCs w:val="24"/>
      <w:lang w:eastAsia="en-US" w:bidi="en-US"/>
    </w:rPr>
  </w:style>
  <w:style w:type="character" w:customStyle="1" w:styleId="36">
    <w:name w:val="标题 1 Char"/>
    <w:basedOn w:val="28"/>
    <w:link w:val="4"/>
    <w:qFormat/>
    <w:uiPriority w:val="9"/>
    <w:rPr>
      <w:b/>
      <w:bCs/>
      <w:kern w:val="44"/>
      <w:sz w:val="44"/>
      <w:szCs w:val="44"/>
    </w:rPr>
  </w:style>
  <w:style w:type="character" w:customStyle="1" w:styleId="37">
    <w:name w:val="标题 2 Char"/>
    <w:basedOn w:val="28"/>
    <w:link w:val="2"/>
    <w:qFormat/>
    <w:uiPriority w:val="99"/>
    <w:rPr>
      <w:rFonts w:ascii="Arial" w:hAnsi="Arial" w:eastAsia="宋体" w:cs="Times New Roman"/>
      <w:b/>
      <w:sz w:val="32"/>
      <w:szCs w:val="28"/>
    </w:rPr>
  </w:style>
  <w:style w:type="character" w:customStyle="1" w:styleId="38">
    <w:name w:val="标题 3 Char"/>
    <w:basedOn w:val="28"/>
    <w:link w:val="5"/>
    <w:qFormat/>
    <w:uiPriority w:val="9"/>
    <w:rPr>
      <w:b/>
      <w:bCs/>
      <w:sz w:val="32"/>
      <w:szCs w:val="32"/>
    </w:rPr>
  </w:style>
  <w:style w:type="character" w:customStyle="1" w:styleId="39">
    <w:name w:val="标题 4 Char"/>
    <w:basedOn w:val="28"/>
    <w:link w:val="6"/>
    <w:qFormat/>
    <w:uiPriority w:val="9"/>
    <w:rPr>
      <w:rFonts w:ascii="Cambria" w:hAnsi="Cambria" w:eastAsia="宋体" w:cs="宋体"/>
      <w:b/>
      <w:bCs/>
      <w:sz w:val="28"/>
      <w:szCs w:val="28"/>
    </w:rPr>
  </w:style>
  <w:style w:type="character" w:customStyle="1" w:styleId="40">
    <w:name w:val="正文缩进 Char"/>
    <w:link w:val="3"/>
    <w:qFormat/>
    <w:uiPriority w:val="0"/>
    <w:rPr>
      <w:rFonts w:eastAsia="宋体"/>
    </w:rPr>
  </w:style>
  <w:style w:type="character" w:customStyle="1" w:styleId="41">
    <w:name w:val="文档结构图 Char"/>
    <w:basedOn w:val="28"/>
    <w:link w:val="8"/>
    <w:qFormat/>
    <w:uiPriority w:val="99"/>
    <w:rPr>
      <w:rFonts w:ascii="宋体" w:eastAsia="宋体"/>
      <w:sz w:val="18"/>
      <w:szCs w:val="18"/>
    </w:rPr>
  </w:style>
  <w:style w:type="character" w:customStyle="1" w:styleId="42">
    <w:name w:val="批注文字 Char1"/>
    <w:basedOn w:val="28"/>
    <w:link w:val="9"/>
    <w:qFormat/>
    <w:uiPriority w:val="0"/>
  </w:style>
  <w:style w:type="character" w:customStyle="1" w:styleId="43">
    <w:name w:val="正文文本缩进 Char"/>
    <w:basedOn w:val="28"/>
    <w:link w:val="12"/>
    <w:qFormat/>
    <w:uiPriority w:val="0"/>
    <w:rPr>
      <w:rFonts w:ascii="宋体" w:hAnsi="宋体"/>
      <w:sz w:val="24"/>
    </w:rPr>
  </w:style>
  <w:style w:type="character" w:customStyle="1" w:styleId="44">
    <w:name w:val="纯文本 Char"/>
    <w:basedOn w:val="28"/>
    <w:link w:val="14"/>
    <w:qFormat/>
    <w:uiPriority w:val="0"/>
    <w:rPr>
      <w:rFonts w:ascii="仿宋_GB2312" w:hAnsi="Courier New" w:eastAsia="仿宋_GB2312" w:cs="宋体"/>
      <w:kern w:val="2"/>
      <w:sz w:val="24"/>
      <w:szCs w:val="24"/>
    </w:rPr>
  </w:style>
  <w:style w:type="character" w:customStyle="1" w:styleId="45">
    <w:name w:val="日期 Char1"/>
    <w:basedOn w:val="28"/>
    <w:link w:val="15"/>
    <w:qFormat/>
    <w:uiPriority w:val="99"/>
  </w:style>
  <w:style w:type="character" w:customStyle="1" w:styleId="46">
    <w:name w:val="正文文本缩进 2 Char"/>
    <w:basedOn w:val="28"/>
    <w:link w:val="16"/>
    <w:qFormat/>
    <w:uiPriority w:val="99"/>
    <w:rPr>
      <w:kern w:val="2"/>
      <w:sz w:val="21"/>
      <w:szCs w:val="22"/>
    </w:rPr>
  </w:style>
  <w:style w:type="character" w:customStyle="1" w:styleId="47">
    <w:name w:val="批注框文本 Char"/>
    <w:basedOn w:val="28"/>
    <w:link w:val="17"/>
    <w:qFormat/>
    <w:uiPriority w:val="99"/>
    <w:rPr>
      <w:sz w:val="18"/>
      <w:szCs w:val="18"/>
    </w:rPr>
  </w:style>
  <w:style w:type="character" w:customStyle="1" w:styleId="48">
    <w:name w:val="页脚 Char"/>
    <w:basedOn w:val="28"/>
    <w:link w:val="18"/>
    <w:qFormat/>
    <w:uiPriority w:val="0"/>
    <w:rPr>
      <w:sz w:val="18"/>
      <w:szCs w:val="18"/>
    </w:rPr>
  </w:style>
  <w:style w:type="character" w:customStyle="1" w:styleId="49">
    <w:name w:val="页眉 Char"/>
    <w:basedOn w:val="28"/>
    <w:link w:val="19"/>
    <w:qFormat/>
    <w:uiPriority w:val="99"/>
    <w:rPr>
      <w:sz w:val="18"/>
      <w:szCs w:val="18"/>
    </w:rPr>
  </w:style>
  <w:style w:type="character" w:customStyle="1" w:styleId="50">
    <w:name w:val="副标题 Char"/>
    <w:basedOn w:val="28"/>
    <w:link w:val="20"/>
    <w:qFormat/>
    <w:uiPriority w:val="11"/>
    <w:rPr>
      <w:rFonts w:ascii="Arial" w:hAnsi="Arial" w:eastAsia="隶书"/>
      <w:b/>
      <w:bCs/>
      <w:kern w:val="28"/>
      <w:sz w:val="44"/>
      <w:szCs w:val="32"/>
    </w:rPr>
  </w:style>
  <w:style w:type="character" w:customStyle="1" w:styleId="51">
    <w:name w:val="标题 Char"/>
    <w:basedOn w:val="28"/>
    <w:link w:val="23"/>
    <w:qFormat/>
    <w:uiPriority w:val="0"/>
    <w:rPr>
      <w:rFonts w:ascii="Cambria" w:hAnsi="Cambria" w:eastAsia="宋体" w:cs="宋体"/>
      <w:b/>
      <w:bCs/>
      <w:kern w:val="28"/>
      <w:sz w:val="32"/>
      <w:szCs w:val="32"/>
      <w:lang w:eastAsia="en-US" w:bidi="en-US"/>
    </w:rPr>
  </w:style>
  <w:style w:type="character" w:customStyle="1" w:styleId="52">
    <w:name w:val="批注主题 Char1"/>
    <w:basedOn w:val="42"/>
    <w:link w:val="24"/>
    <w:qFormat/>
    <w:uiPriority w:val="99"/>
    <w:rPr>
      <w:b/>
      <w:bCs/>
    </w:rPr>
  </w:style>
  <w:style w:type="character" w:customStyle="1" w:styleId="53">
    <w:name w:val="正文首行缩进 2 Char"/>
    <w:basedOn w:val="43"/>
    <w:link w:val="25"/>
    <w:qFormat/>
    <w:uiPriority w:val="99"/>
    <w:rPr>
      <w:rFonts w:ascii="宋体" w:hAnsi="宋体"/>
      <w:sz w:val="24"/>
    </w:rPr>
  </w:style>
  <w:style w:type="character" w:customStyle="1" w:styleId="54">
    <w:name w:val="批注文字 Char"/>
    <w:basedOn w:val="28"/>
    <w:qFormat/>
    <w:uiPriority w:val="0"/>
  </w:style>
  <w:style w:type="character" w:customStyle="1" w:styleId="55">
    <w:name w:val="日期 Char"/>
    <w:basedOn w:val="28"/>
    <w:qFormat/>
    <w:uiPriority w:val="99"/>
  </w:style>
  <w:style w:type="character" w:customStyle="1" w:styleId="56">
    <w:name w:val="批注主题 Char"/>
    <w:basedOn w:val="54"/>
    <w:qFormat/>
    <w:uiPriority w:val="99"/>
    <w:rPr>
      <w:b/>
      <w:bCs/>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列出段落1"/>
    <w:basedOn w:val="1"/>
    <w:qFormat/>
    <w:uiPriority w:val="34"/>
    <w:pPr>
      <w:ind w:firstLine="420" w:firstLineChars="200"/>
    </w:pPr>
  </w:style>
  <w:style w:type="paragraph" w:customStyle="1" w:styleId="59">
    <w:name w:val="Fließtext"/>
    <w:basedOn w:val="1"/>
    <w:qFormat/>
    <w:uiPriority w:val="0"/>
    <w:pPr>
      <w:overflowPunct w:val="0"/>
      <w:autoSpaceDE w:val="0"/>
      <w:autoSpaceDN w:val="0"/>
      <w:adjustRightInd w:val="0"/>
      <w:textAlignment w:val="baseline"/>
    </w:pPr>
    <w:rPr>
      <w:rFonts w:ascii="Times New Roman" w:hAnsi="Times New Roman" w:cs="Times New Roman"/>
      <w:kern w:val="28"/>
      <w:szCs w:val="20"/>
    </w:rPr>
  </w:style>
  <w:style w:type="paragraph" w:customStyle="1" w:styleId="60">
    <w:name w:val="正文缩进1"/>
    <w:basedOn w:val="1"/>
    <w:qFormat/>
    <w:uiPriority w:val="0"/>
    <w:pPr>
      <w:widowControl/>
      <w:autoSpaceDE w:val="0"/>
      <w:autoSpaceDN w:val="0"/>
      <w:adjustRightInd w:val="0"/>
      <w:ind w:firstLine="420"/>
      <w:jc w:val="left"/>
    </w:pPr>
    <w:rPr>
      <w:rFonts w:ascii="宋体" w:hAnsi="Times New Roman" w:cs="Times New Roman"/>
      <w:kern w:val="0"/>
      <w:sz w:val="24"/>
      <w:szCs w:val="20"/>
      <w:lang w:eastAsia="en-US" w:bidi="en-US"/>
    </w:rPr>
  </w:style>
  <w:style w:type="paragraph" w:customStyle="1" w:styleId="61">
    <w:name w:val="索引 11"/>
    <w:basedOn w:val="1"/>
    <w:next w:val="1"/>
    <w:qFormat/>
    <w:uiPriority w:val="99"/>
    <w:pPr>
      <w:widowControl/>
      <w:spacing w:line="360" w:lineRule="auto"/>
      <w:jc w:val="left"/>
    </w:pPr>
    <w:rPr>
      <w:rFonts w:ascii="仿宋_GB2312" w:hAnsi="Times New Roman" w:eastAsia="仿宋_GB2312" w:cs="Times New Roman"/>
      <w:kern w:val="0"/>
      <w:sz w:val="24"/>
      <w:szCs w:val="20"/>
      <w:lang w:eastAsia="en-US" w:bidi="en-US"/>
    </w:rPr>
  </w:style>
  <w:style w:type="paragraph" w:customStyle="1" w:styleId="62">
    <w:name w:val="Other|1"/>
    <w:basedOn w:val="1"/>
    <w:qFormat/>
    <w:uiPriority w:val="0"/>
    <w:pPr>
      <w:spacing w:line="408" w:lineRule="auto"/>
      <w:ind w:firstLine="400"/>
    </w:pPr>
    <w:rPr>
      <w:rFonts w:ascii="宋体" w:hAnsi="宋体"/>
      <w:sz w:val="28"/>
      <w:szCs w:val="28"/>
      <w:lang w:val="zh-TW" w:eastAsia="zh-TW" w:bidi="zh-TW"/>
    </w:rPr>
  </w:style>
  <w:style w:type="character" w:customStyle="1" w:styleId="63">
    <w:name w:val="正文缩进 Char2"/>
    <w:qFormat/>
    <w:uiPriority w:val="0"/>
    <w:rPr>
      <w:rFonts w:ascii="宋体" w:eastAsia="宋体"/>
      <w:snapToGrid w:val="0"/>
      <w:color w:val="000000"/>
      <w:kern w:val="28"/>
      <w:sz w:val="28"/>
      <w:lang w:val="en-US" w:eastAsia="zh-CN" w:bidi="ar-SA"/>
    </w:rPr>
  </w:style>
  <w:style w:type="character" w:customStyle="1" w:styleId="64">
    <w:name w:val="纯文本 Char1"/>
    <w:link w:val="65"/>
    <w:qFormat/>
    <w:uiPriority w:val="0"/>
    <w:rPr>
      <w:rFonts w:ascii="宋体" w:hAnsi="Courier New"/>
    </w:rPr>
  </w:style>
  <w:style w:type="paragraph" w:customStyle="1" w:styleId="65">
    <w:name w:val="纯文本1"/>
    <w:basedOn w:val="1"/>
    <w:link w:val="64"/>
    <w:qFormat/>
    <w:uiPriority w:val="0"/>
    <w:rPr>
      <w:rFonts w:ascii="宋体" w:hAnsi="Courier New"/>
    </w:rPr>
  </w:style>
  <w:style w:type="paragraph" w:customStyle="1" w:styleId="66">
    <w:name w:val="text-tag"/>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7">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cs="Times New Roman"/>
      <w:b/>
      <w:kern w:val="44"/>
      <w:sz w:val="36"/>
      <w:szCs w:val="20"/>
    </w:rPr>
  </w:style>
  <w:style w:type="paragraph" w:customStyle="1" w:styleId="68">
    <w:name w:val="首行缩进"/>
    <w:basedOn w:val="1"/>
    <w:next w:val="1"/>
    <w:qFormat/>
    <w:uiPriority w:val="0"/>
    <w:pPr>
      <w:spacing w:line="360" w:lineRule="auto"/>
      <w:ind w:firstLine="480" w:firstLineChars="200"/>
    </w:pPr>
    <w:rPr>
      <w:rFonts w:ascii="宋体"/>
      <w:sz w:val="24"/>
      <w:szCs w:val="20"/>
    </w:rPr>
  </w:style>
  <w:style w:type="paragraph" w:customStyle="1" w:styleId="69">
    <w:name w:val="表格"/>
    <w:basedOn w:val="1"/>
    <w:qFormat/>
    <w:uiPriority w:val="0"/>
    <w:rPr>
      <w:rFonts w:ascii="Times New Roman" w:hAnsi="Times New Roman" w:cs="Times New Roman"/>
    </w:rPr>
  </w:style>
  <w:style w:type="paragraph" w:customStyle="1" w:styleId="70">
    <w:name w:val="List Paragraph1"/>
    <w:basedOn w:val="1"/>
    <w:qFormat/>
    <w:uiPriority w:val="99"/>
    <w:pPr>
      <w:ind w:firstLine="420" w:firstLineChars="200"/>
    </w:pPr>
    <w:rPr>
      <w:rFonts w:ascii="等线" w:hAnsi="等线" w:eastAsia="等线"/>
      <w:szCs w:val="24"/>
    </w:rPr>
  </w:style>
  <w:style w:type="paragraph" w:customStyle="1" w:styleId="71">
    <w:name w:val="纯文本111"/>
    <w:basedOn w:val="1"/>
    <w:qFormat/>
    <w:uiPriority w:val="0"/>
    <w:pPr>
      <w:adjustRightInd w:val="0"/>
    </w:pPr>
    <w:rPr>
      <w:rFonts w:hint="eastAsia" w:ascii="宋体" w:hAnsi="Courier New" w:eastAsia="楷体_GB2312" w:cs="Times New Roman"/>
      <w:sz w:val="28"/>
      <w:szCs w:val="20"/>
    </w:rPr>
  </w:style>
  <w:style w:type="paragraph" w:customStyle="1" w:styleId="72">
    <w:name w:val="文档正文"/>
    <w:basedOn w:val="1"/>
    <w:qFormat/>
    <w:uiPriority w:val="0"/>
    <w:rPr>
      <w:rFonts w:ascii="宋体" w:cs="Arial"/>
      <w:bCs/>
      <w:szCs w:val="21"/>
    </w:rPr>
  </w:style>
  <w:style w:type="paragraph" w:customStyle="1" w:styleId="73">
    <w:name w:val="列出段落2"/>
    <w:basedOn w:val="1"/>
    <w:qFormat/>
    <w:uiPriority w:val="34"/>
    <w:pPr>
      <w:ind w:firstLine="420" w:firstLineChars="200"/>
    </w:pPr>
    <w:rPr>
      <w:rFonts w:ascii="Times New Roman" w:hAnsi="Times New Roman" w:cs="Times New Roman"/>
      <w:szCs w:val="20"/>
    </w:rPr>
  </w:style>
  <w:style w:type="character" w:customStyle="1" w:styleId="74">
    <w:name w:val="正文2 Char Char"/>
    <w:link w:val="75"/>
    <w:qFormat/>
    <w:uiPriority w:val="0"/>
    <w:rPr>
      <w:rFonts w:ascii="仿宋_GB2312" w:hAnsi="宋体" w:eastAsia="仿宋_GB2312"/>
      <w:color w:val="000000"/>
      <w:sz w:val="24"/>
      <w:szCs w:val="24"/>
    </w:rPr>
  </w:style>
  <w:style w:type="paragraph" w:customStyle="1" w:styleId="75">
    <w:name w:val="正文2"/>
    <w:basedOn w:val="1"/>
    <w:link w:val="74"/>
    <w:qFormat/>
    <w:uiPriority w:val="0"/>
    <w:pPr>
      <w:adjustRightInd w:val="0"/>
      <w:snapToGrid w:val="0"/>
      <w:spacing w:line="440" w:lineRule="exact"/>
      <w:ind w:firstLine="480" w:firstLineChars="200"/>
    </w:pPr>
    <w:rPr>
      <w:rFonts w:ascii="仿宋_GB2312" w:hAnsi="宋体" w:eastAsia="仿宋_GB2312" w:cs="Times New Roman"/>
      <w:color w:val="000000"/>
      <w:kern w:val="0"/>
      <w:sz w:val="24"/>
      <w:szCs w:val="24"/>
    </w:rPr>
  </w:style>
  <w:style w:type="paragraph" w:customStyle="1" w:styleId="76">
    <w:name w:val="正文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7">
    <w:name w:val="纯文本 Char3"/>
    <w:qFormat/>
    <w:uiPriority w:val="99"/>
    <w:rPr>
      <w:rFonts w:ascii="宋体" w:hAnsi="Courier New" w:eastAsia="黑体" w:cs="Times New Roman"/>
      <w:snapToGrid w:val="0"/>
      <w:szCs w:val="21"/>
    </w:rPr>
  </w:style>
  <w:style w:type="paragraph" w:customStyle="1" w:styleId="78">
    <w:name w:val="标题 1（洛）"/>
    <w:basedOn w:val="4"/>
    <w:next w:val="1"/>
    <w:qFormat/>
    <w:uiPriority w:val="0"/>
    <w:pPr>
      <w:pageBreakBefore/>
      <w:numPr>
        <w:ilvl w:val="0"/>
        <w:numId w:val="1"/>
      </w:numPr>
      <w:spacing w:before="600" w:line="360" w:lineRule="auto"/>
      <w:jc w:val="left"/>
    </w:pPr>
    <w:rPr>
      <w:rFonts w:ascii="Arial" w:hAnsi="Arial" w:eastAsia="汉仪大黑简" w:cs="Times New Roman"/>
      <w:color w:val="000000"/>
      <w:sz w:val="36"/>
    </w:rPr>
  </w:style>
  <w:style w:type="paragraph" w:customStyle="1" w:styleId="79">
    <w:name w:val="标题 2（洛）"/>
    <w:basedOn w:val="2"/>
    <w:next w:val="1"/>
    <w:qFormat/>
    <w:uiPriority w:val="0"/>
    <w:pPr>
      <w:numPr>
        <w:ilvl w:val="1"/>
        <w:numId w:val="1"/>
      </w:numPr>
      <w:spacing w:line="413" w:lineRule="auto"/>
      <w:ind w:left="1004" w:leftChars="100" w:right="210" w:rightChars="100"/>
      <w:jc w:val="left"/>
    </w:pPr>
    <w:rPr>
      <w:rFonts w:eastAsia="黑体"/>
      <w:szCs w:val="32"/>
    </w:rPr>
  </w:style>
  <w:style w:type="paragraph" w:customStyle="1" w:styleId="80">
    <w:name w:val="标题 3（洛）"/>
    <w:basedOn w:val="5"/>
    <w:next w:val="1"/>
    <w:link w:val="81"/>
    <w:qFormat/>
    <w:uiPriority w:val="0"/>
    <w:pPr>
      <w:numPr>
        <w:ilvl w:val="2"/>
        <w:numId w:val="1"/>
      </w:numPr>
      <w:tabs>
        <w:tab w:val="left" w:pos="960"/>
      </w:tabs>
      <w:spacing w:line="412" w:lineRule="auto"/>
      <w:jc w:val="left"/>
    </w:pPr>
    <w:rPr>
      <w:rFonts w:ascii="Arial" w:hAnsi="Arial" w:eastAsia="黑体" w:cs="Times New Roman"/>
      <w:bCs w:val="0"/>
      <w:kern w:val="0"/>
      <w:sz w:val="30"/>
      <w:szCs w:val="30"/>
    </w:rPr>
  </w:style>
  <w:style w:type="character" w:customStyle="1" w:styleId="81">
    <w:name w:val="标题 3（洛） Char"/>
    <w:link w:val="80"/>
    <w:qFormat/>
    <w:uiPriority w:val="0"/>
    <w:rPr>
      <w:rFonts w:ascii="Arial" w:hAnsi="Arial" w:eastAsia="黑体" w:cs="Times New Roman"/>
      <w:b/>
      <w:kern w:val="0"/>
      <w:sz w:val="30"/>
      <w:szCs w:val="30"/>
    </w:rPr>
  </w:style>
  <w:style w:type="paragraph" w:customStyle="1" w:styleId="82">
    <w:name w:val="标题 4（洛）"/>
    <w:basedOn w:val="6"/>
    <w:next w:val="1"/>
    <w:qFormat/>
    <w:uiPriority w:val="0"/>
    <w:pPr>
      <w:widowControl/>
      <w:numPr>
        <w:ilvl w:val="3"/>
        <w:numId w:val="1"/>
      </w:numPr>
      <w:spacing w:after="156" w:line="374" w:lineRule="auto"/>
      <w:jc w:val="left"/>
    </w:pPr>
    <w:rPr>
      <w:rFonts w:ascii="Arial" w:hAnsi="Arial" w:eastAsia="黑体" w:cs="Times New Roman"/>
      <w:bCs w:val="0"/>
      <w:kern w:val="0"/>
    </w:rPr>
  </w:style>
  <w:style w:type="paragraph" w:customStyle="1" w:styleId="83">
    <w:name w:val="标题 5（洛）"/>
    <w:basedOn w:val="1"/>
    <w:next w:val="1"/>
    <w:qFormat/>
    <w:uiPriority w:val="0"/>
    <w:pPr>
      <w:keepNext/>
      <w:keepLines/>
      <w:numPr>
        <w:ilvl w:val="4"/>
        <w:numId w:val="1"/>
      </w:numPr>
      <w:spacing w:before="280" w:after="156" w:line="376" w:lineRule="auto"/>
      <w:jc w:val="left"/>
      <w:outlineLvl w:val="4"/>
    </w:pPr>
    <w:rPr>
      <w:rFonts w:ascii="Arial" w:hAnsi="Arial" w:eastAsia="黑体" w:cs="Times New Roman"/>
      <w:b/>
      <w:kern w:val="0"/>
      <w:sz w:val="24"/>
      <w:szCs w:val="28"/>
    </w:rPr>
  </w:style>
  <w:style w:type="paragraph" w:customStyle="1" w:styleId="84">
    <w:name w:val="标题 6（洛）"/>
    <w:basedOn w:val="1"/>
    <w:next w:val="1"/>
    <w:qFormat/>
    <w:uiPriority w:val="0"/>
    <w:pPr>
      <w:keepNext/>
      <w:keepLines/>
      <w:numPr>
        <w:ilvl w:val="5"/>
        <w:numId w:val="1"/>
      </w:numPr>
      <w:spacing w:before="240" w:after="64" w:line="316" w:lineRule="auto"/>
      <w:jc w:val="left"/>
      <w:outlineLvl w:val="5"/>
    </w:pPr>
    <w:rPr>
      <w:rFonts w:ascii="Arial" w:hAnsi="Arial" w:eastAsia="黑体" w:cs="Times New Roman"/>
      <w:b/>
      <w:kern w:val="0"/>
      <w:szCs w:val="24"/>
    </w:rPr>
  </w:style>
  <w:style w:type="paragraph" w:customStyle="1" w:styleId="85">
    <w:name w:val="图表（洛）"/>
    <w:basedOn w:val="1"/>
    <w:link w:val="86"/>
    <w:qFormat/>
    <w:uiPriority w:val="0"/>
    <w:pPr>
      <w:jc w:val="left"/>
    </w:pPr>
    <w:rPr>
      <w:sz w:val="18"/>
      <w:szCs w:val="18"/>
    </w:rPr>
  </w:style>
  <w:style w:type="character" w:customStyle="1" w:styleId="86">
    <w:name w:val="图表（洛） Char"/>
    <w:basedOn w:val="28"/>
    <w:link w:val="85"/>
    <w:qFormat/>
    <w:uiPriority w:val="0"/>
    <w:rPr>
      <w:rFonts w:cs="宋体"/>
      <w:sz w:val="18"/>
      <w:szCs w:val="18"/>
    </w:rPr>
  </w:style>
  <w:style w:type="paragraph" w:customStyle="1" w:styleId="87">
    <w:name w:val="修订1"/>
    <w:qFormat/>
    <w:uiPriority w:val="99"/>
    <w:rPr>
      <w:rFonts w:ascii="Calibri" w:hAnsi="Calibri" w:eastAsia="宋体" w:cs="宋体"/>
      <w:kern w:val="2"/>
      <w:sz w:val="21"/>
      <w:szCs w:val="22"/>
      <w:lang w:val="en-US" w:eastAsia="zh-CN" w:bidi="ar-SA"/>
    </w:rPr>
  </w:style>
  <w:style w:type="paragraph" w:customStyle="1" w:styleId="88">
    <w:name w:val="Body text|1"/>
    <w:basedOn w:val="1"/>
    <w:qFormat/>
    <w:uiPriority w:val="0"/>
    <w:pPr>
      <w:spacing w:line="391" w:lineRule="auto"/>
      <w:ind w:firstLine="400"/>
    </w:pPr>
    <w:rPr>
      <w:rFonts w:ascii="宋体" w:hAnsi="宋体"/>
      <w:sz w:val="30"/>
      <w:szCs w:val="30"/>
      <w:lang w:val="zh-TW" w:eastAsia="zh-TW" w:bidi="zh-TW"/>
    </w:rPr>
  </w:style>
  <w:style w:type="paragraph" w:customStyle="1" w:styleId="89">
    <w:name w:val="正文ok"/>
    <w:qFormat/>
    <w:uiPriority w:val="0"/>
    <w:pPr>
      <w:spacing w:line="360" w:lineRule="auto"/>
      <w:ind w:firstLine="200" w:firstLineChars="200"/>
    </w:pPr>
    <w:rPr>
      <w:rFonts w:ascii="宋体" w:hAnsi="Times New Roman" w:eastAsia="宋体" w:cs="宋体"/>
      <w:sz w:val="24"/>
      <w:szCs w:val="24"/>
      <w:lang w:val="en-US" w:eastAsia="zh-CN" w:bidi="ar-SA"/>
    </w:rPr>
  </w:style>
  <w:style w:type="paragraph" w:customStyle="1" w:styleId="90">
    <w:name w:val="正文1"/>
    <w:basedOn w:val="1"/>
    <w:next w:val="1"/>
    <w:qFormat/>
    <w:uiPriority w:val="0"/>
    <w:pPr>
      <w:spacing w:before="156"/>
      <w:ind w:firstLine="510" w:firstLineChars="200"/>
    </w:pPr>
    <w:rPr>
      <w:rFonts w:ascii="Times New Roman" w:hAnsi="Times New Roman" w:cs="Times New Roman"/>
      <w:szCs w:val="24"/>
    </w:rPr>
  </w:style>
  <w:style w:type="paragraph" w:customStyle="1" w:styleId="91">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2">
    <w:name w:val="修订2"/>
    <w:unhideWhenUsed/>
    <w:qFormat/>
    <w:uiPriority w:val="99"/>
    <w:rPr>
      <w:rFonts w:ascii="Calibri" w:hAnsi="Calibri" w:eastAsia="宋体" w:cs="宋体"/>
      <w:kern w:val="2"/>
      <w:sz w:val="21"/>
      <w:szCs w:val="22"/>
      <w:lang w:val="en-US" w:eastAsia="zh-CN" w:bidi="ar-SA"/>
    </w:rPr>
  </w:style>
  <w:style w:type="paragraph" w:styleId="93">
    <w:name w:val="List Paragraph"/>
    <w:basedOn w:val="1"/>
    <w:unhideWhenUsed/>
    <w:qFormat/>
    <w:uiPriority w:val="34"/>
    <w:pPr>
      <w:ind w:firstLine="420" w:firstLineChars="200"/>
    </w:pPr>
    <w:rPr>
      <w:rFonts w:ascii="Calibri" w:hAnsi="Calibri" w:eastAsia="宋体" w:cs="Times New Roman"/>
      <w:szCs w:val="24"/>
    </w:rPr>
  </w:style>
  <w:style w:type="paragraph" w:customStyle="1" w:styleId="94">
    <w:name w:val="Table Text"/>
    <w:basedOn w:val="1"/>
    <w:qFormat/>
    <w:uiPriority w:val="0"/>
    <w:pPr>
      <w:widowControl/>
      <w:adjustRightInd w:val="0"/>
      <w:spacing w:before="60" w:after="60"/>
      <w:jc w:val="left"/>
    </w:pPr>
    <w:rPr>
      <w:rFonts w:ascii="Times New Roman" w:hAnsi="Times New Roman" w:eastAsia="宋体" w:cs="Times New Roman"/>
      <w:kern w:val="0"/>
      <w:sz w:val="24"/>
    </w:rPr>
  </w:style>
  <w:style w:type="table" w:customStyle="1" w:styleId="95">
    <w:name w:val="Table Normal"/>
    <w:semiHidden/>
    <w:unhideWhenUsed/>
    <w:qFormat/>
    <w:uiPriority w:val="0"/>
    <w:tblPr>
      <w:tblCellMar>
        <w:top w:w="0" w:type="dxa"/>
        <w:left w:w="0" w:type="dxa"/>
        <w:bottom w:w="0" w:type="dxa"/>
        <w:right w:w="0" w:type="dxa"/>
      </w:tblCellMar>
    </w:tblPr>
  </w:style>
  <w:style w:type="paragraph" w:customStyle="1" w:styleId="96">
    <w:name w:val="正文文本首行缩进 21"/>
    <w:basedOn w:val="12"/>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90</Pages>
  <Words>31275</Words>
  <Characters>33283</Characters>
  <Lines>445</Lines>
  <Paragraphs>125</Paragraphs>
  <TotalTime>14</TotalTime>
  <ScaleCrop>false</ScaleCrop>
  <LinksUpToDate>false</LinksUpToDate>
  <CharactersWithSpaces>33511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2024-03-06T16:21:00Z</dcterms:created>
  <dc:creator>NTKO</dc:creator>
  <cp:lastModifiedBy>动动</cp:lastModifiedBy>
  <cp:lastPrinted>2024-03-02T11:15:00Z</cp:lastPrinted>
  <dcterms:modified xsi:type="dcterms:W3CDTF">2025-06-23T03:15:07Z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9DEA19EAD1264B39935A127143DD2D7E_13</vt:lpwstr>
  </property>
  <property fmtid="{D5CDD505-2E9C-101B-9397-08002B2CF9AE}" pid="3" name="KSOProductBuildVer">
    <vt:lpwstr>2052-12.1.0.18608</vt:lpwstr>
  </property>
  <property fmtid="{D5CDD505-2E9C-101B-9397-08002B2CF9AE}" pid="4" name="KSOTemplateDocerSaveRecord">
    <vt:lpwstr>eyJoZGlkIjoiMGE5ZWNiYzNhN2IxZWMzOTRiOWU4N2NiNGRhMDYwY2YiLCJ1c2VySWQiOiIxMDI0NDY4OTUwIn0=</vt:lpwstr>
  </property>
</Properties>
</file>