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EB50D">
      <w:pPr>
        <w:pStyle w:val="4"/>
        <w:ind w:firstLine="643"/>
        <w:rPr>
          <w:rFonts w:ascii="仿宋_GB2312" w:eastAsia="仿宋_GB2312"/>
        </w:rPr>
      </w:pPr>
    </w:p>
    <w:p w14:paraId="1378025D">
      <w:pPr>
        <w:ind w:firstLine="640"/>
        <w:jc w:val="center"/>
        <w:rPr>
          <w:rFonts w:ascii="仿宋_GB2312" w:eastAsia="仿宋_GB2312"/>
          <w:sz w:val="32"/>
          <w:szCs w:val="32"/>
        </w:rPr>
      </w:pPr>
    </w:p>
    <w:p w14:paraId="382AF7AD">
      <w:pPr>
        <w:spacing w:line="600" w:lineRule="exact"/>
        <w:ind w:firstLine="600"/>
        <w:jc w:val="center"/>
        <w:rPr>
          <w:rFonts w:ascii="仿宋_GB2312" w:eastAsia="仿宋_GB2312"/>
          <w:sz w:val="30"/>
          <w:szCs w:val="30"/>
        </w:rPr>
      </w:pPr>
      <w:r>
        <w:rPr>
          <w:rFonts w:hint="eastAsia" w:ascii="仿宋_GB2312" w:eastAsia="仿宋_GB2312"/>
          <w:sz w:val="30"/>
          <w:szCs w:val="30"/>
          <w:lang w:eastAsia="zh-CN"/>
        </w:rPr>
        <w:t>舟山市政务云统一购买服务项目（2025-2026）</w:t>
      </w:r>
      <w:r>
        <w:rPr>
          <w:rFonts w:hint="eastAsia" w:ascii="仿宋_GB2312" w:eastAsia="仿宋_GB2312"/>
          <w:sz w:val="30"/>
          <w:szCs w:val="30"/>
        </w:rPr>
        <w:tab/>
      </w:r>
    </w:p>
    <w:p w14:paraId="2F21C27E">
      <w:pPr>
        <w:pStyle w:val="2"/>
        <w:jc w:val="center"/>
        <w:rPr>
          <w:rFonts w:hint="eastAsia"/>
        </w:rPr>
      </w:pPr>
    </w:p>
    <w:p w14:paraId="2F21558A">
      <w:pPr>
        <w:spacing w:line="600" w:lineRule="exact"/>
        <w:ind w:firstLine="600"/>
        <w:jc w:val="center"/>
        <w:rPr>
          <w:rFonts w:ascii="仿宋_GB2312" w:eastAsia="仿宋_GB2312"/>
          <w:sz w:val="24"/>
          <w:szCs w:val="24"/>
        </w:rPr>
      </w:pPr>
    </w:p>
    <w:p w14:paraId="0701E2DD">
      <w:pPr>
        <w:jc w:val="center"/>
        <w:rPr>
          <w:rFonts w:ascii="仿宋_GB2312" w:eastAsia="仿宋_GB2312"/>
          <w:sz w:val="24"/>
          <w:szCs w:val="24"/>
        </w:rPr>
      </w:pPr>
    </w:p>
    <w:p w14:paraId="4486CD42">
      <w:pPr>
        <w:spacing w:line="600" w:lineRule="exact"/>
        <w:ind w:firstLine="600"/>
        <w:jc w:val="center"/>
        <w:rPr>
          <w:rFonts w:ascii="仿宋_GB2312" w:eastAsia="仿宋_GB2312"/>
          <w:sz w:val="30"/>
          <w:szCs w:val="30"/>
        </w:rPr>
      </w:pPr>
      <w:r>
        <w:rPr>
          <w:rFonts w:hint="eastAsia" w:ascii="仿宋_GB2312" w:eastAsia="仿宋_GB2312"/>
          <w:sz w:val="30"/>
          <w:szCs w:val="30"/>
        </w:rPr>
        <w:t>公开招标文件</w:t>
      </w:r>
    </w:p>
    <w:p w14:paraId="3444DD67">
      <w:pPr>
        <w:spacing w:line="600" w:lineRule="exact"/>
        <w:ind w:firstLine="600"/>
        <w:jc w:val="center"/>
        <w:rPr>
          <w:rFonts w:ascii="仿宋_GB2312" w:eastAsia="仿宋_GB2312"/>
          <w:sz w:val="30"/>
          <w:szCs w:val="30"/>
        </w:rPr>
      </w:pPr>
      <w:r>
        <w:rPr>
          <w:rFonts w:hint="eastAsia" w:ascii="仿宋_GB2312" w:eastAsia="仿宋_GB2312"/>
          <w:sz w:val="30"/>
          <w:szCs w:val="30"/>
        </w:rPr>
        <w:t>（电子招投标）</w:t>
      </w:r>
    </w:p>
    <w:p w14:paraId="51886186">
      <w:pPr>
        <w:spacing w:line="600" w:lineRule="exact"/>
        <w:ind w:firstLine="600"/>
        <w:jc w:val="center"/>
        <w:rPr>
          <w:rFonts w:hint="eastAsia" w:ascii="仿宋_GB2312" w:eastAsia="仿宋_GB2312"/>
          <w:sz w:val="30"/>
          <w:szCs w:val="30"/>
          <w:lang w:eastAsia="zh-CN"/>
        </w:rPr>
      </w:pPr>
      <w:r>
        <w:rPr>
          <w:rFonts w:hint="eastAsia" w:ascii="仿宋_GB2312" w:eastAsia="仿宋_GB2312"/>
          <w:sz w:val="30"/>
          <w:szCs w:val="30"/>
        </w:rPr>
        <w:t>编号:ZSZFCG2025-</w:t>
      </w:r>
      <w:r>
        <w:rPr>
          <w:rFonts w:hint="eastAsia" w:ascii="仿宋_GB2312" w:eastAsia="仿宋_GB2312"/>
          <w:sz w:val="30"/>
          <w:szCs w:val="30"/>
          <w:lang w:eastAsia="zh-CN"/>
        </w:rPr>
        <w:t>ZB-026</w:t>
      </w:r>
    </w:p>
    <w:p w14:paraId="79356949">
      <w:pPr>
        <w:spacing w:line="600" w:lineRule="exact"/>
        <w:ind w:firstLine="600"/>
        <w:jc w:val="center"/>
        <w:rPr>
          <w:rFonts w:ascii="仿宋_GB2312" w:eastAsia="仿宋_GB2312"/>
          <w:sz w:val="30"/>
          <w:szCs w:val="30"/>
        </w:rPr>
      </w:pPr>
    </w:p>
    <w:p w14:paraId="2CC683AC">
      <w:pPr>
        <w:spacing w:line="600" w:lineRule="exact"/>
        <w:ind w:firstLine="600"/>
        <w:jc w:val="center"/>
        <w:rPr>
          <w:rFonts w:ascii="仿宋_GB2312" w:eastAsia="仿宋_GB2312"/>
          <w:sz w:val="30"/>
          <w:szCs w:val="30"/>
        </w:rPr>
      </w:pPr>
    </w:p>
    <w:p w14:paraId="1D03A57F">
      <w:pPr>
        <w:spacing w:line="600" w:lineRule="exact"/>
        <w:ind w:firstLine="600"/>
        <w:jc w:val="center"/>
        <w:rPr>
          <w:rFonts w:ascii="仿宋_GB2312" w:eastAsia="仿宋_GB2312"/>
          <w:sz w:val="30"/>
          <w:szCs w:val="30"/>
        </w:rPr>
      </w:pPr>
    </w:p>
    <w:p w14:paraId="0AFE5233">
      <w:pPr>
        <w:spacing w:line="600" w:lineRule="exact"/>
        <w:ind w:firstLine="600"/>
        <w:jc w:val="center"/>
        <w:rPr>
          <w:rFonts w:ascii="仿宋_GB2312" w:eastAsia="仿宋_GB2312"/>
          <w:sz w:val="30"/>
          <w:szCs w:val="30"/>
        </w:rPr>
      </w:pPr>
    </w:p>
    <w:p w14:paraId="1B8DA47F">
      <w:pPr>
        <w:spacing w:line="600" w:lineRule="exact"/>
        <w:ind w:firstLine="600"/>
        <w:jc w:val="center"/>
        <w:rPr>
          <w:rFonts w:ascii="仿宋_GB2312" w:eastAsia="仿宋_GB2312"/>
          <w:sz w:val="30"/>
          <w:szCs w:val="30"/>
        </w:rPr>
      </w:pPr>
    </w:p>
    <w:p w14:paraId="418C7C36">
      <w:pPr>
        <w:adjustRightInd w:val="0"/>
        <w:snapToGrid w:val="0"/>
        <w:spacing w:line="600" w:lineRule="exact"/>
        <w:ind w:firstLine="600"/>
        <w:jc w:val="center"/>
        <w:rPr>
          <w:rFonts w:hint="eastAsia" w:ascii="仿宋_GB2312" w:eastAsia="仿宋_GB2312"/>
          <w:sz w:val="30"/>
          <w:szCs w:val="30"/>
          <w:lang w:eastAsia="zh-CN"/>
        </w:rPr>
      </w:pPr>
      <w:r>
        <w:rPr>
          <w:rFonts w:hint="eastAsia" w:ascii="仿宋_GB2312" w:eastAsia="仿宋_GB2312"/>
          <w:sz w:val="30"/>
          <w:szCs w:val="30"/>
          <w:lang w:eastAsia="zh-CN"/>
        </w:rPr>
        <w:t>舟山市数据</w:t>
      </w:r>
      <w:r>
        <w:rPr>
          <w:rFonts w:hint="eastAsia" w:ascii="仿宋_GB2312" w:eastAsia="仿宋_GB2312"/>
          <w:sz w:val="30"/>
          <w:szCs w:val="30"/>
          <w:lang w:val="en-US" w:eastAsia="zh-CN"/>
        </w:rPr>
        <w:t>服务</w:t>
      </w:r>
      <w:r>
        <w:rPr>
          <w:rFonts w:hint="eastAsia" w:ascii="仿宋_GB2312" w:eastAsia="仿宋_GB2312"/>
          <w:sz w:val="30"/>
          <w:szCs w:val="30"/>
          <w:lang w:eastAsia="zh-CN"/>
        </w:rPr>
        <w:t>中心</w:t>
      </w:r>
    </w:p>
    <w:p w14:paraId="39BD9CB6">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舟山市公共资源交易中心</w:t>
      </w:r>
    </w:p>
    <w:p w14:paraId="5DA3D589">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2025年</w:t>
      </w:r>
      <w:r>
        <w:rPr>
          <w:rFonts w:hint="eastAsia" w:ascii="仿宋_GB2312" w:eastAsia="仿宋_GB2312"/>
          <w:sz w:val="30"/>
          <w:szCs w:val="30"/>
          <w:lang w:val="en-US" w:eastAsia="zh-CN"/>
        </w:rPr>
        <w:t>5</w:t>
      </w:r>
      <w:r>
        <w:rPr>
          <w:rFonts w:hint="eastAsia" w:ascii="仿宋_GB2312" w:eastAsia="仿宋_GB2312"/>
          <w:sz w:val="30"/>
          <w:szCs w:val="30"/>
        </w:rPr>
        <w:t>月</w:t>
      </w:r>
    </w:p>
    <w:p w14:paraId="157074FA">
      <w:pPr>
        <w:adjustRightInd w:val="0"/>
        <w:snapToGrid w:val="0"/>
        <w:rPr>
          <w:rFonts w:ascii="仿宋_GB2312" w:eastAsia="仿宋_GB2312"/>
          <w:sz w:val="24"/>
          <w:szCs w:val="24"/>
        </w:rPr>
      </w:pPr>
      <w:r>
        <w:rPr>
          <w:rFonts w:hint="eastAsia" w:ascii="仿宋_GB2312" w:eastAsia="仿宋_GB2312"/>
          <w:sz w:val="24"/>
          <w:szCs w:val="24"/>
        </w:rPr>
        <w:br w:type="page"/>
      </w:r>
      <w:bookmarkStart w:id="0" w:name="_Hlt67893495"/>
      <w:bookmarkEnd w:id="0"/>
    </w:p>
    <w:p w14:paraId="1349CA04">
      <w:pPr>
        <w:rPr>
          <w:rFonts w:ascii="仿宋_GB2312" w:eastAsia="仿宋_GB2312"/>
          <w:sz w:val="24"/>
          <w:szCs w:val="24"/>
        </w:rPr>
      </w:pPr>
    </w:p>
    <w:p w14:paraId="58442EC1">
      <w:pPr>
        <w:ind w:firstLine="562"/>
        <w:jc w:val="center"/>
        <w:rPr>
          <w:rFonts w:ascii="仿宋_GB2312" w:hAnsi="宋体" w:eastAsia="仿宋_GB2312"/>
          <w:b/>
          <w:sz w:val="28"/>
          <w:szCs w:val="28"/>
        </w:rPr>
      </w:pPr>
      <w:r>
        <w:rPr>
          <w:rFonts w:hint="eastAsia" w:ascii="仿宋_GB2312" w:hAnsi="宋体" w:eastAsia="仿宋_GB2312"/>
          <w:b/>
          <w:sz w:val="28"/>
          <w:szCs w:val="28"/>
        </w:rPr>
        <w:t>目  录</w:t>
      </w:r>
    </w:p>
    <w:p w14:paraId="417424C8">
      <w:pPr>
        <w:ind w:firstLine="560"/>
        <w:rPr>
          <w:rFonts w:ascii="仿宋_GB2312" w:eastAsia="仿宋_GB2312"/>
          <w:sz w:val="28"/>
          <w:szCs w:val="28"/>
        </w:rPr>
      </w:pPr>
    </w:p>
    <w:p w14:paraId="62CC3551">
      <w:pPr>
        <w:spacing w:line="360" w:lineRule="auto"/>
        <w:ind w:firstLine="560"/>
        <w:rPr>
          <w:rFonts w:ascii="仿宋_GB2312" w:eastAsia="仿宋_GB2312"/>
          <w:sz w:val="28"/>
          <w:szCs w:val="28"/>
        </w:rPr>
      </w:pPr>
    </w:p>
    <w:p w14:paraId="33F20FBF">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第一部分      招标公告</w:t>
      </w:r>
    </w:p>
    <w:p w14:paraId="7082522C">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第二部分      投标人须知</w:t>
      </w:r>
    </w:p>
    <w:p w14:paraId="11B23351">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第三部分      采购需求</w:t>
      </w:r>
    </w:p>
    <w:p w14:paraId="7228D6DA">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第四部分      评标办法</w:t>
      </w:r>
    </w:p>
    <w:p w14:paraId="1D41BF4B">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第五部分      拟签订的合同文本</w:t>
      </w:r>
    </w:p>
    <w:p w14:paraId="43B88303">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第六部分      应提交的有关格式范例</w:t>
      </w:r>
    </w:p>
    <w:p w14:paraId="404F6CE4">
      <w:pPr>
        <w:rPr>
          <w:rFonts w:ascii="仿宋_GB2312" w:hAnsi="黑体" w:eastAsia="仿宋_GB2312"/>
          <w:sz w:val="24"/>
          <w:szCs w:val="24"/>
        </w:rPr>
      </w:pPr>
      <w:bookmarkStart w:id="1" w:name="_Hlt91233176"/>
      <w:bookmarkEnd w:id="1"/>
      <w:bookmarkStart w:id="2" w:name="_Toc91899869"/>
    </w:p>
    <w:p w14:paraId="55748A8E">
      <w:pPr>
        <w:rPr>
          <w:rFonts w:ascii="仿宋_GB2312" w:hAnsi="黑体" w:eastAsia="仿宋_GB2312"/>
          <w:sz w:val="24"/>
          <w:szCs w:val="24"/>
        </w:rPr>
      </w:pPr>
    </w:p>
    <w:p w14:paraId="78AF6EDA">
      <w:pPr>
        <w:rPr>
          <w:rFonts w:ascii="仿宋_GB2312" w:eastAsia="仿宋_GB2312"/>
          <w:sz w:val="24"/>
          <w:szCs w:val="24"/>
        </w:rPr>
      </w:pPr>
    </w:p>
    <w:p w14:paraId="72B395D6">
      <w:pPr>
        <w:rPr>
          <w:rFonts w:ascii="仿宋_GB2312" w:eastAsia="仿宋_GB2312"/>
          <w:sz w:val="24"/>
          <w:szCs w:val="24"/>
        </w:rPr>
      </w:pPr>
    </w:p>
    <w:p w14:paraId="7DC66CE3">
      <w:pPr>
        <w:rPr>
          <w:rFonts w:ascii="仿宋_GB2312" w:eastAsia="仿宋_GB2312"/>
          <w:sz w:val="24"/>
          <w:szCs w:val="24"/>
        </w:rPr>
      </w:pPr>
    </w:p>
    <w:p w14:paraId="3F48B378">
      <w:pPr>
        <w:rPr>
          <w:rFonts w:ascii="仿宋_GB2312" w:eastAsia="仿宋_GB2312"/>
          <w:sz w:val="24"/>
          <w:szCs w:val="24"/>
        </w:rPr>
      </w:pPr>
    </w:p>
    <w:p w14:paraId="4C950269">
      <w:pPr>
        <w:rPr>
          <w:rFonts w:ascii="仿宋_GB2312" w:eastAsia="仿宋_GB2312"/>
          <w:sz w:val="24"/>
          <w:szCs w:val="24"/>
        </w:rPr>
      </w:pPr>
    </w:p>
    <w:p w14:paraId="1F290B61">
      <w:pPr>
        <w:rPr>
          <w:rFonts w:ascii="仿宋_GB2312" w:eastAsia="仿宋_GB2312"/>
          <w:sz w:val="24"/>
          <w:szCs w:val="24"/>
        </w:rPr>
      </w:pPr>
    </w:p>
    <w:p w14:paraId="040C558C">
      <w:pPr>
        <w:rPr>
          <w:rFonts w:ascii="仿宋_GB2312" w:eastAsia="仿宋_GB2312"/>
          <w:sz w:val="24"/>
          <w:szCs w:val="24"/>
        </w:rPr>
      </w:pPr>
    </w:p>
    <w:p w14:paraId="1C7F11FF">
      <w:pPr>
        <w:rPr>
          <w:rFonts w:ascii="仿宋_GB2312" w:eastAsia="仿宋_GB2312"/>
          <w:sz w:val="24"/>
          <w:szCs w:val="24"/>
        </w:rPr>
      </w:pPr>
    </w:p>
    <w:p w14:paraId="53E584F5">
      <w:pPr>
        <w:rPr>
          <w:rFonts w:ascii="仿宋_GB2312" w:eastAsia="仿宋_GB2312"/>
          <w:sz w:val="24"/>
          <w:szCs w:val="24"/>
        </w:rPr>
      </w:pPr>
    </w:p>
    <w:p w14:paraId="1D5712C3">
      <w:pPr>
        <w:rPr>
          <w:rFonts w:ascii="仿宋_GB2312" w:eastAsia="仿宋_GB2312"/>
          <w:sz w:val="24"/>
          <w:szCs w:val="24"/>
        </w:rPr>
      </w:pPr>
    </w:p>
    <w:p w14:paraId="516A989D">
      <w:pPr>
        <w:rPr>
          <w:rFonts w:ascii="仿宋_GB2312" w:eastAsia="仿宋_GB2312"/>
          <w:sz w:val="24"/>
          <w:szCs w:val="24"/>
        </w:rPr>
      </w:pPr>
    </w:p>
    <w:p w14:paraId="192BB314">
      <w:pPr>
        <w:rPr>
          <w:rFonts w:ascii="仿宋_GB2312" w:eastAsia="仿宋_GB2312"/>
          <w:sz w:val="24"/>
          <w:szCs w:val="24"/>
        </w:rPr>
      </w:pPr>
    </w:p>
    <w:p w14:paraId="40299ED9">
      <w:pPr>
        <w:ind w:firstLine="3360" w:firstLineChars="1400"/>
        <w:outlineLvl w:val="0"/>
        <w:rPr>
          <w:rFonts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sz w:val="32"/>
          <w:szCs w:val="32"/>
        </w:rPr>
        <w:t>第一部分</w:t>
      </w:r>
      <w:r>
        <w:rPr>
          <w:rFonts w:hint="eastAsia"/>
          <w:sz w:val="32"/>
          <w:szCs w:val="32"/>
          <w:lang w:val="en-US" w:eastAsia="zh-CN"/>
        </w:rPr>
        <w:t xml:space="preserve"> </w:t>
      </w:r>
      <w:r>
        <w:rPr>
          <w:rFonts w:hint="eastAsia"/>
          <w:sz w:val="32"/>
          <w:szCs w:val="32"/>
        </w:rPr>
        <w:t>招标公告</w:t>
      </w:r>
    </w:p>
    <w:p w14:paraId="56045BA7">
      <w:pPr>
        <w:spacing w:line="420" w:lineRule="exact"/>
        <w:ind w:firstLine="482" w:firstLineChars="200"/>
        <w:contextualSpacing/>
        <w:rPr>
          <w:rFonts w:ascii="仿宋_GB2312" w:eastAsia="仿宋_GB2312"/>
          <w:b/>
          <w:sz w:val="24"/>
          <w:szCs w:val="24"/>
        </w:rPr>
      </w:pPr>
    </w:p>
    <w:p w14:paraId="51CE14C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lang w:eastAsia="zh-CN"/>
        </w:rPr>
        <w:t>舟山市政务云统一购买服务项目（2025-2026）</w:t>
      </w:r>
      <w:r>
        <w:rPr>
          <w:rFonts w:hint="eastAsia" w:ascii="仿宋" w:hAnsi="仿宋" w:eastAsia="仿宋" w:cs="仿宋"/>
          <w:sz w:val="24"/>
          <w:szCs w:val="24"/>
        </w:rPr>
        <w:t>的潜在投标人应在政采云平台（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"https://www.zcygov.cn/）获取（下载）招标文件，并于2024年5月10日9点15分00秒" </w:instrText>
      </w:r>
      <w:r>
        <w:rPr>
          <w:rFonts w:hint="eastAsia" w:ascii="仿宋" w:hAnsi="仿宋" w:eastAsia="仿宋" w:cs="仿宋"/>
          <w:sz w:val="24"/>
          <w:szCs w:val="24"/>
        </w:rPr>
        <w:fldChar w:fldCharType="separate"/>
      </w:r>
      <w:r>
        <w:rPr>
          <w:rStyle w:val="18"/>
          <w:rFonts w:hint="eastAsia" w:ascii="仿宋" w:hAnsi="仿宋" w:eastAsia="仿宋" w:cs="仿宋"/>
          <w:color w:val="auto"/>
          <w:sz w:val="24"/>
          <w:szCs w:val="24"/>
        </w:rPr>
        <w:t>https://www.zcygov.cn/）获取（下载）招标文件，并于2025年</w:t>
      </w:r>
      <w:r>
        <w:rPr>
          <w:rStyle w:val="18"/>
          <w:rFonts w:hint="eastAsia" w:ascii="仿宋" w:hAnsi="仿宋" w:eastAsia="仿宋" w:cs="仿宋"/>
          <w:color w:val="auto"/>
          <w:sz w:val="24"/>
          <w:szCs w:val="24"/>
          <w:lang w:val="en-US" w:eastAsia="zh-CN"/>
        </w:rPr>
        <w:t>6</w:t>
      </w:r>
      <w:r>
        <w:rPr>
          <w:rStyle w:val="18"/>
          <w:rFonts w:hint="eastAsia" w:ascii="仿宋" w:hAnsi="仿宋" w:eastAsia="仿宋" w:cs="仿宋"/>
          <w:color w:val="auto"/>
          <w:sz w:val="24"/>
          <w:szCs w:val="24"/>
          <w:lang w:eastAsia="zh-CN"/>
        </w:rPr>
        <w:t>月</w:t>
      </w:r>
      <w:r>
        <w:rPr>
          <w:rStyle w:val="18"/>
          <w:rFonts w:hint="eastAsia" w:ascii="仿宋" w:hAnsi="仿宋" w:eastAsia="仿宋" w:cs="仿宋"/>
          <w:color w:val="auto"/>
          <w:sz w:val="24"/>
          <w:szCs w:val="24"/>
          <w:lang w:val="en-US" w:eastAsia="zh-CN"/>
        </w:rPr>
        <w:t>20日</w:t>
      </w:r>
      <w:r>
        <w:rPr>
          <w:rStyle w:val="18"/>
          <w:rFonts w:hint="eastAsia" w:ascii="仿宋" w:hAnsi="仿宋" w:eastAsia="仿宋" w:cs="仿宋"/>
          <w:color w:val="auto"/>
          <w:sz w:val="24"/>
          <w:szCs w:val="24"/>
        </w:rPr>
        <w:t>9点10分00秒</w:t>
      </w:r>
      <w:r>
        <w:rPr>
          <w:rStyle w:val="18"/>
          <w:rFonts w:hint="eastAsia" w:ascii="仿宋" w:hAnsi="仿宋" w:eastAsia="仿宋" w:cs="仿宋"/>
          <w:color w:val="auto"/>
          <w:sz w:val="24"/>
          <w:szCs w:val="24"/>
        </w:rPr>
        <w:fldChar w:fldCharType="end"/>
      </w:r>
      <w:r>
        <w:rPr>
          <w:rFonts w:hint="eastAsia" w:ascii="仿宋" w:hAnsi="仿宋" w:eastAsia="仿宋" w:cs="仿宋"/>
          <w:sz w:val="24"/>
          <w:szCs w:val="24"/>
        </w:rPr>
        <w:t>（北京时间）前递交（上传）投标文件。</w:t>
      </w:r>
    </w:p>
    <w:p w14:paraId="10D30831">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contextualSpacing/>
        <w:textAlignment w:val="auto"/>
        <w:rPr>
          <w:rFonts w:hint="eastAsia" w:ascii="仿宋" w:hAnsi="仿宋" w:eastAsia="仿宋" w:cs="仿宋"/>
          <w:b/>
          <w:sz w:val="24"/>
          <w:szCs w:val="24"/>
        </w:rPr>
      </w:pPr>
      <w:r>
        <w:rPr>
          <w:rFonts w:hint="eastAsia" w:ascii="仿宋" w:hAnsi="仿宋" w:eastAsia="仿宋" w:cs="仿宋"/>
          <w:b/>
          <w:sz w:val="24"/>
          <w:szCs w:val="24"/>
        </w:rPr>
        <w:t xml:space="preserve">一、项目基本情况                                            </w:t>
      </w:r>
    </w:p>
    <w:p w14:paraId="1D2D35F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lang w:eastAsia="zh-CN"/>
        </w:rPr>
      </w:pPr>
      <w:r>
        <w:rPr>
          <w:rFonts w:hint="eastAsia" w:ascii="仿宋" w:hAnsi="仿宋" w:eastAsia="仿宋" w:cs="仿宋"/>
          <w:sz w:val="24"/>
          <w:szCs w:val="24"/>
        </w:rPr>
        <w:t>项目编号：ZSZFCG2025-</w:t>
      </w:r>
      <w:r>
        <w:rPr>
          <w:rFonts w:hint="eastAsia" w:ascii="仿宋" w:hAnsi="仿宋" w:eastAsia="仿宋" w:cs="仿宋"/>
          <w:sz w:val="24"/>
          <w:szCs w:val="24"/>
          <w:lang w:eastAsia="zh-CN"/>
        </w:rPr>
        <w:t>ZB-026</w:t>
      </w:r>
    </w:p>
    <w:p w14:paraId="1FB9701D">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r>
        <w:rPr>
          <w:rFonts w:hint="eastAsia" w:ascii="仿宋" w:hAnsi="仿宋" w:eastAsia="仿宋" w:cs="仿宋"/>
          <w:bCs/>
          <w:sz w:val="24"/>
          <w:szCs w:val="24"/>
          <w:lang w:eastAsia="zh-CN"/>
        </w:rPr>
        <w:t>舟山市政务云统一购买服务项目（2025-2026）</w:t>
      </w:r>
      <w:r>
        <w:rPr>
          <w:rFonts w:hint="eastAsia" w:ascii="仿宋" w:hAnsi="仿宋" w:eastAsia="仿宋" w:cs="仿宋"/>
          <w:bCs/>
          <w:sz w:val="24"/>
          <w:szCs w:val="24"/>
        </w:rPr>
        <w:tab/>
      </w:r>
    </w:p>
    <w:p w14:paraId="62809097">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sz w:val="24"/>
          <w:szCs w:val="24"/>
        </w:rPr>
        <w:t>预算金额（元）：</w:t>
      </w:r>
      <w:r>
        <w:rPr>
          <w:rFonts w:hint="eastAsia" w:ascii="仿宋" w:hAnsi="仿宋" w:eastAsia="仿宋" w:cs="仿宋"/>
          <w:bCs/>
          <w:sz w:val="24"/>
          <w:szCs w:val="24"/>
          <w:lang w:val="en-US" w:eastAsia="zh-CN"/>
        </w:rPr>
        <w:t>50000</w:t>
      </w:r>
      <w:r>
        <w:rPr>
          <w:rFonts w:hint="eastAsia" w:ascii="仿宋" w:hAnsi="仿宋" w:eastAsia="仿宋" w:cs="仿宋"/>
          <w:bCs/>
          <w:sz w:val="24"/>
          <w:szCs w:val="24"/>
        </w:rPr>
        <w:t>000元；</w:t>
      </w:r>
    </w:p>
    <w:p w14:paraId="0C92EE36">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最高限价（元）：</w:t>
      </w:r>
      <w:r>
        <w:rPr>
          <w:rFonts w:hint="eastAsia" w:ascii="仿宋" w:hAnsi="仿宋" w:eastAsia="仿宋" w:cs="仿宋"/>
          <w:bCs/>
          <w:sz w:val="24"/>
          <w:szCs w:val="24"/>
          <w:lang w:val="en-US" w:eastAsia="zh-CN"/>
        </w:rPr>
        <w:t>50000</w:t>
      </w:r>
      <w:r>
        <w:rPr>
          <w:rFonts w:hint="eastAsia" w:ascii="仿宋" w:hAnsi="仿宋" w:eastAsia="仿宋" w:cs="仿宋"/>
          <w:bCs/>
          <w:sz w:val="24"/>
          <w:szCs w:val="24"/>
        </w:rPr>
        <w:t>000</w:t>
      </w:r>
      <w:r>
        <w:rPr>
          <w:rFonts w:hint="eastAsia" w:ascii="仿宋" w:hAnsi="仿宋" w:eastAsia="仿宋" w:cs="仿宋"/>
          <w:bCs/>
          <w:color w:val="000000" w:themeColor="text1"/>
          <w:sz w:val="24"/>
          <w:szCs w:val="24"/>
          <w14:textFill>
            <w14:solidFill>
              <w14:schemeClr w14:val="tx1"/>
            </w14:solidFill>
          </w14:textFill>
        </w:rPr>
        <w:t>元；</w:t>
      </w:r>
    </w:p>
    <w:p w14:paraId="7D4CA9B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采购需求：详见招标文件第三部分采购需求</w:t>
      </w:r>
    </w:p>
    <w:p w14:paraId="2FC164A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合同履约期限：详见采购文件</w:t>
      </w:r>
    </w:p>
    <w:p w14:paraId="6925BB1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本项目接受联合体投标：</w:t>
      </w:r>
      <w:r>
        <w:rPr>
          <w:rFonts w:hint="eastAsia" w:ascii="仿宋" w:hAnsi="仿宋" w:eastAsia="仿宋" w:cs="仿宋"/>
          <w:sz w:val="24"/>
          <w:szCs w:val="24"/>
        </w:rPr>
        <w:sym w:font="Wingdings" w:char="00A8"/>
      </w:r>
      <w:r>
        <w:rPr>
          <w:rFonts w:hint="eastAsia" w:ascii="仿宋" w:hAnsi="仿宋" w:eastAsia="仿宋" w:cs="仿宋"/>
          <w:sz w:val="24"/>
          <w:szCs w:val="24"/>
        </w:rPr>
        <w:t>否 √是。</w:t>
      </w:r>
    </w:p>
    <w:p w14:paraId="04AD5985">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contextualSpacing/>
        <w:textAlignment w:val="auto"/>
        <w:rPr>
          <w:rFonts w:hint="eastAsia" w:ascii="仿宋" w:hAnsi="仿宋" w:eastAsia="仿宋" w:cs="仿宋"/>
          <w:b/>
          <w:sz w:val="24"/>
          <w:szCs w:val="24"/>
        </w:rPr>
      </w:pPr>
      <w:r>
        <w:rPr>
          <w:rFonts w:hint="eastAsia" w:ascii="仿宋" w:hAnsi="仿宋" w:eastAsia="仿宋" w:cs="仿宋"/>
          <w:b/>
          <w:sz w:val="24"/>
          <w:szCs w:val="24"/>
        </w:rPr>
        <w:t>二、申请人的资格要求：</w:t>
      </w:r>
    </w:p>
    <w:p w14:paraId="00E1B98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05FAD8B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7AA3985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w:t>
      </w:r>
      <w:sdt>
        <w:sdtPr>
          <w:rPr>
            <w:rFonts w:hint="eastAsia" w:ascii="仿宋" w:hAnsi="仿宋" w:eastAsia="仿宋" w:cs="仿宋"/>
            <w:sz w:val="24"/>
            <w:szCs w:val="24"/>
          </w:rPr>
          <w:id w:val="147473976"/>
          <w:showingPlcHdr/>
        </w:sdtPr>
        <w:sdtEndPr>
          <w:rPr>
            <w:rFonts w:hint="eastAsia" w:ascii="仿宋" w:hAnsi="仿宋" w:eastAsia="仿宋" w:cs="仿宋"/>
            <w:sz w:val="24"/>
            <w:szCs w:val="24"/>
          </w:rPr>
        </w:sdtEndPr>
        <w:sdtContent>
          <w:r>
            <w:rPr>
              <w:rFonts w:hint="eastAsia" w:ascii="仿宋" w:hAnsi="仿宋" w:eastAsia="仿宋" w:cs="仿宋"/>
              <w:sz w:val="24"/>
              <w:szCs w:val="24"/>
              <w:lang w:eastAsia="zh-CN"/>
            </w:rPr>
            <w:t xml:space="preserve">     </w:t>
          </w:r>
        </w:sdtContent>
      </w:sdt>
      <w:r>
        <w:rPr>
          <w:rFonts w:hint="eastAsia" w:ascii="仿宋" w:hAnsi="仿宋" w:eastAsia="仿宋" w:cs="仿宋"/>
          <w:sz w:val="24"/>
          <w:szCs w:val="24"/>
        </w:rPr>
        <w:t>无</w:t>
      </w:r>
    </w:p>
    <w:p w14:paraId="63C31228">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color w:val="auto"/>
          <w:sz w:val="24"/>
          <w:szCs w:val="24"/>
        </w:rPr>
      </w:pPr>
      <w:sdt>
        <w:sdtPr>
          <w:rPr>
            <w:rFonts w:hint="eastAsia" w:ascii="仿宋" w:hAnsi="仿宋" w:eastAsia="仿宋" w:cs="仿宋"/>
            <w:sz w:val="24"/>
            <w:szCs w:val="24"/>
          </w:rPr>
          <w:id w:val="269264797"/>
        </w:sdtPr>
        <w:sdtEndPr>
          <w:rPr>
            <w:rFonts w:hint="eastAsia" w:ascii="仿宋" w:hAnsi="仿宋" w:eastAsia="仿宋" w:cs="仿宋"/>
            <w:color w:val="auto"/>
            <w:sz w:val="24"/>
            <w:szCs w:val="24"/>
          </w:rPr>
        </w:sdtEndPr>
        <w:sdtContent>
          <w:sdt>
            <w:sdtPr>
              <w:rPr>
                <w:rFonts w:hint="eastAsia" w:ascii="仿宋" w:hAnsi="仿宋" w:eastAsia="仿宋" w:cs="仿宋"/>
                <w:sz w:val="24"/>
                <w:szCs w:val="24"/>
              </w:rPr>
              <w:id w:val="1648123872"/>
            </w:sdtPr>
            <w:sdtEndPr>
              <w:rPr>
                <w:rFonts w:hint="eastAsia" w:ascii="仿宋" w:hAnsi="仿宋" w:eastAsia="仿宋" w:cs="仿宋"/>
                <w:color w:val="auto"/>
                <w:sz w:val="24"/>
                <w:szCs w:val="24"/>
              </w:rPr>
            </w:sdtEndPr>
            <w:sdtContent>
              <w:sdt>
                <w:sdtPr>
                  <w:rPr>
                    <w:rFonts w:hint="eastAsia" w:ascii="仿宋" w:hAnsi="仿宋" w:eastAsia="仿宋" w:cs="仿宋"/>
                    <w:sz w:val="24"/>
                    <w:szCs w:val="24"/>
                  </w:rPr>
                  <w:id w:val="1648123875"/>
                </w:sdtPr>
                <w:sdtEndPr>
                  <w:rPr>
                    <w:rFonts w:hint="eastAsia" w:ascii="仿宋" w:hAnsi="仿宋" w:eastAsia="仿宋" w:cs="仿宋"/>
                    <w:color w:val="auto"/>
                    <w:sz w:val="24"/>
                    <w:szCs w:val="24"/>
                  </w:rPr>
                </w:sdtEndPr>
                <w:sdtContent>
                  <w:sdt>
                    <w:sdtPr>
                      <w:rPr>
                        <w:rFonts w:hint="eastAsia" w:ascii="仿宋" w:hAnsi="仿宋" w:eastAsia="仿宋" w:cs="仿宋"/>
                        <w:sz w:val="24"/>
                        <w:szCs w:val="24"/>
                      </w:rPr>
                      <w:id w:val="613081803"/>
                    </w:sdtPr>
                    <w:sdtEndPr>
                      <w:rPr>
                        <w:rFonts w:hint="eastAsia" w:ascii="仿宋" w:hAnsi="仿宋" w:eastAsia="仿宋" w:cs="仿宋"/>
                        <w:b/>
                        <w:color w:val="auto"/>
                        <w:sz w:val="24"/>
                        <w:szCs w:val="24"/>
                      </w:rPr>
                    </w:sdtEndPr>
                    <w:sdtContent>
                      <w:sdt>
                        <w:sdtPr>
                          <w:rPr>
                            <w:rFonts w:hint="eastAsia" w:ascii="仿宋" w:hAnsi="仿宋" w:eastAsia="仿宋" w:cs="仿宋"/>
                            <w:sz w:val="24"/>
                            <w:szCs w:val="24"/>
                          </w:rPr>
                          <w:id w:val="156501049"/>
                        </w:sdtPr>
                        <w:sdtEndPr>
                          <w:rPr>
                            <w:rFonts w:hint="eastAsia" w:ascii="仿宋" w:hAnsi="仿宋" w:eastAsia="仿宋" w:cs="仿宋"/>
                            <w:color w:val="auto"/>
                            <w:sz w:val="24"/>
                            <w:szCs w:val="24"/>
                          </w:rPr>
                        </w:sdtEndPr>
                        <w:sdtContent>
                          <w:sdt>
                            <w:sdtPr>
                              <w:rPr>
                                <w:rFonts w:hint="eastAsia" w:ascii="仿宋" w:hAnsi="仿宋" w:eastAsia="仿宋" w:cs="仿宋"/>
                                <w:sz w:val="24"/>
                                <w:szCs w:val="24"/>
                              </w:rPr>
                              <w:id w:val="3267786"/>
                            </w:sdtPr>
                            <w:sdtEndPr>
                              <w:rPr>
                                <w:rFonts w:hint="eastAsia" w:ascii="仿宋" w:hAnsi="仿宋" w:eastAsia="仿宋" w:cs="仿宋"/>
                                <w:b/>
                                <w:color w:val="auto"/>
                                <w:sz w:val="24"/>
                                <w:szCs w:val="24"/>
                              </w:rPr>
                            </w:sdtEndPr>
                            <w:sdtContent>
                              <w:r>
                                <w:rPr>
                                  <w:rFonts w:hint="eastAsia" w:ascii="仿宋" w:hAnsi="仿宋" w:eastAsia="仿宋" w:cs="仿宋"/>
                                  <w:sz w:val="24"/>
                                  <w:szCs w:val="24"/>
                                </w:rPr>
                                <w:t>☐</w:t>
                              </w:r>
                            </w:sdtContent>
                          </w:sdt>
                        </w:sdtContent>
                      </w:sdt>
                    </w:sdtContent>
                  </w:sdt>
                </w:sdtContent>
              </w:sdt>
            </w:sdtContent>
          </w:sdt>
        </w:sdtContent>
      </w:sdt>
      <w:r>
        <w:rPr>
          <w:rFonts w:hint="eastAsia" w:ascii="仿宋" w:hAnsi="仿宋" w:eastAsia="仿宋" w:cs="仿宋"/>
          <w:color w:val="auto"/>
          <w:sz w:val="24"/>
          <w:szCs w:val="24"/>
        </w:rPr>
        <w:t>专门面向中小企业</w:t>
      </w:r>
    </w:p>
    <w:p w14:paraId="5CF9B83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sdt>
        <w:sdtPr>
          <w:rPr>
            <w:rFonts w:hint="eastAsia" w:ascii="仿宋" w:hAnsi="仿宋" w:eastAsia="仿宋" w:cs="仿宋"/>
            <w:sz w:val="24"/>
            <w:szCs w:val="24"/>
          </w:rPr>
          <w:id w:val="12"/>
        </w:sdtPr>
        <w:sdtEndPr>
          <w:rPr>
            <w:rFonts w:hint="eastAsia" w:ascii="仿宋" w:hAnsi="仿宋" w:eastAsia="仿宋" w:cs="仿宋"/>
            <w:sz w:val="24"/>
            <w:szCs w:val="24"/>
          </w:rPr>
        </w:sdtEndPr>
        <w:sdtContent>
          <w:sdt>
            <w:sdtPr>
              <w:rPr>
                <w:rFonts w:hint="eastAsia" w:ascii="仿宋" w:hAnsi="仿宋" w:eastAsia="仿宋" w:cs="仿宋"/>
                <w:sz w:val="24"/>
                <w:szCs w:val="24"/>
              </w:rPr>
              <w:id w:val="269264799"/>
            </w:sdtPr>
            <w:sdtEndPr>
              <w:rPr>
                <w:rFonts w:hint="eastAsia" w:ascii="仿宋" w:hAnsi="仿宋" w:eastAsia="仿宋" w:cs="仿宋"/>
                <w:sz w:val="24"/>
                <w:szCs w:val="24"/>
              </w:rPr>
            </w:sdtEndPr>
            <w:sdtContent>
              <w:r>
                <w:rPr>
                  <w:rFonts w:hint="eastAsia" w:ascii="仿宋" w:hAnsi="仿宋" w:eastAsia="仿宋" w:cs="仿宋"/>
                  <w:sz w:val="24"/>
                  <w:szCs w:val="24"/>
                </w:rPr>
                <w:t>☐货物全部由符合政策要求的中小企业制造，提供中小企业声明函；</w:t>
              </w:r>
            </w:sdtContent>
          </w:sdt>
        </w:sdtContent>
      </w:sdt>
    </w:p>
    <w:p w14:paraId="71414FE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☐货物全部由符合政策要求的小微企业制造，提供中小企业声明函；</w:t>
      </w:r>
    </w:p>
    <w:p w14:paraId="30A3BA0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sdt>
        <w:sdtPr>
          <w:rPr>
            <w:rFonts w:hint="eastAsia" w:ascii="仿宋" w:hAnsi="仿宋" w:eastAsia="仿宋" w:cs="仿宋"/>
            <w:sz w:val="24"/>
            <w:szCs w:val="24"/>
          </w:rPr>
          <w:id w:val="14"/>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sdt>
        <w:sdtPr>
          <w:rPr>
            <w:rFonts w:hint="eastAsia" w:ascii="仿宋" w:hAnsi="仿宋" w:eastAsia="仿宋" w:cs="仿宋"/>
            <w:sz w:val="24"/>
            <w:szCs w:val="24"/>
          </w:rPr>
          <w:id w:val="15"/>
        </w:sdtPr>
        <w:sdtEndPr>
          <w:rPr>
            <w:rFonts w:hint="eastAsia" w:ascii="仿宋" w:hAnsi="仿宋" w:eastAsia="仿宋" w:cs="仿宋"/>
            <w:b/>
            <w:sz w:val="24"/>
            <w:szCs w:val="24"/>
          </w:rPr>
        </w:sdtEndPr>
        <w:sdtContent>
          <w:sdt>
            <w:sdtPr>
              <w:rPr>
                <w:rFonts w:hint="eastAsia" w:ascii="仿宋" w:hAnsi="仿宋" w:eastAsia="仿宋" w:cs="仿宋"/>
                <w:sz w:val="24"/>
                <w:szCs w:val="24"/>
              </w:rPr>
              <w:id w:val="613081805"/>
            </w:sdtPr>
            <w:sdtEndPr>
              <w:rPr>
                <w:rFonts w:hint="eastAsia" w:ascii="仿宋" w:hAnsi="仿宋" w:eastAsia="仿宋" w:cs="仿宋"/>
                <w:b/>
                <w:sz w:val="24"/>
                <w:szCs w:val="24"/>
              </w:rPr>
            </w:sdtEndPr>
            <w:sdtContent>
              <w:sdt>
                <w:sdtPr>
                  <w:rPr>
                    <w:rFonts w:hint="eastAsia" w:ascii="仿宋" w:hAnsi="仿宋" w:eastAsia="仿宋" w:cs="仿宋"/>
                    <w:sz w:val="24"/>
                    <w:szCs w:val="24"/>
                  </w:rPr>
                  <w:id w:val="156501051"/>
                </w:sdtPr>
                <w:sdtEndPr>
                  <w:rPr>
                    <w:rFonts w:hint="eastAsia" w:ascii="仿宋" w:hAnsi="仿宋" w:eastAsia="仿宋" w:cs="仿宋"/>
                    <w:sz w:val="24"/>
                    <w:szCs w:val="24"/>
                  </w:rPr>
                </w:sdtEndPr>
                <w:sdtContent>
                  <w:sdt>
                    <w:sdtPr>
                      <w:rPr>
                        <w:rFonts w:hint="eastAsia" w:ascii="仿宋" w:hAnsi="仿宋" w:eastAsia="仿宋" w:cs="仿宋"/>
                        <w:sz w:val="24"/>
                        <w:szCs w:val="24"/>
                      </w:rPr>
                      <w:id w:val="3267792"/>
                      <w:showingPlcHdr/>
                    </w:sdtPr>
                    <w:sdtEndPr>
                      <w:rPr>
                        <w:rFonts w:hint="eastAsia" w:ascii="仿宋" w:hAnsi="仿宋" w:eastAsia="仿宋" w:cs="仿宋"/>
                        <w:b/>
                        <w:sz w:val="24"/>
                        <w:szCs w:val="24"/>
                      </w:rPr>
                    </w:sdtEndPr>
                    <w:sdtContent/>
                  </w:sdt>
                </w:sdtContent>
              </w:sdt>
            </w:sdtContent>
          </w:sdt>
        </w:sdtContent>
      </w:sdt>
      <w:r>
        <w:rPr>
          <w:rFonts w:hint="eastAsia" w:ascii="仿宋" w:hAnsi="仿宋" w:eastAsia="仿宋" w:cs="仿宋"/>
          <w:sz w:val="24"/>
          <w:szCs w:val="24"/>
        </w:rPr>
        <w:t>服务全部由符合政策要求的中小企业承接，提供中小企业声明函；</w:t>
      </w:r>
    </w:p>
    <w:p w14:paraId="3D8E0AC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sdt>
        <w:sdtPr>
          <w:rPr>
            <w:rFonts w:hint="eastAsia" w:ascii="仿宋" w:hAnsi="仿宋" w:eastAsia="仿宋" w:cs="仿宋"/>
            <w:sz w:val="24"/>
            <w:szCs w:val="24"/>
          </w:rPr>
          <w:id w:val="19"/>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服务全部由符合政策要求的小微企业承接，提供中小企业声明函；</w:t>
      </w:r>
    </w:p>
    <w:p w14:paraId="09C1038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sdt>
        <w:sdtPr>
          <w:rPr>
            <w:rFonts w:hint="eastAsia" w:ascii="仿宋" w:hAnsi="仿宋" w:eastAsia="仿宋" w:cs="仿宋"/>
            <w:sz w:val="24"/>
            <w:szCs w:val="24"/>
          </w:rPr>
          <w:id w:val="20"/>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府采购活动，无需提供联合协议；</w:t>
      </w:r>
    </w:p>
    <w:p w14:paraId="701F0BA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sdt>
        <w:sdtPr>
          <w:rPr>
            <w:rFonts w:hint="eastAsia" w:ascii="仿宋" w:hAnsi="仿宋" w:eastAsia="仿宋" w:cs="仿宋"/>
            <w:sz w:val="24"/>
            <w:szCs w:val="24"/>
          </w:rPr>
          <w:id w:val="34630645"/>
        </w:sdtPr>
        <w:sdtEndPr>
          <w:rPr>
            <w:rFonts w:hint="eastAsia" w:ascii="仿宋" w:hAnsi="仿宋" w:eastAsia="仿宋" w:cs="仿宋"/>
            <w:sz w:val="24"/>
            <w:szCs w:val="24"/>
          </w:rPr>
        </w:sdtEndPr>
        <w:sdtContent>
          <w:sdt>
            <w:sdtPr>
              <w:rPr>
                <w:rFonts w:hint="eastAsia" w:ascii="仿宋" w:hAnsi="仿宋" w:eastAsia="仿宋" w:cs="仿宋"/>
                <w:sz w:val="24"/>
                <w:szCs w:val="24"/>
              </w:rPr>
              <w:id w:val="1648123874"/>
            </w:sdtPr>
            <w:sdtEndPr>
              <w:rPr>
                <w:rFonts w:hint="eastAsia" w:ascii="仿宋" w:hAnsi="仿宋" w:eastAsia="仿宋" w:cs="仿宋"/>
                <w:sz w:val="24"/>
                <w:szCs w:val="24"/>
              </w:rPr>
            </w:sdtEndPr>
            <w:sdtContent>
              <w:sdt>
                <w:sdtPr>
                  <w:rPr>
                    <w:rFonts w:hint="eastAsia" w:ascii="仿宋" w:hAnsi="仿宋" w:eastAsia="仿宋" w:cs="仿宋"/>
                    <w:sz w:val="24"/>
                    <w:szCs w:val="24"/>
                  </w:rPr>
                  <w:id w:val="23"/>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14:paraId="151F0660">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3.本项目的特定资格要求：无</w:t>
      </w:r>
    </w:p>
    <w:p w14:paraId="0FADE766">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7DEE74">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contextualSpacing/>
        <w:textAlignment w:val="auto"/>
        <w:rPr>
          <w:rFonts w:hint="eastAsia" w:ascii="仿宋" w:hAnsi="仿宋" w:eastAsia="仿宋" w:cs="仿宋"/>
          <w:b/>
          <w:sz w:val="24"/>
          <w:szCs w:val="24"/>
        </w:rPr>
      </w:pPr>
      <w:r>
        <w:rPr>
          <w:rFonts w:hint="eastAsia" w:ascii="仿宋" w:hAnsi="仿宋" w:eastAsia="仿宋" w:cs="仿宋"/>
          <w:b/>
          <w:sz w:val="24"/>
          <w:szCs w:val="24"/>
        </w:rPr>
        <w:t xml:space="preserve">三、获取招标文件 </w:t>
      </w:r>
    </w:p>
    <w:p w14:paraId="535EDE0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时间：/至2025年</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20日</w:t>
      </w:r>
      <w:r>
        <w:rPr>
          <w:rFonts w:hint="eastAsia" w:ascii="仿宋" w:hAnsi="仿宋" w:eastAsia="仿宋" w:cs="仿宋"/>
          <w:sz w:val="24"/>
          <w:szCs w:val="24"/>
        </w:rPr>
        <w:t>，每天上午00:00至12:00 ，下午12:00至23:59（北京时间，线上获取法定节假日均可，线下获取文件法定节假日除外的工作时间）</w:t>
      </w:r>
    </w:p>
    <w:p w14:paraId="55281DE6">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 xml:space="preserve">地点（网址）：政采云平台（https://www.zcygov.cn/） </w:t>
      </w:r>
    </w:p>
    <w:p w14:paraId="41D3DE3B">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 xml:space="preserve">方式：供应商登录政采云平台https://www.zcygov.cn/在线申请获取采购文件（进入“项目采购”应用，在获取采购文件菜单中选择项目，申请获取采购文件）。 </w:t>
      </w:r>
    </w:p>
    <w:p w14:paraId="0AA50460">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 xml:space="preserve">售价（元）：0 </w:t>
      </w:r>
      <w:r>
        <w:rPr>
          <w:rFonts w:hint="eastAsia" w:ascii="仿宋" w:hAnsi="仿宋" w:eastAsia="仿宋" w:cs="仿宋"/>
          <w:sz w:val="24"/>
          <w:szCs w:val="24"/>
        </w:rPr>
        <w:tab/>
      </w:r>
    </w:p>
    <w:p w14:paraId="3F0ED8DB">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contextualSpacing/>
        <w:textAlignment w:val="auto"/>
        <w:rPr>
          <w:rFonts w:hint="eastAsia" w:ascii="仿宋" w:hAnsi="仿宋" w:eastAsia="仿宋" w:cs="仿宋"/>
          <w:b/>
          <w:sz w:val="24"/>
          <w:szCs w:val="24"/>
        </w:rPr>
      </w:pPr>
      <w:r>
        <w:rPr>
          <w:rFonts w:hint="eastAsia" w:ascii="仿宋" w:hAnsi="仿宋" w:eastAsia="仿宋" w:cs="仿宋"/>
          <w:b/>
          <w:sz w:val="24"/>
          <w:szCs w:val="24"/>
        </w:rPr>
        <w:t>四、提交投标文件截止时间、开标时间和地点</w:t>
      </w:r>
    </w:p>
    <w:p w14:paraId="29C8C0D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提交投标文件截止时间：2025年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20日</w:t>
      </w:r>
      <w:r>
        <w:rPr>
          <w:rFonts w:hint="eastAsia" w:ascii="仿宋" w:hAnsi="仿宋" w:eastAsia="仿宋" w:cs="仿宋"/>
          <w:sz w:val="24"/>
          <w:szCs w:val="24"/>
        </w:rPr>
        <w:t>9点10分 （北京时间）</w:t>
      </w:r>
    </w:p>
    <w:p w14:paraId="0D56B50D">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 xml:space="preserve">投标地点（网址）：政采云平台（https://www.zcygov.cn/） </w:t>
      </w:r>
    </w:p>
    <w:p w14:paraId="627C49F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开标时间：2025年</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20日</w:t>
      </w:r>
      <w:r>
        <w:rPr>
          <w:rFonts w:hint="eastAsia" w:ascii="仿宋" w:hAnsi="仿宋" w:eastAsia="仿宋" w:cs="仿宋"/>
          <w:sz w:val="24"/>
          <w:szCs w:val="24"/>
        </w:rPr>
        <w:t xml:space="preserve">9点10分 </w:t>
      </w:r>
    </w:p>
    <w:p w14:paraId="57DE73C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开标地点（网址）：政采云平台（https://www.zcygov.cn/）</w:t>
      </w:r>
    </w:p>
    <w:p w14:paraId="20325216">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contextualSpacing/>
        <w:textAlignment w:val="auto"/>
        <w:rPr>
          <w:rFonts w:hint="eastAsia" w:ascii="仿宋" w:hAnsi="仿宋" w:eastAsia="仿宋" w:cs="仿宋"/>
          <w:b/>
          <w:sz w:val="24"/>
          <w:szCs w:val="24"/>
        </w:rPr>
      </w:pPr>
      <w:r>
        <w:rPr>
          <w:rFonts w:hint="eastAsia" w:ascii="仿宋" w:hAnsi="仿宋" w:eastAsia="仿宋" w:cs="仿宋"/>
          <w:b/>
          <w:sz w:val="24"/>
          <w:szCs w:val="24"/>
        </w:rPr>
        <w:t xml:space="preserve">五、公告期限 </w:t>
      </w:r>
    </w:p>
    <w:p w14:paraId="2C55D32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52E0F6C7">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contextualSpacing/>
        <w:textAlignment w:val="auto"/>
        <w:rPr>
          <w:rFonts w:hint="eastAsia" w:ascii="仿宋" w:hAnsi="仿宋" w:eastAsia="仿宋" w:cs="仿宋"/>
          <w:sz w:val="24"/>
          <w:szCs w:val="24"/>
        </w:rPr>
      </w:pPr>
      <w:r>
        <w:rPr>
          <w:rFonts w:hint="eastAsia" w:ascii="仿宋" w:hAnsi="仿宋" w:eastAsia="仿宋" w:cs="仿宋"/>
          <w:b/>
          <w:sz w:val="24"/>
          <w:szCs w:val="24"/>
        </w:rPr>
        <w:t>六、其他补充事宜</w:t>
      </w:r>
    </w:p>
    <w:p w14:paraId="41F0130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8FF2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B76A98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976F70">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45330007">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contextualSpacing/>
        <w:textAlignment w:val="auto"/>
        <w:rPr>
          <w:rFonts w:hint="eastAsia"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14:paraId="136805A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70BF132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名 称：舟山市数据</w:t>
      </w:r>
      <w:r>
        <w:rPr>
          <w:rFonts w:hint="eastAsia" w:ascii="仿宋" w:hAnsi="仿宋" w:eastAsia="仿宋" w:cs="仿宋"/>
          <w:sz w:val="24"/>
          <w:szCs w:val="24"/>
          <w:lang w:val="en-US" w:eastAsia="zh-CN"/>
        </w:rPr>
        <w:t>服务</w:t>
      </w:r>
      <w:r>
        <w:rPr>
          <w:rFonts w:hint="eastAsia" w:ascii="仿宋" w:hAnsi="仿宋" w:eastAsia="仿宋" w:cs="仿宋"/>
          <w:sz w:val="24"/>
          <w:szCs w:val="24"/>
        </w:rPr>
        <w:t>中心</w:t>
      </w:r>
    </w:p>
    <w:p w14:paraId="1CE91CF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 xml:space="preserve">地 址：舟山市新城海天大道681号     </w:t>
      </w:r>
    </w:p>
    <w:p w14:paraId="787E2915">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传 真：/</w:t>
      </w:r>
    </w:p>
    <w:p w14:paraId="257B04A9">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项目联系人（询问）：夏先生</w:t>
      </w:r>
    </w:p>
    <w:p w14:paraId="3A2BBCF9">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 xml:space="preserve">项目联系方式（询问）：13857208302 </w:t>
      </w:r>
    </w:p>
    <w:p w14:paraId="0C63B071">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质疑联系人：林先生</w:t>
      </w:r>
    </w:p>
    <w:p w14:paraId="07B482C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质疑联系方式：0580-2283125</w:t>
      </w:r>
    </w:p>
    <w:p w14:paraId="7B55952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46112851">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名称：舟山市公共资源交易中心</w:t>
      </w:r>
    </w:p>
    <w:p w14:paraId="21128A9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地址：舟山市新城翁山路555号四楼（大宗商品交易中心同幢西边）</w:t>
      </w:r>
    </w:p>
    <w:p w14:paraId="6FDA54A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传真：/             </w:t>
      </w:r>
    </w:p>
    <w:p w14:paraId="398DC08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项目联系人（询问）：丁先生</w:t>
      </w:r>
    </w:p>
    <w:p w14:paraId="5C0BF55B">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项目联系方式（询问）： 0580-2280948</w:t>
      </w:r>
    </w:p>
    <w:p w14:paraId="3D27773B">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质疑联系人：陈女士</w:t>
      </w:r>
    </w:p>
    <w:p w14:paraId="32CC4C4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 xml:space="preserve">质疑联系方式：0580-2280952　 </w:t>
      </w:r>
    </w:p>
    <w:p w14:paraId="2989B6D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同级政府采购监督管理部门</w:t>
      </w:r>
    </w:p>
    <w:p w14:paraId="79CDCD4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名称：舟山市财政局政府采购监管处</w:t>
      </w:r>
    </w:p>
    <w:p w14:paraId="03D42B4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地址：舟山市定海区新城海天大道681号</w:t>
      </w:r>
    </w:p>
    <w:p w14:paraId="4C96A32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传真：0580-2282591</w:t>
      </w:r>
    </w:p>
    <w:p w14:paraId="4709C589">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联系人 ：王女士</w:t>
      </w:r>
    </w:p>
    <w:p w14:paraId="2906BE05">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监督投诉电话：0580-2282591</w:t>
      </w:r>
    </w:p>
    <w:p w14:paraId="21B7996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若对项目采购电子交易系统操作有疑问，可登录政采云（https://www.zcygov.cn/），点击右侧咨询小采，获取采小蜜智能服务管家帮助，或拨打政采云服务热线95763获取热线服务帮助。</w:t>
      </w:r>
    </w:p>
    <w:p w14:paraId="7243F29C">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contextualSpacing/>
        <w:textAlignment w:val="auto"/>
        <w:rPr>
          <w:rFonts w:hint="eastAsia" w:ascii="仿宋" w:hAnsi="仿宋" w:eastAsia="仿宋" w:cs="仿宋"/>
          <w:sz w:val="24"/>
          <w:szCs w:val="24"/>
        </w:rPr>
      </w:pPr>
      <w:r>
        <w:rPr>
          <w:rFonts w:hint="eastAsia" w:ascii="仿宋" w:hAnsi="仿宋" w:eastAsia="仿宋" w:cs="仿宋"/>
          <w:sz w:val="24"/>
          <w:szCs w:val="24"/>
        </w:rPr>
        <w:t xml:space="preserve"> CA问题联系电话（人工）：汇信CA 400-888-4636；天谷CA 400-087-8198。</w:t>
      </w:r>
    </w:p>
    <w:p w14:paraId="1DEF2552">
      <w:pPr>
        <w:spacing w:line="540" w:lineRule="exact"/>
        <w:ind w:firstLine="560"/>
        <w:contextualSpacing/>
        <w:rPr>
          <w:rFonts w:ascii="仿宋_GB2312" w:eastAsia="仿宋_GB2312"/>
          <w:sz w:val="28"/>
          <w:szCs w:val="28"/>
        </w:rPr>
      </w:pPr>
    </w:p>
    <w:p w14:paraId="681F1CA0">
      <w:pPr>
        <w:ind w:firstLine="2940" w:firstLineChars="1050"/>
        <w:jc w:val="left"/>
        <w:outlineLvl w:val="0"/>
        <w:rPr>
          <w:rFonts w:ascii="仿宋_GB2312" w:hAnsi="宋体" w:eastAsia="仿宋_GB2312"/>
          <w:b/>
          <w:sz w:val="28"/>
          <w:szCs w:val="28"/>
        </w:rPr>
      </w:pPr>
      <w:r>
        <w:rPr>
          <w:rFonts w:hint="eastAsia" w:ascii="仿宋_GB2312" w:eastAsia="仿宋_GB2312"/>
          <w:sz w:val="28"/>
          <w:szCs w:val="28"/>
        </w:rPr>
        <w:br w:type="page"/>
      </w:r>
      <w:r>
        <w:rPr>
          <w:rFonts w:hint="eastAsia"/>
          <w:sz w:val="32"/>
          <w:szCs w:val="32"/>
        </w:rPr>
        <w:t>第二部分</w:t>
      </w:r>
      <w:bookmarkEnd w:id="8"/>
      <w:r>
        <w:rPr>
          <w:rFonts w:hint="eastAsia"/>
          <w:sz w:val="32"/>
          <w:szCs w:val="32"/>
          <w:lang w:val="en-US" w:eastAsia="zh-CN"/>
        </w:rPr>
        <w:t xml:space="preserve"> </w:t>
      </w:r>
      <w:r>
        <w:rPr>
          <w:rFonts w:hint="eastAsia"/>
          <w:sz w:val="32"/>
          <w:szCs w:val="32"/>
        </w:rPr>
        <w:t>投标人须知</w:t>
      </w:r>
      <w:bookmarkEnd w:id="9"/>
    </w:p>
    <w:bookmarkEnd w:id="10"/>
    <w:p w14:paraId="5F7C1C4F">
      <w:pPr>
        <w:spacing w:line="540" w:lineRule="exact"/>
        <w:contextualSpacing/>
        <w:jc w:val="center"/>
        <w:rPr>
          <w:rFonts w:ascii="仿宋_GB2312" w:eastAsia="仿宋_GB2312"/>
          <w:sz w:val="24"/>
          <w:szCs w:val="24"/>
        </w:rPr>
      </w:pPr>
      <w:bookmarkStart w:id="11" w:name="第三部分"/>
      <w:bookmarkStart w:id="12" w:name="_Toc164416483"/>
      <w:r>
        <w:rPr>
          <w:rFonts w:hint="eastAsia" w:ascii="仿宋_GB2312" w:eastAsia="仿宋_GB2312"/>
          <w:sz w:val="24"/>
          <w:szCs w:val="24"/>
        </w:rPr>
        <w:t>前附表</w:t>
      </w:r>
    </w:p>
    <w:tbl>
      <w:tblPr>
        <w:tblStyle w:val="1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39C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EE99852">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36BE0C">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6890D">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本项目的特别规定</w:t>
            </w:r>
          </w:p>
        </w:tc>
      </w:tr>
      <w:tr w14:paraId="41D01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99869D">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6CD9D9">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BFBE8">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14:paraId="7F9F2DB3">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b/>
                <w:sz w:val="24"/>
                <w:szCs w:val="24"/>
              </w:rPr>
            </w:pPr>
            <w:r>
              <w:rPr>
                <w:rFonts w:hint="eastAsia" w:ascii="仿宋_GB2312" w:eastAsia="仿宋_GB2312"/>
                <w:b/>
                <w:sz w:val="24"/>
                <w:szCs w:val="24"/>
              </w:rPr>
              <w:t>投标报价出现下列情形的，投标无效：</w:t>
            </w:r>
          </w:p>
          <w:p w14:paraId="34EDB555">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b/>
                <w:sz w:val="24"/>
                <w:szCs w:val="24"/>
              </w:rPr>
            </w:pPr>
            <w:r>
              <w:rPr>
                <w:rFonts w:hint="eastAsia" w:ascii="仿宋_GB2312" w:eastAsia="仿宋_GB2312"/>
                <w:b/>
                <w:sz w:val="24"/>
                <w:szCs w:val="24"/>
              </w:rPr>
              <w:t>1.投标文件出现不是唯一的、有选择性投标报价的；</w:t>
            </w:r>
          </w:p>
          <w:p w14:paraId="7D9C7599">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b/>
                <w:sz w:val="24"/>
                <w:szCs w:val="24"/>
              </w:rPr>
            </w:pPr>
            <w:r>
              <w:rPr>
                <w:rFonts w:hint="eastAsia" w:ascii="仿宋_GB2312" w:eastAsia="仿宋_GB2312"/>
                <w:b/>
                <w:sz w:val="24"/>
                <w:szCs w:val="24"/>
              </w:rPr>
              <w:t>2.投标报价超过招标文件中规定的每品目预算金额或者最高限价的;</w:t>
            </w:r>
          </w:p>
          <w:p w14:paraId="2182000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14:paraId="6836752E">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14:paraId="6A628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5EA15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1748FC">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31B43">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color w:val="000000" w:themeColor="text1"/>
                <w:sz w:val="24"/>
                <w:szCs w:val="24"/>
                <w14:textFill>
                  <w14:solidFill>
                    <w14:schemeClr w14:val="tx1"/>
                  </w14:solidFill>
                </w14:textFill>
              </w:rPr>
            </w:pPr>
            <w:sdt>
              <w:sdtPr>
                <w:rPr>
                  <w:rFonts w:hint="eastAsia" w:ascii="仿宋_GB2312" w:eastAsia="仿宋_GB2312"/>
                  <w:sz w:val="24"/>
                  <w:szCs w:val="24"/>
                </w:rPr>
                <w:id w:val="694637009"/>
              </w:sdtPr>
              <w:sdtEndPr>
                <w:rPr>
                  <w:rFonts w:hint="eastAsia" w:ascii="仿宋_GB2312" w:eastAsia="仿宋_GB2312"/>
                  <w:sz w:val="24"/>
                  <w:szCs w:val="24"/>
                </w:rPr>
              </w:sdtEndPr>
              <w:sdtContent>
                <w:r>
                  <w:rPr>
                    <w:rFonts w:hint="eastAsia" w:ascii="仿宋_GB2312" w:eastAsia="仿宋_GB2312"/>
                    <w:sz w:val="24"/>
                    <w:szCs w:val="24"/>
                  </w:rPr>
                  <w:t>√</w:t>
                </w:r>
              </w:sdtContent>
            </w:sdt>
            <w:r>
              <w:rPr>
                <w:rFonts w:hint="eastAsia" w:ascii="仿宋_GB2312" w:eastAsia="仿宋_GB2312"/>
                <w:sz w:val="24"/>
                <w:szCs w:val="24"/>
              </w:rPr>
              <w:t>A同意将非主、非关键性的</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lang w:eastAsia="zh-CN"/>
              </w:rPr>
              <w:t>堡垒机</w:t>
            </w:r>
            <w:r>
              <w:rPr>
                <w:rFonts w:hint="eastAsia" w:ascii="仿宋_GB2312" w:eastAsia="仿宋_GB2312"/>
                <w:sz w:val="24"/>
                <w:szCs w:val="24"/>
                <w:u w:val="single"/>
                <w:lang w:val="en-US" w:eastAsia="zh-CN"/>
              </w:rPr>
              <w:t xml:space="preserve"> </w:t>
            </w:r>
            <w:r>
              <w:rPr>
                <w:rFonts w:hint="eastAsia" w:ascii="仿宋_GB2312" w:eastAsia="仿宋_GB2312"/>
                <w:color w:val="000000" w:themeColor="text1"/>
                <w:sz w:val="24"/>
                <w:szCs w:val="24"/>
                <w14:textFill>
                  <w14:solidFill>
                    <w14:schemeClr w14:val="tx1"/>
                  </w14:solidFill>
                </w14:textFill>
              </w:rPr>
              <w:t>分包。</w:t>
            </w:r>
          </w:p>
          <w:p w14:paraId="52A336B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本项目上述允许分包的合同份额所占合同总金额小于30%。</w:t>
            </w:r>
          </w:p>
          <w:p w14:paraId="576DA15A">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sdt>
              <w:sdtPr>
                <w:rPr>
                  <w:rFonts w:hint="eastAsia" w:ascii="仿宋_GB2312" w:eastAsia="仿宋_GB2312"/>
                  <w:sz w:val="24"/>
                  <w:szCs w:val="24"/>
                </w:rPr>
                <w:id w:val="25"/>
              </w:sdtPr>
              <w:sdtEndPr>
                <w:rPr>
                  <w:rFonts w:hint="eastAsia" w:ascii="仿宋_GB2312" w:eastAsia="仿宋_GB2312"/>
                  <w:sz w:val="24"/>
                  <w:szCs w:val="24"/>
                </w:rPr>
              </w:sdtEndPr>
              <w:sdtContent>
                <w:sdt>
                  <w:sdtPr>
                    <w:rPr>
                      <w:rFonts w:hint="eastAsia" w:ascii="仿宋_GB2312" w:eastAsia="仿宋_GB2312"/>
                      <w:sz w:val="24"/>
                      <w:szCs w:val="24"/>
                    </w:rPr>
                    <w:id w:val="40571220"/>
                  </w:sdtPr>
                  <w:sdtEndPr>
                    <w:rPr>
                      <w:rFonts w:hint="eastAsia" w:ascii="仿宋_GB2312" w:eastAsia="仿宋_GB2312"/>
                      <w:sz w:val="24"/>
                      <w:szCs w:val="24"/>
                    </w:rPr>
                  </w:sdtEndPr>
                  <w:sdtContent>
                    <w:sdt>
                      <w:sdtPr>
                        <w:rPr>
                          <w:rFonts w:hint="eastAsia" w:ascii="仿宋_GB2312" w:eastAsia="仿宋_GB2312"/>
                          <w:sz w:val="24"/>
                          <w:szCs w:val="24"/>
                        </w:rPr>
                        <w:id w:val="131437253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B不同意分包。</w:t>
            </w:r>
          </w:p>
          <w:p w14:paraId="3155599E">
            <w:pPr>
              <w:pStyle w:val="2"/>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eastAsia="仿宋_GB2312"/>
                <w:szCs w:val="24"/>
              </w:rPr>
            </w:pPr>
            <w:r>
              <w:rPr>
                <w:rFonts w:hint="eastAsia" w:ascii="仿宋_GB2312" w:eastAsia="仿宋_GB2312"/>
                <w:szCs w:val="24"/>
              </w:rPr>
              <w:t>注：不得限制大中型企业向小微企业合理分包。</w:t>
            </w:r>
          </w:p>
        </w:tc>
      </w:tr>
      <w:tr w14:paraId="7A1F1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A4CC0BE">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4C73C23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ED597B8">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（1）资格证明文件：见招标文件第二部分11.1。</w:t>
            </w:r>
          </w:p>
          <w:p w14:paraId="26D036D5">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14:paraId="2B280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1A0FC84D">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1C1B2CF1">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D5F1CE">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14:paraId="40A02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BCFE67">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62D586">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hint="eastAsia" w:ascii="仿宋_GB2312" w:eastAsia="仿宋_GB2312"/>
                <w:sz w:val="24"/>
                <w:szCs w:val="24"/>
              </w:rPr>
            </w:pPr>
            <w:r>
              <w:rPr>
                <w:rFonts w:hint="eastAsia" w:ascii="仿宋_GB2312" w:eastAsia="仿宋_GB2312"/>
                <w:sz w:val="24"/>
                <w:szCs w:val="24"/>
              </w:rPr>
              <w:t>开标前答疑会</w:t>
            </w:r>
          </w:p>
          <w:p w14:paraId="3D1380AE">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15B6012">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bookmarkStart w:id="13" w:name="PO_15528_PM040"/>
            <w:bookmarkEnd w:id="13"/>
            <w:r>
              <w:rPr>
                <w:rFonts w:hint="eastAsia" w:ascii="仿宋_GB2312" w:eastAsia="仿宋_GB2312"/>
                <w:sz w:val="24"/>
                <w:szCs w:val="24"/>
              </w:rPr>
              <w:t>√不组织。</w:t>
            </w:r>
          </w:p>
          <w:p w14:paraId="627A9D9D">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eastAsia="仿宋_GB2312"/>
                <w:sz w:val="24"/>
                <w:szCs w:val="24"/>
              </w:rPr>
            </w:pPr>
            <w:sdt>
              <w:sdtPr>
                <w:rPr>
                  <w:rFonts w:hint="eastAsia" w:ascii="仿宋_GB2312" w:eastAsia="仿宋_GB2312"/>
                  <w:sz w:val="24"/>
                  <w:szCs w:val="24"/>
                </w:rPr>
                <w:id w:val="10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14:paraId="26D5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6FF942">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9FAF0C">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B579D5">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√A不要求提供。</w:t>
            </w:r>
          </w:p>
          <w:p w14:paraId="184C5FF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B要求提供，</w:t>
            </w:r>
          </w:p>
          <w:p w14:paraId="64B00E22">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snapToGrid w:val="0"/>
                <w:kern w:val="28"/>
                <w:sz w:val="24"/>
                <w:szCs w:val="24"/>
              </w:rPr>
              <w:t>样品：</w:t>
            </w:r>
            <w:r>
              <w:rPr>
                <w:rFonts w:hint="eastAsia" w:ascii="仿宋_GB2312" w:hAnsi="宋体" w:eastAsia="仿宋_GB2312" w:cs="宋体"/>
                <w:kern w:val="0"/>
                <w:sz w:val="24"/>
                <w:szCs w:val="24"/>
              </w:rPr>
              <w:t>；</w:t>
            </w:r>
          </w:p>
          <w:p w14:paraId="43F591E0">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snapToGrid w:val="0"/>
                <w:kern w:val="28"/>
                <w:sz w:val="24"/>
                <w:szCs w:val="24"/>
              </w:rPr>
              <w:t>样品制作的标准和要求：</w:t>
            </w:r>
            <w:r>
              <w:rPr>
                <w:rFonts w:hint="eastAsia" w:ascii="仿宋_GB2312" w:hAnsi="宋体" w:eastAsia="仿宋_GB2312" w:cs="宋体"/>
                <w:kern w:val="0"/>
                <w:sz w:val="24"/>
                <w:szCs w:val="24"/>
              </w:rPr>
              <w:t>；</w:t>
            </w:r>
          </w:p>
          <w:p w14:paraId="238F2455">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（3）样品的评审方法以及评审标准</w:t>
            </w:r>
            <w:r>
              <w:rPr>
                <w:rFonts w:hint="eastAsia" w:ascii="仿宋_GB2312" w:hAnsi="宋体" w:eastAsia="仿宋_GB2312" w:cs="宋体"/>
                <w:snapToGrid w:val="0"/>
                <w:kern w:val="28"/>
                <w:sz w:val="24"/>
                <w:szCs w:val="24"/>
              </w:rPr>
              <w:t>：详见</w:t>
            </w:r>
            <w:r>
              <w:rPr>
                <w:rFonts w:hint="eastAsia" w:ascii="仿宋_GB2312" w:hAnsi="宋体" w:eastAsia="仿宋_GB2312" w:cs="宋体"/>
                <w:sz w:val="24"/>
                <w:szCs w:val="24"/>
                <w:u w:val="single"/>
              </w:rPr>
              <w:t>评标办法</w:t>
            </w:r>
            <w:r>
              <w:rPr>
                <w:rFonts w:hint="eastAsia" w:ascii="仿宋_GB2312" w:hAnsi="宋体" w:eastAsia="仿宋_GB2312" w:cs="宋体"/>
                <w:kern w:val="0"/>
                <w:sz w:val="24"/>
                <w:szCs w:val="24"/>
              </w:rPr>
              <w:t>；</w:t>
            </w:r>
          </w:p>
          <w:p w14:paraId="7AC611A7">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（4）是否需要随样品提交检测报告：</w:t>
            </w:r>
            <w:sdt>
              <w:sdtPr>
                <w:rPr>
                  <w:rFonts w:hint="eastAsia" w:ascii="仿宋_GB2312" w:hAnsi="宋体" w:eastAsia="仿宋_GB2312" w:cs="宋体"/>
                  <w:kern w:val="0"/>
                  <w:sz w:val="24"/>
                  <w:szCs w:val="24"/>
                </w:rPr>
                <w:id w:val="1303421454"/>
              </w:sdtPr>
              <w:sdtEndPr>
                <w:rPr>
                  <w:rFonts w:hint="eastAsia" w:ascii="仿宋_GB2312" w:hAnsi="宋体" w:eastAsia="仿宋_GB2312" w:cs="宋体"/>
                  <w:kern w:val="0"/>
                  <w:sz w:val="24"/>
                  <w:szCs w:val="24"/>
                </w:rPr>
              </w:sdtEndPr>
              <w:sdtContent>
                <w:r>
                  <w:rPr>
                    <w:rFonts w:hint="eastAsia" w:ascii="仿宋_GB2312" w:hAnsi="MS Gothic" w:eastAsia="MS Gothic" w:cs="宋体"/>
                    <w:kern w:val="0"/>
                    <w:sz w:val="24"/>
                    <w:szCs w:val="24"/>
                  </w:rPr>
                  <w:t>☐</w:t>
                </w:r>
              </w:sdtContent>
            </w:sdt>
            <w:r>
              <w:rPr>
                <w:rFonts w:hint="eastAsia" w:ascii="仿宋_GB2312" w:hAnsi="宋体" w:eastAsia="仿宋_GB2312" w:cs="宋体"/>
                <w:kern w:val="0"/>
                <w:sz w:val="24"/>
                <w:szCs w:val="24"/>
              </w:rPr>
              <w:t>否；</w:t>
            </w:r>
            <w:sdt>
              <w:sdtPr>
                <w:rPr>
                  <w:rFonts w:hint="eastAsia" w:ascii="仿宋_GB2312" w:hAnsi="宋体" w:eastAsia="仿宋_GB2312" w:cs="宋体"/>
                  <w:kern w:val="0"/>
                  <w:sz w:val="24"/>
                  <w:szCs w:val="24"/>
                </w:rPr>
                <w:id w:val="1621728433"/>
              </w:sdtPr>
              <w:sdtEndPr>
                <w:rPr>
                  <w:rFonts w:hint="eastAsia" w:ascii="仿宋_GB2312" w:hAnsi="宋体" w:eastAsia="仿宋_GB2312" w:cs="宋体"/>
                  <w:kern w:val="0"/>
                  <w:sz w:val="24"/>
                  <w:szCs w:val="24"/>
                </w:rPr>
              </w:sdtEndPr>
              <w:sdtContent>
                <w:r>
                  <w:rPr>
                    <w:rFonts w:hint="eastAsia" w:ascii="仿宋_GB2312" w:hAnsi="MS Mincho" w:eastAsia="MS Mincho" w:cs="MS Mincho"/>
                    <w:kern w:val="0"/>
                    <w:sz w:val="24"/>
                    <w:szCs w:val="24"/>
                  </w:rPr>
                  <w:t>☐</w:t>
                </w:r>
              </w:sdtContent>
            </w:sdt>
            <w:r>
              <w:rPr>
                <w:rFonts w:hint="eastAsia" w:ascii="仿宋_GB2312" w:hAnsi="宋体" w:eastAsia="仿宋_GB2312" w:cs="宋体"/>
                <w:kern w:val="0"/>
                <w:sz w:val="24"/>
                <w:szCs w:val="24"/>
              </w:rPr>
              <w:t>是，检测机构的要求</w:t>
            </w:r>
            <w:r>
              <w:rPr>
                <w:rFonts w:hint="eastAsia" w:ascii="仿宋_GB2312" w:hAnsi="宋体" w:eastAsia="仿宋_GB2312" w:cs="宋体"/>
                <w:sz w:val="24"/>
                <w:szCs w:val="24"/>
              </w:rPr>
              <w:t>：</w:t>
            </w:r>
            <w:r>
              <w:rPr>
                <w:rFonts w:hint="eastAsia" w:ascii="仿宋_GB2312" w:hAnsi="宋体" w:eastAsia="仿宋_GB2312" w:cs="宋体"/>
                <w:kern w:val="0"/>
                <w:sz w:val="24"/>
                <w:szCs w:val="24"/>
              </w:rPr>
              <w:t>；检测内容</w:t>
            </w:r>
            <w:r>
              <w:rPr>
                <w:rFonts w:hint="eastAsia" w:ascii="仿宋_GB2312" w:hAnsi="宋体" w:eastAsia="仿宋_GB2312" w:cs="宋体"/>
                <w:sz w:val="24"/>
                <w:szCs w:val="24"/>
              </w:rPr>
              <w:t>：</w:t>
            </w:r>
            <w:r>
              <w:rPr>
                <w:rFonts w:hint="eastAsia" w:ascii="仿宋_GB2312" w:hAnsi="宋体" w:eastAsia="仿宋_GB2312" w:cs="宋体"/>
                <w:kern w:val="0"/>
                <w:sz w:val="24"/>
                <w:szCs w:val="24"/>
              </w:rPr>
              <w:t>。</w:t>
            </w:r>
          </w:p>
          <w:p w14:paraId="663D0E85">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hAnsi="宋体" w:eastAsia="仿宋_GB2312" w:cs="宋体"/>
                <w:sz w:val="24"/>
                <w:szCs w:val="24"/>
              </w:rPr>
            </w:pPr>
            <w:r>
              <w:rPr>
                <w:rFonts w:hint="eastAsia" w:ascii="仿宋_GB2312" w:hAnsi="宋体" w:eastAsia="仿宋_GB2312" w:cs="宋体"/>
                <w:sz w:val="24"/>
                <w:szCs w:val="24"/>
              </w:rPr>
              <w:t>（5）提供样品的时间：</w:t>
            </w:r>
            <w:r>
              <w:rPr>
                <w:rFonts w:hint="eastAsia" w:ascii="仿宋_GB2312" w:hAnsi="宋体" w:eastAsia="仿宋_GB2312" w:cs="宋体"/>
                <w:kern w:val="0"/>
                <w:sz w:val="24"/>
                <w:szCs w:val="24"/>
              </w:rPr>
              <w:t>；地点：；联系人</w:t>
            </w:r>
            <w:r>
              <w:rPr>
                <w:rFonts w:hint="eastAsia" w:ascii="仿宋_GB2312" w:hAnsi="宋体" w:eastAsia="仿宋_GB2312" w:cs="宋体"/>
                <w:sz w:val="24"/>
                <w:szCs w:val="24"/>
              </w:rPr>
              <w:t>：，</w:t>
            </w:r>
            <w:r>
              <w:rPr>
                <w:rFonts w:hint="eastAsia" w:ascii="仿宋_GB2312" w:hAnsi="宋体" w:eastAsia="仿宋_GB2312" w:cs="宋体"/>
                <w:kern w:val="28"/>
                <w:sz w:val="24"/>
                <w:szCs w:val="24"/>
              </w:rPr>
              <w:t>联系电话：</w:t>
            </w:r>
            <w:r>
              <w:rPr>
                <w:rFonts w:hint="eastAsia" w:ascii="仿宋_GB2312" w:hAnsi="宋体" w:eastAsia="仿宋_GB2312" w:cs="宋体"/>
                <w:sz w:val="24"/>
                <w:szCs w:val="24"/>
              </w:rPr>
              <w:t>。请投标人在上述时间内提供样品并按规定位置安装完毕。超过截止时间的，采购人或采购代理机构将不予接收，并将清场并封闭样品现场。</w:t>
            </w:r>
          </w:p>
          <w:p w14:paraId="2A20347C">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hAnsi="宋体" w:eastAsia="仿宋_GB2312" w:cs="宋体"/>
                <w:sz w:val="24"/>
                <w:szCs w:val="24"/>
              </w:rPr>
            </w:pPr>
            <w:r>
              <w:rPr>
                <w:rFonts w:hint="eastAsia" w:ascii="仿宋_GB2312" w:hAnsi="宋体" w:eastAsia="仿宋_GB2312" w:cs="宋体"/>
                <w:sz w:val="24"/>
                <w:szCs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EF631C6">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hAnsi="宋体" w:eastAsia="仿宋_GB2312" w:cs="宋体"/>
                <w:sz w:val="24"/>
                <w:szCs w:val="24"/>
              </w:rPr>
              <w:t>（7）制作、运输、安装和保管样品所发生的一切费用由投标人自理。</w:t>
            </w:r>
          </w:p>
        </w:tc>
      </w:tr>
      <w:tr w14:paraId="3B9EE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42E976">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4430320">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44D2B2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sdt>
              <w:sdtPr>
                <w:rPr>
                  <w:rFonts w:hint="eastAsia" w:ascii="仿宋_GB2312" w:eastAsia="仿宋_GB2312"/>
                  <w:sz w:val="24"/>
                  <w:szCs w:val="24"/>
                </w:rPr>
                <w:id w:val="35"/>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sdt>
              </w:sdtContent>
            </w:sdt>
            <w:r>
              <w:rPr>
                <w:rFonts w:hint="eastAsia" w:ascii="仿宋_GB2312" w:eastAsia="仿宋_GB2312"/>
                <w:sz w:val="24"/>
                <w:szCs w:val="24"/>
              </w:rPr>
              <w:t>√A不组织。</w:t>
            </w:r>
          </w:p>
          <w:p w14:paraId="5904FFBC">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sdt>
                  <w:sdtPr>
                    <w:rPr>
                      <w:rFonts w:hint="eastAsia" w:ascii="仿宋_GB2312" w:eastAsia="仿宋_GB2312"/>
                      <w:sz w:val="24"/>
                      <w:szCs w:val="24"/>
                    </w:rPr>
                    <w:id w:val="40"/>
                  </w:sdtPr>
                  <w:sdtEndPr>
                    <w:rPr>
                      <w:rFonts w:hint="eastAsia" w:ascii="仿宋_GB2312" w:eastAsia="仿宋_GB2312"/>
                      <w:sz w:val="24"/>
                      <w:szCs w:val="24"/>
                    </w:rPr>
                  </w:sdtEndPr>
                  <w:sdtContent>
                    <w:sdt>
                      <w:sdtPr>
                        <w:rPr>
                          <w:rFonts w:hint="eastAsia" w:ascii="仿宋_GB2312" w:eastAsia="仿宋_GB2312"/>
                          <w:sz w:val="24"/>
                          <w:szCs w:val="24"/>
                        </w:rPr>
                        <w:id w:val="147478113"/>
                      </w:sdtPr>
                      <w:sdtEndPr>
                        <w:rPr>
                          <w:rFonts w:hint="eastAsia" w:ascii="仿宋_GB2312" w:eastAsia="仿宋_GB2312"/>
                          <w:sz w:val="24"/>
                          <w:szCs w:val="24"/>
                        </w:rPr>
                      </w:sdtEndPr>
                      <w:sdtContent/>
                    </w:sdt>
                  </w:sdtContent>
                </w:sdt>
              </w:sdtContent>
            </w:sdt>
            <w:r>
              <w:rPr>
                <w:rFonts w:hint="eastAsia" w:ascii="仿宋_GB2312" w:eastAsia="仿宋_GB2312"/>
                <w:sz w:val="24"/>
                <w:szCs w:val="24"/>
              </w:rPr>
              <w:sym w:font="Wingdings" w:char="00A8"/>
            </w:r>
            <w:sdt>
              <w:sdtPr>
                <w:rPr>
                  <w:rFonts w:hint="eastAsia" w:ascii="仿宋_GB2312" w:eastAsia="仿宋_GB2312"/>
                  <w:sz w:val="24"/>
                  <w:szCs w:val="24"/>
                </w:rPr>
                <w:id w:val="506180192"/>
              </w:sdtPr>
              <w:sdtEndPr>
                <w:rPr>
                  <w:rFonts w:hint="eastAsia" w:ascii="仿宋_GB2312" w:eastAsia="仿宋_GB2312"/>
                  <w:sz w:val="24"/>
                  <w:szCs w:val="24"/>
                </w:rPr>
              </w:sdtEndPr>
              <w:sdtContent/>
            </w:sdt>
            <w:r>
              <w:rPr>
                <w:rFonts w:hint="eastAsia" w:ascii="仿宋_GB2312" w:eastAsia="仿宋_GB2312"/>
                <w:sz w:val="24"/>
                <w:szCs w:val="24"/>
              </w:rPr>
              <w:t>B组织。</w:t>
            </w:r>
          </w:p>
          <w:p w14:paraId="2A16E80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20（编制时可根据项目情况进行调整）</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3（编制时可根据项目情况进行调整）</w:t>
            </w:r>
            <w:r>
              <w:rPr>
                <w:rFonts w:hint="eastAsia" w:ascii="仿宋_GB2312" w:eastAsia="仿宋_GB2312"/>
                <w:sz w:val="24"/>
                <w:szCs w:val="24"/>
              </w:rPr>
              <w:t>人。讲解演示结束后按要求解答评标委员会提问。</w:t>
            </w:r>
          </w:p>
          <w:p w14:paraId="11AA8C48">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（2）方案讲解演示可选择以下其中一种方式：</w:t>
            </w:r>
          </w:p>
          <w:p w14:paraId="430F771E">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sdt>
              <w:sdtPr>
                <w:rPr>
                  <w:rFonts w:hint="eastAsia" w:ascii="仿宋_GB2312" w:eastAsia="仿宋_GB2312"/>
                  <w:sz w:val="24"/>
                  <w:szCs w:val="24"/>
                </w:rPr>
                <w:id w:val="42"/>
              </w:sdtPr>
              <w:sdtEndPr>
                <w:rPr>
                  <w:rFonts w:hint="eastAsia" w:ascii="仿宋_GB2312" w:eastAsia="仿宋_GB2312"/>
                  <w:sz w:val="24"/>
                  <w:szCs w:val="24"/>
                </w:rPr>
              </w:sdtEndPr>
              <w:sdtContent>
                <w:sdt>
                  <w:sdtPr>
                    <w:rPr>
                      <w:rFonts w:hint="eastAsia" w:ascii="仿宋_GB2312" w:eastAsia="仿宋_GB2312"/>
                      <w:sz w:val="24"/>
                      <w:szCs w:val="24"/>
                    </w:rPr>
                    <w:id w:val="114596244"/>
                  </w:sdtPr>
                  <w:sdtEndPr>
                    <w:rPr>
                      <w:rFonts w:hint="eastAsia" w:ascii="仿宋_GB2312" w:eastAsia="仿宋_GB2312"/>
                      <w:sz w:val="24"/>
                      <w:szCs w:val="24"/>
                    </w:rPr>
                  </w:sdtEndPr>
                  <w:sdtContent>
                    <w:sdt>
                      <w:sdtPr>
                        <w:rPr>
                          <w:rFonts w:hint="eastAsia" w:ascii="仿宋_GB2312" w:eastAsia="仿宋_GB2312"/>
                          <w:sz w:val="24"/>
                          <w:szCs w:val="24"/>
                        </w:rPr>
                        <w:id w:val="114"/>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14:paraId="10825CD3">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sdt>
              <w:sdtPr>
                <w:rPr>
                  <w:rFonts w:hint="eastAsia" w:ascii="仿宋_GB2312" w:eastAsia="仿宋_GB2312"/>
                  <w:sz w:val="24"/>
                  <w:szCs w:val="24"/>
                </w:rPr>
                <w:id w:val="4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14:paraId="5F950FBE">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A41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1D4B6E">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C165592">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2BD69">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√本项目不允许采购进口产品。</w:t>
            </w:r>
          </w:p>
          <w:p w14:paraId="07CC56DD">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9F63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3DADE0">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107E4C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BD0061">
            <w:pPr>
              <w:pStyle w:val="2"/>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hint="eastAsia" w:ascii="仿宋_GB2312" w:eastAsia="仿宋_GB2312"/>
                <w:szCs w:val="24"/>
                <w:lang w:eastAsia="zh-CN"/>
              </w:rPr>
            </w:pPr>
            <w:r>
              <w:rPr>
                <w:rFonts w:hint="eastAsia" w:ascii="仿宋_GB2312" w:eastAsia="仿宋_GB2312"/>
                <w:szCs w:val="24"/>
                <w:lang w:eastAsia="zh-CN"/>
              </w:rPr>
              <w:t>服务</w:t>
            </w:r>
            <w:r>
              <w:rPr>
                <w:rFonts w:hint="eastAsia" w:ascii="仿宋_GB2312" w:eastAsia="仿宋_GB2312"/>
                <w:szCs w:val="24"/>
              </w:rPr>
              <w:t>类</w:t>
            </w:r>
          </w:p>
        </w:tc>
      </w:tr>
      <w:tr w14:paraId="6C333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48CFB9">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A478CB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F34614E">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采购标的： 详见采购需求 ，所属行业：</w:t>
            </w:r>
            <w:r>
              <w:rPr>
                <w:rFonts w:hint="eastAsia" w:ascii="仿宋_GB2312" w:eastAsia="仿宋_GB2312"/>
                <w:sz w:val="24"/>
                <w:szCs w:val="24"/>
              </w:rPr>
              <w:t>软件和信息技术服务业</w:t>
            </w:r>
            <w:r>
              <w:rPr>
                <w:rFonts w:hint="eastAsia" w:ascii="仿宋_GB2312" w:hAnsi="仿宋" w:eastAsia="仿宋_GB2312"/>
                <w:sz w:val="24"/>
                <w:szCs w:val="24"/>
              </w:rPr>
              <w:t>。</w:t>
            </w:r>
          </w:p>
        </w:tc>
      </w:tr>
      <w:tr w14:paraId="5D77F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BE310F">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697FE8">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0399E">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eastAsia="仿宋_GB2312"/>
                <w:b/>
                <w:bCs/>
                <w:sz w:val="24"/>
                <w:szCs w:val="24"/>
                <w:lang w:val="zh-CN"/>
              </w:rPr>
            </w:pPr>
            <w:sdt>
              <w:sdtPr>
                <w:rPr>
                  <w:rFonts w:hint="eastAsia" w:ascii="仿宋_GB2312" w:eastAsia="仿宋_GB2312"/>
                  <w:sz w:val="24"/>
                  <w:szCs w:val="24"/>
                </w:rPr>
                <w:id w:val="147472795"/>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依据国家确定的认证机构出具的、处于有效期之内的节能产品认证证书，对获得证书的产品实施政府优先采购或强制采购；其中，</w:t>
            </w:r>
            <w:sdt>
              <w:sdtPr>
                <w:rPr>
                  <w:rFonts w:hint="eastAsia" w:ascii="仿宋_GB2312" w:eastAsia="仿宋_GB2312"/>
                  <w:sz w:val="24"/>
                  <w:szCs w:val="24"/>
                </w:rPr>
                <w:id w:val="117"/>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sdt>
              <w:sdtPr>
                <w:rPr>
                  <w:rFonts w:hint="eastAsia" w:ascii="仿宋_GB2312" w:eastAsia="仿宋_GB2312"/>
                  <w:sz w:val="24"/>
                  <w:szCs w:val="24"/>
                </w:rPr>
                <w:id w:val="147469114"/>
              </w:sdtPr>
              <w:sdtEndPr>
                <w:rPr>
                  <w:rFonts w:hint="eastAsia" w:ascii="仿宋_GB2312" w:eastAsia="仿宋_GB2312"/>
                  <w:sz w:val="24"/>
                  <w:szCs w:val="24"/>
                </w:rPr>
              </w:sdtEndPr>
              <w:sdtContent>
                <w:sdt>
                  <w:sdtPr>
                    <w:rPr>
                      <w:rFonts w:hint="eastAsia" w:ascii="仿宋_GB2312" w:eastAsia="仿宋_GB2312"/>
                      <w:sz w:val="24"/>
                      <w:szCs w:val="24"/>
                    </w:rPr>
                    <w:id w:val="147464216"/>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r>
              <w:rPr>
                <w:rFonts w:hint="eastAsia" w:ascii="仿宋_GB2312" w:eastAsia="仿宋_GB2312"/>
                <w:sz w:val="24"/>
                <w:szCs w:val="24"/>
              </w:rPr>
              <w:t>▲</w:t>
            </w:r>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lang w:val="zh-CN"/>
              </w:rPr>
              <w:t>实施政府强制采购，投标人</w:t>
            </w:r>
            <w:r>
              <w:rPr>
                <w:rFonts w:hint="eastAsia" w:ascii="仿宋_GB2312" w:eastAsia="仿宋_GB2312"/>
                <w:sz w:val="24"/>
                <w:szCs w:val="24"/>
              </w:rPr>
              <w:t>就</w:t>
            </w:r>
            <w:r>
              <w:rPr>
                <w:rFonts w:hint="eastAsia" w:ascii="仿宋_GB2312" w:eastAsia="仿宋_GB2312"/>
                <w:sz w:val="24"/>
                <w:szCs w:val="24"/>
                <w:lang w:val="zh-CN"/>
              </w:rPr>
              <w:t>相应的投标核心产品未</w:t>
            </w:r>
            <w:r>
              <w:rPr>
                <w:rFonts w:hint="eastAsia" w:ascii="仿宋_GB2312" w:eastAsia="仿宋_GB2312"/>
                <w:sz w:val="24"/>
                <w:szCs w:val="24"/>
              </w:rPr>
              <w:t>提供</w:t>
            </w:r>
            <w:r>
              <w:rPr>
                <w:rFonts w:hint="eastAsia" w:ascii="仿宋_GB2312" w:eastAsia="仿宋_GB2312"/>
                <w:sz w:val="24"/>
                <w:szCs w:val="24"/>
                <w:lang w:val="zh-CN"/>
              </w:rPr>
              <w:t>国家确定的认证机构出具的、处于有效期之内的节能产品认证证书的，投标无效。</w:t>
            </w:r>
          </w:p>
          <w:p w14:paraId="62BCF91F">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eastAsia="仿宋_GB2312"/>
                <w:sz w:val="24"/>
                <w:szCs w:val="24"/>
                <w:lang w:val="zh-CN"/>
              </w:rPr>
            </w:pPr>
            <w:sdt>
              <w:sdtPr>
                <w:rPr>
                  <w:rFonts w:hint="eastAsia" w:ascii="仿宋_GB2312" w:eastAsia="仿宋_GB2312"/>
                  <w:sz w:val="24"/>
                  <w:szCs w:val="24"/>
                </w:rPr>
                <w:id w:val="147457466"/>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
              <w:sdtPr>
                <w:rPr>
                  <w:rFonts w:hint="eastAsia" w:ascii="仿宋_GB2312" w:eastAsia="仿宋_GB2312"/>
                  <w:sz w:val="24"/>
                  <w:szCs w:val="24"/>
                </w:rPr>
                <w:id w:val="183178446"/>
              </w:sdtPr>
              <w:sdtEndPr>
                <w:rPr>
                  <w:rFonts w:hint="eastAsia" w:ascii="仿宋_GB2312" w:eastAsia="仿宋_GB2312"/>
                  <w:sz w:val="24"/>
                  <w:szCs w:val="24"/>
                </w:rPr>
              </w:sdtEndPr>
              <w:sdtContent/>
            </w:sdt>
            <w:r>
              <w:rPr>
                <w:rFonts w:hint="eastAsia" w:ascii="仿宋_GB2312" w:eastAsia="仿宋_GB2312"/>
                <w:sz w:val="24"/>
                <w:szCs w:val="24"/>
                <w:lang w:val="zh-CN"/>
              </w:rPr>
              <w:t>依据国家确定的认证机构出具的、处于有效期之内的环境标志产品认证证书，对获得证书的</w:t>
            </w:r>
            <w:r>
              <w:rPr>
                <w:rFonts w:hint="eastAsia" w:ascii="仿宋_GB2312" w:eastAsia="仿宋_GB2312"/>
                <w:sz w:val="24"/>
                <w:szCs w:val="24"/>
                <w:u w:val="single"/>
              </w:rPr>
              <w:t xml:space="preserve">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p>
          <w:p w14:paraId="7DD65630">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√无。</w:t>
            </w:r>
          </w:p>
        </w:tc>
      </w:tr>
      <w:tr w14:paraId="69704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113C49FD">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14:paraId="3B2F4275">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7032C">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2BDE89A3">
            <w:pPr>
              <w:pStyle w:val="7"/>
              <w:keepNext w:val="0"/>
              <w:keepLines w:val="0"/>
              <w:pageBreakBefore w:val="0"/>
              <w:widowControl w:val="0"/>
              <w:kinsoku/>
              <w:wordWrap/>
              <w:overflowPunct/>
              <w:topLinePunct w:val="0"/>
              <w:autoSpaceDE/>
              <w:autoSpaceDN/>
              <w:bidi w:val="0"/>
              <w:adjustRightInd/>
              <w:spacing w:after="0" w:line="420" w:lineRule="exact"/>
              <w:ind w:firstLine="0" w:firstLineChars="0"/>
              <w:jc w:val="left"/>
              <w:textAlignment w:val="auto"/>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162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08A621">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AED4309">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F556940">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14:paraId="4BF95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7710F">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1A7136B">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1E58C86D">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 xml:space="preserve">是否需要履约保证金:√否  </w:t>
            </w:r>
            <w:sdt>
              <w:sdtPr>
                <w:rPr>
                  <w:rFonts w:hint="eastAsia" w:ascii="仿宋_GB2312" w:eastAsia="仿宋_GB2312"/>
                  <w:sz w:val="24"/>
                  <w:szCs w:val="24"/>
                </w:rPr>
                <w:id w:val="147451146"/>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rPr>
              <w:t>是</w:t>
            </w:r>
            <w:sdt>
              <w:sdtPr>
                <w:rPr>
                  <w:rFonts w:hint="eastAsia" w:ascii="仿宋_GB2312" w:eastAsia="仿宋_GB2312"/>
                  <w:sz w:val="24"/>
                  <w:szCs w:val="24"/>
                </w:rPr>
                <w:id w:val="504719723"/>
              </w:sdtPr>
              <w:sdtEndPr>
                <w:rPr>
                  <w:rFonts w:hint="eastAsia" w:ascii="仿宋_GB2312" w:eastAsia="仿宋_GB2312"/>
                  <w:sz w:val="24"/>
                  <w:szCs w:val="24"/>
                </w:rPr>
              </w:sdtEndPr>
              <w:sdtContent/>
            </w:sdt>
          </w:p>
        </w:tc>
      </w:tr>
      <w:tr w14:paraId="2A843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3D9821">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8BEE8EA">
            <w:pPr>
              <w:keepNext w:val="0"/>
              <w:keepLines w:val="0"/>
              <w:pageBreakBefore w:val="0"/>
              <w:widowControl w:val="0"/>
              <w:kinsoku/>
              <w:wordWrap/>
              <w:overflowPunct/>
              <w:topLinePunct w:val="0"/>
              <w:autoSpaceDE/>
              <w:autoSpaceDN/>
              <w:bidi w:val="0"/>
              <w:adjustRightInd/>
              <w:spacing w:line="420" w:lineRule="exact"/>
              <w:ind w:firstLine="0" w:firstLineChars="0"/>
              <w:contextualSpacing/>
              <w:jc w:val="left"/>
              <w:textAlignment w:val="auto"/>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4CBC4">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hint="eastAsia" w:ascii="仿宋_GB2312" w:eastAsia="仿宋_GB2312"/>
                <w:sz w:val="24"/>
                <w:szCs w:val="24"/>
              </w:rPr>
            </w:pPr>
            <w:r>
              <w:rPr>
                <w:rFonts w:hint="eastAsia" w:ascii="仿宋_GB2312" w:eastAsia="仿宋_GB2312"/>
                <w:sz w:val="24"/>
                <w:szCs w:val="24"/>
              </w:rPr>
              <w:t>联合体投标的，联合体各方分别提供与联合体协议中规定的分工内容相应的业绩证明材料，业绩数量以提供材料较少的一方为准，有一方未提供业绩的不得分，如第四部分评标办法仅要求一类业绩证明材料的，则视为联合体各方均须提供。</w:t>
            </w:r>
          </w:p>
          <w:p w14:paraId="1F804082">
            <w:pPr>
              <w:keepNext w:val="0"/>
              <w:keepLines w:val="0"/>
              <w:pageBreakBefore w:val="0"/>
              <w:widowControl w:val="0"/>
              <w:kinsoku/>
              <w:wordWrap/>
              <w:overflowPunct/>
              <w:topLinePunct w:val="0"/>
              <w:autoSpaceDE/>
              <w:autoSpaceDN/>
              <w:bidi w:val="0"/>
              <w:adjustRightInd/>
              <w:spacing w:line="420" w:lineRule="exact"/>
              <w:ind w:firstLine="0" w:firstLineChars="0"/>
              <w:jc w:val="left"/>
              <w:textAlignment w:val="auto"/>
              <w:rPr>
                <w:rFonts w:ascii="仿宋_GB2312" w:eastAsia="仿宋_GB2312"/>
                <w:sz w:val="24"/>
                <w:szCs w:val="24"/>
              </w:rPr>
            </w:pPr>
            <w:sdt>
              <w:sdtPr>
                <w:rPr>
                  <w:rFonts w:hint="eastAsia" w:ascii="仿宋_GB2312" w:eastAsia="仿宋_GB2312"/>
                  <w:sz w:val="24"/>
                  <w:szCs w:val="24"/>
                </w:rPr>
                <w:id w:val="5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联合体投标的，联合体各方均需按招标文件第四部分评标办法提供资信证明文件，否则视为不符合相关要求。</w:t>
            </w:r>
          </w:p>
          <w:p w14:paraId="5932888A">
            <w:pPr>
              <w:pStyle w:val="7"/>
              <w:keepNext w:val="0"/>
              <w:keepLines w:val="0"/>
              <w:pageBreakBefore w:val="0"/>
              <w:widowControl w:val="0"/>
              <w:kinsoku/>
              <w:wordWrap/>
              <w:overflowPunct/>
              <w:topLinePunct w:val="0"/>
              <w:autoSpaceDE/>
              <w:autoSpaceDN/>
              <w:bidi w:val="0"/>
              <w:adjustRightInd/>
              <w:spacing w:after="0" w:line="420" w:lineRule="exact"/>
              <w:ind w:firstLine="0" w:firstLineChars="0"/>
              <w:jc w:val="left"/>
              <w:textAlignment w:val="auto"/>
              <w:rPr>
                <w:rFonts w:ascii="仿宋_GB2312" w:eastAsia="仿宋_GB2312"/>
                <w:sz w:val="24"/>
                <w:szCs w:val="24"/>
              </w:rPr>
            </w:pPr>
            <w:r>
              <w:rPr>
                <w:rFonts w:hint="eastAsia" w:ascii="仿宋_GB2312" w:eastAsia="仿宋_GB2312"/>
                <w:sz w:val="24"/>
                <w:szCs w:val="24"/>
              </w:rPr>
              <w:t>√联合体投标的，联合体中有一方或者联合体成员根据分工按招标文件第四部分评标办法提供资信证明文件的，视为符合了相关要求。</w:t>
            </w:r>
          </w:p>
        </w:tc>
      </w:tr>
    </w:tbl>
    <w:p w14:paraId="03EDE55A">
      <w:pPr>
        <w:spacing w:line="420" w:lineRule="exact"/>
        <w:ind w:firstLine="472" w:firstLineChars="196"/>
        <w:contextualSpacing/>
        <w:jc w:val="left"/>
        <w:rPr>
          <w:rFonts w:ascii="仿宋_GB2312" w:eastAsia="仿宋_GB2312"/>
          <w:b/>
          <w:sz w:val="24"/>
          <w:szCs w:val="24"/>
        </w:rPr>
      </w:pPr>
      <w:r>
        <w:rPr>
          <w:rFonts w:hint="eastAsia" w:ascii="仿宋_GB2312" w:eastAsia="仿宋_GB2312"/>
          <w:b/>
          <w:sz w:val="24"/>
          <w:szCs w:val="24"/>
        </w:rPr>
        <w:t>一、总则</w:t>
      </w:r>
    </w:p>
    <w:p w14:paraId="43DA868F">
      <w:pPr>
        <w:tabs>
          <w:tab w:val="left" w:pos="8001"/>
        </w:tabs>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1.适用范围</w:t>
      </w:r>
      <w:r>
        <w:rPr>
          <w:rFonts w:hint="eastAsia" w:ascii="仿宋_GB2312" w:eastAsia="仿宋_GB2312"/>
          <w:sz w:val="24"/>
          <w:szCs w:val="24"/>
        </w:rPr>
        <w:tab/>
      </w:r>
    </w:p>
    <w:p w14:paraId="40B656D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14:paraId="1D57C3F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2.定义</w:t>
      </w:r>
    </w:p>
    <w:p w14:paraId="666776A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2.1“采购人”系指招标公告中载明的本项目的采购人。</w:t>
      </w:r>
    </w:p>
    <w:p w14:paraId="69B8FEA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2.2“采购代理机构”系指招标公告中载明的本项目的采购代理机构。</w:t>
      </w:r>
    </w:p>
    <w:p w14:paraId="7A43C20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2.3“投标人”系指是指响应招标、参加投标竞争的法人、其他组织或者自然人。</w:t>
      </w:r>
    </w:p>
    <w:p w14:paraId="48EFF186">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2.4“负责人”系指法人企业的法定负责人，或其他组织为法律、行政法规规定代表单位行使职权的主要负责人，或自然人本人。</w:t>
      </w:r>
    </w:p>
    <w:p w14:paraId="6BC00B2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61705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14:paraId="438072A7">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2.7 “▲”系指实质性要求条款，“</w:t>
      </w:r>
      <w:r>
        <w:rPr>
          <w:rFonts w:hint="eastAsia" w:ascii="仿宋_GB2312" w:hAnsi="仿宋_GB2312" w:eastAsia="仿宋_GB2312" w:cs="仿宋_GB2312"/>
          <w:sz w:val="24"/>
          <w:szCs w:val="24"/>
        </w:rPr>
        <w:t>★</w:t>
      </w:r>
      <w:r>
        <w:rPr>
          <w:rFonts w:hint="eastAsia" w:ascii="仿宋_GB2312" w:eastAsia="仿宋_GB2312"/>
          <w:sz w:val="24"/>
          <w:szCs w:val="24"/>
        </w:rPr>
        <w:t>”系产品采购项目中单一产品或核心产品，“√”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系指不适用本项目的要求。</w:t>
      </w:r>
    </w:p>
    <w:p w14:paraId="17DFE11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3.采购项目需要落实的政府采购政策</w:t>
      </w:r>
    </w:p>
    <w:p w14:paraId="2CCFB3D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0BD7D9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3.2支持绿色发展。</w:t>
      </w:r>
    </w:p>
    <w:p w14:paraId="78E65779">
      <w:pPr>
        <w:spacing w:line="420" w:lineRule="exact"/>
        <w:ind w:firstLine="480" w:firstLineChars="200"/>
        <w:contextualSpacing/>
        <w:jc w:val="left"/>
        <w:rPr>
          <w:rFonts w:hint="eastAsia" w:ascii="仿宋_GB2312" w:eastAsia="仿宋_GB2312"/>
          <w:color w:val="ED0000"/>
          <w:sz w:val="24"/>
          <w:szCs w:val="24"/>
        </w:rPr>
      </w:pPr>
      <w:r>
        <w:rPr>
          <w:rFonts w:hint="eastAsia" w:ascii="仿宋_GB2312" w:eastAsia="仿宋_GB2312"/>
          <w:color w:val="ED0000"/>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3E4D5B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3.2.2修缮、装修类项目采购建材的，采购人应将绿色建筑和绿色建材性能、指标等作为实质性条件纳入招标文件和合同。</w:t>
      </w:r>
    </w:p>
    <w:p w14:paraId="7EF7764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0649937">
      <w:pPr>
        <w:spacing w:line="420" w:lineRule="exact"/>
        <w:ind w:firstLine="480" w:firstLineChars="200"/>
        <w:contextualSpacing/>
        <w:jc w:val="left"/>
        <w:rPr>
          <w:rFonts w:hint="eastAsia" w:ascii="仿宋_GB2312" w:eastAsia="仿宋_GB2312"/>
          <w:sz w:val="24"/>
          <w:szCs w:val="24"/>
        </w:rPr>
      </w:pPr>
      <w:r>
        <w:rPr>
          <w:rFonts w:hint="eastAsia" w:ascii="仿宋_GB2312" w:eastAsia="仿宋_GB2312"/>
          <w:sz w:val="24"/>
          <w:szCs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5FB529A0">
      <w:pPr>
        <w:spacing w:line="420" w:lineRule="exact"/>
        <w:ind w:firstLine="480" w:firstLineChars="200"/>
        <w:contextualSpacing/>
        <w:jc w:val="left"/>
        <w:rPr>
          <w:rFonts w:hint="eastAsia" w:ascii="仿宋_GB2312" w:eastAsia="仿宋_GB2312"/>
          <w:sz w:val="24"/>
          <w:szCs w:val="24"/>
        </w:rPr>
      </w:pPr>
      <w:r>
        <w:rPr>
          <w:rFonts w:hint="eastAsia" w:ascii="仿宋_GB2312" w:eastAsia="仿宋_GB2312"/>
          <w:sz w:val="24"/>
          <w:szCs w:val="24"/>
        </w:rPr>
        <w:t>3.3支持中小企业发展</w:t>
      </w:r>
    </w:p>
    <w:p w14:paraId="264E3B2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C5EF6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14:paraId="29C7377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14:paraId="5A339A2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14:paraId="54051F5C">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14:paraId="55D00E1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3.3.2.3在服务采购项目中，服务由中小企业承接，即提供服务的人员为中小企业依照《中华人民共和国劳动合同法》订立劳动合同的从业人员。</w:t>
      </w:r>
    </w:p>
    <w:p w14:paraId="32637166">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14:paraId="77E26318">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14:paraId="7A71033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w:t>
      </w:r>
      <w:r>
        <w:rPr>
          <w:rFonts w:hint="eastAsia" w:ascii="仿宋_GB2312" w:eastAsia="仿宋_GB2312"/>
          <w:sz w:val="24"/>
          <w:szCs w:val="24"/>
          <w:u w:val="single"/>
        </w:rPr>
        <w:t>10%</w:t>
      </w:r>
      <w:r>
        <w:rPr>
          <w:rFonts w:hint="eastAsia" w:ascii="仿宋_GB2312" w:eastAsia="仿宋_GB2312"/>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eastAsia="仿宋_GB2312"/>
          <w:sz w:val="24"/>
          <w:szCs w:val="24"/>
          <w:u w:val="single"/>
        </w:rPr>
        <w:t>4%</w:t>
      </w:r>
      <w:r>
        <w:rPr>
          <w:rFonts w:hint="eastAsia" w:ascii="仿宋_GB2312" w:eastAsia="仿宋_GB2312"/>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2955DF8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14:paraId="1758604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65D0BC">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D28401">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14:paraId="4E6F3367">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3.4支持创新发展</w:t>
      </w:r>
    </w:p>
    <w:p w14:paraId="62FADE0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3.4.1采购人优先采购被认定为首台套产品和“制造精品”的自主创新产品。</w:t>
      </w:r>
    </w:p>
    <w:p w14:paraId="69C5C9C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B51E77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3.5平等对待内外资企业和符合条件的破产重整企业</w:t>
      </w:r>
    </w:p>
    <w:p w14:paraId="5D002AD6">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14:paraId="7546758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4169721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4.询问、质疑、投诉</w:t>
      </w:r>
    </w:p>
    <w:p w14:paraId="7AD5770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571B88B1">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4.2供应商询问</w:t>
      </w:r>
    </w:p>
    <w:p w14:paraId="228BE42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6CB131">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4.3供应商质疑</w:t>
      </w:r>
    </w:p>
    <w:p w14:paraId="7DBE79F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14:paraId="0DDF196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7ACEB32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73CDFC28">
      <w:pPr>
        <w:spacing w:line="360" w:lineRule="auto"/>
        <w:ind w:firstLine="480" w:firstLineChars="200"/>
        <w:contextualSpacing/>
        <w:jc w:val="left"/>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571E6F59">
      <w:pPr>
        <w:spacing w:line="360" w:lineRule="auto"/>
        <w:ind w:firstLine="480" w:firstLineChars="200"/>
        <w:contextualSpacing/>
        <w:jc w:val="left"/>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14:paraId="1D02CBC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14:paraId="10C5939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4.3.3.1供应商的姓名或者名称、地址、邮编、联系人及联系电话；</w:t>
      </w:r>
    </w:p>
    <w:p w14:paraId="711CAF83">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4.3.3.2质疑项目的名称、编号；</w:t>
      </w:r>
    </w:p>
    <w:p w14:paraId="66C0EFD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4.3.3.3具体、明确的质疑事项和与质疑事项相关的请求；</w:t>
      </w:r>
    </w:p>
    <w:p w14:paraId="25615E7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4.3.3.4事实依据；</w:t>
      </w:r>
    </w:p>
    <w:p w14:paraId="4B0F31F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4.3.3.5必要的法律依据；</w:t>
      </w:r>
    </w:p>
    <w:p w14:paraId="7481D4D7">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4.3.3.6提出质疑的日期。</w:t>
      </w:r>
    </w:p>
    <w:p w14:paraId="188FBF53">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14:paraId="2A40E75C">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质疑函范本及制作说明详见附件2。</w:t>
      </w:r>
    </w:p>
    <w:p w14:paraId="0C95B3F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4135F52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14:paraId="4F8D2B4C">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4.4供应商投诉</w:t>
      </w:r>
    </w:p>
    <w:p w14:paraId="62AF656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157325DC">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14:paraId="3CB3BF17">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4.4.3供应商投诉应当有明确的请求和必要的证明材料。</w:t>
      </w:r>
    </w:p>
    <w:p w14:paraId="11F6E547">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14:paraId="062E438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投诉书范本及制作说明详见附件3。</w:t>
      </w:r>
    </w:p>
    <w:p w14:paraId="49C7E9AC">
      <w:pPr>
        <w:spacing w:line="420" w:lineRule="exact"/>
        <w:ind w:firstLine="482" w:firstLineChars="200"/>
        <w:contextualSpacing/>
        <w:jc w:val="left"/>
        <w:rPr>
          <w:rFonts w:ascii="仿宋_GB2312" w:eastAsia="仿宋_GB2312"/>
          <w:b/>
          <w:sz w:val="24"/>
          <w:szCs w:val="24"/>
        </w:rPr>
      </w:pPr>
      <w:r>
        <w:rPr>
          <w:rFonts w:hint="eastAsia" w:ascii="仿宋_GB2312" w:eastAsia="仿宋_GB2312"/>
          <w:b/>
          <w:sz w:val="24"/>
          <w:szCs w:val="24"/>
        </w:rPr>
        <w:t>二、招标文件的构成、澄清、修改</w:t>
      </w:r>
    </w:p>
    <w:p w14:paraId="317E408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5．招标文件的构成</w:t>
      </w:r>
    </w:p>
    <w:p w14:paraId="44AF2D61">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5.1招标文件包括下列文件及附件：</w:t>
      </w:r>
    </w:p>
    <w:p w14:paraId="4534022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5.1.1招标公告；</w:t>
      </w:r>
    </w:p>
    <w:p w14:paraId="0393157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5.1.2投标人须知；</w:t>
      </w:r>
    </w:p>
    <w:p w14:paraId="2D88BD8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5.1.3采购需求；</w:t>
      </w:r>
    </w:p>
    <w:p w14:paraId="6766A1D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5.1.4评标办法；</w:t>
      </w:r>
    </w:p>
    <w:p w14:paraId="1389F7A4">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5.1.5拟签订的合同文本；</w:t>
      </w:r>
    </w:p>
    <w:p w14:paraId="3FA49E91">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5.1.6应提交的有关格式范例。</w:t>
      </w:r>
    </w:p>
    <w:p w14:paraId="345028B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14:paraId="2567523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6.招标文件的澄清、修改</w:t>
      </w:r>
    </w:p>
    <w:p w14:paraId="1BCB7D1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14:paraId="2E06B07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4E7667">
      <w:pPr>
        <w:spacing w:line="420" w:lineRule="exact"/>
        <w:ind w:firstLine="482"/>
        <w:contextualSpacing/>
        <w:jc w:val="left"/>
        <w:rPr>
          <w:rFonts w:ascii="仿宋_GB2312" w:eastAsia="仿宋_GB2312"/>
          <w:b/>
          <w:sz w:val="24"/>
          <w:szCs w:val="24"/>
        </w:rPr>
      </w:pPr>
      <w:r>
        <w:rPr>
          <w:rFonts w:hint="eastAsia" w:ascii="仿宋_GB2312" w:eastAsia="仿宋_GB2312"/>
          <w:b/>
          <w:sz w:val="24"/>
          <w:szCs w:val="24"/>
        </w:rPr>
        <w:t>三、投标</w:t>
      </w:r>
    </w:p>
    <w:p w14:paraId="74F09EC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7.招标文件的获取</w:t>
      </w:r>
    </w:p>
    <w:p w14:paraId="3564E6A7">
      <w:pPr>
        <w:spacing w:line="420" w:lineRule="exact"/>
        <w:contextualSpacing/>
        <w:jc w:val="left"/>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14:paraId="634F925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8.开标前答疑会或现场考察</w:t>
      </w:r>
    </w:p>
    <w:p w14:paraId="2D89827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14:paraId="1AC5E49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9.投标保证金</w:t>
      </w:r>
    </w:p>
    <w:p w14:paraId="7AC93FC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本项目不需缴纳投标保证金。</w:t>
      </w:r>
    </w:p>
    <w:p w14:paraId="031D243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10.投标文件的语言</w:t>
      </w:r>
    </w:p>
    <w:p w14:paraId="1F8B313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14:paraId="1C7B9B2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11.投标文件的组成</w:t>
      </w:r>
    </w:p>
    <w:p w14:paraId="3846FCF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11.1资格文件：</w:t>
      </w:r>
    </w:p>
    <w:p w14:paraId="0C74CCB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14:paraId="09758E06">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11.1.2落实政府采购政策需满足的资格要求（如果有）;</w:t>
      </w:r>
    </w:p>
    <w:p w14:paraId="0A20BA6C">
      <w:pPr>
        <w:spacing w:line="420" w:lineRule="exact"/>
        <w:ind w:firstLine="480"/>
        <w:contextualSpacing/>
        <w:jc w:val="left"/>
        <w:rPr>
          <w:rFonts w:ascii="仿宋_GB2312" w:eastAsia="仿宋_GB2312"/>
          <w:sz w:val="24"/>
          <w:szCs w:val="24"/>
        </w:rPr>
      </w:pPr>
      <w:r>
        <w:rPr>
          <w:rFonts w:hint="eastAsia" w:ascii="仿宋_GB2312" w:eastAsia="仿宋_GB2312"/>
          <w:sz w:val="24"/>
          <w:szCs w:val="24"/>
        </w:rPr>
        <w:t>11.1.3本项目的特定资格要求（如果有）；</w:t>
      </w:r>
    </w:p>
    <w:p w14:paraId="4EEA9C6E">
      <w:pPr>
        <w:spacing w:line="420" w:lineRule="exact"/>
        <w:ind w:firstLine="480"/>
        <w:contextualSpacing/>
        <w:jc w:val="left"/>
        <w:rPr>
          <w:rFonts w:ascii="仿宋_GB2312" w:eastAsia="仿宋_GB2312"/>
          <w:sz w:val="24"/>
          <w:szCs w:val="24"/>
        </w:rPr>
      </w:pPr>
      <w:r>
        <w:rPr>
          <w:rFonts w:hint="eastAsia" w:ascii="仿宋_GB2312" w:eastAsia="仿宋_GB2312"/>
          <w:sz w:val="24"/>
          <w:szCs w:val="24"/>
        </w:rPr>
        <w:t>11.1.4联合协议（如果有）；</w:t>
      </w:r>
    </w:p>
    <w:p w14:paraId="6D5819AD">
      <w:pPr>
        <w:spacing w:line="420" w:lineRule="exact"/>
        <w:ind w:firstLine="480"/>
        <w:contextualSpacing/>
        <w:jc w:val="left"/>
        <w:rPr>
          <w:rFonts w:ascii="仿宋_GB2312" w:eastAsia="仿宋_GB2312"/>
          <w:sz w:val="24"/>
          <w:szCs w:val="24"/>
        </w:rPr>
      </w:pPr>
      <w:r>
        <w:rPr>
          <w:rFonts w:hint="eastAsia" w:ascii="仿宋_GB2312" w:eastAsia="仿宋_GB2312"/>
          <w:sz w:val="24"/>
          <w:szCs w:val="24"/>
        </w:rPr>
        <w:t>11.1.5分包意向协议（如果有）。</w:t>
      </w:r>
    </w:p>
    <w:p w14:paraId="30AA4BD8">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 商务技术文件：</w:t>
      </w:r>
    </w:p>
    <w:p w14:paraId="3C055FB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 xml:space="preserve">11.2.1投标函； </w:t>
      </w:r>
    </w:p>
    <w:p w14:paraId="4C8F920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11.2.2授权委托书或法定代表人（单位负责人）身份证明；</w:t>
      </w:r>
    </w:p>
    <w:p w14:paraId="741A555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11.2.3联合协议（如果有）；</w:t>
      </w:r>
    </w:p>
    <w:p w14:paraId="0D774E7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11.2.4分包意向协议（如果有）；</w:t>
      </w:r>
    </w:p>
    <w:p w14:paraId="4676DA3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11.2.5符合性审查资料；</w:t>
      </w:r>
    </w:p>
    <w:p w14:paraId="66652E1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11.2.6拟投入的项目班子格式；</w:t>
      </w:r>
    </w:p>
    <w:p w14:paraId="463BC56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11.2.7评标标准相应的商务技术资料；</w:t>
      </w:r>
    </w:p>
    <w:p w14:paraId="2E4E8801">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11.2.8投标标的清单（如果有）；</w:t>
      </w:r>
    </w:p>
    <w:p w14:paraId="062D6C4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11.2.9商务技术偏离表（如果有）；</w:t>
      </w:r>
    </w:p>
    <w:p w14:paraId="0EFB5FE3">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11.2.10政府采购供应商廉洁自律承诺书。</w:t>
      </w:r>
    </w:p>
    <w:p w14:paraId="4ADB311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 xml:space="preserve">11.3报价文件： </w:t>
      </w:r>
    </w:p>
    <w:p w14:paraId="5518C324">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11.3.1开标一览表（报价表）；</w:t>
      </w:r>
    </w:p>
    <w:p w14:paraId="1EE533A1">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11.3.2中小企业声明函；</w:t>
      </w:r>
    </w:p>
    <w:p w14:paraId="42E59C6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11.3.3详细阐述关于不影响产品质量或者诚信履约的具体原因（如果报价低于项目预算50%的）。</w:t>
      </w:r>
    </w:p>
    <w:p w14:paraId="4F8223C3">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12.投标文件的编制</w:t>
      </w:r>
    </w:p>
    <w:p w14:paraId="1F7BEA68">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BDC67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4777C0C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14:paraId="0C5F0B1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13.投标文件的签署、盖章</w:t>
      </w:r>
    </w:p>
    <w:p w14:paraId="6E5C5DB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14:paraId="0130DEE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14:paraId="7E437E6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14:paraId="1C35C33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14.投标文件的提交、补充、修改、撤回。</w:t>
      </w:r>
    </w:p>
    <w:p w14:paraId="6B99A14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FF62D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460BAFD7">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3D5C9EA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15.备份投标文件</w:t>
      </w:r>
    </w:p>
    <w:p w14:paraId="53FE12C4">
      <w:pPr>
        <w:spacing w:line="420" w:lineRule="exact"/>
        <w:contextualSpacing/>
        <w:jc w:val="left"/>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16E66A6">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6C18BF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598B5AA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3142FEB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14:paraId="2ABD5E11">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16.投标文件的无效处理</w:t>
      </w:r>
    </w:p>
    <w:p w14:paraId="4A35C34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有招标文件第四部分4.2项规定的情形之一的，投标无效。</w:t>
      </w:r>
    </w:p>
    <w:p w14:paraId="1FCAC9DC">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17.投标有效期</w:t>
      </w:r>
    </w:p>
    <w:p w14:paraId="48A465F6">
      <w:pPr>
        <w:spacing w:line="420" w:lineRule="exact"/>
        <w:ind w:firstLine="480" w:firstLineChars="200"/>
        <w:contextualSpacing/>
        <w:jc w:val="left"/>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14:paraId="2CC4A01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14:paraId="2AA3568C">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6D78251">
      <w:pPr>
        <w:spacing w:line="420" w:lineRule="exact"/>
        <w:ind w:firstLine="482" w:firstLineChars="200"/>
        <w:contextualSpacing/>
        <w:jc w:val="left"/>
        <w:rPr>
          <w:rFonts w:ascii="仿宋_GB2312" w:eastAsia="仿宋_GB2312"/>
          <w:b/>
          <w:sz w:val="24"/>
          <w:szCs w:val="24"/>
        </w:rPr>
      </w:pPr>
      <w:r>
        <w:rPr>
          <w:rFonts w:hint="eastAsia" w:ascii="仿宋_GB2312" w:eastAsia="仿宋_GB2312"/>
          <w:b/>
          <w:sz w:val="24"/>
          <w:szCs w:val="24"/>
        </w:rPr>
        <w:t>四、开标、资格审查与信用信息查询</w:t>
      </w:r>
    </w:p>
    <w:p w14:paraId="3F9408C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 xml:space="preserve">18.开标 </w:t>
      </w:r>
    </w:p>
    <w:p w14:paraId="0C40BCE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14:paraId="339E445C">
      <w:pPr>
        <w:spacing w:line="420" w:lineRule="exact"/>
        <w:contextualSpacing/>
        <w:jc w:val="left"/>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14:paraId="243A5376">
      <w:pPr>
        <w:spacing w:line="420" w:lineRule="exact"/>
        <w:contextualSpacing/>
        <w:jc w:val="left"/>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14:paraId="5962051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19.资格审查</w:t>
      </w:r>
    </w:p>
    <w:p w14:paraId="4CB665E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19.1开标后，采购人将依法对投标人的资格进行审查。</w:t>
      </w:r>
    </w:p>
    <w:p w14:paraId="03A3D2B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14:paraId="4BAA234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14:paraId="0D983668">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14:paraId="25DE1046">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19.5合格投标人不足3家的，不再评标。</w:t>
      </w:r>
    </w:p>
    <w:p w14:paraId="5F309586">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20.信用信息查询</w:t>
      </w:r>
    </w:p>
    <w:p w14:paraId="6EA54C6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14:paraId="3283BD2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14:paraId="4BCA80E4">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62A002A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BA01D3">
      <w:pPr>
        <w:spacing w:line="420" w:lineRule="exact"/>
        <w:ind w:firstLine="482" w:firstLineChars="200"/>
        <w:contextualSpacing/>
        <w:jc w:val="left"/>
        <w:rPr>
          <w:rFonts w:ascii="仿宋_GB2312" w:eastAsia="仿宋_GB2312"/>
          <w:b/>
          <w:sz w:val="24"/>
          <w:szCs w:val="24"/>
        </w:rPr>
      </w:pPr>
      <w:r>
        <w:rPr>
          <w:rFonts w:hint="eastAsia" w:ascii="仿宋_GB2312" w:eastAsia="仿宋_GB2312"/>
          <w:b/>
          <w:sz w:val="24"/>
          <w:szCs w:val="24"/>
        </w:rPr>
        <w:t>五、评标</w:t>
      </w:r>
    </w:p>
    <w:p w14:paraId="2D7F50CE">
      <w:pPr>
        <w:spacing w:line="420" w:lineRule="exact"/>
        <w:ind w:firstLine="480" w:firstLineChars="200"/>
        <w:contextualSpacing/>
        <w:jc w:val="left"/>
        <w:rPr>
          <w:rFonts w:ascii="仿宋_GB2312" w:eastAsia="仿宋_GB2312"/>
          <w:sz w:val="24"/>
          <w:szCs w:val="24"/>
        </w:rPr>
      </w:pPr>
      <w:bookmarkStart w:id="14"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4D0DF254">
      <w:pPr>
        <w:spacing w:line="420" w:lineRule="exact"/>
        <w:ind w:firstLine="482" w:firstLineChars="200"/>
        <w:contextualSpacing/>
        <w:jc w:val="left"/>
        <w:rPr>
          <w:rFonts w:ascii="仿宋_GB2312" w:eastAsia="仿宋_GB2312"/>
          <w:b/>
          <w:sz w:val="24"/>
          <w:szCs w:val="24"/>
        </w:rPr>
      </w:pPr>
      <w:r>
        <w:rPr>
          <w:rFonts w:hint="eastAsia" w:ascii="仿宋_GB2312" w:eastAsia="仿宋_GB2312"/>
          <w:b/>
          <w:sz w:val="24"/>
          <w:szCs w:val="24"/>
        </w:rPr>
        <w:t>六、定标</w:t>
      </w:r>
    </w:p>
    <w:p w14:paraId="3F385BE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22.确定中标供应商</w:t>
      </w:r>
    </w:p>
    <w:p w14:paraId="151F18A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14:paraId="0ADC4C8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23.中标通知与中标结果公告</w:t>
      </w:r>
    </w:p>
    <w:p w14:paraId="012F3E38">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14:paraId="43FFE29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9832318">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23.3公告期限为1个工作日。</w:t>
      </w:r>
    </w:p>
    <w:p w14:paraId="79848320">
      <w:pPr>
        <w:spacing w:line="420" w:lineRule="exact"/>
        <w:ind w:firstLine="482" w:firstLineChars="200"/>
        <w:contextualSpacing/>
        <w:jc w:val="left"/>
        <w:rPr>
          <w:rFonts w:ascii="仿宋_GB2312" w:eastAsia="仿宋_GB2312"/>
          <w:b/>
          <w:sz w:val="24"/>
          <w:szCs w:val="24"/>
        </w:rPr>
      </w:pPr>
      <w:r>
        <w:rPr>
          <w:rFonts w:hint="eastAsia" w:ascii="仿宋_GB2312" w:eastAsia="仿宋_GB2312"/>
          <w:b/>
          <w:sz w:val="24"/>
          <w:szCs w:val="24"/>
        </w:rPr>
        <w:t>七、合同授予</w:t>
      </w:r>
    </w:p>
    <w:p w14:paraId="02FECC54">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24.合同主要条款详见第五部分拟签订的合同文本。</w:t>
      </w:r>
    </w:p>
    <w:p w14:paraId="6E68FA6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25.合同的签订</w:t>
      </w:r>
    </w:p>
    <w:p w14:paraId="0ED20F77">
      <w:pPr>
        <w:spacing w:line="420" w:lineRule="exact"/>
        <w:ind w:firstLine="480" w:firstLineChars="200"/>
        <w:contextualSpacing/>
        <w:jc w:val="left"/>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711B3418">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14:paraId="6D50E504">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14:paraId="4DFB8C6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14:paraId="369E31D5">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14:paraId="30AFF427">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26.履约保证金</w:t>
      </w:r>
    </w:p>
    <w:p w14:paraId="6222602D">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7FA50527">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55B9DE">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27.预付款</w:t>
      </w:r>
    </w:p>
    <w:p w14:paraId="6C3DA66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023680C">
      <w:pPr>
        <w:spacing w:line="420" w:lineRule="exact"/>
        <w:ind w:firstLine="482" w:firstLineChars="200"/>
        <w:contextualSpacing/>
        <w:jc w:val="left"/>
        <w:rPr>
          <w:rFonts w:ascii="仿宋_GB2312" w:eastAsia="仿宋_GB2312"/>
          <w:b/>
          <w:sz w:val="24"/>
          <w:szCs w:val="24"/>
        </w:rPr>
      </w:pPr>
      <w:r>
        <w:rPr>
          <w:rFonts w:hint="eastAsia" w:ascii="仿宋_GB2312" w:eastAsia="仿宋_GB2312"/>
          <w:b/>
          <w:sz w:val="24"/>
          <w:szCs w:val="24"/>
        </w:rPr>
        <w:t>八、电子交易活动的中止</w:t>
      </w:r>
    </w:p>
    <w:p w14:paraId="5C74311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28.电子交易活动的中止。采购过程中出现以下情形，导致电子交易平台无法正常运行，或者无法保证电子交易的公平、公正和安全时，采购代理机构可中止电子交易活动：</w:t>
      </w:r>
    </w:p>
    <w:p w14:paraId="49E9D2D6">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14:paraId="21E5D5D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14:paraId="6AF3289F">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28.3电子交易平台发现严重安全漏洞，有潜在泄密危险的；</w:t>
      </w:r>
    </w:p>
    <w:p w14:paraId="5498F847">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 xml:space="preserve">28.4病毒发作导致不能进行正常操作的； </w:t>
      </w:r>
    </w:p>
    <w:p w14:paraId="0008A002">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28.5其他无法保证电子交易的公平、公正和安全的情况。</w:t>
      </w:r>
    </w:p>
    <w:p w14:paraId="5EE6EF81">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0BFEB849">
      <w:pPr>
        <w:spacing w:line="420" w:lineRule="exact"/>
        <w:ind w:firstLine="482" w:firstLineChars="200"/>
        <w:contextualSpacing/>
        <w:jc w:val="left"/>
        <w:rPr>
          <w:rFonts w:ascii="仿宋_GB2312" w:eastAsia="仿宋_GB2312"/>
          <w:b/>
          <w:sz w:val="24"/>
          <w:szCs w:val="24"/>
        </w:rPr>
      </w:pPr>
      <w:r>
        <w:rPr>
          <w:rFonts w:hint="eastAsia" w:ascii="仿宋_GB2312" w:eastAsia="仿宋_GB2312"/>
          <w:b/>
          <w:sz w:val="24"/>
          <w:szCs w:val="24"/>
        </w:rPr>
        <w:t>九、验收</w:t>
      </w:r>
    </w:p>
    <w:p w14:paraId="0AFFF5C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30.验收</w:t>
      </w:r>
    </w:p>
    <w:p w14:paraId="6BF4F559">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403AA">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14:paraId="577A30EB">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1952C0">
      <w:pPr>
        <w:spacing w:line="420" w:lineRule="exact"/>
        <w:ind w:firstLine="480" w:firstLineChars="200"/>
        <w:contextualSpacing/>
        <w:jc w:val="left"/>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7ABD381A">
      <w:pPr>
        <w:spacing w:line="540" w:lineRule="exact"/>
        <w:contextualSpacing/>
        <w:jc w:val="left"/>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type="lines" w:linePitch="312" w:charSpace="117"/>
        </w:sectPr>
      </w:pPr>
      <w:bookmarkStart w:id="15" w:name="_Hlt75236290"/>
      <w:bookmarkEnd w:id="15"/>
      <w:bookmarkStart w:id="16" w:name="_Hlt74707468"/>
      <w:bookmarkEnd w:id="16"/>
      <w:bookmarkStart w:id="17" w:name="_Hlt74730295"/>
      <w:bookmarkEnd w:id="17"/>
      <w:bookmarkStart w:id="18" w:name="_Hlt68057669"/>
      <w:bookmarkEnd w:id="18"/>
      <w:bookmarkStart w:id="19" w:name="_Hlt68403820"/>
      <w:bookmarkEnd w:id="19"/>
      <w:bookmarkStart w:id="20" w:name="_Hlt75236101"/>
      <w:bookmarkEnd w:id="20"/>
      <w:bookmarkStart w:id="21" w:name="_Hlt68072998"/>
      <w:bookmarkEnd w:id="21"/>
      <w:bookmarkStart w:id="22" w:name="_Hlt75236011"/>
      <w:bookmarkEnd w:id="22"/>
      <w:bookmarkStart w:id="23" w:name="_Hlt68072990"/>
      <w:bookmarkEnd w:id="23"/>
      <w:bookmarkStart w:id="24" w:name="_Hlt74729768"/>
      <w:bookmarkEnd w:id="24"/>
      <w:bookmarkStart w:id="25" w:name="_Hlt74714665"/>
      <w:bookmarkEnd w:id="25"/>
      <w:bookmarkStart w:id="26" w:name="_Hlt68073093"/>
      <w:bookmarkEnd w:id="26"/>
    </w:p>
    <w:bookmarkEnd w:id="11"/>
    <w:bookmarkEnd w:id="12"/>
    <w:p w14:paraId="3CDDE551">
      <w:pPr>
        <w:numPr>
          <w:ilvl w:val="0"/>
          <w:numId w:val="1"/>
        </w:numPr>
        <w:ind w:firstLine="2731" w:firstLineChars="850"/>
        <w:jc w:val="left"/>
        <w:outlineLvl w:val="0"/>
        <w:rPr>
          <w:b/>
          <w:sz w:val="32"/>
          <w:szCs w:val="32"/>
        </w:rPr>
      </w:pPr>
      <w:r>
        <w:rPr>
          <w:rFonts w:hint="eastAsia"/>
          <w:b/>
          <w:sz w:val="32"/>
          <w:szCs w:val="32"/>
        </w:rPr>
        <w:t>采购需求</w:t>
      </w:r>
    </w:p>
    <w:p w14:paraId="06B6BF84">
      <w:pPr>
        <w:pStyle w:val="5"/>
        <w:spacing w:line="440" w:lineRule="exact"/>
        <w:rPr>
          <w:rFonts w:hint="eastAsia" w:ascii="仿宋_GB2312" w:hAnsi="宋体" w:eastAsia="仿宋_GB2312"/>
          <w:bCs/>
          <w:color w:val="000000" w:themeColor="text1"/>
          <w:sz w:val="24"/>
          <w:szCs w:val="24"/>
          <w14:textFill>
            <w14:solidFill>
              <w14:schemeClr w14:val="tx1"/>
            </w14:solidFill>
          </w14:textFill>
        </w:rPr>
      </w:pPr>
    </w:p>
    <w:p w14:paraId="57F8F952">
      <w:pPr>
        <w:pStyle w:val="3"/>
        <w:pageBreakBefore w:val="0"/>
        <w:widowControl w:val="0"/>
        <w:numPr>
          <w:ilvl w:val="0"/>
          <w:numId w:val="2"/>
        </w:numPr>
        <w:kinsoku/>
        <w:overflowPunct/>
        <w:autoSpaceDE/>
        <w:autoSpaceDN/>
        <w:bidi w:val="0"/>
        <w:adjustRightInd/>
        <w:snapToGrid/>
        <w:spacing w:before="0" w:after="0" w:line="42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项目概况</w:t>
      </w:r>
    </w:p>
    <w:p w14:paraId="466AC376">
      <w:pPr>
        <w:pStyle w:val="3"/>
        <w:pageBreakBefore w:val="0"/>
        <w:widowControl w:val="0"/>
        <w:numPr>
          <w:ilvl w:val="0"/>
          <w:numId w:val="0"/>
        </w:numPr>
        <w:kinsoku/>
        <w:overflowPunct/>
        <w:autoSpaceDE/>
        <w:autoSpaceDN/>
        <w:bidi w:val="0"/>
        <w:adjustRightInd/>
        <w:snapToGrid/>
        <w:spacing w:before="0" w:after="0" w:line="420" w:lineRule="exact"/>
        <w:ind w:firstLine="480" w:firstLineChars="200"/>
        <w:jc w:val="left"/>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根据《舟山市政务云平台管理办法》、《舟山市数字化改革行动方案》等相关要求，市数据服务中心组织进行舟山市政务云平台服务采购，舟山政务云是支撑舟山市数字化改革业务的重要基础设施，主要为全市各政务部门提供高性能云主机、云存储、云应用、云安全、异地备份等基础设施资源共享服务，为各政务部门间数据交换、共享、应用等提供基础平台支撑。</w:t>
      </w:r>
    </w:p>
    <w:p w14:paraId="4C9E8B8D">
      <w:pPr>
        <w:pStyle w:val="3"/>
        <w:pageBreakBefore w:val="0"/>
        <w:widowControl w:val="0"/>
        <w:numPr>
          <w:ilvl w:val="0"/>
          <w:numId w:val="0"/>
        </w:numPr>
        <w:kinsoku/>
        <w:overflowPunct/>
        <w:autoSpaceDE/>
        <w:autoSpaceDN/>
        <w:bidi w:val="0"/>
        <w:adjustRightInd/>
        <w:snapToGrid/>
        <w:spacing w:before="0" w:after="0" w:line="420" w:lineRule="exact"/>
        <w:ind w:firstLine="480" w:firstLineChars="200"/>
        <w:jc w:val="left"/>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本项目采用企业建设运维，政府按需统一购买的服务方式进行，通过明确各项服务内容的采购单价和计价规则及云供应商，对经准确登记云资源进行计费并支付费用。由工作小组对云平台供应商服务质量开展监测，从服务安全性、稳定性、响应度、满意度等多维度评价，相关结果作为云平台年度考核重要依据。</w:t>
      </w:r>
    </w:p>
    <w:p w14:paraId="171A6D4A">
      <w:pPr>
        <w:pageBreakBefore w:val="0"/>
        <w:widowControl w:val="0"/>
        <w:kinsoku/>
        <w:overflow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highlight w:val="none"/>
        </w:rPr>
        <w:t xml:space="preserve">《舟山市大数据发展管理局 </w:t>
      </w:r>
      <w:r>
        <w:rPr>
          <w:rFonts w:hint="eastAsia" w:ascii="仿宋_GB2312" w:hAnsi="仿宋_GB2312" w:eastAsia="仿宋_GB2312" w:cs="仿宋_GB2312"/>
          <w:sz w:val="24"/>
          <w:szCs w:val="24"/>
        </w:rPr>
        <w:t>舟山市发展和改革委员委 舟山市经济和信息化局 舟山市财政局关于印发舟山政务云平台管理办法的通知》（舟数管发[2020]5号）的精神，全市政务云平台实行一体化统筹管理和运维，各县（区）、功能区应参照本次招标确定的云平台供应商和价格体系采购云资源服务，经费由各级财政承担。</w:t>
      </w:r>
    </w:p>
    <w:p w14:paraId="1AAA13B8">
      <w:pPr>
        <w:pStyle w:val="3"/>
        <w:pageBreakBefore w:val="0"/>
        <w:widowControl w:val="0"/>
        <w:kinsoku/>
        <w:overflowPunct/>
        <w:autoSpaceDE/>
        <w:autoSpaceDN/>
        <w:bidi w:val="0"/>
        <w:adjustRightInd/>
        <w:snapToGrid/>
        <w:spacing w:before="0" w:after="0" w:line="42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二、基本要求</w:t>
      </w:r>
    </w:p>
    <w:p w14:paraId="4F80409D">
      <w:pPr>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云平台供应商在政务云主管单位规划指导下，负责政务云资源池及安全的建设和维护升级，所建资源池满足使用单位上云服务需求且能准确计费计价，建立健全值班值守、运维规范、信息管理、安全管理等工作机制，确保云平台稳定运行。</w:t>
      </w:r>
    </w:p>
    <w:p w14:paraId="24220C68">
      <w:pPr>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2.基础云服务：包括政务专用要求、云平台带宽、服务区域划分、通过安全等级保护三级。</w:t>
      </w:r>
    </w:p>
    <w:p w14:paraId="7B6CFCD0">
      <w:pPr>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3.云平台基础服务：包括云平台软件、云平台架构、云主机、云存储、云数据库、云主机数据盘、云负载均衡、异地备份。</w:t>
      </w:r>
    </w:p>
    <w:p w14:paraId="4D5DC9DC">
      <w:pPr>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4.云安全服务：包括统一基础云安全服务。</w:t>
      </w:r>
    </w:p>
    <w:p w14:paraId="6DD4F616">
      <w:pPr>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5.云平台监管及审计：包括基本云管平台、运行监测系统。</w:t>
      </w:r>
    </w:p>
    <w:p w14:paraId="3660EC1A">
      <w:pPr>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6.云应用服务：云备份、大数据服务。</w:t>
      </w:r>
    </w:p>
    <w:p w14:paraId="214C647F">
      <w:pPr>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7.IDC托管服务：包括IDC托管机房、网络支持。</w:t>
      </w:r>
    </w:p>
    <w:p w14:paraId="37896152">
      <w:pPr>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8.云技术支持服务：应用迁移咨询服务、其他技术服务、培训服务。</w:t>
      </w:r>
    </w:p>
    <w:p w14:paraId="4EAEC9B0">
      <w:pPr>
        <w:pageBreakBefore w:val="0"/>
        <w:widowControl w:val="0"/>
        <w:kinsoku/>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计算服务：云服务器是一种简单高效、处理能力可弹性伸缩的具有高可用性、安全性和弹性的计算服务。云服务器采用了业界标准和成熟的虚拟化技术，具备操作易用、容灾备份、灵活扩展、节约成本等优势，可根据用户的需求动态地创建和分配计算资源与存储资源，同时满足用户多样化的计算和存储需求。除此之外，包括云服务器在内的四大件产品开设和云资源自动开通。</w:t>
      </w:r>
    </w:p>
    <w:p w14:paraId="624482DA">
      <w:pPr>
        <w:pageBreakBefore w:val="0"/>
        <w:widowControl w:val="0"/>
        <w:kinsoku/>
        <w:overflowPunct/>
        <w:topLinePunct/>
        <w:autoSpaceDE/>
        <w:autoSpaceDN/>
        <w:bidi w:val="0"/>
        <w:adjustRightInd/>
        <w:snapToGrid/>
        <w:spacing w:line="4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10.云主机热迁移能力。云平台根据物理主机负载情况综合调度，将云主机在不停机状态下从一台物理主机迁移到另外一台物理主机；在线热迁移时，云主机应用完全不中断，用户完全无感知。</w:t>
      </w:r>
    </w:p>
    <w:p w14:paraId="0B7CAC31">
      <w:pPr>
        <w:pageBreakBefore w:val="0"/>
        <w:widowControl w:val="0"/>
        <w:kinsoku/>
        <w:overflowPunct/>
        <w:topLinePunct/>
        <w:autoSpaceDE/>
        <w:autoSpaceDN/>
        <w:bidi w:val="0"/>
        <w:adjustRightInd/>
        <w:snapToGrid/>
        <w:spacing w:line="420" w:lineRule="exact"/>
        <w:ind w:firstLine="480" w:firstLineChars="20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大模型能力服务：包括提供大语言模型、多模态大语言模型并支持预训练、微调训练（包括SFT、LORA等），支持启动、停止训练任务，查看训练日志。提供主流国产大语言模型服务、多模态大模型服务和使用大模型服务进行智能体开发的服务，可生成服务调用API接口，供具体业务场景调用。</w:t>
      </w:r>
    </w:p>
    <w:p w14:paraId="77CEB04A">
      <w:pPr>
        <w:pageBreakBefore w:val="0"/>
        <w:widowControl w:val="0"/>
        <w:kinsoku/>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.政务云国产信创化资源</w:t>
      </w:r>
    </w:p>
    <w:p w14:paraId="3ADB6759">
      <w:pPr>
        <w:pageBreakBefore w:val="0"/>
        <w:widowControl w:val="0"/>
        <w:kinsoku/>
        <w:overflowPunct/>
        <w:topLinePunct/>
        <w:autoSpaceDE/>
        <w:autoSpaceDN/>
        <w:bidi w:val="0"/>
        <w:adjustRightInd/>
        <w:snapToGrid/>
        <w:spacing w:line="42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主要包括：1）</w:t>
      </w:r>
      <w:r>
        <w:rPr>
          <w:rFonts w:hint="eastAsia" w:ascii="仿宋_GB2312" w:hAnsi="仿宋_GB2312" w:eastAsia="仿宋_GB2312" w:cs="仿宋_GB2312"/>
          <w:sz w:val="24"/>
          <w:szCs w:val="24"/>
          <w:lang w:eastAsia="zh-CN"/>
        </w:rPr>
        <w:t>基于信创芯片和物理</w:t>
      </w:r>
      <w:r>
        <w:rPr>
          <w:rFonts w:hint="eastAsia" w:ascii="仿宋_GB2312" w:hAnsi="仿宋_GB2312" w:eastAsia="仿宋_GB2312" w:cs="仿宋_GB2312"/>
          <w:sz w:val="24"/>
          <w:szCs w:val="24"/>
        </w:rPr>
        <w:t>服务器；2）</w:t>
      </w:r>
      <w:r>
        <w:rPr>
          <w:rFonts w:hint="eastAsia" w:ascii="仿宋_GB2312" w:hAnsi="仿宋_GB2312" w:eastAsia="仿宋_GB2312" w:cs="仿宋_GB2312"/>
          <w:sz w:val="24"/>
          <w:szCs w:val="24"/>
          <w:lang w:eastAsia="zh-CN"/>
        </w:rPr>
        <w:t>信创</w:t>
      </w:r>
      <w:r>
        <w:rPr>
          <w:rFonts w:hint="eastAsia" w:ascii="仿宋_GB2312" w:hAnsi="仿宋_GB2312" w:eastAsia="仿宋_GB2312" w:cs="仿宋_GB2312"/>
          <w:sz w:val="24"/>
          <w:szCs w:val="24"/>
        </w:rPr>
        <w:t>数据库；4）</w:t>
      </w:r>
      <w:r>
        <w:rPr>
          <w:rFonts w:hint="eastAsia" w:ascii="仿宋_GB2312" w:hAnsi="仿宋_GB2312" w:eastAsia="仿宋_GB2312" w:cs="仿宋_GB2312"/>
          <w:sz w:val="24"/>
          <w:szCs w:val="24"/>
          <w:lang w:eastAsia="zh-CN"/>
        </w:rPr>
        <w:t>信创</w:t>
      </w:r>
      <w:r>
        <w:rPr>
          <w:rFonts w:hint="eastAsia" w:ascii="仿宋_GB2312" w:hAnsi="仿宋_GB2312" w:eastAsia="仿宋_GB2312" w:cs="仿宋_GB2312"/>
          <w:sz w:val="24"/>
          <w:szCs w:val="24"/>
        </w:rPr>
        <w:t>操作系统；6）平台国密改造服务</w:t>
      </w:r>
      <w:r>
        <w:rPr>
          <w:rFonts w:hint="eastAsia" w:ascii="仿宋_GB2312" w:hAnsi="仿宋_GB2312" w:eastAsia="仿宋_GB2312" w:cs="仿宋_GB2312"/>
          <w:sz w:val="24"/>
          <w:szCs w:val="24"/>
          <w:lang w:eastAsia="zh-CN"/>
        </w:rPr>
        <w:t>。</w:t>
      </w:r>
    </w:p>
    <w:p w14:paraId="772BB669">
      <w:pPr>
        <w:pageBreakBefore w:val="0"/>
        <w:widowControl w:val="0"/>
        <w:kinsoku/>
        <w:overflowPunct/>
        <w:topLinePunct/>
        <w:autoSpaceDE/>
        <w:autoSpaceDN/>
        <w:bidi w:val="0"/>
        <w:adjustRightInd/>
        <w:snapToGrid/>
        <w:spacing w:line="4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.本项目服务期限为202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月1日至202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年6月30日。</w:t>
      </w:r>
    </w:p>
    <w:p w14:paraId="5D3091A4">
      <w:pPr>
        <w:pStyle w:val="3"/>
        <w:pageBreakBefore w:val="0"/>
        <w:widowControl w:val="0"/>
        <w:kinsoku/>
        <w:overflowPunct/>
        <w:autoSpaceDE/>
        <w:autoSpaceDN/>
        <w:bidi w:val="0"/>
        <w:adjustRightInd/>
        <w:snapToGrid/>
        <w:spacing w:before="0" w:after="0" w:line="42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三、服务质量要求</w:t>
      </w:r>
    </w:p>
    <w:p w14:paraId="1734B3D0">
      <w:pPr>
        <w:pStyle w:val="19"/>
        <w:pageBreakBefore w:val="0"/>
        <w:widowControl w:val="0"/>
        <w:kinsoku/>
        <w:overflowPunct/>
        <w:autoSpaceDE/>
        <w:autoSpaceDN/>
        <w:bidi w:val="0"/>
        <w:adjustRightInd/>
        <w:snapToGrid/>
        <w:spacing w:line="420" w:lineRule="exact"/>
        <w:ind w:firstLine="482" w:firstLineChars="200"/>
        <w:jc w:val="left"/>
        <w:textAlignment w:val="auto"/>
        <w:outlineLvl w:val="3"/>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1.云主机要求</w:t>
      </w:r>
    </w:p>
    <w:p w14:paraId="7E31172A">
      <w:pPr>
        <w:pageBreakBefore w:val="0"/>
        <w:widowControl w:val="0"/>
        <w:kinsoku/>
        <w:overflowPunct/>
        <w:autoSpaceDE/>
        <w:autoSpaceDN/>
        <w:bidi w:val="0"/>
        <w:adjustRightInd/>
        <w:snapToGrid/>
        <w:spacing w:line="420" w:lineRule="exact"/>
        <w:ind w:firstLine="480" w:firstLineChars="200"/>
        <w:jc w:val="left"/>
        <w:textAlignment w:val="auto"/>
        <w:rPr>
          <w:rFonts w:hint="eastAsia"/>
        </w:rPr>
      </w:pPr>
      <w:r>
        <w:rPr>
          <w:rFonts w:hint="eastAsia" w:ascii="仿宋_GB2312" w:hAnsi="仿宋_GB2312" w:eastAsia="仿宋_GB2312" w:cs="仿宋_GB2312"/>
          <w:color w:val="000000"/>
          <w:sz w:val="24"/>
          <w:szCs w:val="24"/>
        </w:rPr>
        <w:t>云主机的可用性不小于99.95%，云主机持久性不小于99.999%。</w:t>
      </w:r>
    </w:p>
    <w:p w14:paraId="3D6C6794">
      <w:pPr>
        <w:pStyle w:val="19"/>
        <w:pageBreakBefore w:val="0"/>
        <w:widowControl w:val="0"/>
        <w:kinsoku/>
        <w:overflowPunct/>
        <w:autoSpaceDE/>
        <w:autoSpaceDN/>
        <w:bidi w:val="0"/>
        <w:adjustRightInd/>
        <w:snapToGrid/>
        <w:spacing w:line="420" w:lineRule="exact"/>
        <w:ind w:firstLine="482" w:firstLineChars="200"/>
        <w:jc w:val="left"/>
        <w:textAlignment w:val="auto"/>
        <w:outlineLvl w:val="3"/>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2.云存储要求</w:t>
      </w:r>
    </w:p>
    <w:p w14:paraId="30A986CB">
      <w:pPr>
        <w:pageBreakBefore w:val="0"/>
        <w:widowControl w:val="0"/>
        <w:kinsoku/>
        <w:overflowPunct/>
        <w:autoSpaceDE/>
        <w:autoSpaceDN/>
        <w:bidi w:val="0"/>
        <w:adjustRightInd/>
        <w:snapToGrid/>
        <w:spacing w:line="42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云存储的可用性不小于99.95%，云存储持久性不小于99.99999999%。</w:t>
      </w:r>
    </w:p>
    <w:p w14:paraId="710FE4F7">
      <w:pPr>
        <w:pStyle w:val="19"/>
        <w:pageBreakBefore w:val="0"/>
        <w:widowControl w:val="0"/>
        <w:kinsoku/>
        <w:overflowPunct/>
        <w:autoSpaceDE/>
        <w:autoSpaceDN/>
        <w:bidi w:val="0"/>
        <w:adjustRightInd/>
        <w:snapToGrid/>
        <w:spacing w:line="420" w:lineRule="exact"/>
        <w:ind w:left="0" w:firstLine="482" w:firstLineChars="200"/>
        <w:jc w:val="left"/>
        <w:textAlignment w:val="auto"/>
        <w:outlineLvl w:val="3"/>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3.云数据库要求</w:t>
      </w:r>
    </w:p>
    <w:p w14:paraId="01046A3F">
      <w:pPr>
        <w:pageBreakBefore w:val="0"/>
        <w:widowControl w:val="0"/>
        <w:kinsoku/>
        <w:overflowPunct/>
        <w:autoSpaceDE/>
        <w:autoSpaceDN/>
        <w:bidi w:val="0"/>
        <w:adjustRightInd/>
        <w:snapToGrid/>
        <w:spacing w:line="42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云数据库可用性不小于99.95%，云数据库数据持久性不小于99.9999%。</w:t>
      </w:r>
    </w:p>
    <w:p w14:paraId="7F16AA61">
      <w:pPr>
        <w:pStyle w:val="19"/>
        <w:pageBreakBefore w:val="0"/>
        <w:widowControl w:val="0"/>
        <w:kinsoku/>
        <w:overflowPunct/>
        <w:autoSpaceDE/>
        <w:autoSpaceDN/>
        <w:bidi w:val="0"/>
        <w:adjustRightInd/>
        <w:snapToGrid/>
        <w:spacing w:line="420" w:lineRule="exact"/>
        <w:ind w:left="0" w:firstLine="482" w:firstLineChars="200"/>
        <w:jc w:val="left"/>
        <w:textAlignment w:val="auto"/>
        <w:outlineLvl w:val="3"/>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4.云安全服务要求</w:t>
      </w:r>
    </w:p>
    <w:p w14:paraId="5A3A7E4B">
      <w:pPr>
        <w:pageBreakBefore w:val="0"/>
        <w:widowControl w:val="0"/>
        <w:kinsoku/>
        <w:overflowPunct/>
        <w:autoSpaceDE/>
        <w:autoSpaceDN/>
        <w:bidi w:val="0"/>
        <w:adjustRightInd/>
        <w:snapToGrid/>
        <w:spacing w:line="42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云安全服务可用性不小于99.95%，负责云安全服务的首次配置服务，负责策略库的实时更新和设备故障的及时处理，故障在一小时内完成处理。</w:t>
      </w:r>
    </w:p>
    <w:p w14:paraId="6AB4B9D1">
      <w:pPr>
        <w:pStyle w:val="19"/>
        <w:pageBreakBefore w:val="0"/>
        <w:widowControl w:val="0"/>
        <w:kinsoku/>
        <w:overflowPunct/>
        <w:autoSpaceDE/>
        <w:autoSpaceDN/>
        <w:bidi w:val="0"/>
        <w:adjustRightInd/>
        <w:snapToGrid/>
        <w:spacing w:line="420" w:lineRule="exact"/>
        <w:ind w:left="0" w:firstLine="482" w:firstLineChars="200"/>
        <w:jc w:val="left"/>
        <w:textAlignment w:val="auto"/>
        <w:outlineLvl w:val="3"/>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5.云基础服务质量要求</w:t>
      </w:r>
    </w:p>
    <w:p w14:paraId="17C8DAB5">
      <w:pPr>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服务器出现故障，两小时内完成故障处理；为保障云服务上系统正常运行，建立备份机制及保证业务数据的恢复。基本问题在1小时内解决；重大问题在4小时内解决，软件应用出现问题立即响应，24小时内解决。</w:t>
      </w:r>
    </w:p>
    <w:p w14:paraId="298B12F2">
      <w:pPr>
        <w:pStyle w:val="19"/>
        <w:pageBreakBefore w:val="0"/>
        <w:widowControl w:val="0"/>
        <w:kinsoku/>
        <w:overflowPunct/>
        <w:autoSpaceDE/>
        <w:autoSpaceDN/>
        <w:bidi w:val="0"/>
        <w:adjustRightInd/>
        <w:snapToGrid/>
        <w:spacing w:line="420" w:lineRule="exact"/>
        <w:ind w:left="0" w:firstLine="482" w:firstLineChars="200"/>
        <w:jc w:val="left"/>
        <w:textAlignment w:val="auto"/>
        <w:outlineLvl w:val="3"/>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6.智算和大模型服务要求</w:t>
      </w:r>
    </w:p>
    <w:p w14:paraId="36F78DA2">
      <w:pPr>
        <w:pageBreakBefore w:val="0"/>
        <w:widowControl w:val="0"/>
        <w:kinsoku/>
        <w:overflowPunct/>
        <w:autoSpaceDE/>
        <w:autoSpaceDN/>
        <w:bidi w:val="0"/>
        <w:adjustRightInd/>
        <w:snapToGrid/>
        <w:spacing w:line="420" w:lineRule="exact"/>
        <w:ind w:firstLine="480" w:firstLineChars="200"/>
        <w:jc w:val="left"/>
        <w:textAlignment w:val="auto"/>
        <w:rPr>
          <w:rFonts w:hint="default"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提供产品运维服务，包括健康巡检、问题处理、核心指标监控、容量评估、水位管理等。提供故障应急响应服务，对故障进行快速响应以及应急处置和协同。提供变更服务，包括但不限于云产品问题修复。提供版本升级服务，包含产品热补丁版本和特性版本升级规划和实施。提供售后工单服务，处理用户使用政务云的售后问题。</w:t>
      </w:r>
    </w:p>
    <w:p w14:paraId="67FAB9F6">
      <w:pPr>
        <w:pStyle w:val="19"/>
        <w:pageBreakBefore w:val="0"/>
        <w:widowControl w:val="0"/>
        <w:kinsoku/>
        <w:overflowPunct/>
        <w:autoSpaceDE/>
        <w:autoSpaceDN/>
        <w:bidi w:val="0"/>
        <w:adjustRightInd/>
        <w:snapToGrid/>
        <w:spacing w:line="420" w:lineRule="exact"/>
        <w:ind w:left="0" w:firstLine="482" w:firstLineChars="200"/>
        <w:jc w:val="left"/>
        <w:textAlignment w:val="auto"/>
        <w:outlineLvl w:val="3"/>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7.</w:t>
      </w:r>
      <w:r>
        <w:rPr>
          <w:rFonts w:hint="eastAsia" w:ascii="仿宋_GB2312" w:hAnsi="仿宋_GB2312" w:eastAsia="仿宋_GB2312" w:cs="仿宋_GB2312"/>
          <w:b/>
          <w:bCs/>
          <w:color w:val="000000"/>
          <w:sz w:val="24"/>
          <w:szCs w:val="24"/>
        </w:rPr>
        <w:t>响应时间要求</w:t>
      </w:r>
    </w:p>
    <w:p w14:paraId="22B89CB5">
      <w:pPr>
        <w:pageBreakBefore w:val="0"/>
        <w:widowControl w:val="0"/>
        <w:kinsoku/>
        <w:overflowPunct/>
        <w:autoSpaceDE/>
        <w:autoSpaceDN/>
        <w:bidi w:val="0"/>
        <w:adjustRightInd/>
        <w:snapToGrid/>
        <w:spacing w:line="42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提供7×24小时不间断的电话服务支持，半小时内响应，配合用户云上信息系统故障处理，保证系统稳定正常运行。</w:t>
      </w:r>
    </w:p>
    <w:p w14:paraId="3C2244D4">
      <w:pPr>
        <w:pStyle w:val="19"/>
        <w:pageBreakBefore w:val="0"/>
        <w:widowControl w:val="0"/>
        <w:kinsoku/>
        <w:overflowPunct/>
        <w:autoSpaceDE/>
        <w:autoSpaceDN/>
        <w:bidi w:val="0"/>
        <w:adjustRightInd/>
        <w:snapToGrid/>
        <w:spacing w:line="420" w:lineRule="exact"/>
        <w:ind w:left="0" w:firstLine="482" w:firstLineChars="200"/>
        <w:jc w:val="left"/>
        <w:textAlignment w:val="auto"/>
        <w:outlineLvl w:val="3"/>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8</w:t>
      </w:r>
      <w:r>
        <w:rPr>
          <w:rFonts w:hint="eastAsia" w:ascii="仿宋_GB2312" w:hAnsi="仿宋_GB2312" w:eastAsia="仿宋_GB2312" w:cs="仿宋_GB2312"/>
          <w:b/>
          <w:bCs/>
          <w:color w:val="000000"/>
          <w:sz w:val="24"/>
          <w:szCs w:val="24"/>
        </w:rPr>
        <w:t>.信创资源池</w:t>
      </w:r>
    </w:p>
    <w:p w14:paraId="1B312F48">
      <w:pPr>
        <w:pageBreakBefore w:val="0"/>
        <w:widowControl w:val="0"/>
        <w:kinsoku/>
        <w:overflowPunct/>
        <w:autoSpaceDE/>
        <w:autoSpaceDN/>
        <w:bidi w:val="0"/>
        <w:adjustRightInd/>
        <w:snapToGrid/>
        <w:spacing w:line="42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除传统云服务外，需提供满足国产信创要求的云平台运行环境。搭建国产信创资源池，包括云服务器、操作系统、数据库，实现基础设施“统一规划、统一标准、统一管理、统一运维”，并为应用系统的信创化提供基础环境。</w:t>
      </w:r>
    </w:p>
    <w:p w14:paraId="5849FEF5">
      <w:pPr>
        <w:pStyle w:val="3"/>
        <w:pageBreakBefore w:val="0"/>
        <w:widowControl w:val="0"/>
        <w:kinsoku/>
        <w:overflowPunct/>
        <w:autoSpaceDE/>
        <w:autoSpaceDN/>
        <w:bidi w:val="0"/>
        <w:adjustRightInd/>
        <w:snapToGrid/>
        <w:spacing w:before="0" w:after="0" w:line="42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采购清单及价格</w:t>
      </w:r>
    </w:p>
    <w:p w14:paraId="61E85B42">
      <w:pPr>
        <w:wordWrap w:val="0"/>
        <w:topLinePunct/>
        <w:spacing w:line="560" w:lineRule="exact"/>
        <w:ind w:firstLine="480" w:firstLineChars="200"/>
        <w:jc w:val="left"/>
        <w:rPr>
          <w:rFonts w:ascii="仿宋_GB2312" w:hAnsi="仿宋_GB2312" w:cs="仿宋_GB2312"/>
          <w:sz w:val="24"/>
          <w:szCs w:val="24"/>
        </w:rPr>
      </w:pPr>
      <w:r>
        <w:rPr>
          <w:rFonts w:hint="eastAsia" w:ascii="仿宋_GB2312" w:hAnsi="黑体" w:eastAsia="仿宋_GB2312"/>
          <w:sz w:val="24"/>
          <w:szCs w:val="24"/>
        </w:rPr>
        <w:t>（一）</w:t>
      </w:r>
      <w:r>
        <w:rPr>
          <w:rFonts w:hint="eastAsia" w:ascii="仿宋_GB2312" w:hAnsi="仿宋_GB2312" w:eastAsia="仿宋_GB2312" w:cs="仿宋_GB2312"/>
          <w:sz w:val="24"/>
          <w:szCs w:val="24"/>
        </w:rPr>
        <w:t>政务云资源</w:t>
      </w:r>
    </w:p>
    <w:tbl>
      <w:tblPr>
        <w:tblStyle w:val="15"/>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9"/>
        <w:gridCol w:w="1212"/>
        <w:gridCol w:w="2201"/>
        <w:gridCol w:w="3069"/>
        <w:gridCol w:w="1495"/>
      </w:tblGrid>
      <w:tr w14:paraId="67D5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blHeader/>
          <w:jc w:val="center"/>
        </w:trPr>
        <w:tc>
          <w:tcPr>
            <w:tcW w:w="789" w:type="dxa"/>
            <w:shd w:val="clear" w:color="auto" w:fill="auto"/>
            <w:vAlign w:val="center"/>
          </w:tcPr>
          <w:p w14:paraId="68C56A0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212" w:type="dxa"/>
            <w:shd w:val="clear" w:color="auto" w:fill="auto"/>
            <w:vAlign w:val="center"/>
          </w:tcPr>
          <w:p w14:paraId="401FE85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服务类别</w:t>
            </w:r>
          </w:p>
        </w:tc>
        <w:tc>
          <w:tcPr>
            <w:tcW w:w="2201" w:type="dxa"/>
            <w:shd w:val="clear" w:color="auto" w:fill="auto"/>
            <w:vAlign w:val="center"/>
          </w:tcPr>
          <w:p w14:paraId="59A7C84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服务名称</w:t>
            </w:r>
          </w:p>
        </w:tc>
        <w:tc>
          <w:tcPr>
            <w:tcW w:w="3069" w:type="dxa"/>
            <w:shd w:val="clear" w:color="auto" w:fill="auto"/>
            <w:vAlign w:val="center"/>
          </w:tcPr>
          <w:p w14:paraId="2034FEE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采购规格（单位）</w:t>
            </w:r>
          </w:p>
        </w:tc>
        <w:tc>
          <w:tcPr>
            <w:tcW w:w="1495" w:type="dxa"/>
            <w:shd w:val="clear" w:color="auto" w:fill="auto"/>
            <w:vAlign w:val="center"/>
          </w:tcPr>
          <w:p w14:paraId="46FA423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最高限价</w:t>
            </w:r>
          </w:p>
          <w:p w14:paraId="4653560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（元/月）</w:t>
            </w:r>
          </w:p>
        </w:tc>
      </w:tr>
      <w:tr w14:paraId="18D4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BE5996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bidi="ar"/>
              </w:rPr>
            </w:pPr>
            <w:r>
              <w:rPr>
                <w:rFonts w:hint="default" w:ascii="仿宋" w:hAnsi="仿宋" w:eastAsia="仿宋" w:cs="仿宋"/>
                <w:color w:val="000000"/>
                <w:kern w:val="0"/>
                <w:sz w:val="24"/>
                <w:szCs w:val="24"/>
                <w:lang w:bidi="ar"/>
              </w:rPr>
              <w:t>1</w:t>
            </w:r>
          </w:p>
        </w:tc>
        <w:tc>
          <w:tcPr>
            <w:tcW w:w="1212" w:type="dxa"/>
            <w:vMerge w:val="restart"/>
            <w:shd w:val="clear" w:color="auto" w:fill="auto"/>
            <w:vAlign w:val="center"/>
          </w:tcPr>
          <w:p w14:paraId="13EA8E8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云主机</w:t>
            </w:r>
          </w:p>
        </w:tc>
        <w:tc>
          <w:tcPr>
            <w:tcW w:w="2201" w:type="dxa"/>
            <w:vMerge w:val="restart"/>
            <w:shd w:val="clear" w:color="auto" w:fill="auto"/>
            <w:vAlign w:val="center"/>
          </w:tcPr>
          <w:p w14:paraId="2FA69FB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CPU和内存</w:t>
            </w:r>
          </w:p>
        </w:tc>
        <w:tc>
          <w:tcPr>
            <w:tcW w:w="3069" w:type="dxa"/>
            <w:shd w:val="clear" w:color="auto" w:fill="auto"/>
            <w:vAlign w:val="center"/>
          </w:tcPr>
          <w:p w14:paraId="33E4809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bidi="ar"/>
              </w:rPr>
            </w:pPr>
            <w:r>
              <w:rPr>
                <w:rFonts w:hint="default" w:ascii="仿宋" w:hAnsi="仿宋" w:eastAsia="仿宋" w:cs="仿宋"/>
                <w:color w:val="000000"/>
                <w:kern w:val="0"/>
                <w:sz w:val="24"/>
                <w:szCs w:val="24"/>
                <w:lang w:bidi="ar"/>
              </w:rPr>
              <w:t>一核，2GB</w:t>
            </w:r>
          </w:p>
        </w:tc>
        <w:tc>
          <w:tcPr>
            <w:tcW w:w="1495" w:type="dxa"/>
            <w:shd w:val="clear" w:color="auto" w:fill="auto"/>
            <w:vAlign w:val="center"/>
          </w:tcPr>
          <w:p w14:paraId="1804DB0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bidi="ar"/>
              </w:rPr>
            </w:pPr>
            <w:r>
              <w:rPr>
                <w:rFonts w:hint="default" w:ascii="仿宋" w:hAnsi="仿宋" w:eastAsia="仿宋" w:cs="仿宋"/>
                <w:color w:val="000000"/>
                <w:kern w:val="0"/>
                <w:sz w:val="24"/>
                <w:szCs w:val="24"/>
                <w:lang w:bidi="ar"/>
              </w:rPr>
              <w:t>52</w:t>
            </w:r>
          </w:p>
        </w:tc>
      </w:tr>
      <w:tr w14:paraId="6530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65D374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bidi="ar"/>
              </w:rPr>
            </w:pPr>
            <w:r>
              <w:rPr>
                <w:rFonts w:hint="default" w:ascii="仿宋" w:hAnsi="仿宋" w:eastAsia="仿宋" w:cs="仿宋"/>
                <w:color w:val="000000"/>
                <w:kern w:val="0"/>
                <w:sz w:val="24"/>
                <w:szCs w:val="24"/>
                <w:lang w:bidi="ar"/>
              </w:rPr>
              <w:t>2</w:t>
            </w:r>
          </w:p>
        </w:tc>
        <w:tc>
          <w:tcPr>
            <w:tcW w:w="1212" w:type="dxa"/>
            <w:vMerge w:val="continue"/>
            <w:shd w:val="clear" w:color="auto" w:fill="auto"/>
            <w:vAlign w:val="center"/>
          </w:tcPr>
          <w:p w14:paraId="19B2288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p>
        </w:tc>
        <w:tc>
          <w:tcPr>
            <w:tcW w:w="2201" w:type="dxa"/>
            <w:vMerge w:val="continue"/>
            <w:shd w:val="clear" w:color="auto" w:fill="auto"/>
            <w:vAlign w:val="center"/>
          </w:tcPr>
          <w:p w14:paraId="02B753C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p>
        </w:tc>
        <w:tc>
          <w:tcPr>
            <w:tcW w:w="3069" w:type="dxa"/>
            <w:shd w:val="clear" w:color="auto" w:fill="auto"/>
            <w:vAlign w:val="center"/>
          </w:tcPr>
          <w:p w14:paraId="1FC687C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bidi="ar"/>
              </w:rPr>
            </w:pPr>
            <w:r>
              <w:rPr>
                <w:rFonts w:hint="default" w:ascii="仿宋" w:hAnsi="仿宋" w:eastAsia="仿宋" w:cs="仿宋"/>
                <w:color w:val="000000"/>
                <w:kern w:val="0"/>
                <w:sz w:val="24"/>
                <w:szCs w:val="24"/>
                <w:lang w:bidi="ar"/>
              </w:rPr>
              <w:t>一核，4GB</w:t>
            </w:r>
          </w:p>
        </w:tc>
        <w:tc>
          <w:tcPr>
            <w:tcW w:w="1495" w:type="dxa"/>
            <w:shd w:val="clear" w:color="auto" w:fill="auto"/>
            <w:vAlign w:val="center"/>
          </w:tcPr>
          <w:p w14:paraId="5B3E510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84</w:t>
            </w:r>
          </w:p>
        </w:tc>
      </w:tr>
      <w:tr w14:paraId="5AE4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18611D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3</w:t>
            </w:r>
          </w:p>
        </w:tc>
        <w:tc>
          <w:tcPr>
            <w:tcW w:w="1212" w:type="dxa"/>
            <w:vMerge w:val="continue"/>
            <w:shd w:val="clear" w:color="auto" w:fill="auto"/>
            <w:vAlign w:val="center"/>
          </w:tcPr>
          <w:p w14:paraId="2831876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p>
        </w:tc>
        <w:tc>
          <w:tcPr>
            <w:tcW w:w="2201" w:type="dxa"/>
            <w:vMerge w:val="continue"/>
            <w:shd w:val="clear" w:color="auto" w:fill="auto"/>
            <w:vAlign w:val="center"/>
          </w:tcPr>
          <w:p w14:paraId="412D8AA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p>
        </w:tc>
        <w:tc>
          <w:tcPr>
            <w:tcW w:w="3069" w:type="dxa"/>
            <w:shd w:val="clear" w:color="auto" w:fill="auto"/>
            <w:vAlign w:val="center"/>
          </w:tcPr>
          <w:p w14:paraId="46695AA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两核，4GB</w:t>
            </w:r>
          </w:p>
        </w:tc>
        <w:tc>
          <w:tcPr>
            <w:tcW w:w="1495" w:type="dxa"/>
            <w:shd w:val="clear" w:color="auto" w:fill="auto"/>
            <w:vAlign w:val="center"/>
          </w:tcPr>
          <w:p w14:paraId="781B63C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106</w:t>
            </w:r>
          </w:p>
        </w:tc>
      </w:tr>
      <w:tr w14:paraId="040A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03391C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4</w:t>
            </w:r>
          </w:p>
        </w:tc>
        <w:tc>
          <w:tcPr>
            <w:tcW w:w="1212" w:type="dxa"/>
            <w:vMerge w:val="continue"/>
            <w:shd w:val="clear" w:color="auto" w:fill="auto"/>
            <w:vAlign w:val="center"/>
          </w:tcPr>
          <w:p w14:paraId="2A9E7B4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3362B2B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0F200D9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两核，8GB</w:t>
            </w:r>
          </w:p>
        </w:tc>
        <w:tc>
          <w:tcPr>
            <w:tcW w:w="1495" w:type="dxa"/>
            <w:shd w:val="clear" w:color="auto" w:fill="auto"/>
            <w:vAlign w:val="center"/>
          </w:tcPr>
          <w:p w14:paraId="5727032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252</w:t>
            </w:r>
          </w:p>
        </w:tc>
      </w:tr>
      <w:tr w14:paraId="4429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7947E5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5</w:t>
            </w:r>
          </w:p>
        </w:tc>
        <w:tc>
          <w:tcPr>
            <w:tcW w:w="1212" w:type="dxa"/>
            <w:vMerge w:val="continue"/>
            <w:shd w:val="clear" w:color="auto" w:fill="auto"/>
            <w:vAlign w:val="center"/>
          </w:tcPr>
          <w:p w14:paraId="68B83B9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70D75AC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1F10F5E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两核，16GB</w:t>
            </w:r>
          </w:p>
        </w:tc>
        <w:tc>
          <w:tcPr>
            <w:tcW w:w="1495" w:type="dxa"/>
            <w:shd w:val="clear" w:color="auto" w:fill="auto"/>
            <w:vAlign w:val="center"/>
          </w:tcPr>
          <w:p w14:paraId="6DF6592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324</w:t>
            </w:r>
          </w:p>
        </w:tc>
      </w:tr>
      <w:tr w14:paraId="4220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60C7440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6</w:t>
            </w:r>
          </w:p>
        </w:tc>
        <w:tc>
          <w:tcPr>
            <w:tcW w:w="1212" w:type="dxa"/>
            <w:vMerge w:val="continue"/>
            <w:shd w:val="clear" w:color="auto" w:fill="auto"/>
            <w:vAlign w:val="center"/>
          </w:tcPr>
          <w:p w14:paraId="653AD32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C59A83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11AC882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四核，4GB</w:t>
            </w:r>
          </w:p>
        </w:tc>
        <w:tc>
          <w:tcPr>
            <w:tcW w:w="1495" w:type="dxa"/>
            <w:shd w:val="clear" w:color="auto" w:fill="auto"/>
            <w:vAlign w:val="center"/>
          </w:tcPr>
          <w:p w14:paraId="63EA26D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highlight w:val="none"/>
                <w:lang w:bidi="ar"/>
              </w:rPr>
              <w:t>185</w:t>
            </w:r>
          </w:p>
        </w:tc>
      </w:tr>
      <w:tr w14:paraId="28B7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F1EF0B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7</w:t>
            </w:r>
          </w:p>
        </w:tc>
        <w:tc>
          <w:tcPr>
            <w:tcW w:w="1212" w:type="dxa"/>
            <w:vMerge w:val="continue"/>
            <w:shd w:val="clear" w:color="auto" w:fill="auto"/>
            <w:vAlign w:val="center"/>
          </w:tcPr>
          <w:p w14:paraId="1C0219F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53851F7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76782EE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四核，8GB</w:t>
            </w:r>
          </w:p>
        </w:tc>
        <w:tc>
          <w:tcPr>
            <w:tcW w:w="1495" w:type="dxa"/>
            <w:shd w:val="clear" w:color="auto" w:fill="auto"/>
            <w:vAlign w:val="center"/>
          </w:tcPr>
          <w:p w14:paraId="183A5A4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257</w:t>
            </w:r>
          </w:p>
        </w:tc>
      </w:tr>
      <w:tr w14:paraId="1802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269AACB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8</w:t>
            </w:r>
          </w:p>
        </w:tc>
        <w:tc>
          <w:tcPr>
            <w:tcW w:w="1212" w:type="dxa"/>
            <w:vMerge w:val="continue"/>
            <w:shd w:val="clear" w:color="auto" w:fill="auto"/>
            <w:vAlign w:val="center"/>
          </w:tcPr>
          <w:p w14:paraId="400872C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F50577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34894F8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四核，16GB</w:t>
            </w:r>
          </w:p>
        </w:tc>
        <w:tc>
          <w:tcPr>
            <w:tcW w:w="1495" w:type="dxa"/>
            <w:shd w:val="clear" w:color="auto" w:fill="auto"/>
            <w:vAlign w:val="center"/>
          </w:tcPr>
          <w:p w14:paraId="219DE72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397</w:t>
            </w:r>
          </w:p>
        </w:tc>
      </w:tr>
      <w:tr w14:paraId="550C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777042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9</w:t>
            </w:r>
          </w:p>
        </w:tc>
        <w:tc>
          <w:tcPr>
            <w:tcW w:w="1212" w:type="dxa"/>
            <w:vMerge w:val="continue"/>
            <w:shd w:val="clear" w:color="auto" w:fill="auto"/>
            <w:vAlign w:val="center"/>
          </w:tcPr>
          <w:p w14:paraId="341B84E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2978E15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23E8C15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四核，32GB</w:t>
            </w:r>
          </w:p>
        </w:tc>
        <w:tc>
          <w:tcPr>
            <w:tcW w:w="1495" w:type="dxa"/>
            <w:shd w:val="clear" w:color="auto" w:fill="auto"/>
            <w:vAlign w:val="center"/>
          </w:tcPr>
          <w:p w14:paraId="0DD5DDB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735</w:t>
            </w:r>
          </w:p>
        </w:tc>
      </w:tr>
      <w:tr w14:paraId="2D19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20FBCEE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10</w:t>
            </w:r>
          </w:p>
        </w:tc>
        <w:tc>
          <w:tcPr>
            <w:tcW w:w="1212" w:type="dxa"/>
            <w:vMerge w:val="continue"/>
            <w:shd w:val="clear" w:color="auto" w:fill="auto"/>
            <w:vAlign w:val="center"/>
          </w:tcPr>
          <w:p w14:paraId="089D204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F94B8A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510D2EF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八核，8GB</w:t>
            </w:r>
          </w:p>
        </w:tc>
        <w:tc>
          <w:tcPr>
            <w:tcW w:w="1495" w:type="dxa"/>
            <w:shd w:val="clear" w:color="auto" w:fill="auto"/>
            <w:vAlign w:val="center"/>
          </w:tcPr>
          <w:p w14:paraId="7FC9EE0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highlight w:val="none"/>
                <w:lang w:bidi="ar"/>
              </w:rPr>
              <w:t>395</w:t>
            </w:r>
          </w:p>
        </w:tc>
      </w:tr>
      <w:tr w14:paraId="13E0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662898F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11</w:t>
            </w:r>
          </w:p>
        </w:tc>
        <w:tc>
          <w:tcPr>
            <w:tcW w:w="1212" w:type="dxa"/>
            <w:vMerge w:val="continue"/>
            <w:shd w:val="clear" w:color="auto" w:fill="auto"/>
            <w:vAlign w:val="center"/>
          </w:tcPr>
          <w:p w14:paraId="3A118AC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6C2CBFE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1171EE8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八核，16GB</w:t>
            </w:r>
          </w:p>
        </w:tc>
        <w:tc>
          <w:tcPr>
            <w:tcW w:w="1495" w:type="dxa"/>
            <w:shd w:val="clear" w:color="auto" w:fill="auto"/>
            <w:vAlign w:val="center"/>
          </w:tcPr>
          <w:p w14:paraId="2F15A04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515</w:t>
            </w:r>
          </w:p>
        </w:tc>
      </w:tr>
      <w:tr w14:paraId="30D5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4414FEB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12</w:t>
            </w:r>
          </w:p>
        </w:tc>
        <w:tc>
          <w:tcPr>
            <w:tcW w:w="1212" w:type="dxa"/>
            <w:vMerge w:val="continue"/>
            <w:shd w:val="clear" w:color="auto" w:fill="auto"/>
            <w:vAlign w:val="center"/>
          </w:tcPr>
          <w:p w14:paraId="4737827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51B6F96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7A470B0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八核，32GB</w:t>
            </w:r>
          </w:p>
        </w:tc>
        <w:tc>
          <w:tcPr>
            <w:tcW w:w="1495" w:type="dxa"/>
            <w:shd w:val="clear" w:color="auto" w:fill="auto"/>
            <w:vAlign w:val="center"/>
          </w:tcPr>
          <w:p w14:paraId="0B3A991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794</w:t>
            </w:r>
          </w:p>
        </w:tc>
      </w:tr>
      <w:tr w14:paraId="3CA2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shd w:val="clear" w:color="auto" w:fill="auto"/>
            <w:vAlign w:val="center"/>
          </w:tcPr>
          <w:p w14:paraId="65D5AF1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13</w:t>
            </w:r>
          </w:p>
        </w:tc>
        <w:tc>
          <w:tcPr>
            <w:tcW w:w="1212" w:type="dxa"/>
            <w:vMerge w:val="continue"/>
            <w:shd w:val="clear" w:color="auto" w:fill="auto"/>
            <w:vAlign w:val="center"/>
          </w:tcPr>
          <w:p w14:paraId="4162890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309390A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4109068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八核，64GB</w:t>
            </w:r>
          </w:p>
        </w:tc>
        <w:tc>
          <w:tcPr>
            <w:tcW w:w="1495" w:type="dxa"/>
            <w:shd w:val="clear" w:color="auto" w:fill="auto"/>
            <w:vAlign w:val="center"/>
          </w:tcPr>
          <w:p w14:paraId="54C6799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1469</w:t>
            </w:r>
          </w:p>
        </w:tc>
      </w:tr>
      <w:tr w14:paraId="2CC2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73260BB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14</w:t>
            </w:r>
          </w:p>
        </w:tc>
        <w:tc>
          <w:tcPr>
            <w:tcW w:w="1212" w:type="dxa"/>
            <w:vMerge w:val="continue"/>
            <w:shd w:val="clear" w:color="auto" w:fill="auto"/>
            <w:vAlign w:val="center"/>
          </w:tcPr>
          <w:p w14:paraId="1945A31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3DC4E10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4D87645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十六核，16GB</w:t>
            </w:r>
          </w:p>
        </w:tc>
        <w:tc>
          <w:tcPr>
            <w:tcW w:w="1495" w:type="dxa"/>
            <w:shd w:val="clear" w:color="auto" w:fill="auto"/>
            <w:vAlign w:val="center"/>
          </w:tcPr>
          <w:p w14:paraId="7EDA3B0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921</w:t>
            </w:r>
          </w:p>
        </w:tc>
      </w:tr>
      <w:tr w14:paraId="065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4BAA3C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15</w:t>
            </w:r>
          </w:p>
        </w:tc>
        <w:tc>
          <w:tcPr>
            <w:tcW w:w="1212" w:type="dxa"/>
            <w:vMerge w:val="continue"/>
            <w:shd w:val="clear" w:color="auto" w:fill="auto"/>
            <w:vAlign w:val="center"/>
          </w:tcPr>
          <w:p w14:paraId="4AD5479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1C12C8B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2BCBAB4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十六核，32GB</w:t>
            </w:r>
          </w:p>
        </w:tc>
        <w:tc>
          <w:tcPr>
            <w:tcW w:w="1495" w:type="dxa"/>
            <w:shd w:val="clear" w:color="auto" w:fill="auto"/>
            <w:vAlign w:val="center"/>
          </w:tcPr>
          <w:p w14:paraId="6760A46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1308</w:t>
            </w:r>
          </w:p>
        </w:tc>
      </w:tr>
      <w:tr w14:paraId="31DB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6534AE4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16</w:t>
            </w:r>
          </w:p>
        </w:tc>
        <w:tc>
          <w:tcPr>
            <w:tcW w:w="1212" w:type="dxa"/>
            <w:vMerge w:val="continue"/>
            <w:shd w:val="clear" w:color="auto" w:fill="auto"/>
            <w:vAlign w:val="center"/>
          </w:tcPr>
          <w:p w14:paraId="034AFE2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5F93AE6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4A449B6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十六核，64GB</w:t>
            </w:r>
          </w:p>
        </w:tc>
        <w:tc>
          <w:tcPr>
            <w:tcW w:w="1495" w:type="dxa"/>
            <w:shd w:val="clear" w:color="auto" w:fill="auto"/>
            <w:vAlign w:val="center"/>
          </w:tcPr>
          <w:p w14:paraId="7DA140F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1990</w:t>
            </w:r>
          </w:p>
        </w:tc>
      </w:tr>
      <w:tr w14:paraId="5861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5F1635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17</w:t>
            </w:r>
          </w:p>
        </w:tc>
        <w:tc>
          <w:tcPr>
            <w:tcW w:w="1212" w:type="dxa"/>
            <w:vMerge w:val="continue"/>
            <w:shd w:val="clear" w:color="auto" w:fill="auto"/>
            <w:vAlign w:val="center"/>
          </w:tcPr>
          <w:p w14:paraId="61DAE62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3B7F906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3E34438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十六核，96GB</w:t>
            </w:r>
          </w:p>
        </w:tc>
        <w:tc>
          <w:tcPr>
            <w:tcW w:w="1495" w:type="dxa"/>
            <w:shd w:val="clear" w:color="auto" w:fill="auto"/>
            <w:vAlign w:val="center"/>
          </w:tcPr>
          <w:p w14:paraId="2C55660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auto"/>
                <w:kern w:val="0"/>
                <w:sz w:val="24"/>
                <w:szCs w:val="24"/>
                <w:lang w:val="en-US" w:bidi="ar"/>
              </w:rPr>
            </w:pPr>
            <w:r>
              <w:rPr>
                <w:rFonts w:hint="eastAsia" w:ascii="仿宋" w:hAnsi="仿宋" w:eastAsia="仿宋" w:cs="仿宋"/>
                <w:color w:val="auto"/>
                <w:kern w:val="0"/>
                <w:sz w:val="24"/>
                <w:szCs w:val="24"/>
                <w:lang w:val="en-US" w:bidi="ar"/>
              </w:rPr>
              <w:t>2599</w:t>
            </w:r>
          </w:p>
        </w:tc>
      </w:tr>
      <w:tr w14:paraId="4119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41408C8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18</w:t>
            </w:r>
          </w:p>
        </w:tc>
        <w:tc>
          <w:tcPr>
            <w:tcW w:w="1212" w:type="dxa"/>
            <w:vMerge w:val="continue"/>
            <w:shd w:val="clear" w:color="auto" w:fill="auto"/>
            <w:vAlign w:val="center"/>
          </w:tcPr>
          <w:p w14:paraId="7C9244E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5159824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78DAB05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十六核，128GB</w:t>
            </w:r>
          </w:p>
        </w:tc>
        <w:tc>
          <w:tcPr>
            <w:tcW w:w="1495" w:type="dxa"/>
            <w:shd w:val="clear" w:color="auto" w:fill="auto"/>
            <w:vAlign w:val="center"/>
          </w:tcPr>
          <w:p w14:paraId="1419003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2307</w:t>
            </w:r>
          </w:p>
        </w:tc>
      </w:tr>
      <w:tr w14:paraId="7C4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A733B4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19</w:t>
            </w:r>
          </w:p>
        </w:tc>
        <w:tc>
          <w:tcPr>
            <w:tcW w:w="1212" w:type="dxa"/>
            <w:vMerge w:val="continue"/>
            <w:shd w:val="clear" w:color="auto" w:fill="auto"/>
            <w:vAlign w:val="center"/>
          </w:tcPr>
          <w:p w14:paraId="07D23B3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5EE76E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78D5AC1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三十二核，32GB</w:t>
            </w:r>
          </w:p>
        </w:tc>
        <w:tc>
          <w:tcPr>
            <w:tcW w:w="1495" w:type="dxa"/>
            <w:shd w:val="clear" w:color="auto" w:fill="auto"/>
            <w:vAlign w:val="center"/>
          </w:tcPr>
          <w:p w14:paraId="362EB51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1848</w:t>
            </w:r>
          </w:p>
        </w:tc>
      </w:tr>
      <w:tr w14:paraId="0546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425CE79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20</w:t>
            </w:r>
          </w:p>
        </w:tc>
        <w:tc>
          <w:tcPr>
            <w:tcW w:w="1212" w:type="dxa"/>
            <w:vMerge w:val="continue"/>
            <w:shd w:val="clear" w:color="auto" w:fill="auto"/>
            <w:vAlign w:val="center"/>
          </w:tcPr>
          <w:p w14:paraId="23DFD5B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05C31E3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5E5CEB6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三十二核，64GB</w:t>
            </w:r>
          </w:p>
        </w:tc>
        <w:tc>
          <w:tcPr>
            <w:tcW w:w="1495" w:type="dxa"/>
            <w:shd w:val="clear" w:color="auto" w:fill="auto"/>
            <w:vAlign w:val="center"/>
          </w:tcPr>
          <w:p w14:paraId="321981E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2530</w:t>
            </w:r>
          </w:p>
        </w:tc>
      </w:tr>
      <w:tr w14:paraId="17BD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60D62C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rPr>
            </w:pPr>
            <w:r>
              <w:rPr>
                <w:rFonts w:hint="default" w:ascii="仿宋" w:hAnsi="仿宋" w:eastAsia="仿宋" w:cs="仿宋"/>
                <w:color w:val="000000"/>
                <w:sz w:val="24"/>
                <w:szCs w:val="24"/>
              </w:rPr>
              <w:t>21</w:t>
            </w:r>
          </w:p>
        </w:tc>
        <w:tc>
          <w:tcPr>
            <w:tcW w:w="1212" w:type="dxa"/>
            <w:vMerge w:val="continue"/>
            <w:shd w:val="clear" w:color="auto" w:fill="auto"/>
            <w:vAlign w:val="center"/>
          </w:tcPr>
          <w:p w14:paraId="104213B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053FAF5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74C0F31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三十二核，128GB</w:t>
            </w:r>
          </w:p>
        </w:tc>
        <w:tc>
          <w:tcPr>
            <w:tcW w:w="1495" w:type="dxa"/>
            <w:shd w:val="clear" w:color="auto" w:fill="auto"/>
            <w:vAlign w:val="center"/>
          </w:tcPr>
          <w:p w14:paraId="72C0923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3900</w:t>
            </w:r>
          </w:p>
        </w:tc>
      </w:tr>
      <w:tr w14:paraId="3AF1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DDF777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rPr>
            </w:pPr>
            <w:r>
              <w:rPr>
                <w:rFonts w:hint="default" w:ascii="仿宋" w:hAnsi="仿宋" w:eastAsia="仿宋" w:cs="仿宋"/>
                <w:color w:val="000000"/>
                <w:sz w:val="24"/>
                <w:szCs w:val="24"/>
              </w:rPr>
              <w:t>22</w:t>
            </w:r>
          </w:p>
        </w:tc>
        <w:tc>
          <w:tcPr>
            <w:tcW w:w="1212" w:type="dxa"/>
            <w:vMerge w:val="continue"/>
            <w:shd w:val="clear" w:color="auto" w:fill="auto"/>
            <w:vAlign w:val="center"/>
          </w:tcPr>
          <w:p w14:paraId="32100B8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2ADC251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589D904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六十四核，128GB</w:t>
            </w:r>
          </w:p>
        </w:tc>
        <w:tc>
          <w:tcPr>
            <w:tcW w:w="1495" w:type="dxa"/>
            <w:shd w:val="clear" w:color="auto" w:fill="auto"/>
            <w:vAlign w:val="center"/>
          </w:tcPr>
          <w:p w14:paraId="271D160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5060</w:t>
            </w:r>
          </w:p>
        </w:tc>
      </w:tr>
      <w:tr w14:paraId="4BEA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7BAEA2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rPr>
            </w:pPr>
            <w:r>
              <w:rPr>
                <w:rFonts w:hint="default" w:ascii="仿宋" w:hAnsi="仿宋" w:eastAsia="仿宋" w:cs="仿宋"/>
                <w:color w:val="000000"/>
                <w:sz w:val="24"/>
                <w:szCs w:val="24"/>
              </w:rPr>
              <w:t>23</w:t>
            </w:r>
          </w:p>
        </w:tc>
        <w:tc>
          <w:tcPr>
            <w:tcW w:w="1212" w:type="dxa"/>
            <w:vMerge w:val="continue"/>
            <w:shd w:val="clear" w:color="auto" w:fill="auto"/>
            <w:vAlign w:val="center"/>
          </w:tcPr>
          <w:p w14:paraId="4D326BA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223AF03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317DFA2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六十四核，256GB</w:t>
            </w:r>
          </w:p>
        </w:tc>
        <w:tc>
          <w:tcPr>
            <w:tcW w:w="1495" w:type="dxa"/>
            <w:shd w:val="clear" w:color="auto" w:fill="auto"/>
            <w:vAlign w:val="center"/>
          </w:tcPr>
          <w:p w14:paraId="2C0B225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7800</w:t>
            </w:r>
          </w:p>
        </w:tc>
      </w:tr>
      <w:tr w14:paraId="285E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63A96AB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24</w:t>
            </w:r>
          </w:p>
        </w:tc>
        <w:tc>
          <w:tcPr>
            <w:tcW w:w="1212" w:type="dxa"/>
            <w:vMerge w:val="continue"/>
            <w:shd w:val="clear" w:color="auto" w:fill="auto"/>
            <w:vAlign w:val="center"/>
          </w:tcPr>
          <w:p w14:paraId="4C780D9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restart"/>
            <w:shd w:val="clear" w:color="auto" w:fill="auto"/>
            <w:vAlign w:val="center"/>
          </w:tcPr>
          <w:p w14:paraId="7888874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GPU</w:t>
            </w:r>
          </w:p>
        </w:tc>
        <w:tc>
          <w:tcPr>
            <w:tcW w:w="3069" w:type="dxa"/>
            <w:shd w:val="clear" w:color="auto" w:fill="auto"/>
            <w:vAlign w:val="center"/>
          </w:tcPr>
          <w:p w14:paraId="624F593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1*NVIDIAT4</w:t>
            </w:r>
          </w:p>
        </w:tc>
        <w:tc>
          <w:tcPr>
            <w:tcW w:w="1495" w:type="dxa"/>
            <w:shd w:val="clear" w:color="auto" w:fill="auto"/>
            <w:vAlign w:val="center"/>
          </w:tcPr>
          <w:p w14:paraId="40D29BB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1398</w:t>
            </w:r>
          </w:p>
        </w:tc>
      </w:tr>
      <w:tr w14:paraId="6235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70227E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w:t>
            </w:r>
          </w:p>
        </w:tc>
        <w:tc>
          <w:tcPr>
            <w:tcW w:w="1212" w:type="dxa"/>
            <w:vMerge w:val="continue"/>
            <w:shd w:val="clear" w:color="auto" w:fill="auto"/>
            <w:vAlign w:val="center"/>
          </w:tcPr>
          <w:p w14:paraId="6165569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17E0BC0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22F3BC6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kern w:val="0"/>
                <w:sz w:val="24"/>
                <w:szCs w:val="24"/>
                <w:lang w:val="en-US" w:eastAsia="zh-CN" w:bidi="ar"/>
              </w:rPr>
            </w:pPr>
            <w:r>
              <w:rPr>
                <w:rFonts w:hint="default" w:ascii="仿宋" w:hAnsi="仿宋" w:eastAsia="仿宋" w:cs="仿宋"/>
                <w:kern w:val="0"/>
                <w:sz w:val="24"/>
                <w:szCs w:val="24"/>
                <w:lang w:val="en-US" w:bidi="ar"/>
              </w:rPr>
              <w:t>2</w:t>
            </w:r>
            <w:r>
              <w:rPr>
                <w:rFonts w:hint="eastAsia" w:ascii="仿宋" w:hAnsi="仿宋" w:eastAsia="仿宋" w:cs="仿宋"/>
                <w:kern w:val="0"/>
                <w:sz w:val="24"/>
                <w:szCs w:val="24"/>
                <w:lang w:bidi="ar"/>
              </w:rPr>
              <w:t>*NVIDIAT4</w:t>
            </w:r>
          </w:p>
        </w:tc>
        <w:tc>
          <w:tcPr>
            <w:tcW w:w="1495" w:type="dxa"/>
            <w:shd w:val="clear" w:color="auto" w:fill="auto"/>
            <w:vAlign w:val="center"/>
          </w:tcPr>
          <w:p w14:paraId="7AA578A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2796</w:t>
            </w:r>
          </w:p>
        </w:tc>
      </w:tr>
      <w:tr w14:paraId="7A67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07076E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w:t>
            </w:r>
          </w:p>
        </w:tc>
        <w:tc>
          <w:tcPr>
            <w:tcW w:w="1212" w:type="dxa"/>
            <w:vMerge w:val="continue"/>
            <w:shd w:val="clear" w:color="auto" w:fill="auto"/>
            <w:vAlign w:val="center"/>
          </w:tcPr>
          <w:p w14:paraId="00BC4ED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991009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1405C9A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kern w:val="0"/>
                <w:sz w:val="24"/>
                <w:szCs w:val="24"/>
                <w:lang w:val="en-US" w:eastAsia="zh-CN" w:bidi="ar"/>
              </w:rPr>
            </w:pPr>
            <w:r>
              <w:rPr>
                <w:rFonts w:hint="default" w:ascii="仿宋" w:hAnsi="仿宋" w:eastAsia="仿宋" w:cs="仿宋"/>
                <w:kern w:val="0"/>
                <w:sz w:val="24"/>
                <w:szCs w:val="24"/>
                <w:lang w:val="en-US" w:bidi="ar"/>
              </w:rPr>
              <w:t>4</w:t>
            </w:r>
            <w:r>
              <w:rPr>
                <w:rFonts w:hint="eastAsia" w:ascii="仿宋" w:hAnsi="仿宋" w:eastAsia="仿宋" w:cs="仿宋"/>
                <w:kern w:val="0"/>
                <w:sz w:val="24"/>
                <w:szCs w:val="24"/>
                <w:lang w:bidi="ar"/>
              </w:rPr>
              <w:t>*NVIDIAT4</w:t>
            </w:r>
          </w:p>
        </w:tc>
        <w:tc>
          <w:tcPr>
            <w:tcW w:w="1495" w:type="dxa"/>
            <w:shd w:val="clear" w:color="auto" w:fill="auto"/>
            <w:vAlign w:val="center"/>
          </w:tcPr>
          <w:p w14:paraId="140DCC9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5592</w:t>
            </w:r>
          </w:p>
        </w:tc>
      </w:tr>
      <w:tr w14:paraId="5774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787A44A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w:t>
            </w:r>
          </w:p>
        </w:tc>
        <w:tc>
          <w:tcPr>
            <w:tcW w:w="1212" w:type="dxa"/>
            <w:vMerge w:val="continue"/>
            <w:shd w:val="clear" w:color="auto" w:fill="auto"/>
            <w:vAlign w:val="center"/>
          </w:tcPr>
          <w:p w14:paraId="688D1DE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941A78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4AD2F3A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kern w:val="0"/>
                <w:sz w:val="24"/>
                <w:szCs w:val="24"/>
                <w:lang w:val="en-US" w:eastAsia="zh-CN" w:bidi="ar"/>
              </w:rPr>
            </w:pPr>
            <w:r>
              <w:rPr>
                <w:rFonts w:hint="default" w:ascii="仿宋" w:hAnsi="仿宋" w:eastAsia="仿宋" w:cs="仿宋"/>
                <w:kern w:val="0"/>
                <w:sz w:val="24"/>
                <w:szCs w:val="24"/>
                <w:lang w:val="en-US" w:bidi="ar"/>
              </w:rPr>
              <w:t>8</w:t>
            </w:r>
            <w:r>
              <w:rPr>
                <w:rFonts w:hint="eastAsia" w:ascii="仿宋" w:hAnsi="仿宋" w:eastAsia="仿宋" w:cs="仿宋"/>
                <w:kern w:val="0"/>
                <w:sz w:val="24"/>
                <w:szCs w:val="24"/>
                <w:lang w:bidi="ar"/>
              </w:rPr>
              <w:t>*NVIDIAT4</w:t>
            </w:r>
          </w:p>
        </w:tc>
        <w:tc>
          <w:tcPr>
            <w:tcW w:w="1495" w:type="dxa"/>
            <w:shd w:val="clear" w:color="auto" w:fill="auto"/>
            <w:vAlign w:val="center"/>
          </w:tcPr>
          <w:p w14:paraId="7FED147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11184</w:t>
            </w:r>
          </w:p>
        </w:tc>
      </w:tr>
      <w:tr w14:paraId="431E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E7811F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w:t>
            </w:r>
          </w:p>
        </w:tc>
        <w:tc>
          <w:tcPr>
            <w:tcW w:w="1212" w:type="dxa"/>
            <w:vMerge w:val="continue"/>
            <w:shd w:val="clear" w:color="auto" w:fill="auto"/>
            <w:vAlign w:val="center"/>
          </w:tcPr>
          <w:p w14:paraId="0F2F3D8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3B9B0CD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top"/>
          </w:tcPr>
          <w:p w14:paraId="035DCBF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*NVIDIA A10</w:t>
            </w:r>
          </w:p>
        </w:tc>
        <w:tc>
          <w:tcPr>
            <w:tcW w:w="1495" w:type="dxa"/>
            <w:shd w:val="clear" w:color="auto" w:fill="auto"/>
            <w:vAlign w:val="top"/>
          </w:tcPr>
          <w:p w14:paraId="2B56C77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1538</w:t>
            </w:r>
          </w:p>
        </w:tc>
      </w:tr>
      <w:tr w14:paraId="1A88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1CE58E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w:t>
            </w:r>
          </w:p>
        </w:tc>
        <w:tc>
          <w:tcPr>
            <w:tcW w:w="1212" w:type="dxa"/>
            <w:vMerge w:val="continue"/>
            <w:shd w:val="clear" w:color="auto" w:fill="auto"/>
            <w:vAlign w:val="center"/>
          </w:tcPr>
          <w:p w14:paraId="225554D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093CB15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top"/>
          </w:tcPr>
          <w:p w14:paraId="5500AED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2*NVIDIA A10</w:t>
            </w:r>
          </w:p>
        </w:tc>
        <w:tc>
          <w:tcPr>
            <w:tcW w:w="1495" w:type="dxa"/>
            <w:shd w:val="clear" w:color="auto" w:fill="auto"/>
            <w:vAlign w:val="top"/>
          </w:tcPr>
          <w:p w14:paraId="05EBAAE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3076</w:t>
            </w:r>
          </w:p>
        </w:tc>
      </w:tr>
      <w:tr w14:paraId="145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0E8AC0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c>
          <w:tcPr>
            <w:tcW w:w="1212" w:type="dxa"/>
            <w:vMerge w:val="continue"/>
            <w:shd w:val="clear" w:color="auto" w:fill="auto"/>
            <w:vAlign w:val="center"/>
          </w:tcPr>
          <w:p w14:paraId="5E64109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265FD28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top"/>
          </w:tcPr>
          <w:p w14:paraId="03EEF85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kern w:val="0"/>
                <w:sz w:val="24"/>
                <w:szCs w:val="24"/>
                <w:highlight w:val="none"/>
                <w:lang w:val="en-US" w:eastAsia="zh-CN" w:bidi="ar"/>
              </w:rPr>
            </w:pPr>
            <w:r>
              <w:rPr>
                <w:rFonts w:hint="default" w:ascii="仿宋" w:hAnsi="仿宋" w:eastAsia="仿宋" w:cs="仿宋"/>
                <w:color w:val="auto"/>
                <w:kern w:val="0"/>
                <w:sz w:val="24"/>
                <w:szCs w:val="24"/>
                <w:highlight w:val="none"/>
                <w:lang w:val="en-US" w:bidi="ar"/>
              </w:rPr>
              <w:t>4</w:t>
            </w:r>
            <w:r>
              <w:rPr>
                <w:rFonts w:hint="eastAsia" w:ascii="仿宋" w:hAnsi="仿宋" w:eastAsia="仿宋" w:cs="仿宋"/>
                <w:color w:val="auto"/>
                <w:kern w:val="0"/>
                <w:sz w:val="24"/>
                <w:szCs w:val="24"/>
                <w:highlight w:val="none"/>
                <w:lang w:bidi="ar"/>
              </w:rPr>
              <w:t>*NVIDIA A10</w:t>
            </w:r>
          </w:p>
        </w:tc>
        <w:tc>
          <w:tcPr>
            <w:tcW w:w="1495" w:type="dxa"/>
            <w:shd w:val="clear" w:color="auto" w:fill="auto"/>
            <w:vAlign w:val="top"/>
          </w:tcPr>
          <w:p w14:paraId="237DCCD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6152</w:t>
            </w:r>
          </w:p>
        </w:tc>
      </w:tr>
      <w:tr w14:paraId="4DEA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064E04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w:t>
            </w:r>
          </w:p>
        </w:tc>
        <w:tc>
          <w:tcPr>
            <w:tcW w:w="1212" w:type="dxa"/>
            <w:vMerge w:val="continue"/>
            <w:shd w:val="clear" w:color="auto" w:fill="auto"/>
            <w:vAlign w:val="center"/>
          </w:tcPr>
          <w:p w14:paraId="4661019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0FD5D66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top"/>
          </w:tcPr>
          <w:p w14:paraId="4D92C21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kern w:val="0"/>
                <w:sz w:val="24"/>
                <w:szCs w:val="24"/>
                <w:highlight w:val="none"/>
                <w:lang w:val="en-US" w:eastAsia="zh-CN" w:bidi="ar"/>
              </w:rPr>
            </w:pPr>
            <w:r>
              <w:rPr>
                <w:rFonts w:hint="default" w:ascii="仿宋" w:hAnsi="仿宋" w:eastAsia="仿宋" w:cs="仿宋"/>
                <w:color w:val="auto"/>
                <w:kern w:val="0"/>
                <w:sz w:val="24"/>
                <w:szCs w:val="24"/>
                <w:highlight w:val="none"/>
                <w:lang w:val="en-US" w:bidi="ar"/>
              </w:rPr>
              <w:t>8</w:t>
            </w:r>
            <w:r>
              <w:rPr>
                <w:rFonts w:hint="eastAsia" w:ascii="仿宋" w:hAnsi="仿宋" w:eastAsia="仿宋" w:cs="仿宋"/>
                <w:color w:val="auto"/>
                <w:kern w:val="0"/>
                <w:sz w:val="24"/>
                <w:szCs w:val="24"/>
                <w:highlight w:val="none"/>
                <w:lang w:bidi="ar"/>
              </w:rPr>
              <w:t>*NVIDIA A10</w:t>
            </w:r>
          </w:p>
        </w:tc>
        <w:tc>
          <w:tcPr>
            <w:tcW w:w="1495" w:type="dxa"/>
            <w:shd w:val="clear" w:color="auto" w:fill="auto"/>
            <w:vAlign w:val="top"/>
          </w:tcPr>
          <w:p w14:paraId="3D41443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12304</w:t>
            </w:r>
          </w:p>
        </w:tc>
      </w:tr>
      <w:tr w14:paraId="7C3A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4AFA23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w:t>
            </w:r>
          </w:p>
        </w:tc>
        <w:tc>
          <w:tcPr>
            <w:tcW w:w="1212" w:type="dxa"/>
            <w:vMerge w:val="continue"/>
            <w:shd w:val="clear" w:color="auto" w:fill="auto"/>
            <w:vAlign w:val="center"/>
          </w:tcPr>
          <w:p w14:paraId="40C9DCF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shd w:val="clear" w:color="auto" w:fill="auto"/>
            <w:vAlign w:val="center"/>
          </w:tcPr>
          <w:p w14:paraId="67904D5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块存储－高效云盘</w:t>
            </w:r>
          </w:p>
        </w:tc>
        <w:tc>
          <w:tcPr>
            <w:tcW w:w="3069" w:type="dxa"/>
            <w:shd w:val="clear" w:color="auto" w:fill="auto"/>
            <w:vAlign w:val="center"/>
          </w:tcPr>
          <w:p w14:paraId="53F47B2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以100GB为单价，每100G</w:t>
            </w:r>
          </w:p>
        </w:tc>
        <w:tc>
          <w:tcPr>
            <w:tcW w:w="1495" w:type="dxa"/>
            <w:shd w:val="clear" w:color="auto" w:fill="auto"/>
            <w:vAlign w:val="center"/>
          </w:tcPr>
          <w:p w14:paraId="2F2BA38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bidi="ar"/>
              </w:rPr>
              <w:t>37</w:t>
            </w:r>
          </w:p>
        </w:tc>
      </w:tr>
      <w:tr w14:paraId="71A0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8A66AD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w:t>
            </w:r>
          </w:p>
        </w:tc>
        <w:tc>
          <w:tcPr>
            <w:tcW w:w="1212" w:type="dxa"/>
            <w:vMerge w:val="continue"/>
            <w:shd w:val="clear" w:color="auto" w:fill="auto"/>
            <w:vAlign w:val="center"/>
          </w:tcPr>
          <w:p w14:paraId="0A2AA3A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shd w:val="clear" w:color="auto" w:fill="auto"/>
            <w:vAlign w:val="center"/>
          </w:tcPr>
          <w:p w14:paraId="004A15C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块存储-SSD云盘</w:t>
            </w:r>
          </w:p>
        </w:tc>
        <w:tc>
          <w:tcPr>
            <w:tcW w:w="3069" w:type="dxa"/>
            <w:shd w:val="clear" w:color="auto" w:fill="auto"/>
            <w:vAlign w:val="center"/>
          </w:tcPr>
          <w:p w14:paraId="3F70BE5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以10GB为单价，每10GB</w:t>
            </w:r>
          </w:p>
        </w:tc>
        <w:tc>
          <w:tcPr>
            <w:tcW w:w="1495" w:type="dxa"/>
            <w:shd w:val="clear" w:color="auto" w:fill="auto"/>
            <w:vAlign w:val="center"/>
          </w:tcPr>
          <w:p w14:paraId="5864CA0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bidi="ar"/>
              </w:rPr>
              <w:t>9.8</w:t>
            </w:r>
          </w:p>
        </w:tc>
      </w:tr>
      <w:tr w14:paraId="3D99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389C32D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w:t>
            </w:r>
          </w:p>
        </w:tc>
        <w:tc>
          <w:tcPr>
            <w:tcW w:w="1212" w:type="dxa"/>
            <w:vMerge w:val="continue"/>
            <w:shd w:val="clear" w:color="auto" w:fill="auto"/>
            <w:vAlign w:val="center"/>
          </w:tcPr>
          <w:p w14:paraId="4335CC9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shd w:val="clear" w:color="auto" w:fill="auto"/>
            <w:vAlign w:val="center"/>
          </w:tcPr>
          <w:p w14:paraId="7BEEC63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快照</w:t>
            </w:r>
          </w:p>
        </w:tc>
        <w:tc>
          <w:tcPr>
            <w:tcW w:w="3069" w:type="dxa"/>
            <w:shd w:val="clear" w:color="auto" w:fill="auto"/>
            <w:vAlign w:val="center"/>
          </w:tcPr>
          <w:p w14:paraId="32DE612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根据快照所占的存储空间大小按月计费，每GB</w:t>
            </w:r>
          </w:p>
        </w:tc>
        <w:tc>
          <w:tcPr>
            <w:tcW w:w="1495" w:type="dxa"/>
            <w:shd w:val="clear" w:color="auto" w:fill="auto"/>
            <w:vAlign w:val="center"/>
          </w:tcPr>
          <w:p w14:paraId="572F37A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bidi="ar"/>
              </w:rPr>
              <w:t>0.1</w:t>
            </w:r>
          </w:p>
        </w:tc>
      </w:tr>
      <w:tr w14:paraId="2EB9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207D99E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35</w:t>
            </w:r>
          </w:p>
        </w:tc>
        <w:tc>
          <w:tcPr>
            <w:tcW w:w="1212" w:type="dxa"/>
            <w:vMerge w:val="continue"/>
            <w:shd w:val="clear" w:color="auto" w:fill="auto"/>
            <w:vAlign w:val="center"/>
          </w:tcPr>
          <w:p w14:paraId="4CA7680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shd w:val="clear" w:color="auto" w:fill="auto"/>
            <w:vAlign w:val="center"/>
          </w:tcPr>
          <w:p w14:paraId="0291B2D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数据局日志存储－高效云盘</w:t>
            </w:r>
          </w:p>
        </w:tc>
        <w:tc>
          <w:tcPr>
            <w:tcW w:w="3069" w:type="dxa"/>
            <w:shd w:val="clear" w:color="auto" w:fill="auto"/>
            <w:vAlign w:val="center"/>
          </w:tcPr>
          <w:p w14:paraId="5B8BE4F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以100GB为单价，每100G</w:t>
            </w:r>
          </w:p>
        </w:tc>
        <w:tc>
          <w:tcPr>
            <w:tcW w:w="1495" w:type="dxa"/>
            <w:shd w:val="clear" w:color="auto" w:fill="auto"/>
            <w:vAlign w:val="center"/>
          </w:tcPr>
          <w:p w14:paraId="6F29488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bidi="ar"/>
              </w:rPr>
              <w:t>18</w:t>
            </w:r>
          </w:p>
        </w:tc>
      </w:tr>
      <w:tr w14:paraId="4325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112A641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36</w:t>
            </w:r>
          </w:p>
        </w:tc>
        <w:tc>
          <w:tcPr>
            <w:tcW w:w="1212" w:type="dxa"/>
            <w:shd w:val="clear" w:color="auto" w:fill="auto"/>
            <w:vAlign w:val="center"/>
          </w:tcPr>
          <w:p w14:paraId="02134E4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专线链路服务费</w:t>
            </w:r>
          </w:p>
        </w:tc>
        <w:tc>
          <w:tcPr>
            <w:tcW w:w="2201" w:type="dxa"/>
            <w:shd w:val="clear" w:color="auto" w:fill="auto"/>
            <w:vAlign w:val="center"/>
          </w:tcPr>
          <w:p w14:paraId="0675438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同城容灾互联服务</w:t>
            </w:r>
          </w:p>
        </w:tc>
        <w:tc>
          <w:tcPr>
            <w:tcW w:w="3069" w:type="dxa"/>
            <w:shd w:val="clear" w:color="auto" w:fill="auto"/>
            <w:vAlign w:val="center"/>
          </w:tcPr>
          <w:p w14:paraId="046857D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2*10G专线</w:t>
            </w:r>
          </w:p>
        </w:tc>
        <w:tc>
          <w:tcPr>
            <w:tcW w:w="1495" w:type="dxa"/>
            <w:shd w:val="clear" w:color="auto" w:fill="auto"/>
            <w:vAlign w:val="center"/>
          </w:tcPr>
          <w:p w14:paraId="3052454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bidi="ar"/>
              </w:rPr>
              <w:t>970</w:t>
            </w:r>
            <w:r>
              <w:rPr>
                <w:rFonts w:hint="eastAsia" w:ascii="仿宋" w:hAnsi="仿宋" w:eastAsia="仿宋" w:cs="仿宋"/>
                <w:color w:val="000000"/>
                <w:kern w:val="0"/>
                <w:sz w:val="24"/>
                <w:szCs w:val="24"/>
                <w:lang w:val="en-US" w:eastAsia="zh-CN" w:bidi="ar"/>
              </w:rPr>
              <w:t>0</w:t>
            </w:r>
          </w:p>
        </w:tc>
      </w:tr>
      <w:tr w14:paraId="1EC2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75BB5FE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37</w:t>
            </w:r>
          </w:p>
        </w:tc>
        <w:tc>
          <w:tcPr>
            <w:tcW w:w="1212" w:type="dxa"/>
            <w:vMerge w:val="restart"/>
            <w:shd w:val="clear" w:color="auto" w:fill="auto"/>
            <w:vAlign w:val="center"/>
          </w:tcPr>
          <w:p w14:paraId="296B8DA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存储服务</w:t>
            </w:r>
          </w:p>
        </w:tc>
        <w:tc>
          <w:tcPr>
            <w:tcW w:w="2201" w:type="dxa"/>
            <w:shd w:val="clear" w:color="auto" w:fill="auto"/>
            <w:vAlign w:val="center"/>
          </w:tcPr>
          <w:p w14:paraId="32126D3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对象存储(OSS)</w:t>
            </w:r>
          </w:p>
        </w:tc>
        <w:tc>
          <w:tcPr>
            <w:tcW w:w="3069" w:type="dxa"/>
            <w:shd w:val="clear" w:color="auto" w:fill="auto"/>
            <w:vAlign w:val="center"/>
          </w:tcPr>
          <w:p w14:paraId="3202B17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根据开通的存储容量按月计费，1GB</w:t>
            </w:r>
          </w:p>
        </w:tc>
        <w:tc>
          <w:tcPr>
            <w:tcW w:w="1495" w:type="dxa"/>
            <w:shd w:val="clear" w:color="auto" w:fill="auto"/>
            <w:vAlign w:val="center"/>
          </w:tcPr>
          <w:p w14:paraId="52E324D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bidi="ar"/>
              </w:rPr>
              <w:t>0.1</w:t>
            </w:r>
          </w:p>
        </w:tc>
      </w:tr>
      <w:tr w14:paraId="7166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13ECDF8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38</w:t>
            </w:r>
          </w:p>
        </w:tc>
        <w:tc>
          <w:tcPr>
            <w:tcW w:w="1212" w:type="dxa"/>
            <w:vMerge w:val="continue"/>
            <w:shd w:val="clear" w:color="auto" w:fill="auto"/>
            <w:vAlign w:val="center"/>
          </w:tcPr>
          <w:p w14:paraId="1FFB864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shd w:val="clear" w:color="auto" w:fill="auto"/>
            <w:vAlign w:val="center"/>
          </w:tcPr>
          <w:p w14:paraId="3D1A08F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文件存储(NAS)</w:t>
            </w:r>
          </w:p>
        </w:tc>
        <w:tc>
          <w:tcPr>
            <w:tcW w:w="3069" w:type="dxa"/>
            <w:shd w:val="clear" w:color="auto" w:fill="auto"/>
            <w:vAlign w:val="center"/>
          </w:tcPr>
          <w:p w14:paraId="4C8897A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根据开通的存储容量按月计费，1GB</w:t>
            </w:r>
          </w:p>
        </w:tc>
        <w:tc>
          <w:tcPr>
            <w:tcW w:w="1495" w:type="dxa"/>
            <w:shd w:val="clear" w:color="auto" w:fill="auto"/>
            <w:vAlign w:val="center"/>
          </w:tcPr>
          <w:p w14:paraId="39D6C18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bidi="ar"/>
              </w:rPr>
              <w:t>0.3</w:t>
            </w:r>
          </w:p>
        </w:tc>
      </w:tr>
      <w:tr w14:paraId="4D23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21B68B6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39</w:t>
            </w:r>
          </w:p>
        </w:tc>
        <w:tc>
          <w:tcPr>
            <w:tcW w:w="1212" w:type="dxa"/>
            <w:vMerge w:val="restart"/>
            <w:shd w:val="clear" w:color="auto" w:fill="auto"/>
            <w:vAlign w:val="center"/>
          </w:tcPr>
          <w:p w14:paraId="6927F86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数据库</w:t>
            </w:r>
          </w:p>
          <w:p w14:paraId="67E34BF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服务</w:t>
            </w:r>
          </w:p>
        </w:tc>
        <w:tc>
          <w:tcPr>
            <w:tcW w:w="2201" w:type="dxa"/>
            <w:shd w:val="clear" w:color="auto" w:fill="auto"/>
            <w:vAlign w:val="center"/>
          </w:tcPr>
          <w:p w14:paraId="7201F91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云数据库存储空间</w:t>
            </w:r>
          </w:p>
        </w:tc>
        <w:tc>
          <w:tcPr>
            <w:tcW w:w="3069" w:type="dxa"/>
            <w:shd w:val="clear" w:color="auto" w:fill="auto"/>
            <w:vAlign w:val="center"/>
          </w:tcPr>
          <w:p w14:paraId="01A50B4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以100GB为单价，每100G</w:t>
            </w:r>
          </w:p>
        </w:tc>
        <w:tc>
          <w:tcPr>
            <w:tcW w:w="1495" w:type="dxa"/>
            <w:shd w:val="clear" w:color="auto" w:fill="auto"/>
            <w:vAlign w:val="center"/>
          </w:tcPr>
          <w:p w14:paraId="4EF2EB4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76.8</w:t>
            </w:r>
          </w:p>
        </w:tc>
      </w:tr>
      <w:tr w14:paraId="6B47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shd w:val="clear" w:color="auto" w:fill="auto"/>
            <w:vAlign w:val="center"/>
          </w:tcPr>
          <w:p w14:paraId="3753F58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40</w:t>
            </w:r>
          </w:p>
        </w:tc>
        <w:tc>
          <w:tcPr>
            <w:tcW w:w="1212" w:type="dxa"/>
            <w:vMerge w:val="continue"/>
            <w:shd w:val="clear" w:color="auto" w:fill="auto"/>
            <w:vAlign w:val="center"/>
          </w:tcPr>
          <w:p w14:paraId="0D18AF7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restart"/>
            <w:shd w:val="clear" w:color="auto" w:fill="auto"/>
            <w:vAlign w:val="center"/>
          </w:tcPr>
          <w:p w14:paraId="3B25ACA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云数据库MySQL版</w:t>
            </w:r>
          </w:p>
        </w:tc>
        <w:tc>
          <w:tcPr>
            <w:tcW w:w="3069" w:type="dxa"/>
            <w:shd w:val="clear" w:color="auto" w:fill="auto"/>
            <w:vAlign w:val="center"/>
          </w:tcPr>
          <w:p w14:paraId="092796B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default" w:ascii="仿宋" w:hAnsi="仿宋" w:eastAsia="仿宋" w:cs="仿宋"/>
                <w:color w:val="000000"/>
                <w:kern w:val="0"/>
                <w:sz w:val="24"/>
                <w:szCs w:val="24"/>
                <w:lang w:bidi="ar"/>
              </w:rPr>
              <w:t>1</w:t>
            </w:r>
            <w:r>
              <w:rPr>
                <w:rFonts w:hint="eastAsia" w:ascii="仿宋" w:hAnsi="仿宋" w:eastAsia="仿宋" w:cs="仿宋"/>
                <w:color w:val="000000"/>
                <w:kern w:val="0"/>
                <w:sz w:val="24"/>
                <w:szCs w:val="24"/>
                <w:lang w:bidi="ar"/>
              </w:rPr>
              <w:t>C</w:t>
            </w:r>
            <w:r>
              <w:rPr>
                <w:rFonts w:hint="default" w:ascii="仿宋" w:hAnsi="仿宋" w:eastAsia="仿宋" w:cs="仿宋"/>
                <w:color w:val="000000"/>
                <w:kern w:val="0"/>
                <w:sz w:val="24"/>
                <w:szCs w:val="24"/>
                <w:lang w:bidi="ar"/>
              </w:rPr>
              <w:t>2</w:t>
            </w:r>
            <w:r>
              <w:rPr>
                <w:rFonts w:hint="eastAsia" w:ascii="仿宋" w:hAnsi="仿宋" w:eastAsia="仿宋" w:cs="仿宋"/>
                <w:color w:val="000000"/>
                <w:kern w:val="0"/>
                <w:sz w:val="24"/>
                <w:szCs w:val="24"/>
                <w:lang w:bidi="ar"/>
              </w:rPr>
              <w:t>G（通用型，连接数</w:t>
            </w:r>
            <w:r>
              <w:rPr>
                <w:rFonts w:hint="default" w:ascii="仿宋" w:hAnsi="仿宋" w:eastAsia="仿宋" w:cs="仿宋"/>
                <w:color w:val="000000"/>
                <w:kern w:val="0"/>
                <w:sz w:val="24"/>
                <w:szCs w:val="24"/>
                <w:lang w:bidi="ar"/>
              </w:rPr>
              <w:t>600</w:t>
            </w:r>
            <w:r>
              <w:rPr>
                <w:rFonts w:hint="eastAsia" w:ascii="仿宋" w:hAnsi="仿宋" w:eastAsia="仿宋" w:cs="仿宋"/>
                <w:color w:val="000000"/>
                <w:kern w:val="0"/>
                <w:sz w:val="24"/>
                <w:szCs w:val="24"/>
                <w:lang w:bidi="ar"/>
              </w:rPr>
              <w:t>）</w:t>
            </w:r>
          </w:p>
        </w:tc>
        <w:tc>
          <w:tcPr>
            <w:tcW w:w="1495" w:type="dxa"/>
            <w:shd w:val="clear" w:color="auto" w:fill="auto"/>
            <w:vAlign w:val="center"/>
          </w:tcPr>
          <w:p w14:paraId="62445B2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192</w:t>
            </w:r>
          </w:p>
        </w:tc>
      </w:tr>
      <w:tr w14:paraId="213A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45669B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w:t>
            </w:r>
          </w:p>
        </w:tc>
        <w:tc>
          <w:tcPr>
            <w:tcW w:w="1212" w:type="dxa"/>
            <w:vMerge w:val="continue"/>
            <w:shd w:val="clear" w:color="auto" w:fill="auto"/>
            <w:vAlign w:val="center"/>
          </w:tcPr>
          <w:p w14:paraId="523124E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1571091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2DCA83F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2C4G（通用型，连接数1200）</w:t>
            </w:r>
          </w:p>
        </w:tc>
        <w:tc>
          <w:tcPr>
            <w:tcW w:w="1495" w:type="dxa"/>
            <w:shd w:val="clear" w:color="auto" w:fill="auto"/>
            <w:vAlign w:val="center"/>
          </w:tcPr>
          <w:p w14:paraId="5FB6B30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384</w:t>
            </w:r>
          </w:p>
        </w:tc>
      </w:tr>
      <w:tr w14:paraId="7DA8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44F86CF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w:t>
            </w:r>
          </w:p>
        </w:tc>
        <w:tc>
          <w:tcPr>
            <w:tcW w:w="1212" w:type="dxa"/>
            <w:vMerge w:val="continue"/>
            <w:shd w:val="clear" w:color="auto" w:fill="auto"/>
            <w:vAlign w:val="center"/>
          </w:tcPr>
          <w:p w14:paraId="4A64917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1034900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49BFF20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2C8G（通用型，连接数2000）</w:t>
            </w:r>
          </w:p>
        </w:tc>
        <w:tc>
          <w:tcPr>
            <w:tcW w:w="1495" w:type="dxa"/>
            <w:shd w:val="clear" w:color="auto" w:fill="auto"/>
            <w:vAlign w:val="center"/>
          </w:tcPr>
          <w:p w14:paraId="132AACB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692</w:t>
            </w:r>
          </w:p>
        </w:tc>
      </w:tr>
      <w:tr w14:paraId="4D43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61A3538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w:t>
            </w:r>
          </w:p>
        </w:tc>
        <w:tc>
          <w:tcPr>
            <w:tcW w:w="1212" w:type="dxa"/>
            <w:vMerge w:val="continue"/>
            <w:shd w:val="clear" w:color="auto" w:fill="auto"/>
            <w:vAlign w:val="center"/>
          </w:tcPr>
          <w:p w14:paraId="541FAD7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9B1267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4D57F42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4C8G（通用型，连接数2000）</w:t>
            </w:r>
          </w:p>
        </w:tc>
        <w:tc>
          <w:tcPr>
            <w:tcW w:w="1495" w:type="dxa"/>
            <w:shd w:val="clear" w:color="auto" w:fill="auto"/>
            <w:vAlign w:val="center"/>
          </w:tcPr>
          <w:p w14:paraId="1BB8822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724</w:t>
            </w:r>
          </w:p>
        </w:tc>
      </w:tr>
      <w:tr w14:paraId="0C71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2F6D06A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44</w:t>
            </w:r>
          </w:p>
        </w:tc>
        <w:tc>
          <w:tcPr>
            <w:tcW w:w="1212" w:type="dxa"/>
            <w:vMerge w:val="continue"/>
            <w:shd w:val="clear" w:color="auto" w:fill="auto"/>
            <w:vAlign w:val="center"/>
          </w:tcPr>
          <w:p w14:paraId="7DD5116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A4E5F6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1B069D4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4C16G（通用型，连接数4000）</w:t>
            </w:r>
          </w:p>
        </w:tc>
        <w:tc>
          <w:tcPr>
            <w:tcW w:w="1495" w:type="dxa"/>
            <w:shd w:val="clear" w:color="auto" w:fill="auto"/>
            <w:vAlign w:val="center"/>
          </w:tcPr>
          <w:p w14:paraId="52932CC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1537</w:t>
            </w:r>
          </w:p>
        </w:tc>
      </w:tr>
      <w:tr w14:paraId="1DDA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2566883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w:t>
            </w:r>
          </w:p>
        </w:tc>
        <w:tc>
          <w:tcPr>
            <w:tcW w:w="1212" w:type="dxa"/>
            <w:vMerge w:val="continue"/>
            <w:shd w:val="clear" w:color="auto" w:fill="auto"/>
            <w:vAlign w:val="center"/>
          </w:tcPr>
          <w:p w14:paraId="0401B82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502CD89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2BA16C4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8C16G（通</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用型，连接数4000））</w:t>
            </w:r>
          </w:p>
        </w:tc>
        <w:tc>
          <w:tcPr>
            <w:tcW w:w="1495" w:type="dxa"/>
            <w:shd w:val="clear" w:color="auto" w:fill="auto"/>
            <w:vAlign w:val="center"/>
          </w:tcPr>
          <w:p w14:paraId="0307F75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1627</w:t>
            </w:r>
          </w:p>
        </w:tc>
      </w:tr>
      <w:tr w14:paraId="2DCB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367156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46</w:t>
            </w:r>
          </w:p>
        </w:tc>
        <w:tc>
          <w:tcPr>
            <w:tcW w:w="1212" w:type="dxa"/>
            <w:vMerge w:val="continue"/>
            <w:shd w:val="clear" w:color="auto" w:fill="auto"/>
            <w:vAlign w:val="center"/>
          </w:tcPr>
          <w:p w14:paraId="538C04F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6FD159B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5016CA5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8C32G（通用型，连接数8000））</w:t>
            </w:r>
          </w:p>
        </w:tc>
        <w:tc>
          <w:tcPr>
            <w:tcW w:w="1495" w:type="dxa"/>
            <w:shd w:val="clear" w:color="auto" w:fill="auto"/>
            <w:vAlign w:val="center"/>
          </w:tcPr>
          <w:p w14:paraId="701D477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2983</w:t>
            </w:r>
          </w:p>
        </w:tc>
      </w:tr>
      <w:tr w14:paraId="4958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415B055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47</w:t>
            </w:r>
          </w:p>
        </w:tc>
        <w:tc>
          <w:tcPr>
            <w:tcW w:w="1212" w:type="dxa"/>
            <w:vMerge w:val="continue"/>
            <w:shd w:val="clear" w:color="auto" w:fill="auto"/>
            <w:vAlign w:val="center"/>
          </w:tcPr>
          <w:p w14:paraId="08E69B9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3093DA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1461489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16C64G（通用型，连接数16000）</w:t>
            </w:r>
          </w:p>
        </w:tc>
        <w:tc>
          <w:tcPr>
            <w:tcW w:w="1495" w:type="dxa"/>
            <w:shd w:val="clear" w:color="auto" w:fill="auto"/>
            <w:vAlign w:val="center"/>
          </w:tcPr>
          <w:p w14:paraId="3E28CAF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4995</w:t>
            </w:r>
          </w:p>
        </w:tc>
      </w:tr>
      <w:tr w14:paraId="0C3D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D28F82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48</w:t>
            </w:r>
          </w:p>
        </w:tc>
        <w:tc>
          <w:tcPr>
            <w:tcW w:w="1212" w:type="dxa"/>
            <w:vMerge w:val="continue"/>
            <w:shd w:val="clear" w:color="auto" w:fill="auto"/>
            <w:vAlign w:val="center"/>
          </w:tcPr>
          <w:p w14:paraId="2599EFD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177DAFA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4F8DE93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16C96G（通用型，连接数24000）</w:t>
            </w:r>
          </w:p>
        </w:tc>
        <w:tc>
          <w:tcPr>
            <w:tcW w:w="1495" w:type="dxa"/>
            <w:shd w:val="clear" w:color="auto" w:fill="auto"/>
            <w:vAlign w:val="center"/>
          </w:tcPr>
          <w:p w14:paraId="0FB93B0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7707</w:t>
            </w:r>
          </w:p>
        </w:tc>
      </w:tr>
      <w:tr w14:paraId="7C67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D3AA3D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49</w:t>
            </w:r>
          </w:p>
        </w:tc>
        <w:tc>
          <w:tcPr>
            <w:tcW w:w="1212" w:type="dxa"/>
            <w:vMerge w:val="continue"/>
            <w:shd w:val="clear" w:color="auto" w:fill="auto"/>
            <w:vAlign w:val="center"/>
          </w:tcPr>
          <w:p w14:paraId="479FD1C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restart"/>
            <w:shd w:val="clear" w:color="auto" w:fill="auto"/>
            <w:vAlign w:val="center"/>
          </w:tcPr>
          <w:p w14:paraId="25A8650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云数据库SQLServer版</w:t>
            </w:r>
          </w:p>
        </w:tc>
        <w:tc>
          <w:tcPr>
            <w:tcW w:w="3069" w:type="dxa"/>
            <w:shd w:val="clear" w:color="auto" w:fill="auto"/>
            <w:vAlign w:val="center"/>
          </w:tcPr>
          <w:p w14:paraId="7C973F4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2C4G（共享型，连接数1200）</w:t>
            </w:r>
          </w:p>
        </w:tc>
        <w:tc>
          <w:tcPr>
            <w:tcW w:w="1495" w:type="dxa"/>
            <w:shd w:val="clear" w:color="auto" w:fill="auto"/>
            <w:vAlign w:val="center"/>
          </w:tcPr>
          <w:p w14:paraId="513A176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384</w:t>
            </w:r>
          </w:p>
        </w:tc>
      </w:tr>
      <w:tr w14:paraId="0BBF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D72D17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w:t>
            </w:r>
          </w:p>
        </w:tc>
        <w:tc>
          <w:tcPr>
            <w:tcW w:w="1212" w:type="dxa"/>
            <w:vMerge w:val="continue"/>
            <w:shd w:val="clear" w:color="auto" w:fill="auto"/>
            <w:vAlign w:val="center"/>
          </w:tcPr>
          <w:p w14:paraId="788A517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70BA36B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6282E5F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2C8G（共享型，连接数2000）</w:t>
            </w:r>
          </w:p>
        </w:tc>
        <w:tc>
          <w:tcPr>
            <w:tcW w:w="1495" w:type="dxa"/>
            <w:shd w:val="clear" w:color="auto" w:fill="auto"/>
            <w:vAlign w:val="center"/>
          </w:tcPr>
          <w:p w14:paraId="7208820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692</w:t>
            </w:r>
          </w:p>
        </w:tc>
      </w:tr>
      <w:tr w14:paraId="785A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810C38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51</w:t>
            </w:r>
          </w:p>
        </w:tc>
        <w:tc>
          <w:tcPr>
            <w:tcW w:w="1212" w:type="dxa"/>
            <w:vMerge w:val="continue"/>
            <w:shd w:val="clear" w:color="auto" w:fill="auto"/>
            <w:vAlign w:val="center"/>
          </w:tcPr>
          <w:p w14:paraId="4ABD807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37C7A4E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7256F17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4C8G（共享型，连接数2000）</w:t>
            </w:r>
          </w:p>
        </w:tc>
        <w:tc>
          <w:tcPr>
            <w:tcW w:w="1495" w:type="dxa"/>
            <w:shd w:val="clear" w:color="auto" w:fill="auto"/>
            <w:vAlign w:val="center"/>
          </w:tcPr>
          <w:p w14:paraId="365C3B2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724</w:t>
            </w:r>
          </w:p>
        </w:tc>
      </w:tr>
      <w:tr w14:paraId="3744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CA42CD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w:t>
            </w:r>
          </w:p>
        </w:tc>
        <w:tc>
          <w:tcPr>
            <w:tcW w:w="1212" w:type="dxa"/>
            <w:vMerge w:val="continue"/>
            <w:shd w:val="clear" w:color="auto" w:fill="auto"/>
            <w:vAlign w:val="center"/>
          </w:tcPr>
          <w:p w14:paraId="284F224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278D7EA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1A483C5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4C16G（共享型，连接数4000）</w:t>
            </w:r>
          </w:p>
        </w:tc>
        <w:tc>
          <w:tcPr>
            <w:tcW w:w="1495" w:type="dxa"/>
            <w:shd w:val="clear" w:color="auto" w:fill="auto"/>
            <w:vAlign w:val="center"/>
          </w:tcPr>
          <w:p w14:paraId="6817010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1537</w:t>
            </w:r>
          </w:p>
        </w:tc>
      </w:tr>
      <w:tr w14:paraId="689C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827371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53</w:t>
            </w:r>
          </w:p>
        </w:tc>
        <w:tc>
          <w:tcPr>
            <w:tcW w:w="1212" w:type="dxa"/>
            <w:vMerge w:val="continue"/>
            <w:shd w:val="clear" w:color="auto" w:fill="auto"/>
            <w:vAlign w:val="center"/>
          </w:tcPr>
          <w:p w14:paraId="0903804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79112A4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7F9BCE0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8C16G（共享型，连接数4000）</w:t>
            </w:r>
          </w:p>
        </w:tc>
        <w:tc>
          <w:tcPr>
            <w:tcW w:w="1495" w:type="dxa"/>
            <w:shd w:val="clear" w:color="auto" w:fill="auto"/>
            <w:vAlign w:val="center"/>
          </w:tcPr>
          <w:p w14:paraId="3A0DD2A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1627</w:t>
            </w:r>
          </w:p>
        </w:tc>
      </w:tr>
      <w:tr w14:paraId="221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F3C237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54</w:t>
            </w:r>
          </w:p>
        </w:tc>
        <w:tc>
          <w:tcPr>
            <w:tcW w:w="1212" w:type="dxa"/>
            <w:vMerge w:val="continue"/>
            <w:shd w:val="clear" w:color="auto" w:fill="auto"/>
            <w:vAlign w:val="center"/>
          </w:tcPr>
          <w:p w14:paraId="17CD455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3A37B5E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228058D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8C32G（共享型，连接数8000）</w:t>
            </w:r>
          </w:p>
        </w:tc>
        <w:tc>
          <w:tcPr>
            <w:tcW w:w="1495" w:type="dxa"/>
            <w:shd w:val="clear" w:color="auto" w:fill="auto"/>
            <w:vAlign w:val="center"/>
          </w:tcPr>
          <w:p w14:paraId="7EDD206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2983</w:t>
            </w:r>
          </w:p>
        </w:tc>
      </w:tr>
      <w:tr w14:paraId="5146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8B01BA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55</w:t>
            </w:r>
          </w:p>
        </w:tc>
        <w:tc>
          <w:tcPr>
            <w:tcW w:w="1212" w:type="dxa"/>
            <w:vMerge w:val="continue"/>
            <w:shd w:val="clear" w:color="auto" w:fill="auto"/>
            <w:vAlign w:val="center"/>
          </w:tcPr>
          <w:p w14:paraId="786C9AC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715170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6D3340B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16C64G（共享型，连接数16000）</w:t>
            </w:r>
          </w:p>
        </w:tc>
        <w:tc>
          <w:tcPr>
            <w:tcW w:w="1495" w:type="dxa"/>
            <w:shd w:val="clear" w:color="auto" w:fill="auto"/>
            <w:vAlign w:val="center"/>
          </w:tcPr>
          <w:p w14:paraId="4589893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4995</w:t>
            </w:r>
          </w:p>
        </w:tc>
      </w:tr>
      <w:tr w14:paraId="2128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2FC524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56</w:t>
            </w:r>
          </w:p>
        </w:tc>
        <w:tc>
          <w:tcPr>
            <w:tcW w:w="1212" w:type="dxa"/>
            <w:vMerge w:val="continue"/>
            <w:shd w:val="clear" w:color="auto" w:fill="auto"/>
            <w:vAlign w:val="center"/>
          </w:tcPr>
          <w:p w14:paraId="29082B8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1FF5630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6DC3465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16C96G（共享型，连接数24000）</w:t>
            </w:r>
          </w:p>
        </w:tc>
        <w:tc>
          <w:tcPr>
            <w:tcW w:w="1495" w:type="dxa"/>
            <w:shd w:val="clear" w:color="auto" w:fill="auto"/>
            <w:vAlign w:val="center"/>
          </w:tcPr>
          <w:p w14:paraId="0DA87E0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7707</w:t>
            </w:r>
          </w:p>
        </w:tc>
      </w:tr>
      <w:tr w14:paraId="3858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61A3EA2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57</w:t>
            </w:r>
          </w:p>
        </w:tc>
        <w:tc>
          <w:tcPr>
            <w:tcW w:w="1212" w:type="dxa"/>
            <w:vMerge w:val="continue"/>
            <w:shd w:val="clear" w:color="auto" w:fill="auto"/>
            <w:vAlign w:val="center"/>
          </w:tcPr>
          <w:p w14:paraId="6D42067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80E253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2E1731A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2C16G,250GBDisk(独享型)</w:t>
            </w:r>
          </w:p>
        </w:tc>
        <w:tc>
          <w:tcPr>
            <w:tcW w:w="1495" w:type="dxa"/>
            <w:shd w:val="clear" w:color="auto" w:fill="auto"/>
            <w:vAlign w:val="center"/>
          </w:tcPr>
          <w:p w14:paraId="1A61FC2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1684</w:t>
            </w:r>
          </w:p>
        </w:tc>
      </w:tr>
      <w:tr w14:paraId="4468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220FC9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58</w:t>
            </w:r>
          </w:p>
        </w:tc>
        <w:tc>
          <w:tcPr>
            <w:tcW w:w="1212" w:type="dxa"/>
            <w:vMerge w:val="continue"/>
            <w:shd w:val="clear" w:color="auto" w:fill="auto"/>
            <w:vAlign w:val="center"/>
          </w:tcPr>
          <w:p w14:paraId="6B93B33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07A054A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36402AD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4C32G,500GBDisk(独享型)</w:t>
            </w:r>
          </w:p>
        </w:tc>
        <w:tc>
          <w:tcPr>
            <w:tcW w:w="1495" w:type="dxa"/>
            <w:shd w:val="clear" w:color="auto" w:fill="auto"/>
            <w:vAlign w:val="center"/>
          </w:tcPr>
          <w:p w14:paraId="24E3D60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3321</w:t>
            </w:r>
          </w:p>
        </w:tc>
      </w:tr>
      <w:tr w14:paraId="717B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A391A6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59</w:t>
            </w:r>
          </w:p>
        </w:tc>
        <w:tc>
          <w:tcPr>
            <w:tcW w:w="1212" w:type="dxa"/>
            <w:vMerge w:val="continue"/>
            <w:shd w:val="clear" w:color="auto" w:fill="auto"/>
            <w:vAlign w:val="center"/>
          </w:tcPr>
          <w:p w14:paraId="077F744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032ABB7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30F279A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8C64G,1000GBDisk(独享型)</w:t>
            </w:r>
          </w:p>
        </w:tc>
        <w:tc>
          <w:tcPr>
            <w:tcW w:w="1495" w:type="dxa"/>
            <w:shd w:val="clear" w:color="auto" w:fill="auto"/>
            <w:vAlign w:val="center"/>
          </w:tcPr>
          <w:p w14:paraId="7B1B105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6552</w:t>
            </w:r>
          </w:p>
        </w:tc>
      </w:tr>
      <w:tr w14:paraId="7206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A0C274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60</w:t>
            </w:r>
          </w:p>
        </w:tc>
        <w:tc>
          <w:tcPr>
            <w:tcW w:w="1212" w:type="dxa"/>
            <w:vMerge w:val="continue"/>
            <w:shd w:val="clear" w:color="auto" w:fill="auto"/>
            <w:vAlign w:val="center"/>
          </w:tcPr>
          <w:p w14:paraId="1C032DE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9833FC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209EEAA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16C128G,2000GBDisk(独享型)</w:t>
            </w:r>
          </w:p>
        </w:tc>
        <w:tc>
          <w:tcPr>
            <w:tcW w:w="1495" w:type="dxa"/>
            <w:shd w:val="clear" w:color="auto" w:fill="auto"/>
            <w:vAlign w:val="center"/>
          </w:tcPr>
          <w:p w14:paraId="1B747D0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13106</w:t>
            </w:r>
          </w:p>
        </w:tc>
      </w:tr>
      <w:tr w14:paraId="3873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5BFD49B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61</w:t>
            </w:r>
          </w:p>
        </w:tc>
        <w:tc>
          <w:tcPr>
            <w:tcW w:w="1212" w:type="dxa"/>
            <w:vMerge w:val="continue"/>
            <w:shd w:val="clear" w:color="auto" w:fill="auto"/>
            <w:vAlign w:val="center"/>
          </w:tcPr>
          <w:p w14:paraId="71A65BB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restart"/>
            <w:shd w:val="clear" w:color="auto" w:fill="auto"/>
            <w:vAlign w:val="center"/>
          </w:tcPr>
          <w:p w14:paraId="5D4F808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云数据库Redis版</w:t>
            </w:r>
          </w:p>
        </w:tc>
        <w:tc>
          <w:tcPr>
            <w:tcW w:w="3069" w:type="dxa"/>
            <w:shd w:val="clear" w:color="auto" w:fill="auto"/>
            <w:vAlign w:val="center"/>
          </w:tcPr>
          <w:p w14:paraId="520B1AA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标准版（主从版）1G，连接数10000</w:t>
            </w:r>
          </w:p>
        </w:tc>
        <w:tc>
          <w:tcPr>
            <w:tcW w:w="1495" w:type="dxa"/>
            <w:shd w:val="clear" w:color="auto" w:fill="auto"/>
            <w:vAlign w:val="center"/>
          </w:tcPr>
          <w:p w14:paraId="62A5094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91</w:t>
            </w:r>
          </w:p>
        </w:tc>
      </w:tr>
      <w:tr w14:paraId="7E52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0DAF737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62</w:t>
            </w:r>
          </w:p>
        </w:tc>
        <w:tc>
          <w:tcPr>
            <w:tcW w:w="1212" w:type="dxa"/>
            <w:vMerge w:val="continue"/>
            <w:shd w:val="clear" w:color="auto" w:fill="auto"/>
            <w:vAlign w:val="center"/>
          </w:tcPr>
          <w:p w14:paraId="0B55C01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2148C6E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7947629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标准版（主从版）2G，连接数10000</w:t>
            </w:r>
          </w:p>
        </w:tc>
        <w:tc>
          <w:tcPr>
            <w:tcW w:w="1495" w:type="dxa"/>
            <w:shd w:val="clear" w:color="auto" w:fill="auto"/>
            <w:vAlign w:val="center"/>
          </w:tcPr>
          <w:p w14:paraId="797AC31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165</w:t>
            </w:r>
          </w:p>
        </w:tc>
      </w:tr>
      <w:tr w14:paraId="408A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63A54FA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63</w:t>
            </w:r>
          </w:p>
        </w:tc>
        <w:tc>
          <w:tcPr>
            <w:tcW w:w="1212" w:type="dxa"/>
            <w:vMerge w:val="continue"/>
            <w:shd w:val="clear" w:color="auto" w:fill="auto"/>
            <w:vAlign w:val="center"/>
          </w:tcPr>
          <w:p w14:paraId="478C345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036ABB7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01ED562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标准版（主从版）4G，连接数10000</w:t>
            </w:r>
          </w:p>
        </w:tc>
        <w:tc>
          <w:tcPr>
            <w:tcW w:w="1495" w:type="dxa"/>
            <w:shd w:val="clear" w:color="auto" w:fill="auto"/>
            <w:vAlign w:val="center"/>
          </w:tcPr>
          <w:p w14:paraId="5AEA370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311</w:t>
            </w:r>
          </w:p>
        </w:tc>
      </w:tr>
      <w:tr w14:paraId="3C4F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4DB050A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64</w:t>
            </w:r>
          </w:p>
        </w:tc>
        <w:tc>
          <w:tcPr>
            <w:tcW w:w="1212" w:type="dxa"/>
            <w:vMerge w:val="continue"/>
            <w:shd w:val="clear" w:color="auto" w:fill="auto"/>
            <w:vAlign w:val="center"/>
          </w:tcPr>
          <w:p w14:paraId="20132A5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5131719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7441862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标准版（主从版）8G，连接数10000</w:t>
            </w:r>
          </w:p>
        </w:tc>
        <w:tc>
          <w:tcPr>
            <w:tcW w:w="1495" w:type="dxa"/>
            <w:shd w:val="clear" w:color="auto" w:fill="auto"/>
            <w:vAlign w:val="center"/>
          </w:tcPr>
          <w:p w14:paraId="54C9433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603</w:t>
            </w:r>
          </w:p>
        </w:tc>
      </w:tr>
      <w:tr w14:paraId="4ABB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0D1908D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w:t>
            </w:r>
          </w:p>
        </w:tc>
        <w:tc>
          <w:tcPr>
            <w:tcW w:w="1212" w:type="dxa"/>
            <w:vMerge w:val="continue"/>
            <w:shd w:val="clear" w:color="auto" w:fill="auto"/>
            <w:vAlign w:val="center"/>
          </w:tcPr>
          <w:p w14:paraId="3A31A51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8A11F6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572F65A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标准版（主从版）16G，连接数10000</w:t>
            </w:r>
          </w:p>
        </w:tc>
        <w:tc>
          <w:tcPr>
            <w:tcW w:w="1495" w:type="dxa"/>
            <w:shd w:val="clear" w:color="auto" w:fill="auto"/>
            <w:vAlign w:val="center"/>
          </w:tcPr>
          <w:p w14:paraId="3DE49E8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1186</w:t>
            </w:r>
          </w:p>
        </w:tc>
      </w:tr>
      <w:tr w14:paraId="2EE3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51F79F8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66</w:t>
            </w:r>
          </w:p>
        </w:tc>
        <w:tc>
          <w:tcPr>
            <w:tcW w:w="1212" w:type="dxa"/>
            <w:vMerge w:val="continue"/>
            <w:shd w:val="clear" w:color="auto" w:fill="auto"/>
            <w:vAlign w:val="center"/>
          </w:tcPr>
          <w:p w14:paraId="6AD4A69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951E34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0E4F6CC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标准版（主从版）32G，连接数10000</w:t>
            </w:r>
          </w:p>
        </w:tc>
        <w:tc>
          <w:tcPr>
            <w:tcW w:w="1495" w:type="dxa"/>
            <w:shd w:val="clear" w:color="auto" w:fill="auto"/>
            <w:vAlign w:val="center"/>
          </w:tcPr>
          <w:p w14:paraId="6918C1B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2354</w:t>
            </w:r>
          </w:p>
        </w:tc>
      </w:tr>
      <w:tr w14:paraId="40A2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B6DDC1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67</w:t>
            </w:r>
          </w:p>
        </w:tc>
        <w:tc>
          <w:tcPr>
            <w:tcW w:w="1212" w:type="dxa"/>
            <w:vMerge w:val="continue"/>
            <w:shd w:val="clear" w:color="auto" w:fill="auto"/>
            <w:vAlign w:val="center"/>
          </w:tcPr>
          <w:p w14:paraId="4B11ABC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752BB95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10201B0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集群版16G，连接数80000</w:t>
            </w:r>
          </w:p>
        </w:tc>
        <w:tc>
          <w:tcPr>
            <w:tcW w:w="1495" w:type="dxa"/>
            <w:shd w:val="clear" w:color="auto" w:fill="auto"/>
            <w:vAlign w:val="center"/>
          </w:tcPr>
          <w:p w14:paraId="371D10D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1369</w:t>
            </w:r>
          </w:p>
        </w:tc>
      </w:tr>
      <w:tr w14:paraId="3337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8116B7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68</w:t>
            </w:r>
          </w:p>
        </w:tc>
        <w:tc>
          <w:tcPr>
            <w:tcW w:w="1212" w:type="dxa"/>
            <w:vMerge w:val="continue"/>
            <w:shd w:val="clear" w:color="auto" w:fill="auto"/>
            <w:vAlign w:val="center"/>
          </w:tcPr>
          <w:p w14:paraId="097FAAF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7325246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6CBED38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集群版32G，连接数80000</w:t>
            </w:r>
          </w:p>
        </w:tc>
        <w:tc>
          <w:tcPr>
            <w:tcW w:w="1495" w:type="dxa"/>
            <w:shd w:val="clear" w:color="auto" w:fill="auto"/>
            <w:vAlign w:val="center"/>
          </w:tcPr>
          <w:p w14:paraId="5DA2297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2737</w:t>
            </w:r>
          </w:p>
        </w:tc>
      </w:tr>
      <w:tr w14:paraId="3354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614D9D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69</w:t>
            </w:r>
          </w:p>
        </w:tc>
        <w:tc>
          <w:tcPr>
            <w:tcW w:w="1212" w:type="dxa"/>
            <w:vMerge w:val="continue"/>
            <w:shd w:val="clear" w:color="auto" w:fill="auto"/>
            <w:vAlign w:val="center"/>
          </w:tcPr>
          <w:p w14:paraId="1FA5DF9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2142F83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44F1F67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集群版64G，连接数80000</w:t>
            </w:r>
          </w:p>
        </w:tc>
        <w:tc>
          <w:tcPr>
            <w:tcW w:w="1495" w:type="dxa"/>
            <w:shd w:val="clear" w:color="auto" w:fill="auto"/>
            <w:vAlign w:val="center"/>
          </w:tcPr>
          <w:p w14:paraId="23817A6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5475</w:t>
            </w:r>
          </w:p>
        </w:tc>
      </w:tr>
      <w:tr w14:paraId="336A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2293A4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70</w:t>
            </w:r>
          </w:p>
        </w:tc>
        <w:tc>
          <w:tcPr>
            <w:tcW w:w="1212" w:type="dxa"/>
            <w:vMerge w:val="continue"/>
            <w:shd w:val="clear" w:color="auto" w:fill="auto"/>
            <w:vAlign w:val="center"/>
          </w:tcPr>
          <w:p w14:paraId="75487DC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7C47E44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2B50EE3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集群版128G，连接数160000</w:t>
            </w:r>
          </w:p>
        </w:tc>
        <w:tc>
          <w:tcPr>
            <w:tcW w:w="1495" w:type="dxa"/>
            <w:shd w:val="clear" w:color="auto" w:fill="auto"/>
            <w:vAlign w:val="center"/>
          </w:tcPr>
          <w:p w14:paraId="1FCB4E4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10950</w:t>
            </w:r>
          </w:p>
        </w:tc>
      </w:tr>
      <w:tr w14:paraId="711E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EB2E26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71</w:t>
            </w:r>
          </w:p>
        </w:tc>
        <w:tc>
          <w:tcPr>
            <w:tcW w:w="1212" w:type="dxa"/>
            <w:vMerge w:val="continue"/>
            <w:shd w:val="clear" w:color="auto" w:fill="auto"/>
            <w:vAlign w:val="center"/>
          </w:tcPr>
          <w:p w14:paraId="3BD5E40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2C8E63C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14B45A3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集群版256G，连接数160000</w:t>
            </w:r>
          </w:p>
        </w:tc>
        <w:tc>
          <w:tcPr>
            <w:tcW w:w="1495" w:type="dxa"/>
            <w:shd w:val="clear" w:color="auto" w:fill="auto"/>
            <w:vAlign w:val="center"/>
          </w:tcPr>
          <w:p w14:paraId="4F88BF8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21899</w:t>
            </w:r>
          </w:p>
        </w:tc>
      </w:tr>
      <w:tr w14:paraId="0B7D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133983A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72</w:t>
            </w:r>
          </w:p>
        </w:tc>
        <w:tc>
          <w:tcPr>
            <w:tcW w:w="1212" w:type="dxa"/>
            <w:vMerge w:val="restart"/>
            <w:shd w:val="clear" w:color="auto" w:fill="auto"/>
            <w:vAlign w:val="center"/>
          </w:tcPr>
          <w:p w14:paraId="343C567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大模型</w:t>
            </w:r>
          </w:p>
          <w:p w14:paraId="4BB0BDE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服务</w:t>
            </w:r>
          </w:p>
        </w:tc>
        <w:tc>
          <w:tcPr>
            <w:tcW w:w="2201" w:type="dxa"/>
            <w:vMerge w:val="restart"/>
            <w:shd w:val="clear" w:color="auto" w:fill="auto"/>
            <w:vAlign w:val="center"/>
          </w:tcPr>
          <w:p w14:paraId="157B790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大模型调用服务</w:t>
            </w:r>
          </w:p>
        </w:tc>
        <w:tc>
          <w:tcPr>
            <w:tcW w:w="3069" w:type="dxa"/>
            <w:shd w:val="clear" w:color="auto" w:fill="auto"/>
            <w:vAlign w:val="center"/>
          </w:tcPr>
          <w:p w14:paraId="0D000C0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pacing w:val="0"/>
                <w:kern w:val="0"/>
                <w:sz w:val="24"/>
                <w:szCs w:val="24"/>
                <w:lang w:bidi="ar"/>
              </w:rPr>
              <w:t>7B以下小模型（含显卡）</w:t>
            </w:r>
          </w:p>
        </w:tc>
        <w:tc>
          <w:tcPr>
            <w:tcW w:w="1495" w:type="dxa"/>
            <w:shd w:val="clear" w:color="auto" w:fill="auto"/>
            <w:vAlign w:val="center"/>
          </w:tcPr>
          <w:p w14:paraId="2C18926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5369</w:t>
            </w:r>
          </w:p>
        </w:tc>
      </w:tr>
      <w:tr w14:paraId="544C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4795C0E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73</w:t>
            </w:r>
          </w:p>
        </w:tc>
        <w:tc>
          <w:tcPr>
            <w:tcW w:w="1212" w:type="dxa"/>
            <w:vMerge w:val="continue"/>
            <w:shd w:val="clear" w:color="auto" w:fill="auto"/>
            <w:vAlign w:val="center"/>
          </w:tcPr>
          <w:p w14:paraId="36ADCC4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4CAF9E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0292303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default" w:ascii="仿宋" w:hAnsi="仿宋" w:eastAsia="仿宋" w:cs="仿宋"/>
                <w:color w:val="auto"/>
                <w:spacing w:val="0"/>
                <w:kern w:val="0"/>
                <w:sz w:val="24"/>
                <w:szCs w:val="24"/>
                <w:highlight w:val="none"/>
                <w:lang w:val="en-US" w:bidi="ar"/>
              </w:rPr>
              <w:t xml:space="preserve"> </w:t>
            </w:r>
            <w:r>
              <w:rPr>
                <w:rFonts w:hint="eastAsia" w:ascii="仿宋" w:hAnsi="仿宋" w:eastAsia="仿宋" w:cs="仿宋"/>
                <w:color w:val="auto"/>
                <w:kern w:val="0"/>
                <w:sz w:val="24"/>
                <w:szCs w:val="24"/>
                <w:lang w:val="en-US" w:eastAsia="zh-CN" w:bidi="ar"/>
              </w:rPr>
              <w:t>7B-1*</w:t>
            </w:r>
            <w:r>
              <w:rPr>
                <w:rFonts w:hint="eastAsia" w:ascii="仿宋" w:hAnsi="仿宋" w:eastAsia="仿宋" w:cs="仿宋"/>
                <w:color w:val="auto"/>
                <w:kern w:val="0"/>
                <w:sz w:val="24"/>
                <w:szCs w:val="24"/>
                <w:lang w:bidi="ar"/>
              </w:rPr>
              <w:t>NV A10</w:t>
            </w:r>
          </w:p>
        </w:tc>
        <w:tc>
          <w:tcPr>
            <w:tcW w:w="1495" w:type="dxa"/>
            <w:shd w:val="clear" w:color="auto" w:fill="auto"/>
            <w:vAlign w:val="center"/>
          </w:tcPr>
          <w:p w14:paraId="2338D2C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5369</w:t>
            </w:r>
          </w:p>
        </w:tc>
      </w:tr>
      <w:tr w14:paraId="2886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53E115D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74</w:t>
            </w:r>
          </w:p>
        </w:tc>
        <w:tc>
          <w:tcPr>
            <w:tcW w:w="1212" w:type="dxa"/>
            <w:vMerge w:val="continue"/>
            <w:shd w:val="clear" w:color="auto" w:fill="auto"/>
            <w:vAlign w:val="center"/>
          </w:tcPr>
          <w:p w14:paraId="08401FE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4A816C3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31BB3F8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spacing w:val="0"/>
                <w:kern w:val="0"/>
                <w:sz w:val="24"/>
                <w:szCs w:val="24"/>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default" w:ascii="仿宋" w:hAnsi="仿宋" w:eastAsia="仿宋" w:cs="仿宋"/>
                <w:color w:val="auto"/>
                <w:kern w:val="0"/>
                <w:sz w:val="24"/>
                <w:szCs w:val="24"/>
                <w:lang w:val="en-US" w:eastAsia="zh-CN" w:bidi="ar"/>
              </w:rPr>
              <w:t>14</w:t>
            </w:r>
            <w:r>
              <w:rPr>
                <w:rFonts w:hint="eastAsia" w:ascii="仿宋" w:hAnsi="仿宋" w:eastAsia="仿宋" w:cs="仿宋"/>
                <w:color w:val="auto"/>
                <w:kern w:val="0"/>
                <w:sz w:val="24"/>
                <w:szCs w:val="24"/>
                <w:lang w:val="en-US" w:eastAsia="zh-CN" w:bidi="ar"/>
              </w:rPr>
              <w:t>B-1*</w:t>
            </w:r>
            <w:r>
              <w:rPr>
                <w:rFonts w:hint="eastAsia" w:ascii="仿宋" w:hAnsi="仿宋" w:eastAsia="仿宋" w:cs="仿宋"/>
                <w:color w:val="auto"/>
                <w:kern w:val="0"/>
                <w:sz w:val="24"/>
                <w:szCs w:val="24"/>
                <w:lang w:bidi="ar"/>
              </w:rPr>
              <w:t>NV A10</w:t>
            </w:r>
          </w:p>
        </w:tc>
        <w:tc>
          <w:tcPr>
            <w:tcW w:w="1495" w:type="dxa"/>
            <w:shd w:val="clear" w:color="auto" w:fill="auto"/>
            <w:vAlign w:val="center"/>
          </w:tcPr>
          <w:p w14:paraId="35AFEC7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5369</w:t>
            </w:r>
          </w:p>
        </w:tc>
      </w:tr>
      <w:tr w14:paraId="0B4D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2B818D8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75</w:t>
            </w:r>
          </w:p>
        </w:tc>
        <w:tc>
          <w:tcPr>
            <w:tcW w:w="1212" w:type="dxa"/>
            <w:vMerge w:val="continue"/>
            <w:shd w:val="clear" w:color="auto" w:fill="auto"/>
            <w:vAlign w:val="center"/>
          </w:tcPr>
          <w:p w14:paraId="1B0AB38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1108AA5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6042A82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spacing w:val="0"/>
                <w:kern w:val="0"/>
                <w:sz w:val="24"/>
                <w:szCs w:val="24"/>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default" w:ascii="仿宋" w:hAnsi="仿宋" w:eastAsia="仿宋" w:cs="仿宋"/>
                <w:color w:val="auto"/>
                <w:kern w:val="0"/>
                <w:sz w:val="24"/>
                <w:szCs w:val="24"/>
                <w:lang w:val="en-US" w:eastAsia="zh-CN" w:bidi="ar"/>
              </w:rPr>
              <w:t>32</w:t>
            </w:r>
            <w:r>
              <w:rPr>
                <w:rFonts w:hint="eastAsia" w:ascii="仿宋" w:hAnsi="仿宋" w:eastAsia="仿宋" w:cs="仿宋"/>
                <w:color w:val="auto"/>
                <w:kern w:val="0"/>
                <w:sz w:val="24"/>
                <w:szCs w:val="24"/>
                <w:lang w:val="en-US" w:eastAsia="zh-CN" w:bidi="ar"/>
              </w:rPr>
              <w:t>B-</w:t>
            </w:r>
            <w:r>
              <w:rPr>
                <w:rFonts w:hint="default"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NV A10</w:t>
            </w:r>
          </w:p>
        </w:tc>
        <w:tc>
          <w:tcPr>
            <w:tcW w:w="1495" w:type="dxa"/>
            <w:shd w:val="clear" w:color="auto" w:fill="auto"/>
            <w:vAlign w:val="center"/>
          </w:tcPr>
          <w:p w14:paraId="181C302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10738</w:t>
            </w:r>
          </w:p>
        </w:tc>
      </w:tr>
      <w:tr w14:paraId="4FAF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F63D74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76</w:t>
            </w:r>
          </w:p>
        </w:tc>
        <w:tc>
          <w:tcPr>
            <w:tcW w:w="1212" w:type="dxa"/>
            <w:vMerge w:val="continue"/>
            <w:shd w:val="clear" w:color="auto" w:fill="auto"/>
            <w:vAlign w:val="center"/>
          </w:tcPr>
          <w:p w14:paraId="10A93AA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5B457B9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09BD1DB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spacing w:val="0"/>
                <w:kern w:val="0"/>
                <w:sz w:val="24"/>
                <w:szCs w:val="24"/>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default" w:ascii="仿宋" w:hAnsi="仿宋" w:eastAsia="仿宋" w:cs="仿宋"/>
                <w:color w:val="auto"/>
                <w:kern w:val="0"/>
                <w:sz w:val="24"/>
                <w:szCs w:val="24"/>
                <w:lang w:val="en-US" w:eastAsia="zh-CN" w:bidi="ar"/>
              </w:rPr>
              <w:t>32</w:t>
            </w:r>
            <w:r>
              <w:rPr>
                <w:rFonts w:hint="eastAsia" w:ascii="仿宋" w:hAnsi="仿宋" w:eastAsia="仿宋" w:cs="仿宋"/>
                <w:color w:val="auto"/>
                <w:kern w:val="0"/>
                <w:sz w:val="24"/>
                <w:szCs w:val="24"/>
                <w:lang w:val="en-US" w:eastAsia="zh-CN" w:bidi="ar"/>
              </w:rPr>
              <w:t>B-</w:t>
            </w:r>
            <w:r>
              <w:rPr>
                <w:rFonts w:hint="default" w:ascii="仿宋" w:hAnsi="仿宋" w:eastAsia="仿宋" w:cs="仿宋"/>
                <w:color w:val="auto"/>
                <w:kern w:val="0"/>
                <w:sz w:val="24"/>
                <w:szCs w:val="24"/>
                <w:lang w:val="en-US" w:eastAsia="zh-CN" w:bidi="ar"/>
              </w:rPr>
              <w:t>8</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bidi="ar"/>
              </w:rPr>
              <w:t>NV A10</w:t>
            </w:r>
          </w:p>
        </w:tc>
        <w:tc>
          <w:tcPr>
            <w:tcW w:w="1495" w:type="dxa"/>
            <w:shd w:val="clear" w:color="auto" w:fill="auto"/>
            <w:vAlign w:val="center"/>
          </w:tcPr>
          <w:p w14:paraId="754118F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21476</w:t>
            </w:r>
          </w:p>
        </w:tc>
      </w:tr>
      <w:tr w14:paraId="787F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22B538C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77</w:t>
            </w:r>
          </w:p>
        </w:tc>
        <w:tc>
          <w:tcPr>
            <w:tcW w:w="1212" w:type="dxa"/>
            <w:vMerge w:val="restart"/>
            <w:shd w:val="clear" w:color="auto" w:fill="auto"/>
            <w:vAlign w:val="center"/>
          </w:tcPr>
          <w:p w14:paraId="52702DB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网络服务</w:t>
            </w:r>
          </w:p>
        </w:tc>
        <w:tc>
          <w:tcPr>
            <w:tcW w:w="2201" w:type="dxa"/>
            <w:shd w:val="clear" w:color="auto" w:fill="auto"/>
            <w:vAlign w:val="center"/>
          </w:tcPr>
          <w:p w14:paraId="5D2A5F3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负载均衡</w:t>
            </w:r>
          </w:p>
        </w:tc>
        <w:tc>
          <w:tcPr>
            <w:tcW w:w="3069" w:type="dxa"/>
            <w:shd w:val="clear" w:color="auto" w:fill="auto"/>
            <w:vAlign w:val="center"/>
          </w:tcPr>
          <w:p w14:paraId="03B0AF7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私网负载均衡租用，按实例个数计费</w:t>
            </w:r>
          </w:p>
        </w:tc>
        <w:tc>
          <w:tcPr>
            <w:tcW w:w="1495" w:type="dxa"/>
            <w:shd w:val="clear" w:color="auto" w:fill="auto"/>
            <w:vAlign w:val="center"/>
          </w:tcPr>
          <w:p w14:paraId="6D08178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r>
      <w:tr w14:paraId="6F23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0FC9A5F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78</w:t>
            </w:r>
          </w:p>
        </w:tc>
        <w:tc>
          <w:tcPr>
            <w:tcW w:w="1212" w:type="dxa"/>
            <w:vMerge w:val="continue"/>
            <w:shd w:val="clear" w:color="auto" w:fill="auto"/>
            <w:vAlign w:val="center"/>
          </w:tcPr>
          <w:p w14:paraId="17A396F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shd w:val="clear" w:color="auto" w:fill="auto"/>
            <w:vAlign w:val="center"/>
          </w:tcPr>
          <w:p w14:paraId="036F44A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专有网络服务</w:t>
            </w:r>
          </w:p>
        </w:tc>
        <w:tc>
          <w:tcPr>
            <w:tcW w:w="3069" w:type="dxa"/>
            <w:shd w:val="clear" w:color="auto" w:fill="auto"/>
            <w:vAlign w:val="center"/>
          </w:tcPr>
          <w:p w14:paraId="2CD10F0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按每个VPC实例计算</w:t>
            </w:r>
          </w:p>
        </w:tc>
        <w:tc>
          <w:tcPr>
            <w:tcW w:w="1495" w:type="dxa"/>
            <w:shd w:val="clear" w:color="auto" w:fill="auto"/>
            <w:vAlign w:val="center"/>
          </w:tcPr>
          <w:p w14:paraId="35BF7E2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40</w:t>
            </w:r>
          </w:p>
        </w:tc>
      </w:tr>
      <w:tr w14:paraId="6BB8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561EDA3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79</w:t>
            </w:r>
          </w:p>
        </w:tc>
        <w:tc>
          <w:tcPr>
            <w:tcW w:w="1212" w:type="dxa"/>
            <w:vMerge w:val="restart"/>
            <w:shd w:val="clear" w:color="auto" w:fill="auto"/>
            <w:vAlign w:val="center"/>
          </w:tcPr>
          <w:p w14:paraId="37C62AB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大数据能力服务</w:t>
            </w:r>
          </w:p>
        </w:tc>
        <w:tc>
          <w:tcPr>
            <w:tcW w:w="2201" w:type="dxa"/>
            <w:shd w:val="clear" w:color="auto" w:fill="auto"/>
            <w:vAlign w:val="center"/>
          </w:tcPr>
          <w:p w14:paraId="1EDABB5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大数据计算资源单元服务</w:t>
            </w:r>
          </w:p>
        </w:tc>
        <w:tc>
          <w:tcPr>
            <w:tcW w:w="3069" w:type="dxa"/>
            <w:shd w:val="clear" w:color="auto" w:fill="auto"/>
            <w:vAlign w:val="center"/>
          </w:tcPr>
          <w:p w14:paraId="20DB056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根据实例开通的cu数，按每CU计算</w:t>
            </w:r>
          </w:p>
        </w:tc>
        <w:tc>
          <w:tcPr>
            <w:tcW w:w="1495" w:type="dxa"/>
            <w:shd w:val="clear" w:color="auto" w:fill="auto"/>
            <w:vAlign w:val="center"/>
          </w:tcPr>
          <w:p w14:paraId="1EB4D13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158</w:t>
            </w:r>
          </w:p>
        </w:tc>
      </w:tr>
      <w:tr w14:paraId="4B73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9" w:type="dxa"/>
            <w:shd w:val="clear" w:color="auto" w:fill="auto"/>
            <w:vAlign w:val="center"/>
          </w:tcPr>
          <w:p w14:paraId="3AE900D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80</w:t>
            </w:r>
          </w:p>
        </w:tc>
        <w:tc>
          <w:tcPr>
            <w:tcW w:w="1212" w:type="dxa"/>
            <w:vMerge w:val="continue"/>
            <w:shd w:val="clear" w:color="auto" w:fill="auto"/>
            <w:vAlign w:val="center"/>
          </w:tcPr>
          <w:p w14:paraId="576BF9C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shd w:val="clear" w:color="auto" w:fill="auto"/>
            <w:vAlign w:val="center"/>
          </w:tcPr>
          <w:p w14:paraId="7AC2B5E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大数据计算存储服务</w:t>
            </w:r>
          </w:p>
        </w:tc>
        <w:tc>
          <w:tcPr>
            <w:tcW w:w="3069" w:type="dxa"/>
            <w:shd w:val="clear" w:color="auto" w:fill="auto"/>
            <w:vAlign w:val="center"/>
          </w:tcPr>
          <w:p w14:paraId="52831CA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每GB容量，1GB</w:t>
            </w:r>
          </w:p>
        </w:tc>
        <w:tc>
          <w:tcPr>
            <w:tcW w:w="1495" w:type="dxa"/>
            <w:shd w:val="clear" w:color="auto" w:fill="auto"/>
            <w:vAlign w:val="center"/>
          </w:tcPr>
          <w:p w14:paraId="10094EB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r>
              <w:rPr>
                <w:rFonts w:hint="default" w:ascii="仿宋" w:hAnsi="仿宋" w:eastAsia="仿宋" w:cs="仿宋"/>
                <w:color w:val="000000"/>
                <w:kern w:val="0"/>
                <w:sz w:val="24"/>
                <w:szCs w:val="24"/>
                <w:lang w:val="en-US" w:eastAsia="zh-CN" w:bidi="ar"/>
              </w:rPr>
              <w:t>14</w:t>
            </w:r>
          </w:p>
        </w:tc>
      </w:tr>
      <w:tr w14:paraId="4558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35B139A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81</w:t>
            </w:r>
          </w:p>
        </w:tc>
        <w:tc>
          <w:tcPr>
            <w:tcW w:w="1212" w:type="dxa"/>
            <w:vMerge w:val="continue"/>
            <w:shd w:val="clear" w:color="auto" w:fill="auto"/>
            <w:vAlign w:val="center"/>
          </w:tcPr>
          <w:p w14:paraId="36D8C50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restart"/>
            <w:shd w:val="clear" w:color="auto" w:fill="auto"/>
            <w:vAlign w:val="center"/>
          </w:tcPr>
          <w:p w14:paraId="414791C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DataWorks</w:t>
            </w:r>
          </w:p>
        </w:tc>
        <w:tc>
          <w:tcPr>
            <w:tcW w:w="3069" w:type="dxa"/>
            <w:shd w:val="clear" w:color="auto" w:fill="auto"/>
            <w:vAlign w:val="center"/>
          </w:tcPr>
          <w:p w14:paraId="2C430D2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标准版；根据租户开通的版本按月收费，1套</w:t>
            </w:r>
          </w:p>
        </w:tc>
        <w:tc>
          <w:tcPr>
            <w:tcW w:w="1495" w:type="dxa"/>
            <w:shd w:val="clear" w:color="auto" w:fill="auto"/>
            <w:vAlign w:val="center"/>
          </w:tcPr>
          <w:p w14:paraId="79697A4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3212</w:t>
            </w:r>
          </w:p>
        </w:tc>
      </w:tr>
      <w:tr w14:paraId="6D32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2630E81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82</w:t>
            </w:r>
          </w:p>
        </w:tc>
        <w:tc>
          <w:tcPr>
            <w:tcW w:w="1212" w:type="dxa"/>
            <w:vMerge w:val="continue"/>
            <w:shd w:val="clear" w:color="auto" w:fill="auto"/>
            <w:vAlign w:val="center"/>
          </w:tcPr>
          <w:p w14:paraId="06B5311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705E132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3CEC238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专业版；根据租户开通的版本按月收费，1套</w:t>
            </w:r>
          </w:p>
        </w:tc>
        <w:tc>
          <w:tcPr>
            <w:tcW w:w="1495" w:type="dxa"/>
            <w:shd w:val="clear" w:color="auto" w:fill="auto"/>
            <w:vAlign w:val="center"/>
          </w:tcPr>
          <w:p w14:paraId="19AD86D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6424</w:t>
            </w:r>
          </w:p>
        </w:tc>
      </w:tr>
      <w:tr w14:paraId="198D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5365610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83</w:t>
            </w:r>
          </w:p>
        </w:tc>
        <w:tc>
          <w:tcPr>
            <w:tcW w:w="1212" w:type="dxa"/>
            <w:vMerge w:val="continue"/>
            <w:shd w:val="clear" w:color="auto" w:fill="auto"/>
            <w:vAlign w:val="center"/>
          </w:tcPr>
          <w:p w14:paraId="383030B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201" w:type="dxa"/>
            <w:vMerge w:val="continue"/>
            <w:shd w:val="clear" w:color="auto" w:fill="auto"/>
            <w:vAlign w:val="center"/>
          </w:tcPr>
          <w:p w14:paraId="1A3F5EE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3069" w:type="dxa"/>
            <w:shd w:val="clear" w:color="auto" w:fill="auto"/>
            <w:vAlign w:val="center"/>
          </w:tcPr>
          <w:p w14:paraId="06A0735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企业版；根据租户开通的版本按月收费，1套</w:t>
            </w:r>
          </w:p>
        </w:tc>
        <w:tc>
          <w:tcPr>
            <w:tcW w:w="1495" w:type="dxa"/>
            <w:shd w:val="clear" w:color="auto" w:fill="auto"/>
            <w:vAlign w:val="center"/>
          </w:tcPr>
          <w:p w14:paraId="21BFBD0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25698</w:t>
            </w:r>
          </w:p>
        </w:tc>
      </w:tr>
      <w:tr w14:paraId="728D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89" w:type="dxa"/>
            <w:shd w:val="clear" w:color="auto" w:fill="auto"/>
            <w:vAlign w:val="center"/>
          </w:tcPr>
          <w:p w14:paraId="43D7925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84</w:t>
            </w:r>
          </w:p>
        </w:tc>
        <w:tc>
          <w:tcPr>
            <w:tcW w:w="1212" w:type="dxa"/>
            <w:shd w:val="clear" w:color="auto" w:fill="auto"/>
            <w:vAlign w:val="center"/>
          </w:tcPr>
          <w:p w14:paraId="30295B2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运维审计（堡垒机）</w:t>
            </w:r>
          </w:p>
        </w:tc>
        <w:tc>
          <w:tcPr>
            <w:tcW w:w="2201" w:type="dxa"/>
            <w:shd w:val="clear" w:color="auto" w:fill="auto"/>
            <w:vAlign w:val="center"/>
          </w:tcPr>
          <w:p w14:paraId="0F25C8D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针对RDP、VNC、X11等图形终端操作的连接情况进行记录及审计</w:t>
            </w:r>
          </w:p>
        </w:tc>
        <w:tc>
          <w:tcPr>
            <w:tcW w:w="3069" w:type="dxa"/>
            <w:shd w:val="clear" w:color="auto" w:fill="auto"/>
            <w:vAlign w:val="center"/>
          </w:tcPr>
          <w:p w14:paraId="055CE10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1个资产授权</w:t>
            </w:r>
          </w:p>
        </w:tc>
        <w:tc>
          <w:tcPr>
            <w:tcW w:w="1495" w:type="dxa"/>
            <w:shd w:val="clear" w:color="auto" w:fill="auto"/>
            <w:vAlign w:val="center"/>
          </w:tcPr>
          <w:p w14:paraId="0C7CC36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20</w:t>
            </w:r>
          </w:p>
        </w:tc>
      </w:tr>
      <w:tr w14:paraId="45FC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9" w:type="dxa"/>
            <w:shd w:val="clear" w:color="auto" w:fill="auto"/>
            <w:vAlign w:val="center"/>
          </w:tcPr>
          <w:p w14:paraId="2DA136E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85</w:t>
            </w:r>
          </w:p>
        </w:tc>
        <w:tc>
          <w:tcPr>
            <w:tcW w:w="1212" w:type="dxa"/>
            <w:shd w:val="clear" w:color="auto" w:fill="auto"/>
            <w:vAlign w:val="center"/>
          </w:tcPr>
          <w:p w14:paraId="6014AE5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平台服务</w:t>
            </w:r>
          </w:p>
        </w:tc>
        <w:tc>
          <w:tcPr>
            <w:tcW w:w="2201" w:type="dxa"/>
            <w:shd w:val="clear" w:color="auto" w:fill="auto"/>
            <w:vAlign w:val="center"/>
          </w:tcPr>
          <w:p w14:paraId="3309CBB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highlight w:val="none"/>
                <w:lang w:bidi="ar"/>
              </w:rPr>
              <w:t>统一云平台管理服务</w:t>
            </w:r>
          </w:p>
        </w:tc>
        <w:tc>
          <w:tcPr>
            <w:tcW w:w="3069" w:type="dxa"/>
            <w:shd w:val="clear" w:color="auto" w:fill="auto"/>
            <w:vAlign w:val="center"/>
          </w:tcPr>
          <w:p w14:paraId="47C2095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云管平台</w:t>
            </w:r>
            <w:r>
              <w:rPr>
                <w:rFonts w:hint="eastAsia" w:ascii="仿宋" w:hAnsi="仿宋" w:eastAsia="仿宋" w:cs="仿宋"/>
                <w:color w:val="000000"/>
                <w:kern w:val="0"/>
                <w:sz w:val="24"/>
                <w:szCs w:val="24"/>
                <w:lang w:eastAsia="zh-CN" w:bidi="ar"/>
              </w:rPr>
              <w:t>服务、</w:t>
            </w:r>
            <w:r>
              <w:rPr>
                <w:rFonts w:hint="eastAsia" w:ascii="仿宋" w:hAnsi="仿宋" w:eastAsia="仿宋" w:cs="仿宋"/>
                <w:color w:val="000000"/>
                <w:kern w:val="0"/>
                <w:sz w:val="24"/>
                <w:szCs w:val="24"/>
                <w:lang w:bidi="ar"/>
              </w:rPr>
              <w:t>云管平台与IRS</w:t>
            </w:r>
            <w:r>
              <w:rPr>
                <w:rFonts w:hint="eastAsia" w:ascii="仿宋" w:hAnsi="仿宋" w:eastAsia="仿宋" w:cs="仿宋"/>
                <w:color w:val="000000"/>
                <w:kern w:val="0"/>
                <w:sz w:val="24"/>
                <w:szCs w:val="24"/>
                <w:lang w:eastAsia="zh-CN" w:bidi="ar"/>
              </w:rPr>
              <w:t>及</w:t>
            </w:r>
            <w:r>
              <w:rPr>
                <w:rFonts w:hint="eastAsia" w:ascii="仿宋" w:hAnsi="仿宋" w:eastAsia="仿宋" w:cs="仿宋"/>
                <w:color w:val="000000"/>
                <w:kern w:val="0"/>
                <w:sz w:val="24"/>
                <w:szCs w:val="24"/>
                <w:lang w:bidi="ar"/>
              </w:rPr>
              <w:t>其他系统对接</w:t>
            </w:r>
            <w:r>
              <w:rPr>
                <w:rFonts w:hint="eastAsia" w:ascii="仿宋" w:hAnsi="仿宋" w:eastAsia="仿宋" w:cs="仿宋"/>
                <w:color w:val="000000"/>
                <w:kern w:val="0"/>
                <w:sz w:val="24"/>
                <w:szCs w:val="24"/>
                <w:lang w:val="en-US" w:eastAsia="zh-CN" w:bidi="ar"/>
              </w:rPr>
              <w:t>服务。</w:t>
            </w:r>
          </w:p>
        </w:tc>
        <w:tc>
          <w:tcPr>
            <w:tcW w:w="1495" w:type="dxa"/>
            <w:shd w:val="clear" w:color="auto" w:fill="auto"/>
            <w:vAlign w:val="center"/>
          </w:tcPr>
          <w:p w14:paraId="178861E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w:t>
            </w:r>
            <w:r>
              <w:rPr>
                <w:rFonts w:hint="default" w:ascii="仿宋" w:hAnsi="仿宋" w:eastAsia="仿宋" w:cs="仿宋"/>
                <w:color w:val="000000"/>
                <w:kern w:val="0"/>
                <w:sz w:val="24"/>
                <w:szCs w:val="24"/>
                <w:lang w:val="en-US" w:eastAsia="zh-CN" w:bidi="ar"/>
              </w:rPr>
              <w:t>000</w:t>
            </w:r>
          </w:p>
        </w:tc>
      </w:tr>
    </w:tbl>
    <w:p w14:paraId="03BF4D33">
      <w:pPr>
        <w:keepNext w:val="0"/>
        <w:keepLines w:val="0"/>
        <w:pageBreakBefore w:val="0"/>
        <w:widowControl w:val="0"/>
        <w:numPr>
          <w:ilvl w:val="0"/>
          <w:numId w:val="0"/>
        </w:numPr>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（二）政务</w:t>
      </w:r>
      <w:r>
        <w:rPr>
          <w:rFonts w:hint="eastAsia" w:ascii="仿宋_GB2312" w:hAnsi="仿宋_GB2312" w:eastAsia="仿宋_GB2312" w:cs="仿宋_GB2312"/>
          <w:color w:val="000000" w:themeColor="text1"/>
          <w:sz w:val="24"/>
          <w:szCs w:val="24"/>
          <w14:textFill>
            <w14:solidFill>
              <w14:schemeClr w14:val="tx1"/>
            </w14:solidFill>
          </w14:textFill>
        </w:rPr>
        <w:t>云</w:t>
      </w:r>
      <w:r>
        <w:rPr>
          <w:rFonts w:hint="eastAsia" w:ascii="仿宋_GB2312" w:hAnsi="仿宋_GB2312" w:eastAsia="仿宋_GB2312" w:cs="仿宋_GB2312"/>
          <w:color w:val="000000" w:themeColor="text1"/>
          <w:sz w:val="24"/>
          <w:szCs w:val="24"/>
          <w:lang w:eastAsia="zh-CN"/>
          <w14:textFill>
            <w14:solidFill>
              <w14:schemeClr w14:val="tx1"/>
            </w14:solidFill>
          </w14:textFill>
        </w:rPr>
        <w:t>信创</w:t>
      </w:r>
      <w:r>
        <w:rPr>
          <w:rFonts w:hint="eastAsia" w:ascii="仿宋_GB2312" w:hAnsi="仿宋_GB2312" w:eastAsia="仿宋_GB2312" w:cs="仿宋_GB2312"/>
          <w:color w:val="000000" w:themeColor="text1"/>
          <w:sz w:val="24"/>
          <w:szCs w:val="24"/>
          <w14:textFill>
            <w14:solidFill>
              <w14:schemeClr w14:val="tx1"/>
            </w14:solidFill>
          </w14:textFill>
        </w:rPr>
        <w:t>资源</w:t>
      </w:r>
    </w:p>
    <w:tbl>
      <w:tblPr>
        <w:tblStyle w:val="15"/>
        <w:tblW w:w="8781" w:type="dxa"/>
        <w:tblInd w:w="-141" w:type="dxa"/>
        <w:shd w:val="clear" w:color="auto" w:fill="auto"/>
        <w:tblLayout w:type="fixed"/>
        <w:tblCellMar>
          <w:top w:w="0" w:type="dxa"/>
          <w:left w:w="108" w:type="dxa"/>
          <w:bottom w:w="0" w:type="dxa"/>
          <w:right w:w="108" w:type="dxa"/>
        </w:tblCellMar>
      </w:tblPr>
      <w:tblGrid>
        <w:gridCol w:w="785"/>
        <w:gridCol w:w="1246"/>
        <w:gridCol w:w="2331"/>
        <w:gridCol w:w="2851"/>
        <w:gridCol w:w="1568"/>
      </w:tblGrid>
      <w:tr w14:paraId="49514C1E">
        <w:tblPrEx>
          <w:shd w:val="clear" w:color="auto" w:fill="auto"/>
          <w:tblCellMar>
            <w:top w:w="0" w:type="dxa"/>
            <w:left w:w="108" w:type="dxa"/>
            <w:bottom w:w="0" w:type="dxa"/>
            <w:right w:w="108" w:type="dxa"/>
          </w:tblCellMar>
        </w:tblPrEx>
        <w:trPr>
          <w:cantSplit/>
          <w:trHeight w:val="992" w:hRule="atLeast"/>
          <w:tblHead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524AF5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14:paraId="4818CFF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服务类别</w:t>
            </w: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5DF7073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服务名称</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F757B5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采购规格（单位）</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3C4B21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最高限价</w:t>
            </w:r>
          </w:p>
          <w:p w14:paraId="4816255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（元/月）</w:t>
            </w:r>
          </w:p>
        </w:tc>
      </w:tr>
      <w:tr w14:paraId="00C4A0D1">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53A9C0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C2968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云主机</w:t>
            </w:r>
          </w:p>
        </w:tc>
        <w:tc>
          <w:tcPr>
            <w:tcW w:w="2331" w:type="dxa"/>
            <w:vMerge w:val="restart"/>
            <w:tcBorders>
              <w:top w:val="single" w:color="auto" w:sz="4" w:space="0"/>
              <w:left w:val="single" w:color="auto" w:sz="4" w:space="0"/>
              <w:right w:val="single" w:color="auto" w:sz="4" w:space="0"/>
            </w:tcBorders>
            <w:shd w:val="clear" w:color="auto" w:fill="auto"/>
            <w:vAlign w:val="center"/>
          </w:tcPr>
          <w:p w14:paraId="7F91235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ECS</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11052C0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两核，4GB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D4E040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114</w:t>
            </w:r>
          </w:p>
        </w:tc>
      </w:tr>
      <w:tr w14:paraId="1E2DE0C4">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261DA6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C720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439D14C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35DCBE2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两核，8GB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27AFA5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271</w:t>
            </w:r>
          </w:p>
        </w:tc>
      </w:tr>
      <w:tr w14:paraId="544AEC68">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378C74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DA21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3B3C966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77D68D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两核，16GB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D23132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377</w:t>
            </w:r>
          </w:p>
        </w:tc>
      </w:tr>
      <w:tr w14:paraId="164C3FBA">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853C9A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A0C4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16A42D2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D849D6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四核，4GB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43F16B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202</w:t>
            </w:r>
          </w:p>
        </w:tc>
      </w:tr>
      <w:tr w14:paraId="6916D9B3">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DDD5E3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0A0D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5359F8D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FE40A4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四核，8GB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0AA2622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277</w:t>
            </w:r>
          </w:p>
        </w:tc>
      </w:tr>
      <w:tr w14:paraId="71288669">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8B007F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B4DA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6E63FCA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4A8D9C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四核，16GB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DFB44F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427</w:t>
            </w:r>
          </w:p>
        </w:tc>
      </w:tr>
      <w:tr w14:paraId="42513D6D">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382E99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F245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63C80F0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7DF406B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四核，32G</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C3879C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791</w:t>
            </w:r>
          </w:p>
        </w:tc>
      </w:tr>
      <w:tr w14:paraId="70B60FD2">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5BBA67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F8B3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1A607FD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D0E961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八核，8GB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2853A9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404</w:t>
            </w:r>
          </w:p>
        </w:tc>
      </w:tr>
      <w:tr w14:paraId="1223A306">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74CED2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E01F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5E687D6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D51D97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八核，16GB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930B19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554</w:t>
            </w:r>
          </w:p>
        </w:tc>
      </w:tr>
      <w:tr w14:paraId="5EDC1A39">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48C4D3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48EC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14C63AD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7870B2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八核，32GB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A80043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855</w:t>
            </w:r>
          </w:p>
        </w:tc>
      </w:tr>
      <w:tr w14:paraId="35E42C9F">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7916F5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3D6C8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1B2DBA1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B7E0E9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八核，64GB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7025A8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1582</w:t>
            </w:r>
          </w:p>
        </w:tc>
      </w:tr>
      <w:tr w14:paraId="7F9EDEDA">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474EBB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3D90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1DC20D2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34C1F4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十六核，16GB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9D4481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1267</w:t>
            </w:r>
          </w:p>
        </w:tc>
      </w:tr>
      <w:tr w14:paraId="6894499F">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07B4296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B28EB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2481419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63C362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十六核，32GB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00FE0B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1568</w:t>
            </w:r>
          </w:p>
        </w:tc>
      </w:tr>
      <w:tr w14:paraId="40849254">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271513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C620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4745C0A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414A79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十六核，64GB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B2CE48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2382</w:t>
            </w:r>
          </w:p>
        </w:tc>
      </w:tr>
      <w:tr w14:paraId="6021BDDE">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E8B87D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BF64C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04C3D14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4B2116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十六核，96GB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A74CD0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2762</w:t>
            </w:r>
          </w:p>
        </w:tc>
      </w:tr>
      <w:tr w14:paraId="78A464E8">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FD2CBE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77070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21C58CB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7697CA3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十六核，128GB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04F077D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3143</w:t>
            </w:r>
          </w:p>
        </w:tc>
      </w:tr>
      <w:tr w14:paraId="4CE9E686">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E8FD7A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DF65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5E65F80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63C933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三十二核，32GB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9DD2EB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2320</w:t>
            </w:r>
          </w:p>
        </w:tc>
      </w:tr>
      <w:tr w14:paraId="54D9FC2E">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8B7078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493C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26AE528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B957CB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三十二核，64GB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51B937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3135</w:t>
            </w:r>
          </w:p>
        </w:tc>
      </w:tr>
      <w:tr w14:paraId="4350C4CF">
        <w:tblPrEx>
          <w:tblCellMar>
            <w:top w:w="0" w:type="dxa"/>
            <w:left w:w="108" w:type="dxa"/>
            <w:bottom w:w="0" w:type="dxa"/>
            <w:right w:w="108" w:type="dxa"/>
          </w:tblCellMar>
        </w:tblPrEx>
        <w:trPr>
          <w:cantSplit/>
          <w:trHeight w:val="381"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843045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F0C0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681E489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A132D7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三十二核，128GB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AB1281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4764</w:t>
            </w:r>
          </w:p>
        </w:tc>
      </w:tr>
      <w:tr w14:paraId="1339C39A">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177C3E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A95C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4838A22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1E54148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六十四核，128GB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F53164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6270</w:t>
            </w:r>
          </w:p>
        </w:tc>
      </w:tr>
      <w:tr w14:paraId="4642EFC8">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1869BD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8BE1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bottom w:val="single" w:color="auto" w:sz="4" w:space="0"/>
              <w:right w:val="single" w:color="auto" w:sz="4" w:space="0"/>
            </w:tcBorders>
            <w:shd w:val="clear" w:color="auto" w:fill="auto"/>
            <w:vAlign w:val="center"/>
          </w:tcPr>
          <w:p w14:paraId="6864E6D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74F01A4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六十四核，256GB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0CCDCF9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9528</w:t>
            </w:r>
          </w:p>
        </w:tc>
      </w:tr>
      <w:tr w14:paraId="081CEC87">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8E4E7A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AB4F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restart"/>
            <w:tcBorders>
              <w:top w:val="single" w:color="auto" w:sz="4" w:space="0"/>
              <w:left w:val="single" w:color="auto" w:sz="4" w:space="0"/>
              <w:right w:val="single" w:color="auto" w:sz="4" w:space="0"/>
            </w:tcBorders>
            <w:shd w:val="clear" w:color="auto" w:fill="auto"/>
            <w:vAlign w:val="center"/>
          </w:tcPr>
          <w:p w14:paraId="2DDC700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GPU</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514FA22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1*APG</w:t>
            </w:r>
            <w:r>
              <w:rPr>
                <w:rFonts w:hint="eastAsia" w:ascii="仿宋" w:hAnsi="仿宋" w:eastAsia="仿宋" w:cs="仿宋"/>
                <w:kern w:val="0"/>
                <w:sz w:val="24"/>
                <w:szCs w:val="24"/>
                <w:lang w:val="en-US" w:eastAsia="zh-CN" w:bidi="ar"/>
              </w:rPr>
              <w:t>_A</w:t>
            </w:r>
            <w:r>
              <w:rPr>
                <w:rFonts w:hint="eastAsia" w:ascii="仿宋" w:hAnsi="仿宋" w:eastAsia="仿宋" w:cs="仿宋"/>
                <w:kern w:val="0"/>
                <w:sz w:val="24"/>
                <w:szCs w:val="24"/>
                <w:lang w:bidi="ar"/>
              </w:rPr>
              <w:t>910E</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高性能智能算力</w:t>
            </w:r>
            <w:r>
              <w:rPr>
                <w:rFonts w:hint="eastAsia" w:ascii="仿宋" w:hAnsi="仿宋" w:eastAsia="仿宋" w:cs="仿宋"/>
                <w:kern w:val="0"/>
                <w:sz w:val="24"/>
                <w:szCs w:val="24"/>
                <w:lang w:eastAsia="zh-CN" w:bidi="ar"/>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267E3BF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5350</w:t>
            </w:r>
          </w:p>
        </w:tc>
      </w:tr>
      <w:tr w14:paraId="2FE6C57C">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3947D8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8BD5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1FC3D0C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6C592FD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2*APG</w:t>
            </w:r>
            <w:r>
              <w:rPr>
                <w:rFonts w:hint="eastAsia" w:ascii="仿宋" w:hAnsi="仿宋" w:eastAsia="仿宋" w:cs="仿宋"/>
                <w:kern w:val="0"/>
                <w:sz w:val="24"/>
                <w:szCs w:val="24"/>
                <w:lang w:val="en-US" w:eastAsia="zh-CN" w:bidi="ar"/>
              </w:rPr>
              <w:t>_A</w:t>
            </w:r>
            <w:r>
              <w:rPr>
                <w:rFonts w:hint="eastAsia" w:ascii="仿宋" w:hAnsi="仿宋" w:eastAsia="仿宋" w:cs="仿宋"/>
                <w:kern w:val="0"/>
                <w:sz w:val="24"/>
                <w:szCs w:val="24"/>
                <w:lang w:bidi="ar"/>
              </w:rPr>
              <w:t>910E</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高性能智能算力</w:t>
            </w:r>
            <w:r>
              <w:rPr>
                <w:rFonts w:hint="eastAsia" w:ascii="仿宋" w:hAnsi="仿宋" w:eastAsia="仿宋" w:cs="仿宋"/>
                <w:kern w:val="0"/>
                <w:sz w:val="24"/>
                <w:szCs w:val="24"/>
                <w:lang w:eastAsia="zh-CN" w:bidi="ar"/>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4B9FA73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10700</w:t>
            </w:r>
          </w:p>
        </w:tc>
      </w:tr>
      <w:tr w14:paraId="2F5F75B0">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52B97B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FA9B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6C58B59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7FA3FFB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4*APG</w:t>
            </w:r>
            <w:r>
              <w:rPr>
                <w:rFonts w:hint="eastAsia" w:ascii="仿宋" w:hAnsi="仿宋" w:eastAsia="仿宋" w:cs="仿宋"/>
                <w:kern w:val="0"/>
                <w:sz w:val="24"/>
                <w:szCs w:val="24"/>
                <w:lang w:val="en-US" w:eastAsia="zh-CN" w:bidi="ar"/>
              </w:rPr>
              <w:t>_A</w:t>
            </w:r>
            <w:r>
              <w:rPr>
                <w:rFonts w:hint="eastAsia" w:ascii="仿宋" w:hAnsi="仿宋" w:eastAsia="仿宋" w:cs="仿宋"/>
                <w:kern w:val="0"/>
                <w:sz w:val="24"/>
                <w:szCs w:val="24"/>
                <w:lang w:bidi="ar"/>
              </w:rPr>
              <w:t>910E</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高性能智能算力</w:t>
            </w:r>
            <w:r>
              <w:rPr>
                <w:rFonts w:hint="eastAsia" w:ascii="仿宋" w:hAnsi="仿宋" w:eastAsia="仿宋" w:cs="仿宋"/>
                <w:kern w:val="0"/>
                <w:sz w:val="24"/>
                <w:szCs w:val="24"/>
                <w:lang w:eastAsia="zh-CN" w:bidi="ar"/>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039D1BB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21400</w:t>
            </w:r>
          </w:p>
        </w:tc>
      </w:tr>
      <w:tr w14:paraId="71086B9E">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72B22B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F2875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34D0129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793343A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8*APG</w:t>
            </w:r>
            <w:r>
              <w:rPr>
                <w:rFonts w:hint="eastAsia" w:ascii="仿宋" w:hAnsi="仿宋" w:eastAsia="仿宋" w:cs="仿宋"/>
                <w:kern w:val="0"/>
                <w:sz w:val="24"/>
                <w:szCs w:val="24"/>
                <w:lang w:val="en-US" w:eastAsia="zh-CN" w:bidi="ar"/>
              </w:rPr>
              <w:t>_A</w:t>
            </w:r>
            <w:r>
              <w:rPr>
                <w:rFonts w:hint="eastAsia" w:ascii="仿宋" w:hAnsi="仿宋" w:eastAsia="仿宋" w:cs="仿宋"/>
                <w:kern w:val="0"/>
                <w:sz w:val="24"/>
                <w:szCs w:val="24"/>
                <w:lang w:bidi="ar"/>
              </w:rPr>
              <w:t>910E</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高性能智能算力</w:t>
            </w:r>
            <w:r>
              <w:rPr>
                <w:rFonts w:hint="eastAsia" w:ascii="仿宋" w:hAnsi="仿宋" w:eastAsia="仿宋" w:cs="仿宋"/>
                <w:kern w:val="0"/>
                <w:sz w:val="24"/>
                <w:szCs w:val="24"/>
                <w:lang w:eastAsia="zh-CN" w:bidi="ar"/>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7D9E51F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42801</w:t>
            </w:r>
          </w:p>
        </w:tc>
      </w:tr>
      <w:tr w14:paraId="7386423B">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2EFA8F9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26</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9452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13AF46D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7F2C5EA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16*APG</w:t>
            </w:r>
            <w:r>
              <w:rPr>
                <w:rFonts w:hint="eastAsia" w:ascii="仿宋" w:hAnsi="仿宋" w:eastAsia="仿宋" w:cs="仿宋"/>
                <w:kern w:val="0"/>
                <w:sz w:val="24"/>
                <w:szCs w:val="24"/>
                <w:lang w:val="en-US" w:eastAsia="zh-CN" w:bidi="ar"/>
              </w:rPr>
              <w:t>_A</w:t>
            </w:r>
            <w:r>
              <w:rPr>
                <w:rFonts w:hint="eastAsia" w:ascii="仿宋" w:hAnsi="仿宋" w:eastAsia="仿宋" w:cs="仿宋"/>
                <w:kern w:val="0"/>
                <w:sz w:val="24"/>
                <w:szCs w:val="24"/>
                <w:lang w:bidi="ar"/>
              </w:rPr>
              <w:t>910E</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高性能智能算力</w:t>
            </w:r>
            <w:r>
              <w:rPr>
                <w:rFonts w:hint="eastAsia" w:ascii="仿宋" w:hAnsi="仿宋" w:eastAsia="仿宋" w:cs="仿宋"/>
                <w:kern w:val="0"/>
                <w:sz w:val="24"/>
                <w:szCs w:val="24"/>
                <w:lang w:eastAsia="zh-CN" w:bidi="ar"/>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4420593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85603</w:t>
            </w:r>
          </w:p>
        </w:tc>
      </w:tr>
      <w:tr w14:paraId="165FDE22">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8DF3B9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27</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C478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right w:val="single" w:color="auto" w:sz="4" w:space="0"/>
            </w:tcBorders>
            <w:shd w:val="clear" w:color="auto" w:fill="auto"/>
            <w:vAlign w:val="center"/>
          </w:tcPr>
          <w:p w14:paraId="382B935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57AE2CE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highlight w:val="none"/>
                <w:lang w:bidi="ar"/>
              </w:rPr>
              <w:t>8*RDMA网络昇腾910B</w:t>
            </w:r>
            <w:r>
              <w:rPr>
                <w:rFonts w:hint="eastAsia" w:ascii="仿宋" w:hAnsi="仿宋" w:eastAsia="仿宋" w:cs="仿宋"/>
                <w:kern w:val="0"/>
                <w:sz w:val="24"/>
                <w:szCs w:val="24"/>
                <w:highlight w:val="none"/>
                <w:lang w:eastAsia="zh-CN" w:bidi="ar"/>
              </w:rPr>
              <w:t>（</w:t>
            </w:r>
            <w:r>
              <w:rPr>
                <w:rFonts w:hint="eastAsia" w:ascii="仿宋" w:hAnsi="仿宋" w:eastAsia="仿宋" w:cs="仿宋"/>
                <w:kern w:val="0"/>
                <w:sz w:val="24"/>
                <w:szCs w:val="24"/>
                <w:highlight w:val="none"/>
                <w:lang w:bidi="ar"/>
              </w:rPr>
              <w:t>高性能智能算力</w:t>
            </w:r>
            <w:r>
              <w:rPr>
                <w:rFonts w:hint="eastAsia" w:ascii="仿宋" w:hAnsi="仿宋" w:eastAsia="仿宋" w:cs="仿宋"/>
                <w:kern w:val="0"/>
                <w:sz w:val="24"/>
                <w:szCs w:val="24"/>
                <w:highlight w:val="none"/>
                <w:lang w:eastAsia="zh-CN" w:bidi="ar"/>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73D273A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88</w:t>
            </w:r>
            <w:r>
              <w:rPr>
                <w:rFonts w:hint="eastAsia" w:ascii="仿宋" w:hAnsi="仿宋" w:eastAsia="仿宋" w:cs="仿宋"/>
                <w:color w:val="000000"/>
                <w:kern w:val="0"/>
                <w:sz w:val="24"/>
                <w:szCs w:val="24"/>
                <w:lang w:bidi="ar"/>
              </w:rPr>
              <w:t>114</w:t>
            </w:r>
          </w:p>
        </w:tc>
      </w:tr>
      <w:tr w14:paraId="6C3B4207">
        <w:tblPrEx>
          <w:tblCellMar>
            <w:top w:w="0" w:type="dxa"/>
            <w:left w:w="108" w:type="dxa"/>
            <w:bottom w:w="0" w:type="dxa"/>
            <w:right w:w="108" w:type="dxa"/>
          </w:tblCellMar>
        </w:tblPrEx>
        <w:trPr>
          <w:cantSplit/>
          <w:trHeight w:val="665"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5D63DA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28</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73B7F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left w:val="single" w:color="auto" w:sz="4" w:space="0"/>
              <w:bottom w:val="single" w:color="auto" w:sz="4" w:space="0"/>
              <w:right w:val="single" w:color="auto" w:sz="4" w:space="0"/>
            </w:tcBorders>
            <w:shd w:val="clear" w:color="auto" w:fill="auto"/>
            <w:vAlign w:val="center"/>
          </w:tcPr>
          <w:p w14:paraId="6B11D7B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483E9E2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16</w:t>
            </w:r>
            <w:r>
              <w:rPr>
                <w:rFonts w:hint="eastAsia" w:ascii="仿宋" w:hAnsi="仿宋" w:eastAsia="仿宋" w:cs="仿宋"/>
                <w:kern w:val="0"/>
                <w:sz w:val="24"/>
                <w:szCs w:val="24"/>
                <w:lang w:bidi="ar"/>
              </w:rPr>
              <w:t>*RDMA网络APG</w:t>
            </w:r>
            <w:r>
              <w:rPr>
                <w:rFonts w:hint="eastAsia" w:ascii="仿宋" w:hAnsi="仿宋" w:eastAsia="仿宋" w:cs="仿宋"/>
                <w:kern w:val="0"/>
                <w:sz w:val="24"/>
                <w:szCs w:val="24"/>
                <w:lang w:val="en-US" w:eastAsia="zh-CN" w:bidi="ar"/>
              </w:rPr>
              <w:t>_A</w:t>
            </w:r>
            <w:r>
              <w:rPr>
                <w:rFonts w:hint="eastAsia" w:ascii="仿宋" w:hAnsi="仿宋" w:eastAsia="仿宋" w:cs="仿宋"/>
                <w:kern w:val="0"/>
                <w:sz w:val="24"/>
                <w:szCs w:val="24"/>
                <w:lang w:bidi="ar"/>
              </w:rPr>
              <w:t>910E</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高性能智能算力</w:t>
            </w:r>
            <w:r>
              <w:rPr>
                <w:rFonts w:hint="eastAsia" w:ascii="仿宋" w:hAnsi="仿宋" w:eastAsia="仿宋" w:cs="仿宋"/>
                <w:kern w:val="0"/>
                <w:sz w:val="24"/>
                <w:szCs w:val="24"/>
                <w:lang w:eastAsia="zh-CN" w:bidi="ar"/>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6503A69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95114</w:t>
            </w:r>
          </w:p>
        </w:tc>
      </w:tr>
      <w:tr w14:paraId="07E82A8C">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93635F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29</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8B00B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6004752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块存储－高效云盘</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1961B65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以100GB为单价，每100G</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623466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45</w:t>
            </w:r>
          </w:p>
        </w:tc>
      </w:tr>
      <w:tr w14:paraId="1B4B3AE3">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47BADC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F946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0C934E6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块存储-SSD云盘</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372530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以10GB为单价，每10GB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67EB64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r>
      <w:tr w14:paraId="6685FB67">
        <w:tblPrEx>
          <w:tblCellMar>
            <w:top w:w="0" w:type="dxa"/>
            <w:left w:w="108" w:type="dxa"/>
            <w:bottom w:w="0" w:type="dxa"/>
            <w:right w:w="108" w:type="dxa"/>
          </w:tblCellMar>
        </w:tblPrEx>
        <w:trPr>
          <w:cantSplit/>
          <w:trHeight w:val="665"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527F94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8A744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69902A8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快照</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6B750A1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根据快照所占的存储空间大小按月计费，每GB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9006F7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bidi="ar"/>
              </w:rPr>
              <w:t>0.1</w:t>
            </w:r>
            <w:r>
              <w:rPr>
                <w:rFonts w:hint="eastAsia" w:ascii="仿宋" w:hAnsi="仿宋" w:eastAsia="仿宋" w:cs="仿宋"/>
                <w:color w:val="000000"/>
                <w:kern w:val="0"/>
                <w:sz w:val="24"/>
                <w:szCs w:val="24"/>
                <w:lang w:val="en-US" w:eastAsia="zh-CN" w:bidi="ar"/>
              </w:rPr>
              <w:t>2</w:t>
            </w:r>
          </w:p>
        </w:tc>
      </w:tr>
      <w:tr w14:paraId="0418F40C">
        <w:tblPrEx>
          <w:tblCellMar>
            <w:top w:w="0" w:type="dxa"/>
            <w:left w:w="108" w:type="dxa"/>
            <w:bottom w:w="0" w:type="dxa"/>
            <w:right w:w="108" w:type="dxa"/>
          </w:tblCellMar>
        </w:tblPrEx>
        <w:trPr>
          <w:cantSplit/>
          <w:trHeight w:val="624" w:hRule="atLeast"/>
        </w:trPr>
        <w:tc>
          <w:tcPr>
            <w:tcW w:w="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71FC8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AD6F7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云数据库服务</w:t>
            </w:r>
          </w:p>
        </w:tc>
        <w:tc>
          <w:tcPr>
            <w:tcW w:w="2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33B4C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PolarDB for Mysql 关系型数据库</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292C941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2C4G（通用型）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325506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188</w:t>
            </w:r>
          </w:p>
        </w:tc>
      </w:tr>
      <w:tr w14:paraId="309CE737">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CB66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6E81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2582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3E1169C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2C8G（通用型）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8F17AE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247</w:t>
            </w:r>
          </w:p>
        </w:tc>
      </w:tr>
      <w:tr w14:paraId="7B6B5B56">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084D7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6D3D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AC95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255F0C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4C8G（通用型）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D8BE38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356</w:t>
            </w:r>
          </w:p>
        </w:tc>
      </w:tr>
      <w:tr w14:paraId="525BFB25">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BC9B6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B370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89EE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1EEF0E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4C16G（通用型）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B1C07C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638</w:t>
            </w:r>
          </w:p>
        </w:tc>
      </w:tr>
      <w:tr w14:paraId="14FB951B">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EB14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D2C3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DB2B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7250570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8C16G（通用型）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BCB242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788</w:t>
            </w:r>
          </w:p>
        </w:tc>
      </w:tr>
      <w:tr w14:paraId="7F6AF049">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25BA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F4B8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20CD4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B8F1A9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8C32G（通用型））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8D7860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1238</w:t>
            </w:r>
          </w:p>
        </w:tc>
      </w:tr>
      <w:tr w14:paraId="07A6B921">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4BBE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C5AC9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4574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1AA437C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default" w:ascii="仿宋" w:hAnsi="仿宋" w:eastAsia="仿宋" w:cs="仿宋"/>
                <w:color w:val="000000"/>
                <w:kern w:val="0"/>
                <w:sz w:val="24"/>
                <w:szCs w:val="24"/>
                <w:lang w:bidi="ar"/>
              </w:rPr>
              <w:t>16</w:t>
            </w:r>
            <w:r>
              <w:rPr>
                <w:rFonts w:hint="eastAsia" w:ascii="仿宋" w:hAnsi="仿宋" w:eastAsia="仿宋" w:cs="仿宋"/>
                <w:color w:val="000000"/>
                <w:kern w:val="0"/>
                <w:sz w:val="24"/>
                <w:szCs w:val="24"/>
                <w:lang w:bidi="ar"/>
              </w:rPr>
              <w:t>C32G（通用型））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12626A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1538</w:t>
            </w:r>
          </w:p>
        </w:tc>
      </w:tr>
      <w:tr w14:paraId="7710A3D8">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9352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DE20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95C7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78E73D0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16C64G（通用型）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AAD59B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2438</w:t>
            </w:r>
          </w:p>
        </w:tc>
      </w:tr>
      <w:tr w14:paraId="05B9D68A">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41A7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1E6A1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01B0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2DD38A1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16C128G（通用型）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378806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3855</w:t>
            </w:r>
          </w:p>
        </w:tc>
      </w:tr>
      <w:tr w14:paraId="1DA946B7">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585B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F1A1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ED4F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3B1AB5A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32C128G（通用型）</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0C9702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4869</w:t>
            </w:r>
          </w:p>
        </w:tc>
      </w:tr>
      <w:tr w14:paraId="6600115D">
        <w:tblPrEx>
          <w:tblCellMar>
            <w:top w:w="0" w:type="dxa"/>
            <w:left w:w="108" w:type="dxa"/>
            <w:bottom w:w="0" w:type="dxa"/>
            <w:right w:w="108" w:type="dxa"/>
          </w:tblCellMar>
        </w:tblPrEx>
        <w:trPr>
          <w:cantSplit/>
          <w:trHeight w:val="337" w:hRule="atLeast"/>
        </w:trPr>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CDB2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000000"/>
                <w:kern w:val="0"/>
                <w:sz w:val="24"/>
                <w:szCs w:val="24"/>
                <w:lang w:val="en-US" w:eastAsia="zh-CN" w:bidi="ar"/>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0C88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603BBE7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其他云数据库</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37CBDE4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数据库：按内存计费，每GB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B16E20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w:t>
            </w:r>
          </w:p>
        </w:tc>
      </w:tr>
      <w:tr w14:paraId="77E84A53">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A80792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33</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1E1A2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355455C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数据盘</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3EF9BC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数据盘（以G为单位）</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894345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1.2</w:t>
            </w:r>
            <w:r>
              <w:rPr>
                <w:rFonts w:hint="eastAsia" w:ascii="仿宋" w:hAnsi="仿宋" w:eastAsia="仿宋" w:cs="仿宋"/>
                <w:color w:val="000000"/>
                <w:kern w:val="0"/>
                <w:sz w:val="24"/>
                <w:szCs w:val="24"/>
                <w:lang w:val="en-US" w:eastAsia="zh-CN" w:bidi="ar"/>
              </w:rPr>
              <w:t>8</w:t>
            </w:r>
          </w:p>
        </w:tc>
      </w:tr>
      <w:tr w14:paraId="14CB51D7">
        <w:tblPrEx>
          <w:tblCellMar>
            <w:top w:w="0" w:type="dxa"/>
            <w:left w:w="108" w:type="dxa"/>
            <w:bottom w:w="0" w:type="dxa"/>
            <w:right w:w="108" w:type="dxa"/>
          </w:tblCellMar>
        </w:tblPrEx>
        <w:trPr>
          <w:cantSplit/>
          <w:trHeight w:val="624"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46AA17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34</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14:paraId="03522FC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存储服务</w:t>
            </w: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1BEB182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对象存储（OSS）</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6CF5790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根据开通的存储容量按月计费，1GB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8F4947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0.1</w:t>
            </w:r>
            <w:r>
              <w:rPr>
                <w:rFonts w:hint="default" w:ascii="仿宋" w:hAnsi="仿宋" w:eastAsia="仿宋" w:cs="仿宋"/>
                <w:color w:val="000000"/>
                <w:kern w:val="0"/>
                <w:sz w:val="24"/>
                <w:szCs w:val="24"/>
                <w:lang w:val="en-US" w:bidi="ar"/>
              </w:rPr>
              <w:t>2</w:t>
            </w:r>
          </w:p>
        </w:tc>
      </w:tr>
      <w:tr w14:paraId="7777CED6">
        <w:tblPrEx>
          <w:tblCellMar>
            <w:top w:w="0" w:type="dxa"/>
            <w:left w:w="108" w:type="dxa"/>
            <w:bottom w:w="0" w:type="dxa"/>
            <w:right w:w="108" w:type="dxa"/>
          </w:tblCellMar>
        </w:tblPrEx>
        <w:trPr>
          <w:cantSplit/>
          <w:trHeight w:val="624"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624CD3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35</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36118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网络服务</w:t>
            </w: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1EC9716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负载均衡</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23C2A8B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私网负载均衡租用，按实例个数计费</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DF20B2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15</w:t>
            </w:r>
          </w:p>
        </w:tc>
      </w:tr>
      <w:tr w14:paraId="59505953">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4192CE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36</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4FD4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0F6670B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专有网络服务</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1D5A27E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按每个VPC实例计算</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9BC66B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40</w:t>
            </w:r>
          </w:p>
        </w:tc>
      </w:tr>
      <w:tr w14:paraId="3E43E40D">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006370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37</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14:paraId="0D1C2A3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安全服务</w:t>
            </w: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6908A75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堡垒机</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0F57F0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1个资产授权</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C99AD4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20</w:t>
            </w:r>
          </w:p>
        </w:tc>
      </w:tr>
      <w:tr w14:paraId="10468CF4">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E6BAE5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38</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D8918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国产软件</w:t>
            </w:r>
          </w:p>
        </w:tc>
        <w:tc>
          <w:tcPr>
            <w:tcW w:w="2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E76E1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国产数据库</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22F83C8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达梦数据库：按套/月</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0B79BE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1800</w:t>
            </w:r>
          </w:p>
        </w:tc>
      </w:tr>
      <w:tr w14:paraId="19B7BB3D">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2F476C6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39</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B1B0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A527F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90FD62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人大数据库：按套/月</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F04A1B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1800</w:t>
            </w:r>
          </w:p>
        </w:tc>
      </w:tr>
      <w:tr w14:paraId="2E8A2057">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6DB814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40</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8647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03ED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26B499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其他数据库：按套/月</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9B5008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1700</w:t>
            </w:r>
          </w:p>
        </w:tc>
      </w:tr>
      <w:tr w14:paraId="3D64BE0A">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22215E4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41</w:t>
            </w: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6DD6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sz w:val="24"/>
                <w:szCs w:val="24"/>
              </w:rPr>
            </w:pP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14:paraId="21E0005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国产操作系统</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1146E3B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操作系统：按套/月</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C932E5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bidi="ar"/>
              </w:rPr>
            </w:pPr>
            <w:r>
              <w:rPr>
                <w:rFonts w:hint="default" w:ascii="仿宋" w:hAnsi="仿宋" w:eastAsia="仿宋" w:cs="仿宋"/>
                <w:color w:val="000000"/>
                <w:kern w:val="0"/>
                <w:sz w:val="24"/>
                <w:szCs w:val="24"/>
                <w:lang w:val="en-US" w:bidi="ar"/>
              </w:rPr>
              <w:t>80</w:t>
            </w:r>
          </w:p>
        </w:tc>
      </w:tr>
      <w:tr w14:paraId="28F417EB">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B16E65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42</w:t>
            </w:r>
          </w:p>
        </w:tc>
        <w:tc>
          <w:tcPr>
            <w:tcW w:w="1246" w:type="dxa"/>
            <w:vMerge w:val="restart"/>
            <w:tcBorders>
              <w:top w:val="single" w:color="auto" w:sz="4" w:space="0"/>
              <w:left w:val="single" w:color="auto" w:sz="4" w:space="0"/>
              <w:right w:val="single" w:color="auto" w:sz="4" w:space="0"/>
            </w:tcBorders>
            <w:shd w:val="clear" w:color="auto" w:fill="auto"/>
            <w:vAlign w:val="center"/>
          </w:tcPr>
          <w:p w14:paraId="413199F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大模型服务</w:t>
            </w:r>
          </w:p>
        </w:tc>
        <w:tc>
          <w:tcPr>
            <w:tcW w:w="2331" w:type="dxa"/>
            <w:vMerge w:val="restart"/>
            <w:tcBorders>
              <w:top w:val="single" w:color="auto" w:sz="4" w:space="0"/>
              <w:left w:val="single" w:color="auto" w:sz="4" w:space="0"/>
              <w:right w:val="single" w:color="auto" w:sz="4" w:space="0"/>
            </w:tcBorders>
            <w:shd w:val="clear" w:color="auto" w:fill="auto"/>
            <w:vAlign w:val="center"/>
          </w:tcPr>
          <w:p w14:paraId="61421DB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大模型调用服务</w:t>
            </w:r>
            <w:r>
              <w:rPr>
                <w:rFonts w:hint="eastAsia" w:ascii="仿宋" w:hAnsi="仿宋" w:eastAsia="仿宋" w:cs="仿宋"/>
                <w:color w:val="000000"/>
                <w:kern w:val="0"/>
                <w:sz w:val="24"/>
                <w:szCs w:val="24"/>
                <w:lang w:val="en-US" w:eastAsia="zh-CN" w:bidi="ar"/>
              </w:rPr>
              <w:t>（具体包含GPU资源和模型平台算力切分、模型推理加速、推理服务、服务网关、模型托管等管理功能，大模型本身不收费）</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24D5BD0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pacing w:val="0"/>
                <w:kern w:val="0"/>
                <w:sz w:val="24"/>
                <w:szCs w:val="24"/>
                <w:lang w:bidi="ar"/>
              </w:rPr>
              <w:t>7B以下小模型（含显卡）</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FBE29F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5369</w:t>
            </w:r>
          </w:p>
        </w:tc>
      </w:tr>
      <w:tr w14:paraId="6B2B5ABB">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FC1853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43</w:t>
            </w:r>
          </w:p>
        </w:tc>
        <w:tc>
          <w:tcPr>
            <w:tcW w:w="1246" w:type="dxa"/>
            <w:vMerge w:val="continue"/>
            <w:tcBorders>
              <w:left w:val="single" w:color="auto" w:sz="4" w:space="0"/>
              <w:right w:val="single" w:color="auto" w:sz="4" w:space="0"/>
            </w:tcBorders>
            <w:shd w:val="clear" w:color="auto" w:fill="auto"/>
            <w:vAlign w:val="center"/>
          </w:tcPr>
          <w:p w14:paraId="1B75635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76913F2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820FBA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lang w:bidi="ar"/>
              </w:rPr>
              <w:t>7B-1*APG</w:t>
            </w:r>
            <w:r>
              <w:rPr>
                <w:rFonts w:hint="eastAsia" w:ascii="仿宋" w:hAnsi="仿宋" w:eastAsia="仿宋" w:cs="仿宋"/>
                <w:color w:val="auto"/>
                <w:spacing w:val="0"/>
                <w:kern w:val="0"/>
                <w:sz w:val="24"/>
                <w:szCs w:val="24"/>
                <w:lang w:val="en-US" w:eastAsia="zh-CN" w:bidi="ar"/>
              </w:rPr>
              <w:t>_A</w:t>
            </w:r>
            <w:r>
              <w:rPr>
                <w:rFonts w:hint="eastAsia" w:ascii="仿宋" w:hAnsi="仿宋" w:eastAsia="仿宋" w:cs="仿宋"/>
                <w:color w:val="auto"/>
                <w:spacing w:val="0"/>
                <w:kern w:val="0"/>
                <w:sz w:val="24"/>
                <w:szCs w:val="24"/>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77AB4E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10738</w:t>
            </w:r>
          </w:p>
        </w:tc>
      </w:tr>
      <w:tr w14:paraId="566E2F22">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819F5A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44</w:t>
            </w:r>
          </w:p>
        </w:tc>
        <w:tc>
          <w:tcPr>
            <w:tcW w:w="1246" w:type="dxa"/>
            <w:vMerge w:val="continue"/>
            <w:tcBorders>
              <w:left w:val="single" w:color="auto" w:sz="4" w:space="0"/>
              <w:right w:val="single" w:color="auto" w:sz="4" w:space="0"/>
            </w:tcBorders>
            <w:shd w:val="clear" w:color="auto" w:fill="auto"/>
            <w:vAlign w:val="center"/>
          </w:tcPr>
          <w:p w14:paraId="05DEC4D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42CC90B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D2B670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bidi="ar"/>
              </w:rPr>
              <w:t>7B-1*昇腾910</w:t>
            </w:r>
            <w:r>
              <w:rPr>
                <w:rFonts w:hint="eastAsia" w:ascii="仿宋" w:hAnsi="仿宋" w:eastAsia="仿宋" w:cs="仿宋"/>
                <w:color w:val="auto"/>
                <w:spacing w:val="0"/>
                <w:kern w:val="0"/>
                <w:sz w:val="24"/>
                <w:szCs w:val="24"/>
                <w:highlight w:val="none"/>
                <w:lang w:val="en-US" w:eastAsia="zh-CN" w:bidi="ar"/>
              </w:rPr>
              <w:t>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468806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12618</w:t>
            </w:r>
          </w:p>
        </w:tc>
      </w:tr>
      <w:tr w14:paraId="3E800EAE">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537DC3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45</w:t>
            </w:r>
          </w:p>
        </w:tc>
        <w:tc>
          <w:tcPr>
            <w:tcW w:w="1246" w:type="dxa"/>
            <w:vMerge w:val="continue"/>
            <w:tcBorders>
              <w:left w:val="single" w:color="auto" w:sz="4" w:space="0"/>
              <w:right w:val="single" w:color="auto" w:sz="4" w:space="0"/>
            </w:tcBorders>
            <w:shd w:val="clear" w:color="auto" w:fill="auto"/>
            <w:vAlign w:val="center"/>
          </w:tcPr>
          <w:p w14:paraId="132ABED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4E187A9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2499D89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bidi="ar"/>
              </w:rPr>
              <w:t>14B-1*APG</w:t>
            </w:r>
            <w:r>
              <w:rPr>
                <w:rFonts w:hint="eastAsia" w:ascii="仿宋" w:hAnsi="仿宋" w:eastAsia="仿宋" w:cs="仿宋"/>
                <w:color w:val="auto"/>
                <w:spacing w:val="0"/>
                <w:kern w:val="0"/>
                <w:sz w:val="24"/>
                <w:szCs w:val="24"/>
                <w:highlight w:val="none"/>
                <w:lang w:val="en-US" w:eastAsia="zh-CN" w:bidi="ar"/>
              </w:rPr>
              <w:t>_A</w:t>
            </w:r>
            <w:r>
              <w:rPr>
                <w:rFonts w:hint="eastAsia" w:ascii="仿宋" w:hAnsi="仿宋" w:eastAsia="仿宋" w:cs="仿宋"/>
                <w:color w:val="auto"/>
                <w:spacing w:val="0"/>
                <w:kern w:val="0"/>
                <w:sz w:val="24"/>
                <w:szCs w:val="24"/>
                <w:highlight w:val="none"/>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9EBAB8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10738</w:t>
            </w:r>
          </w:p>
        </w:tc>
      </w:tr>
      <w:tr w14:paraId="2A3CA5DE">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C00762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46</w:t>
            </w:r>
          </w:p>
        </w:tc>
        <w:tc>
          <w:tcPr>
            <w:tcW w:w="1246" w:type="dxa"/>
            <w:vMerge w:val="continue"/>
            <w:tcBorders>
              <w:left w:val="single" w:color="auto" w:sz="4" w:space="0"/>
              <w:right w:val="single" w:color="auto" w:sz="4" w:space="0"/>
            </w:tcBorders>
            <w:shd w:val="clear" w:color="auto" w:fill="auto"/>
            <w:vAlign w:val="center"/>
          </w:tcPr>
          <w:p w14:paraId="670F4DF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3D1E8F4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16D5BAD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bidi="ar"/>
              </w:rPr>
              <w:t>14B-1*昇腾910</w:t>
            </w:r>
            <w:r>
              <w:rPr>
                <w:rFonts w:hint="eastAsia" w:ascii="仿宋" w:hAnsi="仿宋" w:eastAsia="仿宋" w:cs="仿宋"/>
                <w:color w:val="auto"/>
                <w:spacing w:val="0"/>
                <w:kern w:val="0"/>
                <w:sz w:val="24"/>
                <w:szCs w:val="24"/>
                <w:highlight w:val="none"/>
                <w:lang w:val="en-US" w:eastAsia="zh-CN" w:bidi="ar"/>
              </w:rPr>
              <w:t>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D888DA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12618</w:t>
            </w:r>
          </w:p>
        </w:tc>
      </w:tr>
      <w:tr w14:paraId="4A385C91">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D80E92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47</w:t>
            </w:r>
          </w:p>
        </w:tc>
        <w:tc>
          <w:tcPr>
            <w:tcW w:w="1246" w:type="dxa"/>
            <w:vMerge w:val="continue"/>
            <w:tcBorders>
              <w:left w:val="single" w:color="auto" w:sz="4" w:space="0"/>
              <w:right w:val="single" w:color="auto" w:sz="4" w:space="0"/>
            </w:tcBorders>
            <w:shd w:val="clear" w:color="auto" w:fill="auto"/>
            <w:vAlign w:val="center"/>
          </w:tcPr>
          <w:p w14:paraId="603D3D2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65B9CA9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2BFD4A1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strike/>
                <w:color w:val="auto"/>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32</w:t>
            </w:r>
            <w:r>
              <w:rPr>
                <w:rFonts w:hint="eastAsia" w:ascii="仿宋" w:hAnsi="仿宋" w:eastAsia="仿宋" w:cs="仿宋"/>
                <w:color w:val="auto"/>
                <w:spacing w:val="0"/>
                <w:kern w:val="0"/>
                <w:sz w:val="24"/>
                <w:szCs w:val="24"/>
                <w:highlight w:val="none"/>
                <w:lang w:bidi="ar"/>
              </w:rPr>
              <w:t>B-1*APG</w:t>
            </w:r>
            <w:r>
              <w:rPr>
                <w:rFonts w:hint="eastAsia" w:ascii="仿宋" w:hAnsi="仿宋" w:eastAsia="仿宋" w:cs="仿宋"/>
                <w:color w:val="auto"/>
                <w:spacing w:val="0"/>
                <w:kern w:val="0"/>
                <w:sz w:val="24"/>
                <w:szCs w:val="24"/>
                <w:highlight w:val="none"/>
                <w:lang w:val="en-US" w:eastAsia="zh-CN" w:bidi="ar"/>
              </w:rPr>
              <w:t>_A</w:t>
            </w:r>
            <w:r>
              <w:rPr>
                <w:rFonts w:hint="eastAsia" w:ascii="仿宋" w:hAnsi="仿宋" w:eastAsia="仿宋" w:cs="仿宋"/>
                <w:color w:val="auto"/>
                <w:spacing w:val="0"/>
                <w:kern w:val="0"/>
                <w:sz w:val="24"/>
                <w:szCs w:val="24"/>
                <w:highlight w:val="none"/>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B3F56F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10738</w:t>
            </w:r>
          </w:p>
        </w:tc>
      </w:tr>
      <w:tr w14:paraId="1A698D46">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F6F293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48</w:t>
            </w:r>
          </w:p>
        </w:tc>
        <w:tc>
          <w:tcPr>
            <w:tcW w:w="1246" w:type="dxa"/>
            <w:vMerge w:val="continue"/>
            <w:tcBorders>
              <w:left w:val="single" w:color="auto" w:sz="4" w:space="0"/>
              <w:right w:val="single" w:color="auto" w:sz="4" w:space="0"/>
            </w:tcBorders>
            <w:shd w:val="clear" w:color="auto" w:fill="auto"/>
            <w:vAlign w:val="center"/>
          </w:tcPr>
          <w:p w14:paraId="5B4126F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5CCC4CC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42BC572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strike/>
                <w:color w:val="auto"/>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32</w:t>
            </w:r>
            <w:r>
              <w:rPr>
                <w:rFonts w:hint="eastAsia" w:ascii="仿宋" w:hAnsi="仿宋" w:eastAsia="仿宋" w:cs="仿宋"/>
                <w:color w:val="auto"/>
                <w:spacing w:val="0"/>
                <w:kern w:val="0"/>
                <w:sz w:val="24"/>
                <w:szCs w:val="24"/>
                <w:highlight w:val="none"/>
                <w:lang w:bidi="ar"/>
              </w:rPr>
              <w:t>B-</w:t>
            </w:r>
            <w:r>
              <w:rPr>
                <w:rFonts w:hint="eastAsia" w:ascii="仿宋" w:hAnsi="仿宋" w:eastAsia="仿宋" w:cs="仿宋"/>
                <w:color w:val="auto"/>
                <w:spacing w:val="0"/>
                <w:kern w:val="0"/>
                <w:sz w:val="24"/>
                <w:szCs w:val="24"/>
                <w:highlight w:val="none"/>
                <w:lang w:val="en-US" w:eastAsia="zh-CN" w:bidi="ar"/>
              </w:rPr>
              <w:t>2</w:t>
            </w:r>
            <w:r>
              <w:rPr>
                <w:rFonts w:hint="eastAsia" w:ascii="仿宋" w:hAnsi="仿宋" w:eastAsia="仿宋" w:cs="仿宋"/>
                <w:color w:val="auto"/>
                <w:spacing w:val="0"/>
                <w:kern w:val="0"/>
                <w:sz w:val="24"/>
                <w:szCs w:val="24"/>
                <w:highlight w:val="none"/>
                <w:lang w:bidi="ar"/>
              </w:rPr>
              <w:t>*APG</w:t>
            </w:r>
            <w:r>
              <w:rPr>
                <w:rFonts w:hint="eastAsia" w:ascii="仿宋" w:hAnsi="仿宋" w:eastAsia="仿宋" w:cs="仿宋"/>
                <w:color w:val="auto"/>
                <w:spacing w:val="0"/>
                <w:kern w:val="0"/>
                <w:sz w:val="24"/>
                <w:szCs w:val="24"/>
                <w:highlight w:val="none"/>
                <w:lang w:val="en-US" w:eastAsia="zh-CN" w:bidi="ar"/>
              </w:rPr>
              <w:t>_A</w:t>
            </w:r>
            <w:r>
              <w:rPr>
                <w:rFonts w:hint="eastAsia" w:ascii="仿宋" w:hAnsi="仿宋" w:eastAsia="仿宋" w:cs="仿宋"/>
                <w:color w:val="auto"/>
                <w:spacing w:val="0"/>
                <w:kern w:val="0"/>
                <w:sz w:val="24"/>
                <w:szCs w:val="24"/>
                <w:highlight w:val="none"/>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01BA37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21476</w:t>
            </w:r>
          </w:p>
        </w:tc>
      </w:tr>
      <w:tr w14:paraId="6384D42E">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1A0984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49</w:t>
            </w:r>
          </w:p>
        </w:tc>
        <w:tc>
          <w:tcPr>
            <w:tcW w:w="1246" w:type="dxa"/>
            <w:vMerge w:val="continue"/>
            <w:tcBorders>
              <w:left w:val="single" w:color="auto" w:sz="4" w:space="0"/>
              <w:right w:val="single" w:color="auto" w:sz="4" w:space="0"/>
            </w:tcBorders>
            <w:shd w:val="clear" w:color="auto" w:fill="auto"/>
            <w:vAlign w:val="center"/>
          </w:tcPr>
          <w:p w14:paraId="17B4C40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2DA26E6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2E04341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pacing w:val="0"/>
                <w:kern w:val="0"/>
                <w:sz w:val="24"/>
                <w:szCs w:val="24"/>
                <w:lang w:val="en-US" w:eastAsia="zh-CN" w:bidi="ar"/>
              </w:rPr>
              <w:t>国产大模型32</w:t>
            </w:r>
            <w:r>
              <w:rPr>
                <w:rFonts w:hint="eastAsia" w:ascii="仿宋" w:hAnsi="仿宋" w:eastAsia="仿宋" w:cs="仿宋"/>
                <w:color w:val="auto"/>
                <w:spacing w:val="0"/>
                <w:kern w:val="0"/>
                <w:sz w:val="24"/>
                <w:szCs w:val="24"/>
                <w:lang w:bidi="ar"/>
              </w:rPr>
              <w:t>B-4*APG</w:t>
            </w:r>
            <w:r>
              <w:rPr>
                <w:rFonts w:hint="eastAsia" w:ascii="仿宋" w:hAnsi="仿宋" w:eastAsia="仿宋" w:cs="仿宋"/>
                <w:color w:val="auto"/>
                <w:spacing w:val="0"/>
                <w:kern w:val="0"/>
                <w:sz w:val="24"/>
                <w:szCs w:val="24"/>
                <w:lang w:val="en-US" w:eastAsia="zh-CN" w:bidi="ar"/>
              </w:rPr>
              <w:t>_A</w:t>
            </w:r>
            <w:r>
              <w:rPr>
                <w:rFonts w:hint="eastAsia" w:ascii="仿宋" w:hAnsi="仿宋" w:eastAsia="仿宋" w:cs="仿宋"/>
                <w:color w:val="auto"/>
                <w:spacing w:val="0"/>
                <w:kern w:val="0"/>
                <w:sz w:val="24"/>
                <w:szCs w:val="24"/>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5FCFF90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42952</w:t>
            </w:r>
          </w:p>
        </w:tc>
      </w:tr>
      <w:tr w14:paraId="132D82E0">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6E9E815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w:t>
            </w:r>
          </w:p>
        </w:tc>
        <w:tc>
          <w:tcPr>
            <w:tcW w:w="1246" w:type="dxa"/>
            <w:vMerge w:val="continue"/>
            <w:tcBorders>
              <w:left w:val="single" w:color="auto" w:sz="4" w:space="0"/>
              <w:right w:val="single" w:color="auto" w:sz="4" w:space="0"/>
            </w:tcBorders>
            <w:shd w:val="clear" w:color="auto" w:fill="auto"/>
            <w:vAlign w:val="center"/>
          </w:tcPr>
          <w:p w14:paraId="5492D82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550F3CE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3F2B656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strike/>
                <w:color w:val="auto"/>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32</w:t>
            </w:r>
            <w:r>
              <w:rPr>
                <w:rFonts w:hint="eastAsia" w:ascii="仿宋" w:hAnsi="仿宋" w:eastAsia="仿宋" w:cs="仿宋"/>
                <w:color w:val="auto"/>
                <w:spacing w:val="0"/>
                <w:kern w:val="0"/>
                <w:sz w:val="24"/>
                <w:szCs w:val="24"/>
                <w:highlight w:val="none"/>
                <w:lang w:bidi="ar"/>
              </w:rPr>
              <w:t>B-1*昇腾910</w:t>
            </w:r>
            <w:r>
              <w:rPr>
                <w:rFonts w:hint="eastAsia" w:ascii="仿宋" w:hAnsi="仿宋" w:eastAsia="仿宋" w:cs="仿宋"/>
                <w:color w:val="auto"/>
                <w:spacing w:val="0"/>
                <w:kern w:val="0"/>
                <w:sz w:val="24"/>
                <w:szCs w:val="24"/>
                <w:highlight w:val="none"/>
                <w:lang w:val="en-US" w:eastAsia="zh-CN" w:bidi="ar"/>
              </w:rPr>
              <w:t>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3F9C974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12618</w:t>
            </w:r>
          </w:p>
        </w:tc>
      </w:tr>
      <w:tr w14:paraId="33DBF0AA">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EA70D5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51</w:t>
            </w:r>
          </w:p>
        </w:tc>
        <w:tc>
          <w:tcPr>
            <w:tcW w:w="1246" w:type="dxa"/>
            <w:vMerge w:val="continue"/>
            <w:tcBorders>
              <w:left w:val="single" w:color="auto" w:sz="4" w:space="0"/>
              <w:right w:val="single" w:color="auto" w:sz="4" w:space="0"/>
            </w:tcBorders>
            <w:shd w:val="clear" w:color="auto" w:fill="auto"/>
            <w:vAlign w:val="center"/>
          </w:tcPr>
          <w:p w14:paraId="01309CB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32A2F00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70BE4FB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32</w:t>
            </w:r>
            <w:r>
              <w:rPr>
                <w:rFonts w:hint="eastAsia" w:ascii="仿宋" w:hAnsi="仿宋" w:eastAsia="仿宋" w:cs="仿宋"/>
                <w:color w:val="auto"/>
                <w:spacing w:val="0"/>
                <w:kern w:val="0"/>
                <w:sz w:val="24"/>
                <w:szCs w:val="24"/>
                <w:highlight w:val="none"/>
                <w:lang w:bidi="ar"/>
              </w:rPr>
              <w:t>B-</w:t>
            </w:r>
            <w:r>
              <w:rPr>
                <w:rFonts w:hint="eastAsia" w:ascii="仿宋" w:hAnsi="仿宋" w:eastAsia="仿宋" w:cs="仿宋"/>
                <w:color w:val="auto"/>
                <w:spacing w:val="0"/>
                <w:kern w:val="0"/>
                <w:sz w:val="24"/>
                <w:szCs w:val="24"/>
                <w:highlight w:val="none"/>
                <w:lang w:val="en-US" w:eastAsia="zh-CN" w:bidi="ar"/>
              </w:rPr>
              <w:t>2</w:t>
            </w:r>
            <w:r>
              <w:rPr>
                <w:rFonts w:hint="eastAsia" w:ascii="仿宋" w:hAnsi="仿宋" w:eastAsia="仿宋" w:cs="仿宋"/>
                <w:color w:val="auto"/>
                <w:spacing w:val="0"/>
                <w:kern w:val="0"/>
                <w:sz w:val="24"/>
                <w:szCs w:val="24"/>
                <w:highlight w:val="none"/>
                <w:lang w:bidi="ar"/>
              </w:rPr>
              <w:t>*昇腾910</w:t>
            </w:r>
            <w:r>
              <w:rPr>
                <w:rFonts w:hint="eastAsia" w:ascii="仿宋" w:hAnsi="仿宋" w:eastAsia="仿宋" w:cs="仿宋"/>
                <w:color w:val="auto"/>
                <w:spacing w:val="0"/>
                <w:kern w:val="0"/>
                <w:sz w:val="24"/>
                <w:szCs w:val="24"/>
                <w:highlight w:val="none"/>
                <w:lang w:val="en-US" w:eastAsia="zh-CN" w:bidi="ar"/>
              </w:rPr>
              <w:t>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6A615ED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25236</w:t>
            </w:r>
          </w:p>
        </w:tc>
      </w:tr>
      <w:tr w14:paraId="0A93F0B6">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8369F7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52</w:t>
            </w:r>
          </w:p>
        </w:tc>
        <w:tc>
          <w:tcPr>
            <w:tcW w:w="1246" w:type="dxa"/>
            <w:vMerge w:val="continue"/>
            <w:tcBorders>
              <w:left w:val="single" w:color="auto" w:sz="4" w:space="0"/>
              <w:right w:val="single" w:color="auto" w:sz="4" w:space="0"/>
            </w:tcBorders>
            <w:shd w:val="clear" w:color="auto" w:fill="auto"/>
            <w:vAlign w:val="center"/>
          </w:tcPr>
          <w:p w14:paraId="0CE5E66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2404685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1E710E5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32</w:t>
            </w:r>
            <w:r>
              <w:rPr>
                <w:rFonts w:hint="eastAsia" w:ascii="仿宋" w:hAnsi="仿宋" w:eastAsia="仿宋" w:cs="仿宋"/>
                <w:color w:val="auto"/>
                <w:spacing w:val="0"/>
                <w:kern w:val="0"/>
                <w:sz w:val="24"/>
                <w:szCs w:val="24"/>
                <w:highlight w:val="none"/>
                <w:lang w:bidi="ar"/>
              </w:rPr>
              <w:t>B-</w:t>
            </w:r>
            <w:r>
              <w:rPr>
                <w:rFonts w:hint="eastAsia" w:ascii="仿宋" w:hAnsi="仿宋" w:eastAsia="仿宋" w:cs="仿宋"/>
                <w:color w:val="auto"/>
                <w:spacing w:val="0"/>
                <w:kern w:val="0"/>
                <w:sz w:val="24"/>
                <w:szCs w:val="24"/>
                <w:highlight w:val="none"/>
                <w:lang w:val="en-US" w:eastAsia="zh-CN" w:bidi="ar"/>
              </w:rPr>
              <w:t>4</w:t>
            </w:r>
            <w:r>
              <w:rPr>
                <w:rFonts w:hint="eastAsia" w:ascii="仿宋" w:hAnsi="仿宋" w:eastAsia="仿宋" w:cs="仿宋"/>
                <w:color w:val="auto"/>
                <w:spacing w:val="0"/>
                <w:kern w:val="0"/>
                <w:sz w:val="24"/>
                <w:szCs w:val="24"/>
                <w:highlight w:val="none"/>
                <w:lang w:bidi="ar"/>
              </w:rPr>
              <w:t>*昇腾910</w:t>
            </w:r>
            <w:r>
              <w:rPr>
                <w:rFonts w:hint="eastAsia" w:ascii="仿宋" w:hAnsi="仿宋" w:eastAsia="仿宋" w:cs="仿宋"/>
                <w:color w:val="auto"/>
                <w:spacing w:val="0"/>
                <w:kern w:val="0"/>
                <w:sz w:val="24"/>
                <w:szCs w:val="24"/>
                <w:highlight w:val="none"/>
                <w:lang w:val="en-US" w:eastAsia="zh-CN" w:bidi="ar"/>
              </w:rPr>
              <w:t>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069295E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50472</w:t>
            </w:r>
          </w:p>
        </w:tc>
      </w:tr>
      <w:tr w14:paraId="11538DFB">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58115E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53</w:t>
            </w:r>
          </w:p>
        </w:tc>
        <w:tc>
          <w:tcPr>
            <w:tcW w:w="1246" w:type="dxa"/>
            <w:vMerge w:val="continue"/>
            <w:tcBorders>
              <w:left w:val="single" w:color="auto" w:sz="4" w:space="0"/>
              <w:right w:val="single" w:color="auto" w:sz="4" w:space="0"/>
            </w:tcBorders>
            <w:shd w:val="clear" w:color="auto" w:fill="auto"/>
            <w:vAlign w:val="center"/>
          </w:tcPr>
          <w:p w14:paraId="017F297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29408A0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3954F7E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strike/>
                <w:color w:val="auto"/>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72</w:t>
            </w:r>
            <w:r>
              <w:rPr>
                <w:rFonts w:hint="eastAsia" w:ascii="仿宋" w:hAnsi="仿宋" w:eastAsia="仿宋" w:cs="仿宋"/>
                <w:color w:val="auto"/>
                <w:spacing w:val="0"/>
                <w:kern w:val="0"/>
                <w:sz w:val="24"/>
                <w:szCs w:val="24"/>
                <w:highlight w:val="none"/>
                <w:lang w:bidi="ar"/>
              </w:rPr>
              <w:t>B-1*APG</w:t>
            </w:r>
            <w:r>
              <w:rPr>
                <w:rFonts w:hint="eastAsia" w:ascii="仿宋" w:hAnsi="仿宋" w:eastAsia="仿宋" w:cs="仿宋"/>
                <w:color w:val="auto"/>
                <w:spacing w:val="0"/>
                <w:kern w:val="0"/>
                <w:sz w:val="24"/>
                <w:szCs w:val="24"/>
                <w:highlight w:val="none"/>
                <w:lang w:val="en-US" w:eastAsia="zh-CN" w:bidi="ar"/>
              </w:rPr>
              <w:t>_A</w:t>
            </w:r>
            <w:r>
              <w:rPr>
                <w:rFonts w:hint="eastAsia" w:ascii="仿宋" w:hAnsi="仿宋" w:eastAsia="仿宋" w:cs="仿宋"/>
                <w:color w:val="auto"/>
                <w:spacing w:val="0"/>
                <w:kern w:val="0"/>
                <w:sz w:val="24"/>
                <w:szCs w:val="24"/>
                <w:highlight w:val="none"/>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273A23D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10738</w:t>
            </w:r>
          </w:p>
        </w:tc>
      </w:tr>
      <w:tr w14:paraId="15C50AD8">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015444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54</w:t>
            </w:r>
          </w:p>
        </w:tc>
        <w:tc>
          <w:tcPr>
            <w:tcW w:w="1246" w:type="dxa"/>
            <w:vMerge w:val="continue"/>
            <w:tcBorders>
              <w:left w:val="single" w:color="auto" w:sz="4" w:space="0"/>
              <w:right w:val="single" w:color="auto" w:sz="4" w:space="0"/>
            </w:tcBorders>
            <w:shd w:val="clear" w:color="auto" w:fill="auto"/>
            <w:vAlign w:val="center"/>
          </w:tcPr>
          <w:p w14:paraId="3B019C8B">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73A8E28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3E26179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strike/>
                <w:color w:val="auto"/>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72</w:t>
            </w:r>
            <w:r>
              <w:rPr>
                <w:rFonts w:hint="eastAsia" w:ascii="仿宋" w:hAnsi="仿宋" w:eastAsia="仿宋" w:cs="仿宋"/>
                <w:color w:val="auto"/>
                <w:spacing w:val="0"/>
                <w:kern w:val="0"/>
                <w:sz w:val="24"/>
                <w:szCs w:val="24"/>
                <w:highlight w:val="none"/>
                <w:lang w:bidi="ar"/>
              </w:rPr>
              <w:t>B-</w:t>
            </w:r>
            <w:r>
              <w:rPr>
                <w:rFonts w:hint="eastAsia" w:ascii="仿宋" w:hAnsi="仿宋" w:eastAsia="仿宋" w:cs="仿宋"/>
                <w:color w:val="auto"/>
                <w:spacing w:val="0"/>
                <w:kern w:val="0"/>
                <w:sz w:val="24"/>
                <w:szCs w:val="24"/>
                <w:highlight w:val="none"/>
                <w:lang w:val="en-US" w:eastAsia="zh-CN" w:bidi="ar"/>
              </w:rPr>
              <w:t>2</w:t>
            </w:r>
            <w:r>
              <w:rPr>
                <w:rFonts w:hint="eastAsia" w:ascii="仿宋" w:hAnsi="仿宋" w:eastAsia="仿宋" w:cs="仿宋"/>
                <w:color w:val="auto"/>
                <w:spacing w:val="0"/>
                <w:kern w:val="0"/>
                <w:sz w:val="24"/>
                <w:szCs w:val="24"/>
                <w:highlight w:val="none"/>
                <w:lang w:bidi="ar"/>
              </w:rPr>
              <w:t>*APG</w:t>
            </w:r>
            <w:r>
              <w:rPr>
                <w:rFonts w:hint="eastAsia" w:ascii="仿宋" w:hAnsi="仿宋" w:eastAsia="仿宋" w:cs="仿宋"/>
                <w:color w:val="auto"/>
                <w:spacing w:val="0"/>
                <w:kern w:val="0"/>
                <w:sz w:val="24"/>
                <w:szCs w:val="24"/>
                <w:highlight w:val="none"/>
                <w:lang w:val="en-US" w:eastAsia="zh-CN" w:bidi="ar"/>
              </w:rPr>
              <w:t>_A</w:t>
            </w:r>
            <w:r>
              <w:rPr>
                <w:rFonts w:hint="eastAsia" w:ascii="仿宋" w:hAnsi="仿宋" w:eastAsia="仿宋" w:cs="仿宋"/>
                <w:color w:val="auto"/>
                <w:spacing w:val="0"/>
                <w:kern w:val="0"/>
                <w:sz w:val="24"/>
                <w:szCs w:val="24"/>
                <w:highlight w:val="none"/>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023372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21476</w:t>
            </w:r>
          </w:p>
        </w:tc>
      </w:tr>
      <w:tr w14:paraId="49CCE298">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9AD633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55</w:t>
            </w:r>
          </w:p>
        </w:tc>
        <w:tc>
          <w:tcPr>
            <w:tcW w:w="1246" w:type="dxa"/>
            <w:vMerge w:val="continue"/>
            <w:tcBorders>
              <w:left w:val="single" w:color="auto" w:sz="4" w:space="0"/>
              <w:right w:val="single" w:color="auto" w:sz="4" w:space="0"/>
            </w:tcBorders>
            <w:shd w:val="clear" w:color="auto" w:fill="auto"/>
            <w:vAlign w:val="center"/>
          </w:tcPr>
          <w:p w14:paraId="4A3F0C3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44B19BE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2155E8B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pacing w:val="0"/>
                <w:kern w:val="0"/>
                <w:sz w:val="24"/>
                <w:szCs w:val="24"/>
                <w:lang w:val="en-US" w:eastAsia="zh-CN" w:bidi="ar"/>
              </w:rPr>
              <w:t>国产大模型72</w:t>
            </w:r>
            <w:r>
              <w:rPr>
                <w:rFonts w:hint="eastAsia" w:ascii="仿宋" w:hAnsi="仿宋" w:eastAsia="仿宋" w:cs="仿宋"/>
                <w:color w:val="auto"/>
                <w:spacing w:val="0"/>
                <w:kern w:val="0"/>
                <w:sz w:val="24"/>
                <w:szCs w:val="24"/>
                <w:lang w:bidi="ar"/>
              </w:rPr>
              <w:t>B-4*APG</w:t>
            </w:r>
            <w:r>
              <w:rPr>
                <w:rFonts w:hint="eastAsia" w:ascii="仿宋" w:hAnsi="仿宋" w:eastAsia="仿宋" w:cs="仿宋"/>
                <w:color w:val="auto"/>
                <w:spacing w:val="0"/>
                <w:kern w:val="0"/>
                <w:sz w:val="24"/>
                <w:szCs w:val="24"/>
                <w:lang w:val="en-US" w:eastAsia="zh-CN" w:bidi="ar"/>
              </w:rPr>
              <w:t>_A</w:t>
            </w:r>
            <w:r>
              <w:rPr>
                <w:rFonts w:hint="eastAsia" w:ascii="仿宋" w:hAnsi="仿宋" w:eastAsia="仿宋" w:cs="仿宋"/>
                <w:color w:val="auto"/>
                <w:spacing w:val="0"/>
                <w:kern w:val="0"/>
                <w:sz w:val="24"/>
                <w:szCs w:val="24"/>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5BF7766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42952</w:t>
            </w:r>
          </w:p>
        </w:tc>
      </w:tr>
      <w:tr w14:paraId="07B15DCF">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01A7D58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56</w:t>
            </w:r>
          </w:p>
        </w:tc>
        <w:tc>
          <w:tcPr>
            <w:tcW w:w="1246" w:type="dxa"/>
            <w:vMerge w:val="continue"/>
            <w:tcBorders>
              <w:left w:val="single" w:color="auto" w:sz="4" w:space="0"/>
              <w:right w:val="single" w:color="auto" w:sz="4" w:space="0"/>
            </w:tcBorders>
            <w:shd w:val="clear" w:color="auto" w:fill="auto"/>
            <w:vAlign w:val="center"/>
          </w:tcPr>
          <w:p w14:paraId="0A3E1F37">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22F7706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7FEEBFB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spacing w:val="0"/>
                <w:kern w:val="0"/>
                <w:sz w:val="24"/>
                <w:szCs w:val="24"/>
                <w:lang w:val="en-US" w:eastAsia="zh-CN" w:bidi="ar"/>
              </w:rPr>
            </w:pPr>
            <w:r>
              <w:rPr>
                <w:rFonts w:hint="eastAsia" w:ascii="仿宋" w:hAnsi="仿宋" w:eastAsia="仿宋" w:cs="仿宋"/>
                <w:color w:val="auto"/>
                <w:spacing w:val="0"/>
                <w:kern w:val="0"/>
                <w:sz w:val="24"/>
                <w:szCs w:val="24"/>
                <w:lang w:val="en-US" w:eastAsia="zh-CN" w:bidi="ar"/>
              </w:rPr>
              <w:t>国产大模型72</w:t>
            </w:r>
            <w:r>
              <w:rPr>
                <w:rFonts w:hint="eastAsia" w:ascii="仿宋" w:hAnsi="仿宋" w:eastAsia="仿宋" w:cs="仿宋"/>
                <w:color w:val="auto"/>
                <w:spacing w:val="0"/>
                <w:kern w:val="0"/>
                <w:sz w:val="24"/>
                <w:szCs w:val="24"/>
                <w:lang w:bidi="ar"/>
              </w:rPr>
              <w:t>B-</w:t>
            </w:r>
            <w:r>
              <w:rPr>
                <w:rFonts w:hint="eastAsia" w:ascii="仿宋" w:hAnsi="仿宋" w:eastAsia="仿宋" w:cs="仿宋"/>
                <w:color w:val="auto"/>
                <w:spacing w:val="0"/>
                <w:kern w:val="0"/>
                <w:sz w:val="24"/>
                <w:szCs w:val="24"/>
                <w:lang w:val="en-US" w:eastAsia="zh-CN" w:bidi="ar"/>
              </w:rPr>
              <w:t>8</w:t>
            </w:r>
            <w:r>
              <w:rPr>
                <w:rFonts w:hint="eastAsia" w:ascii="仿宋" w:hAnsi="仿宋" w:eastAsia="仿宋" w:cs="仿宋"/>
                <w:color w:val="auto"/>
                <w:spacing w:val="0"/>
                <w:kern w:val="0"/>
                <w:sz w:val="24"/>
                <w:szCs w:val="24"/>
                <w:lang w:bidi="ar"/>
              </w:rPr>
              <w:t>*APG</w:t>
            </w:r>
            <w:r>
              <w:rPr>
                <w:rFonts w:hint="eastAsia" w:ascii="仿宋" w:hAnsi="仿宋" w:eastAsia="仿宋" w:cs="仿宋"/>
                <w:color w:val="auto"/>
                <w:spacing w:val="0"/>
                <w:kern w:val="0"/>
                <w:sz w:val="24"/>
                <w:szCs w:val="24"/>
                <w:lang w:val="en-US" w:eastAsia="zh-CN" w:bidi="ar"/>
              </w:rPr>
              <w:t>_A</w:t>
            </w:r>
            <w:r>
              <w:rPr>
                <w:rFonts w:hint="eastAsia" w:ascii="仿宋" w:hAnsi="仿宋" w:eastAsia="仿宋" w:cs="仿宋"/>
                <w:color w:val="auto"/>
                <w:spacing w:val="0"/>
                <w:kern w:val="0"/>
                <w:sz w:val="24"/>
                <w:szCs w:val="24"/>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0E8EE9B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85904</w:t>
            </w:r>
          </w:p>
        </w:tc>
      </w:tr>
      <w:tr w14:paraId="0A06EA05">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12585E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57</w:t>
            </w:r>
          </w:p>
        </w:tc>
        <w:tc>
          <w:tcPr>
            <w:tcW w:w="1246" w:type="dxa"/>
            <w:vMerge w:val="continue"/>
            <w:tcBorders>
              <w:left w:val="single" w:color="auto" w:sz="4" w:space="0"/>
              <w:right w:val="single" w:color="auto" w:sz="4" w:space="0"/>
            </w:tcBorders>
            <w:shd w:val="clear" w:color="auto" w:fill="auto"/>
            <w:vAlign w:val="center"/>
          </w:tcPr>
          <w:p w14:paraId="705FDE9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3EAED69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2139ED1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eastAsia" w:ascii="仿宋" w:hAnsi="仿宋" w:eastAsia="仿宋" w:cs="仿宋"/>
                <w:color w:val="auto"/>
                <w:spacing w:val="0"/>
                <w:kern w:val="0"/>
                <w:sz w:val="24"/>
                <w:szCs w:val="24"/>
                <w:lang w:val="en-US" w:eastAsia="zh-CN" w:bidi="ar"/>
              </w:rPr>
            </w:pPr>
            <w:r>
              <w:rPr>
                <w:rFonts w:hint="eastAsia" w:ascii="仿宋" w:hAnsi="仿宋" w:eastAsia="仿宋" w:cs="仿宋"/>
                <w:color w:val="auto"/>
                <w:spacing w:val="0"/>
                <w:kern w:val="0"/>
                <w:sz w:val="24"/>
                <w:szCs w:val="24"/>
                <w:lang w:val="en-US" w:eastAsia="zh-CN" w:bidi="ar"/>
              </w:rPr>
              <w:t>国产大模型72</w:t>
            </w:r>
            <w:r>
              <w:rPr>
                <w:rFonts w:hint="eastAsia" w:ascii="仿宋" w:hAnsi="仿宋" w:eastAsia="仿宋" w:cs="仿宋"/>
                <w:color w:val="auto"/>
                <w:spacing w:val="0"/>
                <w:kern w:val="0"/>
                <w:sz w:val="24"/>
                <w:szCs w:val="24"/>
                <w:lang w:bidi="ar"/>
              </w:rPr>
              <w:t>B-</w:t>
            </w:r>
            <w:r>
              <w:rPr>
                <w:rFonts w:hint="eastAsia" w:ascii="仿宋" w:hAnsi="仿宋" w:eastAsia="仿宋" w:cs="仿宋"/>
                <w:color w:val="auto"/>
                <w:spacing w:val="0"/>
                <w:kern w:val="0"/>
                <w:sz w:val="24"/>
                <w:szCs w:val="24"/>
                <w:lang w:val="en-US" w:eastAsia="zh-CN" w:bidi="ar"/>
              </w:rPr>
              <w:t>16</w:t>
            </w:r>
            <w:r>
              <w:rPr>
                <w:rFonts w:hint="eastAsia" w:ascii="仿宋" w:hAnsi="仿宋" w:eastAsia="仿宋" w:cs="仿宋"/>
                <w:color w:val="auto"/>
                <w:spacing w:val="0"/>
                <w:kern w:val="0"/>
                <w:sz w:val="24"/>
                <w:szCs w:val="24"/>
                <w:lang w:bidi="ar"/>
              </w:rPr>
              <w:t>*APG</w:t>
            </w:r>
            <w:r>
              <w:rPr>
                <w:rFonts w:hint="eastAsia" w:ascii="仿宋" w:hAnsi="仿宋" w:eastAsia="仿宋" w:cs="仿宋"/>
                <w:color w:val="auto"/>
                <w:spacing w:val="0"/>
                <w:kern w:val="0"/>
                <w:sz w:val="24"/>
                <w:szCs w:val="24"/>
                <w:lang w:val="en-US" w:eastAsia="zh-CN" w:bidi="ar"/>
              </w:rPr>
              <w:t>_A</w:t>
            </w:r>
            <w:r>
              <w:rPr>
                <w:rFonts w:hint="eastAsia" w:ascii="仿宋" w:hAnsi="仿宋" w:eastAsia="仿宋" w:cs="仿宋"/>
                <w:color w:val="auto"/>
                <w:spacing w:val="0"/>
                <w:kern w:val="0"/>
                <w:sz w:val="24"/>
                <w:szCs w:val="24"/>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7174E87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171808</w:t>
            </w:r>
          </w:p>
        </w:tc>
      </w:tr>
      <w:tr w14:paraId="35770D8D">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18CC2A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58</w:t>
            </w:r>
          </w:p>
        </w:tc>
        <w:tc>
          <w:tcPr>
            <w:tcW w:w="1246" w:type="dxa"/>
            <w:vMerge w:val="continue"/>
            <w:tcBorders>
              <w:left w:val="single" w:color="auto" w:sz="4" w:space="0"/>
              <w:right w:val="single" w:color="auto" w:sz="4" w:space="0"/>
            </w:tcBorders>
            <w:shd w:val="clear" w:color="auto" w:fill="auto"/>
            <w:vAlign w:val="center"/>
          </w:tcPr>
          <w:p w14:paraId="50DFE11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7BB9A24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2EDF059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72</w:t>
            </w:r>
            <w:r>
              <w:rPr>
                <w:rFonts w:hint="eastAsia" w:ascii="仿宋" w:hAnsi="仿宋" w:eastAsia="仿宋" w:cs="仿宋"/>
                <w:color w:val="auto"/>
                <w:spacing w:val="0"/>
                <w:kern w:val="0"/>
                <w:sz w:val="24"/>
                <w:szCs w:val="24"/>
                <w:highlight w:val="none"/>
                <w:lang w:bidi="ar"/>
              </w:rPr>
              <w:t>B-</w:t>
            </w:r>
            <w:r>
              <w:rPr>
                <w:rFonts w:hint="eastAsia" w:ascii="仿宋" w:hAnsi="仿宋" w:eastAsia="仿宋" w:cs="仿宋"/>
                <w:color w:val="auto"/>
                <w:spacing w:val="0"/>
                <w:kern w:val="0"/>
                <w:sz w:val="24"/>
                <w:szCs w:val="24"/>
                <w:highlight w:val="none"/>
                <w:lang w:val="en-US" w:eastAsia="zh-CN" w:bidi="ar"/>
              </w:rPr>
              <w:t>2</w:t>
            </w:r>
            <w:r>
              <w:rPr>
                <w:rFonts w:hint="eastAsia" w:ascii="仿宋" w:hAnsi="仿宋" w:eastAsia="仿宋" w:cs="仿宋"/>
                <w:color w:val="auto"/>
                <w:spacing w:val="0"/>
                <w:kern w:val="0"/>
                <w:sz w:val="24"/>
                <w:szCs w:val="24"/>
                <w:highlight w:val="none"/>
                <w:lang w:bidi="ar"/>
              </w:rPr>
              <w:t>*昇腾910</w:t>
            </w:r>
            <w:r>
              <w:rPr>
                <w:rFonts w:hint="eastAsia" w:ascii="仿宋" w:hAnsi="仿宋" w:eastAsia="仿宋" w:cs="仿宋"/>
                <w:color w:val="auto"/>
                <w:spacing w:val="0"/>
                <w:kern w:val="0"/>
                <w:sz w:val="24"/>
                <w:szCs w:val="24"/>
                <w:highlight w:val="none"/>
                <w:lang w:val="en-US" w:eastAsia="zh-CN" w:bidi="ar"/>
              </w:rPr>
              <w:t>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1BBF668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25236</w:t>
            </w:r>
          </w:p>
        </w:tc>
      </w:tr>
      <w:tr w14:paraId="59CD6D76">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4BD728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59</w:t>
            </w:r>
          </w:p>
        </w:tc>
        <w:tc>
          <w:tcPr>
            <w:tcW w:w="1246" w:type="dxa"/>
            <w:vMerge w:val="continue"/>
            <w:tcBorders>
              <w:left w:val="single" w:color="auto" w:sz="4" w:space="0"/>
              <w:right w:val="single" w:color="auto" w:sz="4" w:space="0"/>
            </w:tcBorders>
            <w:shd w:val="clear" w:color="auto" w:fill="auto"/>
            <w:vAlign w:val="center"/>
          </w:tcPr>
          <w:p w14:paraId="531B997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2C1677C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6DA3787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72</w:t>
            </w:r>
            <w:r>
              <w:rPr>
                <w:rFonts w:hint="eastAsia" w:ascii="仿宋" w:hAnsi="仿宋" w:eastAsia="仿宋" w:cs="仿宋"/>
                <w:color w:val="auto"/>
                <w:spacing w:val="0"/>
                <w:kern w:val="0"/>
                <w:sz w:val="24"/>
                <w:szCs w:val="24"/>
                <w:highlight w:val="none"/>
                <w:lang w:bidi="ar"/>
              </w:rPr>
              <w:t>B-</w:t>
            </w:r>
            <w:r>
              <w:rPr>
                <w:rFonts w:hint="eastAsia" w:ascii="仿宋" w:hAnsi="仿宋" w:eastAsia="仿宋" w:cs="仿宋"/>
                <w:color w:val="auto"/>
                <w:spacing w:val="0"/>
                <w:kern w:val="0"/>
                <w:sz w:val="24"/>
                <w:szCs w:val="24"/>
                <w:highlight w:val="none"/>
                <w:lang w:val="en-US" w:eastAsia="zh-CN" w:bidi="ar"/>
              </w:rPr>
              <w:t>4</w:t>
            </w:r>
            <w:r>
              <w:rPr>
                <w:rFonts w:hint="eastAsia" w:ascii="仿宋" w:hAnsi="仿宋" w:eastAsia="仿宋" w:cs="仿宋"/>
                <w:color w:val="auto"/>
                <w:spacing w:val="0"/>
                <w:kern w:val="0"/>
                <w:sz w:val="24"/>
                <w:szCs w:val="24"/>
                <w:highlight w:val="none"/>
                <w:lang w:bidi="ar"/>
              </w:rPr>
              <w:t>*昇腾910</w:t>
            </w:r>
            <w:r>
              <w:rPr>
                <w:rFonts w:hint="eastAsia" w:ascii="仿宋" w:hAnsi="仿宋" w:eastAsia="仿宋" w:cs="仿宋"/>
                <w:color w:val="auto"/>
                <w:spacing w:val="0"/>
                <w:kern w:val="0"/>
                <w:sz w:val="24"/>
                <w:szCs w:val="24"/>
                <w:highlight w:val="none"/>
                <w:lang w:val="en-US" w:eastAsia="zh-CN" w:bidi="ar"/>
              </w:rPr>
              <w:t>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43E5886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50472</w:t>
            </w:r>
          </w:p>
        </w:tc>
      </w:tr>
      <w:tr w14:paraId="4143C4C0">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C3D614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60</w:t>
            </w:r>
          </w:p>
        </w:tc>
        <w:tc>
          <w:tcPr>
            <w:tcW w:w="1246" w:type="dxa"/>
            <w:vMerge w:val="continue"/>
            <w:tcBorders>
              <w:left w:val="single" w:color="auto" w:sz="4" w:space="0"/>
              <w:right w:val="single" w:color="auto" w:sz="4" w:space="0"/>
            </w:tcBorders>
            <w:shd w:val="clear" w:color="auto" w:fill="auto"/>
            <w:vAlign w:val="center"/>
          </w:tcPr>
          <w:p w14:paraId="1A9E1FF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73B5A55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560AA53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72</w:t>
            </w:r>
            <w:r>
              <w:rPr>
                <w:rFonts w:hint="eastAsia" w:ascii="仿宋" w:hAnsi="仿宋" w:eastAsia="仿宋" w:cs="仿宋"/>
                <w:color w:val="auto"/>
                <w:spacing w:val="0"/>
                <w:kern w:val="0"/>
                <w:sz w:val="24"/>
                <w:szCs w:val="24"/>
                <w:highlight w:val="none"/>
                <w:lang w:bidi="ar"/>
              </w:rPr>
              <w:t>B-</w:t>
            </w:r>
            <w:r>
              <w:rPr>
                <w:rFonts w:hint="eastAsia" w:ascii="仿宋" w:hAnsi="仿宋" w:eastAsia="仿宋" w:cs="仿宋"/>
                <w:color w:val="auto"/>
                <w:spacing w:val="0"/>
                <w:kern w:val="0"/>
                <w:sz w:val="24"/>
                <w:szCs w:val="24"/>
                <w:highlight w:val="none"/>
                <w:lang w:val="en-US" w:eastAsia="zh-CN" w:bidi="ar"/>
              </w:rPr>
              <w:t>8</w:t>
            </w:r>
            <w:r>
              <w:rPr>
                <w:rFonts w:hint="eastAsia" w:ascii="仿宋" w:hAnsi="仿宋" w:eastAsia="仿宋" w:cs="仿宋"/>
                <w:color w:val="auto"/>
                <w:spacing w:val="0"/>
                <w:kern w:val="0"/>
                <w:sz w:val="24"/>
                <w:szCs w:val="24"/>
                <w:highlight w:val="none"/>
                <w:lang w:bidi="ar"/>
              </w:rPr>
              <w:t>*昇腾910</w:t>
            </w:r>
            <w:r>
              <w:rPr>
                <w:rFonts w:hint="eastAsia" w:ascii="仿宋" w:hAnsi="仿宋" w:eastAsia="仿宋" w:cs="仿宋"/>
                <w:color w:val="auto"/>
                <w:spacing w:val="0"/>
                <w:kern w:val="0"/>
                <w:sz w:val="24"/>
                <w:szCs w:val="24"/>
                <w:highlight w:val="none"/>
                <w:lang w:val="en-US" w:eastAsia="zh-CN" w:bidi="ar"/>
              </w:rPr>
              <w:t>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3C080FD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100944</w:t>
            </w:r>
          </w:p>
        </w:tc>
      </w:tr>
      <w:tr w14:paraId="2301B49F">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CCE4F8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61</w:t>
            </w:r>
          </w:p>
        </w:tc>
        <w:tc>
          <w:tcPr>
            <w:tcW w:w="1246" w:type="dxa"/>
            <w:vMerge w:val="continue"/>
            <w:tcBorders>
              <w:left w:val="single" w:color="auto" w:sz="4" w:space="0"/>
              <w:right w:val="single" w:color="auto" w:sz="4" w:space="0"/>
            </w:tcBorders>
            <w:shd w:val="clear" w:color="auto" w:fill="auto"/>
            <w:vAlign w:val="center"/>
          </w:tcPr>
          <w:p w14:paraId="08904C2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6D62687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839A99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auto"/>
                <w:spacing w:val="0"/>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671</w:t>
            </w:r>
            <w:r>
              <w:rPr>
                <w:rFonts w:hint="eastAsia" w:ascii="仿宋" w:hAnsi="仿宋" w:eastAsia="仿宋" w:cs="仿宋"/>
                <w:color w:val="auto"/>
                <w:spacing w:val="0"/>
                <w:kern w:val="0"/>
                <w:sz w:val="24"/>
                <w:szCs w:val="24"/>
                <w:highlight w:val="none"/>
                <w:lang w:bidi="ar"/>
              </w:rPr>
              <w:t>B-</w:t>
            </w:r>
            <w:r>
              <w:rPr>
                <w:rFonts w:hint="eastAsia" w:ascii="仿宋" w:hAnsi="仿宋" w:eastAsia="仿宋" w:cs="仿宋"/>
                <w:color w:val="auto"/>
                <w:spacing w:val="0"/>
                <w:kern w:val="0"/>
                <w:sz w:val="24"/>
                <w:szCs w:val="24"/>
                <w:highlight w:val="none"/>
                <w:lang w:val="en-US" w:eastAsia="zh-CN" w:bidi="ar"/>
              </w:rPr>
              <w:t>32</w:t>
            </w:r>
            <w:r>
              <w:rPr>
                <w:rFonts w:hint="eastAsia" w:ascii="仿宋" w:hAnsi="仿宋" w:eastAsia="仿宋" w:cs="仿宋"/>
                <w:color w:val="auto"/>
                <w:spacing w:val="0"/>
                <w:kern w:val="0"/>
                <w:sz w:val="24"/>
                <w:szCs w:val="24"/>
                <w:highlight w:val="none"/>
                <w:lang w:bidi="ar"/>
              </w:rPr>
              <w:t>*昇腾910</w:t>
            </w:r>
            <w:r>
              <w:rPr>
                <w:rFonts w:hint="eastAsia" w:ascii="仿宋" w:hAnsi="仿宋" w:eastAsia="仿宋" w:cs="仿宋"/>
                <w:color w:val="auto"/>
                <w:spacing w:val="0"/>
                <w:kern w:val="0"/>
                <w:sz w:val="24"/>
                <w:szCs w:val="24"/>
                <w:highlight w:val="none"/>
                <w:lang w:val="en-US" w:eastAsia="zh-CN" w:bidi="ar"/>
              </w:rPr>
              <w:t>B</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230498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403776</w:t>
            </w:r>
          </w:p>
        </w:tc>
      </w:tr>
      <w:tr w14:paraId="6298710B">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0DCC13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62</w:t>
            </w:r>
          </w:p>
        </w:tc>
        <w:tc>
          <w:tcPr>
            <w:tcW w:w="1246" w:type="dxa"/>
            <w:vMerge w:val="continue"/>
            <w:tcBorders>
              <w:left w:val="single" w:color="auto" w:sz="4" w:space="0"/>
              <w:right w:val="single" w:color="auto" w:sz="4" w:space="0"/>
            </w:tcBorders>
            <w:shd w:val="clear" w:color="auto" w:fill="auto"/>
            <w:vAlign w:val="center"/>
          </w:tcPr>
          <w:p w14:paraId="25332A22">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45C70A3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7D6FA2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pacing w:val="0"/>
                <w:kern w:val="0"/>
                <w:sz w:val="24"/>
                <w:szCs w:val="24"/>
                <w:lang w:val="en-US" w:eastAsia="zh-CN" w:bidi="ar"/>
              </w:rPr>
              <w:t>国产大模型</w:t>
            </w:r>
            <w:r>
              <w:rPr>
                <w:rFonts w:hint="eastAsia" w:ascii="仿宋" w:hAnsi="仿宋" w:eastAsia="仿宋" w:cs="仿宋"/>
                <w:color w:val="auto"/>
                <w:spacing w:val="0"/>
                <w:kern w:val="0"/>
                <w:sz w:val="24"/>
                <w:szCs w:val="24"/>
                <w:highlight w:val="none"/>
                <w:lang w:val="en-US" w:eastAsia="zh-CN" w:bidi="ar"/>
              </w:rPr>
              <w:t>671</w:t>
            </w:r>
            <w:r>
              <w:rPr>
                <w:rFonts w:hint="eastAsia" w:ascii="仿宋" w:hAnsi="仿宋" w:eastAsia="仿宋" w:cs="仿宋"/>
                <w:color w:val="auto"/>
                <w:spacing w:val="0"/>
                <w:kern w:val="0"/>
                <w:sz w:val="24"/>
                <w:szCs w:val="24"/>
                <w:highlight w:val="none"/>
                <w:lang w:bidi="ar"/>
              </w:rPr>
              <w:t>B-</w:t>
            </w:r>
            <w:r>
              <w:rPr>
                <w:rFonts w:hint="eastAsia" w:ascii="仿宋" w:hAnsi="仿宋" w:eastAsia="仿宋" w:cs="仿宋"/>
                <w:color w:val="auto"/>
                <w:spacing w:val="0"/>
                <w:kern w:val="0"/>
                <w:sz w:val="24"/>
                <w:szCs w:val="24"/>
                <w:highlight w:val="none"/>
                <w:lang w:val="en-US" w:eastAsia="zh-CN" w:bidi="ar"/>
              </w:rPr>
              <w:t>16</w:t>
            </w:r>
            <w:r>
              <w:rPr>
                <w:rFonts w:hint="eastAsia" w:ascii="仿宋" w:hAnsi="仿宋" w:eastAsia="仿宋" w:cs="仿宋"/>
                <w:color w:val="auto"/>
                <w:spacing w:val="0"/>
                <w:kern w:val="0"/>
                <w:sz w:val="24"/>
                <w:szCs w:val="24"/>
                <w:highlight w:val="none"/>
                <w:lang w:bidi="ar"/>
              </w:rPr>
              <w:t>*APG</w:t>
            </w:r>
            <w:r>
              <w:rPr>
                <w:rFonts w:hint="eastAsia" w:ascii="仿宋" w:hAnsi="仿宋" w:eastAsia="仿宋" w:cs="仿宋"/>
                <w:color w:val="auto"/>
                <w:spacing w:val="0"/>
                <w:kern w:val="0"/>
                <w:sz w:val="24"/>
                <w:szCs w:val="24"/>
                <w:highlight w:val="none"/>
                <w:lang w:val="en-US" w:eastAsia="zh-CN" w:bidi="ar"/>
              </w:rPr>
              <w:t>_A</w:t>
            </w:r>
            <w:r>
              <w:rPr>
                <w:rFonts w:hint="eastAsia" w:ascii="仿宋" w:hAnsi="仿宋" w:eastAsia="仿宋" w:cs="仿宋"/>
                <w:color w:val="auto"/>
                <w:spacing w:val="0"/>
                <w:kern w:val="0"/>
                <w:sz w:val="24"/>
                <w:szCs w:val="24"/>
                <w:highlight w:val="none"/>
                <w:lang w:bidi="ar"/>
              </w:rPr>
              <w:t>910E</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BE18F3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171808</w:t>
            </w:r>
          </w:p>
        </w:tc>
      </w:tr>
      <w:tr w14:paraId="6432FF49">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4D517D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63</w:t>
            </w:r>
          </w:p>
        </w:tc>
        <w:tc>
          <w:tcPr>
            <w:tcW w:w="1246" w:type="dxa"/>
            <w:vMerge w:val="continue"/>
            <w:tcBorders>
              <w:left w:val="single" w:color="auto" w:sz="4" w:space="0"/>
              <w:right w:val="single" w:color="auto" w:sz="4" w:space="0"/>
            </w:tcBorders>
            <w:shd w:val="clear" w:color="auto" w:fill="auto"/>
            <w:vAlign w:val="center"/>
          </w:tcPr>
          <w:p w14:paraId="51873EE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08B251C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5761818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AI大模型网关-基础版</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3C2D594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4622</w:t>
            </w:r>
          </w:p>
        </w:tc>
      </w:tr>
      <w:tr w14:paraId="1C60BB67">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DA816A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64</w:t>
            </w:r>
          </w:p>
        </w:tc>
        <w:tc>
          <w:tcPr>
            <w:tcW w:w="1246" w:type="dxa"/>
            <w:vMerge w:val="continue"/>
            <w:tcBorders>
              <w:left w:val="single" w:color="auto" w:sz="4" w:space="0"/>
              <w:right w:val="single" w:color="auto" w:sz="4" w:space="0"/>
            </w:tcBorders>
            <w:shd w:val="clear" w:color="auto" w:fill="auto"/>
            <w:vAlign w:val="center"/>
          </w:tcPr>
          <w:p w14:paraId="1BA5B2C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bottom w:val="single" w:color="auto" w:sz="4" w:space="0"/>
              <w:right w:val="single" w:color="auto" w:sz="4" w:space="0"/>
            </w:tcBorders>
            <w:shd w:val="clear" w:color="auto" w:fill="auto"/>
            <w:vAlign w:val="center"/>
          </w:tcPr>
          <w:p w14:paraId="12FE301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17480B7A">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AI大模型网关-高可用版</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14:paraId="22C11AEC">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7757</w:t>
            </w:r>
          </w:p>
        </w:tc>
      </w:tr>
      <w:tr w14:paraId="19E5FAFD">
        <w:tblPrEx>
          <w:tblCellMar>
            <w:top w:w="0" w:type="dxa"/>
            <w:left w:w="108" w:type="dxa"/>
            <w:bottom w:w="0" w:type="dxa"/>
            <w:right w:w="108" w:type="dxa"/>
          </w:tblCellMar>
        </w:tblPrEx>
        <w:trPr>
          <w:cantSplit/>
          <w:trHeight w:val="834"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30D0AA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leftChars="0" w:right="0" w:rightChars="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65</w:t>
            </w:r>
          </w:p>
        </w:tc>
        <w:tc>
          <w:tcPr>
            <w:tcW w:w="1246" w:type="dxa"/>
            <w:vMerge w:val="continue"/>
            <w:tcBorders>
              <w:left w:val="single" w:color="auto" w:sz="4" w:space="0"/>
              <w:right w:val="single" w:color="auto" w:sz="4" w:space="0"/>
            </w:tcBorders>
            <w:shd w:val="clear" w:color="auto" w:fill="auto"/>
            <w:vAlign w:val="center"/>
          </w:tcPr>
          <w:p w14:paraId="48B3841F">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restart"/>
            <w:tcBorders>
              <w:top w:val="single" w:color="auto" w:sz="4" w:space="0"/>
              <w:left w:val="single" w:color="auto" w:sz="4" w:space="0"/>
              <w:right w:val="single" w:color="auto" w:sz="4" w:space="0"/>
            </w:tcBorders>
            <w:shd w:val="clear" w:color="auto" w:fill="auto"/>
            <w:vAlign w:val="center"/>
          </w:tcPr>
          <w:p w14:paraId="14B1B76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大模型开发服务</w:t>
            </w:r>
            <w:r>
              <w:rPr>
                <w:rFonts w:hint="eastAsia" w:ascii="仿宋" w:hAnsi="仿宋" w:eastAsia="仿宋" w:cs="仿宋"/>
                <w:color w:val="000000"/>
                <w:kern w:val="0"/>
                <w:sz w:val="24"/>
                <w:szCs w:val="24"/>
                <w:lang w:val="en-US" w:eastAsia="zh-CN" w:bidi="ar"/>
              </w:rPr>
              <w:t>（具体包含GPU资源、模型训练、模型评测等专属大模型开发相关服务，大模型本身不收费）</w:t>
            </w: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2BCF0C21">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大模型训练评测服务14B (1000万tokens)</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30970E5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161</w:t>
            </w:r>
          </w:p>
        </w:tc>
      </w:tr>
      <w:tr w14:paraId="700CE461">
        <w:tblPrEx>
          <w:tblCellMar>
            <w:top w:w="0" w:type="dxa"/>
            <w:left w:w="108" w:type="dxa"/>
            <w:bottom w:w="0" w:type="dxa"/>
            <w:right w:w="108" w:type="dxa"/>
          </w:tblCellMar>
        </w:tblPrEx>
        <w:trPr>
          <w:cantSplit/>
          <w:trHeight w:val="665"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1C4BE99">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66</w:t>
            </w:r>
          </w:p>
        </w:tc>
        <w:tc>
          <w:tcPr>
            <w:tcW w:w="1246" w:type="dxa"/>
            <w:vMerge w:val="continue"/>
            <w:tcBorders>
              <w:left w:val="single" w:color="auto" w:sz="4" w:space="0"/>
              <w:right w:val="single" w:color="auto" w:sz="4" w:space="0"/>
            </w:tcBorders>
            <w:shd w:val="clear" w:color="auto" w:fill="auto"/>
            <w:vAlign w:val="center"/>
          </w:tcPr>
          <w:p w14:paraId="63ED9F8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6EFE1D6D">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top"/>
          </w:tcPr>
          <w:p w14:paraId="6A9DB96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大模型训练评测服务72B (1000万tokens)</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1BCB6CD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805</w:t>
            </w:r>
          </w:p>
        </w:tc>
      </w:tr>
      <w:tr w14:paraId="52246774">
        <w:tblPrEx>
          <w:tblCellMar>
            <w:top w:w="0" w:type="dxa"/>
            <w:left w:w="108" w:type="dxa"/>
            <w:bottom w:w="0" w:type="dxa"/>
            <w:right w:w="108" w:type="dxa"/>
          </w:tblCellMar>
        </w:tblPrEx>
        <w:trPr>
          <w:cantSplit/>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C15411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67</w:t>
            </w:r>
          </w:p>
        </w:tc>
        <w:tc>
          <w:tcPr>
            <w:tcW w:w="1246" w:type="dxa"/>
            <w:vMerge w:val="continue"/>
            <w:tcBorders>
              <w:left w:val="single" w:color="auto" w:sz="4" w:space="0"/>
              <w:right w:val="single" w:color="auto" w:sz="4" w:space="0"/>
            </w:tcBorders>
            <w:shd w:val="clear" w:color="auto" w:fill="auto"/>
            <w:vAlign w:val="center"/>
          </w:tcPr>
          <w:p w14:paraId="172BB468">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right w:val="single" w:color="auto" w:sz="4" w:space="0"/>
            </w:tcBorders>
            <w:shd w:val="clear" w:color="auto" w:fill="auto"/>
            <w:vAlign w:val="center"/>
          </w:tcPr>
          <w:p w14:paraId="5614C523">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0E13DB74">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大模型向量存储-基础版</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5580788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8494</w:t>
            </w:r>
          </w:p>
        </w:tc>
      </w:tr>
      <w:tr w14:paraId="737866E6">
        <w:tblPrEx>
          <w:tblCellMar>
            <w:top w:w="0" w:type="dxa"/>
            <w:left w:w="108" w:type="dxa"/>
            <w:bottom w:w="0" w:type="dxa"/>
            <w:right w:w="108" w:type="dxa"/>
          </w:tblCellMar>
        </w:tblPrEx>
        <w:trPr>
          <w:cantSplit/>
          <w:trHeight w:val="348"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4EB5F1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68</w:t>
            </w:r>
          </w:p>
        </w:tc>
        <w:tc>
          <w:tcPr>
            <w:tcW w:w="1246" w:type="dxa"/>
            <w:vMerge w:val="continue"/>
            <w:tcBorders>
              <w:left w:val="single" w:color="auto" w:sz="4" w:space="0"/>
              <w:bottom w:val="single" w:color="auto" w:sz="4" w:space="0"/>
              <w:right w:val="single" w:color="auto" w:sz="4" w:space="0"/>
            </w:tcBorders>
            <w:shd w:val="clear" w:color="auto" w:fill="auto"/>
            <w:vAlign w:val="center"/>
          </w:tcPr>
          <w:p w14:paraId="1B00E940">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2331" w:type="dxa"/>
            <w:vMerge w:val="continue"/>
            <w:tcBorders>
              <w:left w:val="single" w:color="auto" w:sz="4" w:space="0"/>
              <w:bottom w:val="single" w:color="auto" w:sz="4" w:space="0"/>
              <w:right w:val="single" w:color="auto" w:sz="4" w:space="0"/>
            </w:tcBorders>
            <w:shd w:val="clear" w:color="auto" w:fill="auto"/>
            <w:vAlign w:val="center"/>
          </w:tcPr>
          <w:p w14:paraId="31BCDFC6">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bidi="ar"/>
              </w:rPr>
            </w:pPr>
          </w:p>
        </w:tc>
        <w:tc>
          <w:tcPr>
            <w:tcW w:w="2851" w:type="dxa"/>
            <w:tcBorders>
              <w:top w:val="single" w:color="auto" w:sz="4" w:space="0"/>
              <w:left w:val="single" w:color="auto" w:sz="4" w:space="0"/>
              <w:bottom w:val="single" w:color="auto" w:sz="4" w:space="0"/>
              <w:right w:val="single" w:color="auto" w:sz="4" w:space="0"/>
            </w:tcBorders>
            <w:shd w:val="clear" w:color="auto" w:fill="auto"/>
            <w:vAlign w:val="center"/>
          </w:tcPr>
          <w:p w14:paraId="597A8825">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大模型向量存储-高性能版</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78B62D9E">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420" w:lineRule="exact"/>
              <w:ind w:left="0" w:right="0"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27396</w:t>
            </w:r>
          </w:p>
        </w:tc>
      </w:tr>
    </w:tbl>
    <w:p w14:paraId="10AE77BE">
      <w:pPr>
        <w:widowControl/>
        <w:spacing w:after="0" w:afterLines="0"/>
        <w:ind w:firstLine="560"/>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注：</w:t>
      </w:r>
    </w:p>
    <w:p w14:paraId="428C64D7">
      <w:pPr>
        <w:widowControl/>
        <w:spacing w:after="0" w:afterLines="0"/>
        <w:ind w:firstLine="56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（1）新开通的云资源：开通当月不计费，从次月开始计费。</w:t>
      </w:r>
    </w:p>
    <w:p w14:paraId="7BD156E8">
      <w:pPr>
        <w:widowControl/>
        <w:spacing w:after="0" w:afterLines="0"/>
        <w:ind w:firstLine="56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（2）释放的云资源：在日期15日（含）之前释放的云资源，释放当月不计费；在16日之后释放的云资源，释放当月按全月计。</w:t>
      </w:r>
    </w:p>
    <w:p w14:paraId="3847D5B1">
      <w:pPr>
        <w:widowControl/>
        <w:spacing w:after="0" w:afterLines="0"/>
        <w:ind w:firstLine="56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（3）变更（升配、降配）的云资源：在日期15日（含）之前变更的云资源，变更当月以变更后规格计费；在16日之后变更的云资源，变更当月以变更前规格计费。</w:t>
      </w:r>
    </w:p>
    <w:p w14:paraId="1FD82C72">
      <w:pPr>
        <w:widowControl/>
        <w:spacing w:after="0" w:afterLines="0"/>
        <w:ind w:firstLine="56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（4）非标的云资源：如实际应用中确需使用未列入采购目录清单的云资源，以采购目录清单中最接近且不高于实际规格（或性能）的云资源单价进行计费。</w:t>
      </w:r>
    </w:p>
    <w:p w14:paraId="763C6C8D">
      <w:pPr>
        <w:pStyle w:val="3"/>
        <w:keepNext/>
        <w:keepLines/>
        <w:pageBreakBefore w:val="0"/>
        <w:widowControl w:val="0"/>
        <w:kinsoku/>
        <w:wordWrap/>
        <w:overflowPunct/>
        <w:topLinePunct w:val="0"/>
        <w:autoSpaceDE/>
        <w:autoSpaceDN/>
        <w:bidi w:val="0"/>
        <w:adjustRightInd/>
        <w:snapToGrid/>
        <w:spacing w:before="0" w:after="0" w:line="420" w:lineRule="exact"/>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五、商务技术要求</w:t>
      </w:r>
    </w:p>
    <w:p w14:paraId="25AB4AA2">
      <w:pPr>
        <w:widowControl/>
        <w:spacing w:after="0" w:afterLines="0"/>
        <w:ind w:firstLine="56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（一）计算服务</w:t>
      </w:r>
    </w:p>
    <w:p w14:paraId="73C291FF">
      <w:pPr>
        <w:widowControl/>
        <w:spacing w:after="0" w:afterLines="0"/>
        <w:ind w:firstLine="560"/>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1.云服务器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405"/>
      </w:tblGrid>
      <w:tr w14:paraId="08EF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5AEDF321">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405" w:type="dxa"/>
            <w:tcBorders>
              <w:top w:val="single" w:color="auto" w:sz="4" w:space="0"/>
              <w:left w:val="single" w:color="auto" w:sz="4" w:space="0"/>
              <w:bottom w:val="single" w:color="auto" w:sz="4" w:space="0"/>
              <w:right w:val="single" w:color="auto" w:sz="4" w:space="0"/>
            </w:tcBorders>
            <w:vAlign w:val="center"/>
          </w:tcPr>
          <w:p w14:paraId="45CF1395">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04DD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7B0D4C56">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服务标准</w:t>
            </w:r>
          </w:p>
        </w:tc>
        <w:tc>
          <w:tcPr>
            <w:tcW w:w="7405" w:type="dxa"/>
            <w:tcBorders>
              <w:top w:val="single" w:color="auto" w:sz="4" w:space="0"/>
              <w:left w:val="single" w:color="auto" w:sz="4" w:space="0"/>
              <w:bottom w:val="single" w:color="auto" w:sz="4" w:space="0"/>
              <w:right w:val="single" w:color="auto" w:sz="4" w:space="0"/>
            </w:tcBorders>
            <w:vAlign w:val="center"/>
          </w:tcPr>
          <w:p w14:paraId="64EA64C1">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△根据用户的需求动态的创建和分配计算资源与存储资源，云主机CPU核数可选范围1-32核，1-128G内存。（提供截图证明）</w:t>
            </w:r>
          </w:p>
        </w:tc>
      </w:tr>
      <w:tr w14:paraId="14B5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restart"/>
            <w:tcBorders>
              <w:top w:val="single" w:color="auto" w:sz="4" w:space="0"/>
              <w:left w:val="single" w:color="auto" w:sz="4" w:space="0"/>
              <w:bottom w:val="single" w:color="auto" w:sz="4" w:space="0"/>
              <w:right w:val="single" w:color="auto" w:sz="4" w:space="0"/>
            </w:tcBorders>
            <w:vAlign w:val="center"/>
          </w:tcPr>
          <w:p w14:paraId="322C7EA9">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服务特性</w:t>
            </w:r>
          </w:p>
        </w:tc>
        <w:tc>
          <w:tcPr>
            <w:tcW w:w="7405" w:type="dxa"/>
            <w:tcBorders>
              <w:top w:val="single" w:color="auto" w:sz="4" w:space="0"/>
              <w:left w:val="single" w:color="auto" w:sz="4" w:space="0"/>
              <w:bottom w:val="single" w:color="auto" w:sz="4" w:space="0"/>
              <w:right w:val="single" w:color="auto" w:sz="4" w:space="0"/>
            </w:tcBorders>
            <w:vAlign w:val="center"/>
          </w:tcPr>
          <w:p w14:paraId="140A700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云主机创建。创建后，云主机已包含有操作系统，可立即使用，从创建到启动在5分钟以内。</w:t>
            </w:r>
          </w:p>
        </w:tc>
      </w:tr>
      <w:tr w14:paraId="7F92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tcBorders>
              <w:top w:val="single" w:color="auto" w:sz="4" w:space="0"/>
              <w:left w:val="single" w:color="auto" w:sz="4" w:space="0"/>
              <w:bottom w:val="single" w:color="auto" w:sz="4" w:space="0"/>
              <w:right w:val="single" w:color="auto" w:sz="4" w:space="0"/>
            </w:tcBorders>
            <w:vAlign w:val="center"/>
          </w:tcPr>
          <w:p w14:paraId="2FE4EE87">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405" w:type="dxa"/>
            <w:tcBorders>
              <w:top w:val="single" w:color="auto" w:sz="4" w:space="0"/>
              <w:left w:val="single" w:color="auto" w:sz="4" w:space="0"/>
              <w:bottom w:val="single" w:color="auto" w:sz="4" w:space="0"/>
              <w:right w:val="single" w:color="auto" w:sz="4" w:space="0"/>
            </w:tcBorders>
            <w:vAlign w:val="center"/>
          </w:tcPr>
          <w:p w14:paraId="6018DAB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△云服务器提供快照制作，快照回滚，自定义image，动态升级。（提供截图证明）</w:t>
            </w:r>
          </w:p>
        </w:tc>
      </w:tr>
      <w:tr w14:paraId="456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tcBorders>
              <w:top w:val="single" w:color="auto" w:sz="4" w:space="0"/>
              <w:left w:val="single" w:color="auto" w:sz="4" w:space="0"/>
              <w:bottom w:val="single" w:color="auto" w:sz="4" w:space="0"/>
              <w:right w:val="single" w:color="auto" w:sz="4" w:space="0"/>
            </w:tcBorders>
            <w:vAlign w:val="center"/>
          </w:tcPr>
          <w:p w14:paraId="461AA6A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405" w:type="dxa"/>
            <w:tcBorders>
              <w:top w:val="single" w:color="auto" w:sz="4" w:space="0"/>
              <w:left w:val="single" w:color="auto" w:sz="4" w:space="0"/>
              <w:bottom w:val="single" w:color="auto" w:sz="4" w:space="0"/>
              <w:right w:val="single" w:color="auto" w:sz="4" w:space="0"/>
            </w:tcBorders>
            <w:vAlign w:val="center"/>
          </w:tcPr>
          <w:p w14:paraId="519A7416">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故障切换，在线迁移。</w:t>
            </w:r>
          </w:p>
        </w:tc>
      </w:tr>
      <w:tr w14:paraId="6BA9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tcBorders>
              <w:top w:val="single" w:color="auto" w:sz="4" w:space="0"/>
              <w:left w:val="single" w:color="auto" w:sz="4" w:space="0"/>
              <w:bottom w:val="single" w:color="auto" w:sz="4" w:space="0"/>
              <w:right w:val="single" w:color="auto" w:sz="4" w:space="0"/>
            </w:tcBorders>
            <w:vAlign w:val="center"/>
          </w:tcPr>
          <w:p w14:paraId="65FA553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405" w:type="dxa"/>
            <w:tcBorders>
              <w:top w:val="single" w:color="auto" w:sz="4" w:space="0"/>
              <w:left w:val="single" w:color="auto" w:sz="4" w:space="0"/>
              <w:bottom w:val="single" w:color="auto" w:sz="4" w:space="0"/>
              <w:right w:val="single" w:color="auto" w:sz="4" w:space="0"/>
            </w:tcBorders>
            <w:vAlign w:val="center"/>
          </w:tcPr>
          <w:p w14:paraId="054C44C3">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网络组隔离。</w:t>
            </w:r>
          </w:p>
        </w:tc>
      </w:tr>
      <w:tr w14:paraId="1F53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tcBorders>
              <w:top w:val="single" w:color="auto" w:sz="4" w:space="0"/>
              <w:left w:val="single" w:color="auto" w:sz="4" w:space="0"/>
              <w:bottom w:val="single" w:color="auto" w:sz="4" w:space="0"/>
              <w:right w:val="single" w:color="auto" w:sz="4" w:space="0"/>
            </w:tcBorders>
            <w:vAlign w:val="center"/>
          </w:tcPr>
          <w:p w14:paraId="4B7B172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405" w:type="dxa"/>
            <w:tcBorders>
              <w:top w:val="single" w:color="auto" w:sz="4" w:space="0"/>
              <w:left w:val="single" w:color="auto" w:sz="4" w:space="0"/>
              <w:bottom w:val="single" w:color="auto" w:sz="4" w:space="0"/>
              <w:right w:val="single" w:color="auto" w:sz="4" w:space="0"/>
            </w:tcBorders>
            <w:vAlign w:val="center"/>
          </w:tcPr>
          <w:p w14:paraId="32D496BE">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防ARP欺骗，自定义防火墙功能，支持防DDos攻击，具备提供流量清洗服务能力。</w:t>
            </w:r>
          </w:p>
        </w:tc>
      </w:tr>
      <w:tr w14:paraId="2AB6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tcBorders>
              <w:top w:val="single" w:color="auto" w:sz="4" w:space="0"/>
              <w:left w:val="single" w:color="auto" w:sz="4" w:space="0"/>
              <w:bottom w:val="single" w:color="auto" w:sz="4" w:space="0"/>
              <w:right w:val="single" w:color="auto" w:sz="4" w:space="0"/>
            </w:tcBorders>
            <w:vAlign w:val="center"/>
          </w:tcPr>
          <w:p w14:paraId="379679D8">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405" w:type="dxa"/>
            <w:tcBorders>
              <w:top w:val="single" w:color="auto" w:sz="4" w:space="0"/>
              <w:left w:val="single" w:color="auto" w:sz="4" w:space="0"/>
              <w:bottom w:val="single" w:color="auto" w:sz="4" w:space="0"/>
              <w:right w:val="single" w:color="auto" w:sz="4" w:space="0"/>
            </w:tcBorders>
            <w:vAlign w:val="center"/>
          </w:tcPr>
          <w:p w14:paraId="56B86CC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布式文件存储，云主机数据在云计算平台有三份（含）以上数据拷贝，单份数据损坏对云主机使用没任何影响，且一份数据损坏后，后台系统会自动拷贝，使数据始终保证三重备份，或支持EC（纠删码）数据保护模式。</w:t>
            </w:r>
          </w:p>
        </w:tc>
      </w:tr>
      <w:tr w14:paraId="276D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restart"/>
            <w:tcBorders>
              <w:top w:val="single" w:color="auto" w:sz="4" w:space="0"/>
              <w:left w:val="single" w:color="auto" w:sz="4" w:space="0"/>
              <w:bottom w:val="single" w:color="auto" w:sz="4" w:space="0"/>
              <w:right w:val="single" w:color="auto" w:sz="4" w:space="0"/>
            </w:tcBorders>
            <w:vAlign w:val="center"/>
          </w:tcPr>
          <w:p w14:paraId="5F5924A2">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服务能力</w:t>
            </w:r>
          </w:p>
        </w:tc>
        <w:tc>
          <w:tcPr>
            <w:tcW w:w="7405" w:type="dxa"/>
            <w:tcBorders>
              <w:top w:val="single" w:color="auto" w:sz="4" w:space="0"/>
              <w:left w:val="single" w:color="auto" w:sz="4" w:space="0"/>
              <w:bottom w:val="single" w:color="auto" w:sz="4" w:space="0"/>
              <w:right w:val="single" w:color="auto" w:sz="4" w:space="0"/>
            </w:tcBorders>
            <w:vAlign w:val="center"/>
          </w:tcPr>
          <w:p w14:paraId="2551AF55">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内存可选范围1-128G;内存性能不低于物理内存性能。</w:t>
            </w:r>
          </w:p>
        </w:tc>
      </w:tr>
      <w:tr w14:paraId="2138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Merge w:val="continue"/>
            <w:tcBorders>
              <w:top w:val="single" w:color="auto" w:sz="4" w:space="0"/>
              <w:left w:val="single" w:color="auto" w:sz="4" w:space="0"/>
              <w:bottom w:val="single" w:color="auto" w:sz="4" w:space="0"/>
              <w:right w:val="single" w:color="auto" w:sz="4" w:space="0"/>
            </w:tcBorders>
            <w:vAlign w:val="center"/>
          </w:tcPr>
          <w:p w14:paraId="39B9168A">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405" w:type="dxa"/>
            <w:tcBorders>
              <w:top w:val="single" w:color="auto" w:sz="4" w:space="0"/>
              <w:left w:val="single" w:color="auto" w:sz="4" w:space="0"/>
              <w:bottom w:val="single" w:color="auto" w:sz="4" w:space="0"/>
              <w:right w:val="single" w:color="auto" w:sz="4" w:space="0"/>
            </w:tcBorders>
            <w:vAlign w:val="center"/>
          </w:tcPr>
          <w:p w14:paraId="7DE3832E">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支持故障切换，动态迁移，多数据备份等，可以达到99.9%的可用性。</w:t>
            </w:r>
          </w:p>
        </w:tc>
      </w:tr>
      <w:tr w14:paraId="6C66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5CB839FF">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兼容性</w:t>
            </w:r>
            <w:r>
              <w:rPr>
                <w:rFonts w:hint="default" w:ascii="宋体" w:hAnsi="宋体" w:eastAsia="宋体" w:cs="宋体"/>
                <w:szCs w:val="21"/>
              </w:rPr>
              <w:t>/开放性</w:t>
            </w:r>
          </w:p>
        </w:tc>
        <w:tc>
          <w:tcPr>
            <w:tcW w:w="7405" w:type="dxa"/>
            <w:tcBorders>
              <w:top w:val="single" w:color="auto" w:sz="4" w:space="0"/>
              <w:left w:val="single" w:color="auto" w:sz="4" w:space="0"/>
              <w:bottom w:val="single" w:color="auto" w:sz="4" w:space="0"/>
              <w:right w:val="single" w:color="auto" w:sz="4" w:space="0"/>
            </w:tcBorders>
            <w:vAlign w:val="center"/>
          </w:tcPr>
          <w:p w14:paraId="3BCD102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兼容龙芯、兆芯、飞腾、鲲鹏、海光、申威等国产CPU服务器；         </w:t>
            </w:r>
          </w:p>
          <w:p w14:paraId="23BA6BEC">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2）支持主流的麒麟、统信等国产操作系统，且均具备正版授权。</w:t>
            </w:r>
          </w:p>
          <w:p w14:paraId="395FBC88">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3）支持主流Windows和Linux操作系统。</w:t>
            </w:r>
          </w:p>
        </w:tc>
      </w:tr>
      <w:tr w14:paraId="5243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1634BC27">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主机磁盘</w:t>
            </w:r>
          </w:p>
        </w:tc>
        <w:tc>
          <w:tcPr>
            <w:tcW w:w="7405" w:type="dxa"/>
            <w:tcBorders>
              <w:top w:val="single" w:color="auto" w:sz="4" w:space="0"/>
              <w:left w:val="single" w:color="auto" w:sz="4" w:space="0"/>
              <w:bottom w:val="single" w:color="auto" w:sz="4" w:space="0"/>
              <w:right w:val="single" w:color="auto" w:sz="4" w:space="0"/>
            </w:tcBorders>
            <w:vAlign w:val="center"/>
          </w:tcPr>
          <w:p w14:paraId="5F4C7B0E">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提供高效云盘</w:t>
            </w:r>
          </w:p>
        </w:tc>
      </w:tr>
    </w:tbl>
    <w:p w14:paraId="42B5BA35">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2.</w:t>
      </w:r>
      <w:r>
        <w:rPr>
          <w:rFonts w:hint="eastAsia" w:ascii="仿宋_GB2312" w:hAnsi="仿宋_GB2312" w:eastAsia="仿宋_GB2312" w:cs="仿宋_GB2312"/>
          <w:color w:val="000000"/>
          <w:sz w:val="24"/>
          <w:szCs w:val="24"/>
          <w:highlight w:val="none"/>
          <w:lang w:val="en-US" w:eastAsia="zh-CN"/>
        </w:rPr>
        <w:t>智能算力</w:t>
      </w:r>
      <w:r>
        <w:rPr>
          <w:rFonts w:hint="eastAsia" w:ascii="仿宋_GB2312" w:hAnsi="仿宋_GB2312" w:eastAsia="仿宋_GB2312" w:cs="仿宋_GB2312"/>
          <w:color w:val="000000"/>
          <w:sz w:val="24"/>
          <w:szCs w:val="24"/>
          <w:highlight w:val="none"/>
        </w:rPr>
        <w:t>服务器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405"/>
      </w:tblGrid>
      <w:tr w14:paraId="26FF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6C00B34D">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指标项</w:t>
            </w:r>
          </w:p>
        </w:tc>
        <w:tc>
          <w:tcPr>
            <w:tcW w:w="7405" w:type="dxa"/>
            <w:tcBorders>
              <w:top w:val="single" w:color="auto" w:sz="4" w:space="0"/>
              <w:left w:val="single" w:color="auto" w:sz="4" w:space="0"/>
              <w:bottom w:val="single" w:color="auto" w:sz="4" w:space="0"/>
              <w:right w:val="single" w:color="auto" w:sz="4" w:space="0"/>
            </w:tcBorders>
            <w:vAlign w:val="center"/>
          </w:tcPr>
          <w:p w14:paraId="6BEE25AD">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规格</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要求</w:t>
            </w:r>
          </w:p>
        </w:tc>
      </w:tr>
      <w:tr w14:paraId="3852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3C9E4C74">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功能指标</w:t>
            </w:r>
          </w:p>
        </w:tc>
        <w:tc>
          <w:tcPr>
            <w:tcW w:w="7405" w:type="dxa"/>
            <w:tcBorders>
              <w:top w:val="single" w:color="auto" w:sz="4" w:space="0"/>
              <w:left w:val="single" w:color="auto" w:sz="4" w:space="0"/>
              <w:bottom w:val="single" w:color="auto" w:sz="4" w:space="0"/>
              <w:right w:val="single" w:color="auto" w:sz="4" w:space="0"/>
            </w:tcBorders>
            <w:vAlign w:val="center"/>
          </w:tcPr>
          <w:p w14:paraId="4117CDB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Hans" w:bidi="ar"/>
              </w:rPr>
              <w:t>（1）</w:t>
            </w:r>
            <w:r>
              <w:rPr>
                <w:rFonts w:hint="eastAsia" w:ascii="仿宋" w:hAnsi="仿宋" w:eastAsia="仿宋" w:cs="仿宋"/>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支持NVIDIA P100 GPU或NVIDIA Turing架构的Tesla T4 GPU</w:t>
            </w:r>
            <w:r>
              <w:rPr>
                <w:rFonts w:hint="eastAsia" w:ascii="宋体" w:hAnsi="宋体" w:eastAsia="宋体" w:cs="宋体"/>
                <w:color w:val="000000"/>
                <w:kern w:val="0"/>
                <w:sz w:val="21"/>
                <w:szCs w:val="21"/>
                <w:lang w:val="en-US" w:eastAsia="zh-CN" w:bidi="ar"/>
              </w:rPr>
              <w:t>或Atlas300I Pro、Atlas300V Pro NPU等同等性能及以上其他NPU处理器</w:t>
            </w:r>
            <w:r>
              <w:rPr>
                <w:rFonts w:hint="eastAsia" w:ascii="宋体" w:hAnsi="宋体" w:eastAsia="宋体" w:cs="宋体"/>
                <w:color w:val="000000"/>
                <w:kern w:val="2"/>
                <w:sz w:val="21"/>
                <w:szCs w:val="21"/>
                <w:lang w:val="en-US" w:eastAsia="zh-CN" w:bidi="ar"/>
              </w:rPr>
              <w:t>，显存</w:t>
            </w:r>
            <w:r>
              <w:rPr>
                <w:rFonts w:hint="default" w:ascii="仿宋" w:hAnsi="仿宋" w:eastAsia="仿宋"/>
                <w:color w:val="000000" w:themeColor="text1"/>
                <w:sz w:val="28"/>
                <w:szCs w:val="28"/>
                <w:lang w:eastAsia="zh-Hans" w:bidi="ar"/>
                <w14:textFill>
                  <w14:solidFill>
                    <w14:schemeClr w14:val="tx1"/>
                  </w14:solidFill>
                </w14:textFill>
              </w:rPr>
              <w:t>≥</w:t>
            </w:r>
            <w:r>
              <w:rPr>
                <w:rFonts w:hint="eastAsia" w:ascii="宋体" w:hAnsi="宋体" w:eastAsia="宋体" w:cs="宋体"/>
                <w:color w:val="000000"/>
                <w:kern w:val="2"/>
                <w:sz w:val="21"/>
                <w:szCs w:val="21"/>
                <w:lang w:val="en-US" w:eastAsia="zh-CN" w:bidi="ar"/>
              </w:rPr>
              <w:t>16GB，单实例最高支持1 / 2 个GPU； （提供截图证明）</w:t>
            </w:r>
          </w:p>
          <w:p w14:paraId="24D5247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Hans" w:bidi="ar"/>
              </w:rPr>
              <w:t>（2）</w:t>
            </w:r>
            <w:r>
              <w:rPr>
                <w:rFonts w:hint="eastAsia" w:ascii="宋体" w:hAnsi="宋体" w:eastAsia="宋体" w:cs="宋体"/>
                <w:kern w:val="2"/>
                <w:sz w:val="21"/>
                <w:szCs w:val="21"/>
                <w:lang w:val="en-US" w:eastAsia="zh-CN" w:bidi="ar"/>
              </w:rPr>
              <w:t>支持将一个或多个GPU用直通虚拟化透传给云主机；</w:t>
            </w:r>
          </w:p>
          <w:p w14:paraId="26823C1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color w:val="000000"/>
                <w:kern w:val="2"/>
                <w:sz w:val="21"/>
                <w:szCs w:val="21"/>
                <w:lang w:val="en-US" w:eastAsia="zh-Hans" w:bidi="ar"/>
              </w:rPr>
              <w:t>（3）</w:t>
            </w:r>
            <w:r>
              <w:rPr>
                <w:rFonts w:hint="eastAsia" w:ascii="宋体" w:hAnsi="宋体" w:eastAsia="宋体" w:cs="宋体"/>
                <w:kern w:val="2"/>
                <w:sz w:val="21"/>
                <w:szCs w:val="21"/>
                <w:lang w:val="en-US" w:eastAsia="zh-CN" w:bidi="ar"/>
              </w:rPr>
              <w:t>支持SRIOV单根IO虚拟化；</w:t>
            </w:r>
          </w:p>
          <w:p w14:paraId="6B2EBD5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color w:val="000000"/>
                <w:kern w:val="2"/>
                <w:sz w:val="21"/>
                <w:szCs w:val="21"/>
                <w:lang w:val="en-US" w:eastAsia="zh-Hans" w:bidi="ar"/>
              </w:rPr>
              <w:t>（</w:t>
            </w:r>
            <w:r>
              <w:rPr>
                <w:rFonts w:hint="eastAsia" w:ascii="宋体" w:hAnsi="宋体" w:cs="宋体"/>
                <w:color w:val="000000"/>
                <w:kern w:val="2"/>
                <w:sz w:val="21"/>
                <w:szCs w:val="21"/>
                <w:lang w:val="en-US" w:eastAsia="zh-CN" w:bidi="ar"/>
              </w:rPr>
              <w:t>4</w:t>
            </w:r>
            <w:r>
              <w:rPr>
                <w:rFonts w:hint="eastAsia" w:ascii="宋体" w:hAnsi="宋体" w:eastAsia="宋体" w:cs="宋体"/>
                <w:color w:val="000000"/>
                <w:kern w:val="2"/>
                <w:sz w:val="21"/>
                <w:szCs w:val="21"/>
                <w:lang w:val="en-US" w:eastAsia="zh-Hans" w:bidi="ar"/>
              </w:rPr>
              <w:t>）</w:t>
            </w:r>
            <w:r>
              <w:rPr>
                <w:rFonts w:hint="eastAsia" w:ascii="宋体" w:hAnsi="宋体" w:eastAsia="宋体" w:cs="宋体"/>
                <w:kern w:val="2"/>
                <w:sz w:val="21"/>
                <w:szCs w:val="21"/>
                <w:lang w:val="en-US" w:eastAsia="zh-CN" w:bidi="ar"/>
              </w:rPr>
              <w:t>支持Linux和Windows操作系统下的深度学习与图形图像处理。</w:t>
            </w:r>
          </w:p>
        </w:tc>
      </w:tr>
      <w:tr w14:paraId="6F44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394BD8BB">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兼容性</w:t>
            </w:r>
            <w:r>
              <w:rPr>
                <w:rFonts w:hint="default" w:ascii="宋体" w:hAnsi="宋体" w:eastAsia="宋体" w:cs="宋体"/>
                <w:color w:val="000000" w:themeColor="text1"/>
                <w:szCs w:val="21"/>
                <w:highlight w:val="none"/>
                <w14:textFill>
                  <w14:solidFill>
                    <w14:schemeClr w14:val="tx1"/>
                  </w14:solidFill>
                </w14:textFill>
              </w:rPr>
              <w:t>/开放性</w:t>
            </w:r>
          </w:p>
        </w:tc>
        <w:tc>
          <w:tcPr>
            <w:tcW w:w="7405" w:type="dxa"/>
            <w:tcBorders>
              <w:top w:val="single" w:color="auto" w:sz="4" w:space="0"/>
              <w:left w:val="single" w:color="auto" w:sz="4" w:space="0"/>
              <w:bottom w:val="single" w:color="auto" w:sz="4" w:space="0"/>
              <w:right w:val="single" w:color="auto" w:sz="4" w:space="0"/>
            </w:tcBorders>
            <w:vAlign w:val="center"/>
          </w:tcPr>
          <w:p w14:paraId="727EF3B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kern w:val="2"/>
                <w:sz w:val="21"/>
                <w:szCs w:val="21"/>
                <w:lang w:val="en-US" w:eastAsia="zh-CN" w:bidi="ar"/>
              </w:rPr>
              <w:t>支持主流的麒麟、统信等国产操作系统, 支持主流Linux操作系统。</w:t>
            </w:r>
          </w:p>
        </w:tc>
      </w:tr>
      <w:tr w14:paraId="1EE5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23CD03A7">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可靠性</w:t>
            </w:r>
          </w:p>
          <w:p w14:paraId="4F37A55D">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指标</w:t>
            </w:r>
          </w:p>
        </w:tc>
        <w:tc>
          <w:tcPr>
            <w:tcW w:w="7405" w:type="dxa"/>
            <w:tcBorders>
              <w:top w:val="single" w:color="auto" w:sz="4" w:space="0"/>
              <w:left w:val="single" w:color="auto" w:sz="4" w:space="0"/>
              <w:bottom w:val="single" w:color="auto" w:sz="4" w:space="0"/>
              <w:right w:val="single" w:color="auto" w:sz="4" w:space="0"/>
            </w:tcBorders>
            <w:vAlign w:val="center"/>
          </w:tcPr>
          <w:p w14:paraId="0A936D66">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自身管理节点支持分布式架构，保证管控节点的高可靠和高性能。</w:t>
            </w:r>
          </w:p>
        </w:tc>
      </w:tr>
      <w:tr w14:paraId="3BB5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0E8FC77F">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指标项</w:t>
            </w:r>
          </w:p>
        </w:tc>
        <w:tc>
          <w:tcPr>
            <w:tcW w:w="7405" w:type="dxa"/>
            <w:tcBorders>
              <w:top w:val="single" w:color="auto" w:sz="4" w:space="0"/>
              <w:left w:val="single" w:color="auto" w:sz="4" w:space="0"/>
              <w:bottom w:val="single" w:color="auto" w:sz="4" w:space="0"/>
              <w:right w:val="single" w:color="auto" w:sz="4" w:space="0"/>
            </w:tcBorders>
            <w:vAlign w:val="center"/>
          </w:tcPr>
          <w:p w14:paraId="49C3635B">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规格</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要求</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整机）</w:t>
            </w:r>
          </w:p>
        </w:tc>
      </w:tr>
      <w:tr w14:paraId="75EC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117" w:type="dxa"/>
            <w:tcBorders>
              <w:top w:val="single" w:color="auto" w:sz="4" w:space="0"/>
              <w:left w:val="single" w:color="auto" w:sz="4" w:space="0"/>
              <w:bottom w:val="single" w:color="auto" w:sz="4" w:space="0"/>
              <w:right w:val="single" w:color="auto" w:sz="4" w:space="0"/>
            </w:tcBorders>
            <w:vAlign w:val="center"/>
          </w:tcPr>
          <w:p w14:paraId="4484493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功能指标</w:t>
            </w:r>
          </w:p>
        </w:tc>
        <w:tc>
          <w:tcPr>
            <w:tcW w:w="7405" w:type="dxa"/>
            <w:tcBorders>
              <w:top w:val="single" w:color="auto" w:sz="4" w:space="0"/>
              <w:left w:val="single" w:color="auto" w:sz="4" w:space="0"/>
              <w:bottom w:val="single" w:color="auto" w:sz="4" w:space="0"/>
              <w:right w:val="single" w:color="auto" w:sz="4" w:space="0"/>
            </w:tcBorders>
            <w:vAlign w:val="center"/>
          </w:tcPr>
          <w:p w14:paraId="7C89CED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（1）显存≥</w:t>
            </w:r>
            <w:r>
              <w:rPr>
                <w:rFonts w:hint="eastAsia" w:ascii="宋体" w:hAnsi="宋体" w:eastAsia="宋体" w:cs="宋体"/>
                <w:color w:val="000000"/>
                <w:kern w:val="2"/>
                <w:sz w:val="21"/>
                <w:szCs w:val="21"/>
                <w:lang w:val="en-US" w:eastAsia="zh-CN" w:bidi="ar"/>
              </w:rPr>
              <w:t>19</w:t>
            </w:r>
            <w:r>
              <w:rPr>
                <w:rFonts w:hint="eastAsia" w:ascii="宋体" w:hAnsi="宋体" w:eastAsia="宋体" w:cs="宋体"/>
                <w:color w:val="000000"/>
                <w:kern w:val="2"/>
                <w:sz w:val="21"/>
                <w:szCs w:val="21"/>
                <w:lang w:val="en-US" w:eastAsia="zh-Hans" w:bidi="ar"/>
              </w:rPr>
              <w:t>2G</w:t>
            </w:r>
          </w:p>
          <w:p w14:paraId="208A54B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（2）显存带宽≥600GB/s</w:t>
            </w:r>
          </w:p>
          <w:p w14:paraId="519530B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Hans" w:bidi="ar"/>
              </w:rPr>
              <w:t>（3）半精度≥</w:t>
            </w:r>
            <w:r>
              <w:rPr>
                <w:rFonts w:hint="eastAsia" w:ascii="宋体" w:hAnsi="宋体" w:eastAsia="宋体" w:cs="宋体"/>
                <w:color w:val="000000"/>
                <w:kern w:val="2"/>
                <w:sz w:val="21"/>
                <w:szCs w:val="21"/>
                <w:lang w:val="en-US" w:eastAsia="zh-CN" w:bidi="ar"/>
              </w:rPr>
              <w:t>10</w:t>
            </w:r>
            <w:r>
              <w:rPr>
                <w:rFonts w:hint="eastAsia" w:ascii="宋体" w:hAnsi="宋体" w:eastAsia="宋体" w:cs="宋体"/>
                <w:color w:val="000000"/>
                <w:kern w:val="2"/>
                <w:sz w:val="21"/>
                <w:szCs w:val="21"/>
                <w:lang w:val="en-US" w:eastAsia="zh-Hans" w:bidi="ar"/>
              </w:rPr>
              <w:t>00TFLOPS，单精度</w:t>
            </w:r>
            <w:r>
              <w:rPr>
                <w:rFonts w:hint="eastAsia" w:ascii="宋体" w:hAnsi="宋体" w:eastAsia="宋体" w:cs="宋体"/>
                <w:color w:val="000000"/>
                <w:kern w:val="2"/>
                <w:sz w:val="21"/>
                <w:szCs w:val="21"/>
                <w:lang w:val="en-US" w:eastAsia="zh-CN" w:bidi="ar"/>
              </w:rPr>
              <w:t>24</w:t>
            </w:r>
            <w:r>
              <w:rPr>
                <w:rFonts w:hint="eastAsia" w:ascii="宋体" w:hAnsi="宋体" w:eastAsia="宋体" w:cs="宋体"/>
                <w:color w:val="000000"/>
                <w:kern w:val="2"/>
                <w:sz w:val="21"/>
                <w:szCs w:val="21"/>
                <w:lang w:val="en-US" w:eastAsia="zh-Hans" w:bidi="ar"/>
              </w:rPr>
              <w:t>0TFLOPS</w:t>
            </w:r>
          </w:p>
        </w:tc>
      </w:tr>
      <w:tr w14:paraId="6AB2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0B55BEE9">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兼容性</w:t>
            </w:r>
            <w:r>
              <w:rPr>
                <w:rFonts w:hint="default" w:ascii="宋体" w:hAnsi="宋体" w:eastAsia="宋体" w:cs="宋体"/>
                <w:color w:val="000000" w:themeColor="text1"/>
                <w:szCs w:val="21"/>
                <w:highlight w:val="none"/>
                <w14:textFill>
                  <w14:solidFill>
                    <w14:schemeClr w14:val="tx1"/>
                  </w14:solidFill>
                </w14:textFill>
              </w:rPr>
              <w:t>/开放性</w:t>
            </w:r>
          </w:p>
        </w:tc>
        <w:tc>
          <w:tcPr>
            <w:tcW w:w="7405" w:type="dxa"/>
            <w:tcBorders>
              <w:top w:val="single" w:color="auto" w:sz="4" w:space="0"/>
              <w:left w:val="single" w:color="auto" w:sz="4" w:space="0"/>
              <w:bottom w:val="single" w:color="auto" w:sz="4" w:space="0"/>
              <w:right w:val="single" w:color="auto" w:sz="4" w:space="0"/>
            </w:tcBorders>
            <w:vAlign w:val="center"/>
          </w:tcPr>
          <w:p w14:paraId="4CBD8DC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支持主流的麒麟、统信等国产操作系统。</w:t>
            </w:r>
            <w:r>
              <w:rPr>
                <w:rFonts w:hint="eastAsia" w:ascii="宋体" w:hAnsi="宋体" w:eastAsia="宋体" w:cs="宋体"/>
                <w:color w:val="000000"/>
                <w:kern w:val="2"/>
                <w:sz w:val="21"/>
                <w:szCs w:val="21"/>
                <w:lang w:val="en-US" w:eastAsia="zh-CN" w:bidi="ar"/>
              </w:rPr>
              <w:t>支持主流Linux操作系统。</w:t>
            </w:r>
          </w:p>
        </w:tc>
      </w:tr>
      <w:tr w14:paraId="2643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0FFBB50E">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可靠性</w:t>
            </w:r>
          </w:p>
          <w:p w14:paraId="053796C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指标</w:t>
            </w:r>
          </w:p>
        </w:tc>
        <w:tc>
          <w:tcPr>
            <w:tcW w:w="7405" w:type="dxa"/>
            <w:tcBorders>
              <w:top w:val="single" w:color="auto" w:sz="4" w:space="0"/>
              <w:left w:val="single" w:color="auto" w:sz="4" w:space="0"/>
              <w:bottom w:val="single" w:color="auto" w:sz="4" w:space="0"/>
              <w:right w:val="single" w:color="auto" w:sz="4" w:space="0"/>
            </w:tcBorders>
            <w:vAlign w:val="center"/>
          </w:tcPr>
          <w:p w14:paraId="2B7945B4">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自身管理节点支持分布式架构，保证管控节点的高可靠和高性能。</w:t>
            </w:r>
          </w:p>
        </w:tc>
      </w:tr>
      <w:tr w14:paraId="49B7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23FFD8D3">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指标项</w:t>
            </w:r>
          </w:p>
        </w:tc>
        <w:tc>
          <w:tcPr>
            <w:tcW w:w="7405" w:type="dxa"/>
            <w:tcBorders>
              <w:top w:val="single" w:color="auto" w:sz="4" w:space="0"/>
              <w:left w:val="single" w:color="auto" w:sz="4" w:space="0"/>
              <w:bottom w:val="single" w:color="auto" w:sz="4" w:space="0"/>
              <w:right w:val="single" w:color="auto" w:sz="4" w:space="0"/>
            </w:tcBorders>
            <w:vAlign w:val="center"/>
          </w:tcPr>
          <w:p w14:paraId="5DE4D8FE">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规格</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要求</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整机）</w:t>
            </w:r>
          </w:p>
        </w:tc>
      </w:tr>
      <w:tr w14:paraId="4B33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1F6D18DB">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功能指标</w:t>
            </w:r>
          </w:p>
        </w:tc>
        <w:tc>
          <w:tcPr>
            <w:tcW w:w="7405" w:type="dxa"/>
            <w:tcBorders>
              <w:top w:val="single" w:color="auto" w:sz="4" w:space="0"/>
              <w:left w:val="single" w:color="auto" w:sz="4" w:space="0"/>
              <w:bottom w:val="single" w:color="auto" w:sz="4" w:space="0"/>
              <w:right w:val="single" w:color="auto" w:sz="4" w:space="0"/>
            </w:tcBorders>
            <w:vAlign w:val="center"/>
          </w:tcPr>
          <w:p w14:paraId="4E3E991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（1）显存≥512G</w:t>
            </w:r>
          </w:p>
          <w:p w14:paraId="0C4FC98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（2）显存带宽≥1600GB/s</w:t>
            </w:r>
          </w:p>
          <w:p w14:paraId="70EF5E4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（3）半精度≥</w:t>
            </w:r>
            <w:r>
              <w:rPr>
                <w:rFonts w:hint="eastAsia" w:ascii="宋体" w:hAnsi="宋体" w:eastAsia="宋体" w:cs="宋体"/>
                <w:color w:val="000000"/>
                <w:kern w:val="2"/>
                <w:sz w:val="21"/>
                <w:szCs w:val="21"/>
                <w:lang w:val="en-US" w:eastAsia="zh-CN" w:bidi="ar"/>
              </w:rPr>
              <w:t>30</w:t>
            </w:r>
            <w:r>
              <w:rPr>
                <w:rFonts w:hint="eastAsia" w:ascii="宋体" w:hAnsi="宋体" w:eastAsia="宋体" w:cs="宋体"/>
                <w:color w:val="000000"/>
                <w:kern w:val="2"/>
                <w:sz w:val="21"/>
                <w:szCs w:val="21"/>
                <w:lang w:val="en-US" w:eastAsia="zh-Hans" w:bidi="ar"/>
              </w:rPr>
              <w:t>00TFLOPS，单精度≥650TFLOPS</w:t>
            </w:r>
          </w:p>
          <w:p w14:paraId="7343AA3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color w:val="000000"/>
                <w:kern w:val="2"/>
                <w:sz w:val="21"/>
                <w:szCs w:val="21"/>
                <w:lang w:val="en-US" w:eastAsia="zh-Hans" w:bidi="ar"/>
              </w:rPr>
              <w:t>（4）GPU服务器需要配置8*200GE的网口，用来承载训练过程中GPU之间的高速通信，网络通信协议采用RDMA协议的方式</w:t>
            </w:r>
            <w:r>
              <w:rPr>
                <w:rFonts w:hint="eastAsia" w:ascii="宋体" w:hAnsi="宋体" w:eastAsia="宋体" w:cs="宋体"/>
                <w:color w:val="000000"/>
                <w:kern w:val="2"/>
                <w:sz w:val="21"/>
                <w:szCs w:val="21"/>
                <w:lang w:val="en-US" w:eastAsia="zh-CN" w:bidi="ar"/>
              </w:rPr>
              <w:t>。</w:t>
            </w:r>
          </w:p>
        </w:tc>
      </w:tr>
      <w:tr w14:paraId="240E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1BE53658">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兼容性</w:t>
            </w:r>
            <w:r>
              <w:rPr>
                <w:rFonts w:hint="default" w:ascii="宋体" w:hAnsi="宋体" w:eastAsia="宋体" w:cs="宋体"/>
                <w:color w:val="000000" w:themeColor="text1"/>
                <w:szCs w:val="21"/>
                <w:highlight w:val="none"/>
                <w14:textFill>
                  <w14:solidFill>
                    <w14:schemeClr w14:val="tx1"/>
                  </w14:solidFill>
                </w14:textFill>
              </w:rPr>
              <w:t>/开放性</w:t>
            </w:r>
          </w:p>
        </w:tc>
        <w:tc>
          <w:tcPr>
            <w:tcW w:w="7405" w:type="dxa"/>
            <w:tcBorders>
              <w:top w:val="single" w:color="auto" w:sz="4" w:space="0"/>
              <w:left w:val="single" w:color="auto" w:sz="4" w:space="0"/>
              <w:bottom w:val="single" w:color="auto" w:sz="4" w:space="0"/>
              <w:right w:val="single" w:color="auto" w:sz="4" w:space="0"/>
            </w:tcBorders>
            <w:vAlign w:val="center"/>
          </w:tcPr>
          <w:p w14:paraId="0D4813A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kern w:val="2"/>
                <w:sz w:val="21"/>
                <w:szCs w:val="21"/>
                <w:lang w:val="en-US" w:eastAsia="zh-Hans" w:bidi="ar"/>
              </w:rPr>
              <w:t>支持主流的麒麟、统信等国产操作系统。</w:t>
            </w:r>
          </w:p>
        </w:tc>
      </w:tr>
      <w:tr w14:paraId="227B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1DCC7015">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可靠性指标</w:t>
            </w:r>
          </w:p>
        </w:tc>
        <w:tc>
          <w:tcPr>
            <w:tcW w:w="7405" w:type="dxa"/>
            <w:tcBorders>
              <w:top w:val="single" w:color="auto" w:sz="4" w:space="0"/>
              <w:left w:val="single" w:color="auto" w:sz="4" w:space="0"/>
              <w:bottom w:val="single" w:color="auto" w:sz="4" w:space="0"/>
              <w:right w:val="single" w:color="auto" w:sz="4" w:space="0"/>
            </w:tcBorders>
            <w:vAlign w:val="center"/>
          </w:tcPr>
          <w:p w14:paraId="50AAD92F">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自身管理节点支持分布式架构，保证管控节点的高可靠和高性能。</w:t>
            </w:r>
          </w:p>
        </w:tc>
      </w:tr>
      <w:tr w14:paraId="7CC4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38C10EF3">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指标项</w:t>
            </w:r>
          </w:p>
        </w:tc>
        <w:tc>
          <w:tcPr>
            <w:tcW w:w="7405" w:type="dxa"/>
            <w:tcBorders>
              <w:top w:val="single" w:color="auto" w:sz="4" w:space="0"/>
              <w:left w:val="single" w:color="auto" w:sz="4" w:space="0"/>
              <w:bottom w:val="single" w:color="auto" w:sz="4" w:space="0"/>
              <w:right w:val="single" w:color="auto" w:sz="4" w:space="0"/>
            </w:tcBorders>
            <w:vAlign w:val="center"/>
          </w:tcPr>
          <w:p w14:paraId="6DFB2DAF">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规格</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要求</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整机）</w:t>
            </w:r>
          </w:p>
        </w:tc>
      </w:tr>
      <w:tr w14:paraId="4218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459E1A5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功能指标</w:t>
            </w:r>
          </w:p>
        </w:tc>
        <w:tc>
          <w:tcPr>
            <w:tcW w:w="7405" w:type="dxa"/>
            <w:tcBorders>
              <w:top w:val="single" w:color="auto" w:sz="4" w:space="0"/>
              <w:left w:val="single" w:color="auto" w:sz="4" w:space="0"/>
              <w:bottom w:val="single" w:color="auto" w:sz="4" w:space="0"/>
              <w:right w:val="single" w:color="auto" w:sz="4" w:space="0"/>
            </w:tcBorders>
            <w:vAlign w:val="center"/>
          </w:tcPr>
          <w:p w14:paraId="6BBE091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（1）显存≥1536GB</w:t>
            </w:r>
          </w:p>
          <w:p w14:paraId="59AA58A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（2）显存带宽≥2TB/s</w:t>
            </w:r>
          </w:p>
          <w:p w14:paraId="7DF7E7C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（3）半精度算力≥ 1600TFLOPS</w:t>
            </w:r>
          </w:p>
          <w:p w14:paraId="1F64CD7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kern w:val="2"/>
                <w:sz w:val="21"/>
                <w:szCs w:val="21"/>
                <w:lang w:val="en-US" w:eastAsia="zh-Hans" w:bidi="ar"/>
              </w:rPr>
            </w:pPr>
            <w:r>
              <w:rPr>
                <w:rFonts w:hint="eastAsia" w:ascii="宋体" w:hAnsi="宋体" w:eastAsia="宋体" w:cs="宋体"/>
                <w:color w:val="000000"/>
                <w:kern w:val="2"/>
                <w:sz w:val="21"/>
                <w:szCs w:val="21"/>
                <w:lang w:val="en-US" w:eastAsia="zh-Hans" w:bidi="ar"/>
              </w:rPr>
              <w:t>（4）GPU服务器需要配置8*200GE的网口，用来承载训练过程中GPU之间的高速通信，网络通信协议采用RDMA协议的方式</w:t>
            </w:r>
          </w:p>
        </w:tc>
      </w:tr>
      <w:tr w14:paraId="7394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213AB79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兼容性</w:t>
            </w:r>
            <w:r>
              <w:rPr>
                <w:rFonts w:hint="default" w:ascii="宋体" w:hAnsi="宋体" w:eastAsia="宋体" w:cs="宋体"/>
                <w:color w:val="000000" w:themeColor="text1"/>
                <w:szCs w:val="21"/>
                <w:highlight w:val="none"/>
                <w14:textFill>
                  <w14:solidFill>
                    <w14:schemeClr w14:val="tx1"/>
                  </w14:solidFill>
                </w14:textFill>
              </w:rPr>
              <w:t>/开放性</w:t>
            </w:r>
          </w:p>
        </w:tc>
        <w:tc>
          <w:tcPr>
            <w:tcW w:w="7405" w:type="dxa"/>
            <w:tcBorders>
              <w:top w:val="single" w:color="auto" w:sz="4" w:space="0"/>
              <w:left w:val="single" w:color="auto" w:sz="4" w:space="0"/>
              <w:bottom w:val="single" w:color="auto" w:sz="4" w:space="0"/>
              <w:right w:val="single" w:color="auto" w:sz="4" w:space="0"/>
            </w:tcBorders>
            <w:vAlign w:val="center"/>
          </w:tcPr>
          <w:p w14:paraId="3175D73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支持主流的麒麟、统信等国产操作系统。</w:t>
            </w:r>
          </w:p>
        </w:tc>
      </w:tr>
      <w:tr w14:paraId="3BC9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116D8409">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可靠性</w:t>
            </w:r>
          </w:p>
          <w:p w14:paraId="7BEA4177">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指标</w:t>
            </w:r>
          </w:p>
        </w:tc>
        <w:tc>
          <w:tcPr>
            <w:tcW w:w="7405" w:type="dxa"/>
            <w:tcBorders>
              <w:top w:val="single" w:color="auto" w:sz="4" w:space="0"/>
              <w:left w:val="single" w:color="auto" w:sz="4" w:space="0"/>
              <w:bottom w:val="single" w:color="auto" w:sz="4" w:space="0"/>
              <w:right w:val="single" w:color="auto" w:sz="4" w:space="0"/>
            </w:tcBorders>
            <w:vAlign w:val="center"/>
          </w:tcPr>
          <w:p w14:paraId="75BE2328">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自身管理节点支持分布式架构，保证管控节点的高可靠和高性能。</w:t>
            </w:r>
          </w:p>
        </w:tc>
      </w:tr>
    </w:tbl>
    <w:p w14:paraId="50CC0AE8">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3.</w:t>
      </w:r>
      <w:r>
        <w:rPr>
          <w:rFonts w:hint="eastAsia" w:ascii="仿宋_GB2312" w:hAnsi="仿宋_GB2312" w:eastAsia="仿宋_GB2312" w:cs="仿宋_GB2312"/>
          <w:color w:val="000000"/>
          <w:sz w:val="24"/>
          <w:szCs w:val="24"/>
        </w:rPr>
        <w:t>块存储-高效云盘</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405"/>
      </w:tblGrid>
      <w:tr w14:paraId="072E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2B9E54E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405" w:type="dxa"/>
            <w:tcBorders>
              <w:top w:val="single" w:color="auto" w:sz="4" w:space="0"/>
              <w:left w:val="single" w:color="auto" w:sz="4" w:space="0"/>
              <w:bottom w:val="single" w:color="auto" w:sz="4" w:space="0"/>
              <w:right w:val="single" w:color="auto" w:sz="4" w:space="0"/>
            </w:tcBorders>
            <w:vAlign w:val="center"/>
          </w:tcPr>
          <w:p w14:paraId="24C5637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6020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2CDB339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功能指标</w:t>
            </w:r>
          </w:p>
        </w:tc>
        <w:tc>
          <w:tcPr>
            <w:tcW w:w="7405" w:type="dxa"/>
            <w:tcBorders>
              <w:top w:val="single" w:color="auto" w:sz="4" w:space="0"/>
              <w:left w:val="single" w:color="auto" w:sz="4" w:space="0"/>
              <w:bottom w:val="single" w:color="auto" w:sz="4" w:space="0"/>
              <w:right w:val="single" w:color="auto" w:sz="4" w:space="0"/>
            </w:tcBorders>
            <w:vAlign w:val="center"/>
          </w:tcPr>
          <w:p w14:paraId="52A1844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1）支持通过块存储访问协议对外提供云盘功能，支持格式化、挂载及执行I/O操作；</w:t>
            </w:r>
          </w:p>
          <w:p w14:paraId="74DF2B6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2）支持云盘多挂载功能，单块云盘可以同时挂载到不少于4台云服务器上；</w:t>
            </w:r>
          </w:p>
          <w:p w14:paraId="48C5AB9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3）支持云盘快照功能，通过有计划地对磁盘创建快照从而实现保留某一个或者多个时间点的磁盘数据拷贝；</w:t>
            </w:r>
          </w:p>
          <w:p w14:paraId="6B640DF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4）支持自动快照策略，单个云盘支持不少于64个快照；</w:t>
            </w:r>
          </w:p>
          <w:p w14:paraId="0D4214D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5）支持镜像功能，可以使用快照创建自定义镜像；支持使用自定义镜像创建多台具有相同操作系统和数据环境信息的实例；</w:t>
            </w:r>
          </w:p>
          <w:p w14:paraId="04087F8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6）支持云盘加密功能，采用256位强密码进行数据加密。</w:t>
            </w:r>
          </w:p>
        </w:tc>
      </w:tr>
      <w:tr w14:paraId="5C3C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40CDD6A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兼容性/开放性</w:t>
            </w:r>
          </w:p>
        </w:tc>
        <w:tc>
          <w:tcPr>
            <w:tcW w:w="7405" w:type="dxa"/>
            <w:tcBorders>
              <w:top w:val="single" w:color="auto" w:sz="4" w:space="0"/>
              <w:left w:val="single" w:color="auto" w:sz="4" w:space="0"/>
              <w:bottom w:val="single" w:color="auto" w:sz="4" w:space="0"/>
              <w:right w:val="single" w:color="auto" w:sz="4" w:space="0"/>
            </w:tcBorders>
            <w:vAlign w:val="center"/>
          </w:tcPr>
          <w:p w14:paraId="5B84256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1）兼容海光、鲲鹏等国产CPU服务器；</w:t>
            </w:r>
          </w:p>
          <w:p w14:paraId="5A033FE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2）支持计算存储融合部署架构和计算存储分离部署架构；</w:t>
            </w:r>
          </w:p>
          <w:p w14:paraId="3DA8CCA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3）支持麒麟、统信等主流国产操作系统。</w:t>
            </w:r>
          </w:p>
        </w:tc>
      </w:tr>
      <w:tr w14:paraId="7EA9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3C8B270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性能指标</w:t>
            </w:r>
          </w:p>
        </w:tc>
        <w:tc>
          <w:tcPr>
            <w:tcW w:w="7405" w:type="dxa"/>
            <w:tcBorders>
              <w:top w:val="single" w:color="auto" w:sz="4" w:space="0"/>
              <w:left w:val="single" w:color="auto" w:sz="4" w:space="0"/>
              <w:bottom w:val="single" w:color="auto" w:sz="4" w:space="0"/>
              <w:right w:val="single" w:color="auto" w:sz="4" w:space="0"/>
            </w:tcBorders>
            <w:vAlign w:val="center"/>
          </w:tcPr>
          <w:p w14:paraId="24311DF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1）单盘存储IOPS性能不低于5000；</w:t>
            </w:r>
          </w:p>
          <w:p w14:paraId="0A5B561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2）单盘存储吞吐性能不低于140MB/s；</w:t>
            </w:r>
          </w:p>
          <w:p w14:paraId="56911CF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3）单台云服务器支持挂载云盘数量不低于16个；</w:t>
            </w:r>
          </w:p>
          <w:p w14:paraId="45C50F6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4）单盘容量不低于32TB。</w:t>
            </w:r>
          </w:p>
        </w:tc>
      </w:tr>
      <w:tr w14:paraId="746B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7C332A1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安全性</w:t>
            </w:r>
          </w:p>
        </w:tc>
        <w:tc>
          <w:tcPr>
            <w:tcW w:w="7405" w:type="dxa"/>
            <w:tcBorders>
              <w:top w:val="single" w:color="auto" w:sz="4" w:space="0"/>
              <w:left w:val="single" w:color="auto" w:sz="4" w:space="0"/>
              <w:bottom w:val="single" w:color="auto" w:sz="4" w:space="0"/>
              <w:right w:val="single" w:color="auto" w:sz="4" w:space="0"/>
            </w:tcBorders>
            <w:vAlign w:val="center"/>
          </w:tcPr>
          <w:p w14:paraId="2AC93AB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1）支持多Master节点部署，保证服务高可用；</w:t>
            </w:r>
          </w:p>
          <w:p w14:paraId="0ADB983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2）支持多副本或EC的冗余机制，保证业务数据的可靠性。</w:t>
            </w:r>
          </w:p>
        </w:tc>
      </w:tr>
    </w:tbl>
    <w:p w14:paraId="091503D4">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4.块存储-SSD云盘</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405"/>
      </w:tblGrid>
      <w:tr w14:paraId="695E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7AF8D75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405" w:type="dxa"/>
            <w:tcBorders>
              <w:top w:val="single" w:color="auto" w:sz="4" w:space="0"/>
              <w:left w:val="single" w:color="auto" w:sz="4" w:space="0"/>
              <w:bottom w:val="single" w:color="auto" w:sz="4" w:space="0"/>
              <w:right w:val="single" w:color="auto" w:sz="4" w:space="0"/>
            </w:tcBorders>
            <w:vAlign w:val="center"/>
          </w:tcPr>
          <w:p w14:paraId="3BC713B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50F7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7CCD008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功能指标</w:t>
            </w:r>
          </w:p>
        </w:tc>
        <w:tc>
          <w:tcPr>
            <w:tcW w:w="7405" w:type="dxa"/>
            <w:tcBorders>
              <w:top w:val="single" w:color="auto" w:sz="4" w:space="0"/>
              <w:left w:val="single" w:color="auto" w:sz="4" w:space="0"/>
              <w:bottom w:val="single" w:color="auto" w:sz="4" w:space="0"/>
              <w:right w:val="single" w:color="auto" w:sz="4" w:space="0"/>
            </w:tcBorders>
            <w:vAlign w:val="center"/>
          </w:tcPr>
          <w:p w14:paraId="1293C23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1）通过块存储访问协议，对外提供云盘功能，客户可以像使用物理硬盘一样来使用，可以格式化，可以挂载，可以执行I/O操作；</w:t>
            </w:r>
          </w:p>
          <w:p w14:paraId="1C99AC0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2）支持云盘多挂载功能，单块云盘可以同时挂载到不少于4台云服务器上；</w:t>
            </w:r>
          </w:p>
          <w:p w14:paraId="0EC9E37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3）提供云盘快照功能，通过创建快照，有计划地对磁盘创建快照，客户可以保留某一个或者多个时间点的磁盘数据拷贝，从而保证业务可持续运行；</w:t>
            </w:r>
          </w:p>
          <w:p w14:paraId="7113F68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4）支持自动快照策略，单个云盘支持不少于64个快照；</w:t>
            </w:r>
          </w:p>
          <w:p w14:paraId="767E637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5）提供镜像功能，可以使用快照创建自定义镜像，将云盘的操作系统、数据环境信息完整的包含在镜像中。然后使用自定义镜像创建多台具有相同操作系统和数据环境信息的实例，非常方便的复制；</w:t>
            </w:r>
          </w:p>
          <w:p w14:paraId="31AF44E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6）支持云盘加密功能，采用256位强密码进行数据加密。</w:t>
            </w:r>
          </w:p>
        </w:tc>
      </w:tr>
      <w:tr w14:paraId="267A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4062327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兼容性/开放性</w:t>
            </w:r>
          </w:p>
        </w:tc>
        <w:tc>
          <w:tcPr>
            <w:tcW w:w="7405" w:type="dxa"/>
            <w:tcBorders>
              <w:top w:val="single" w:color="auto" w:sz="4" w:space="0"/>
              <w:left w:val="single" w:color="auto" w:sz="4" w:space="0"/>
              <w:bottom w:val="single" w:color="auto" w:sz="4" w:space="0"/>
              <w:right w:val="single" w:color="auto" w:sz="4" w:space="0"/>
            </w:tcBorders>
            <w:vAlign w:val="center"/>
          </w:tcPr>
          <w:p w14:paraId="0D6A16A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1）兼容海光、鲲鹏等国产</w:t>
            </w:r>
            <w:r>
              <w:rPr>
                <w:rFonts w:hint="default" w:ascii="宋体" w:hAnsi="宋体" w:eastAsia="宋体" w:cs="宋体"/>
                <w:szCs w:val="21"/>
              </w:rPr>
              <w:t>CPU</w:t>
            </w:r>
            <w:r>
              <w:rPr>
                <w:rFonts w:hint="eastAsia" w:ascii="宋体" w:hAnsi="宋体" w:eastAsia="宋体" w:cs="宋体"/>
                <w:szCs w:val="21"/>
              </w:rPr>
              <w:t>服务器；</w:t>
            </w:r>
          </w:p>
          <w:p w14:paraId="2FA5A31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2）支持计算存储融合部署架构和计算存储分离部署架构；</w:t>
            </w:r>
          </w:p>
          <w:p w14:paraId="050205B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default" w:ascii="宋体" w:hAnsi="宋体" w:eastAsia="宋体" w:cs="宋体"/>
                <w:szCs w:val="21"/>
              </w:rPr>
              <w:t>3）支持</w:t>
            </w:r>
            <w:r>
              <w:rPr>
                <w:rFonts w:hint="eastAsia" w:ascii="宋体" w:hAnsi="宋体" w:eastAsia="宋体" w:cs="宋体"/>
                <w:szCs w:val="21"/>
              </w:rPr>
              <w:t>麒麟、统信</w:t>
            </w:r>
            <w:r>
              <w:rPr>
                <w:rFonts w:hint="default" w:ascii="宋体" w:hAnsi="宋体" w:eastAsia="宋体" w:cs="宋体"/>
                <w:szCs w:val="21"/>
              </w:rPr>
              <w:t>等主流</w:t>
            </w:r>
            <w:r>
              <w:rPr>
                <w:rFonts w:hint="eastAsia" w:ascii="宋体" w:hAnsi="宋体" w:eastAsia="宋体" w:cs="宋体"/>
                <w:szCs w:val="21"/>
              </w:rPr>
              <w:t>国产操作系统，</w:t>
            </w:r>
          </w:p>
        </w:tc>
      </w:tr>
      <w:tr w14:paraId="6F44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441B221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性能指标</w:t>
            </w:r>
          </w:p>
        </w:tc>
        <w:tc>
          <w:tcPr>
            <w:tcW w:w="7405" w:type="dxa"/>
            <w:tcBorders>
              <w:top w:val="single" w:color="auto" w:sz="4" w:space="0"/>
              <w:left w:val="single" w:color="auto" w:sz="4" w:space="0"/>
              <w:bottom w:val="single" w:color="auto" w:sz="4" w:space="0"/>
              <w:right w:val="single" w:color="auto" w:sz="4" w:space="0"/>
            </w:tcBorders>
            <w:vAlign w:val="center"/>
          </w:tcPr>
          <w:p w14:paraId="3FBD9F3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1）单盘存储IOPS性能不低于20000；</w:t>
            </w:r>
          </w:p>
          <w:p w14:paraId="251B8D1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2）单盘存储吞吐性能不低于300MB/s；</w:t>
            </w:r>
          </w:p>
          <w:p w14:paraId="6731D8F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3）单台云服务器支持挂载云盘数量不低于16个；</w:t>
            </w:r>
          </w:p>
          <w:p w14:paraId="6FDDEE9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4）单盘容量不低于32TB。</w:t>
            </w:r>
          </w:p>
        </w:tc>
      </w:tr>
      <w:tr w14:paraId="1E77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vAlign w:val="center"/>
          </w:tcPr>
          <w:p w14:paraId="6A7F7A9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rPr>
              <w:t>安全性</w:t>
            </w:r>
          </w:p>
        </w:tc>
        <w:tc>
          <w:tcPr>
            <w:tcW w:w="7405" w:type="dxa"/>
            <w:tcBorders>
              <w:top w:val="single" w:color="auto" w:sz="4" w:space="0"/>
              <w:left w:val="single" w:color="auto" w:sz="4" w:space="0"/>
              <w:bottom w:val="single" w:color="auto" w:sz="4" w:space="0"/>
              <w:right w:val="single" w:color="auto" w:sz="4" w:space="0"/>
            </w:tcBorders>
            <w:vAlign w:val="center"/>
          </w:tcPr>
          <w:p w14:paraId="5DF65E1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eastAsia="宋体"/>
              </w:rPr>
            </w:pPr>
            <w:r>
              <w:rPr>
                <w:rFonts w:hint="eastAsia" w:ascii="宋体" w:hAnsi="宋体" w:eastAsia="宋体" w:cs="宋体"/>
                <w:szCs w:val="21"/>
              </w:rPr>
              <w:t>1）</w:t>
            </w:r>
            <w:r>
              <w:rPr>
                <w:rFonts w:hint="eastAsia"/>
              </w:rPr>
              <w:t>支持多Master节点部署，保证服务高可用；</w:t>
            </w:r>
          </w:p>
          <w:p w14:paraId="1D045A1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2）</w:t>
            </w:r>
            <w:r>
              <w:rPr>
                <w:rFonts w:hint="eastAsia"/>
              </w:rPr>
              <w:t>支持多副本或EC的冗余机制，保证业务数据的可靠性。</w:t>
            </w:r>
          </w:p>
        </w:tc>
      </w:tr>
    </w:tbl>
    <w:p w14:paraId="51A47E83">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（二）存储服务</w:t>
      </w:r>
    </w:p>
    <w:p w14:paraId="08CB1818">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1.对象存储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93"/>
      </w:tblGrid>
      <w:tr w14:paraId="3727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14:paraId="3850979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393" w:type="dxa"/>
            <w:tcBorders>
              <w:top w:val="single" w:color="auto" w:sz="4" w:space="0"/>
              <w:left w:val="single" w:color="auto" w:sz="4" w:space="0"/>
              <w:bottom w:val="single" w:color="auto" w:sz="4" w:space="0"/>
              <w:right w:val="single" w:color="auto" w:sz="4" w:space="0"/>
            </w:tcBorders>
            <w:vAlign w:val="center"/>
          </w:tcPr>
          <w:p w14:paraId="40E4D13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2038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14:paraId="603BF87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rPr>
              <w:t>功能指标</w:t>
            </w:r>
          </w:p>
        </w:tc>
        <w:tc>
          <w:tcPr>
            <w:tcW w:w="7393" w:type="dxa"/>
            <w:tcBorders>
              <w:top w:val="single" w:color="auto" w:sz="4" w:space="0"/>
              <w:left w:val="single" w:color="auto" w:sz="4" w:space="0"/>
              <w:bottom w:val="single" w:color="auto" w:sz="4" w:space="0"/>
              <w:right w:val="single" w:color="auto" w:sz="4" w:space="0"/>
            </w:tcBorders>
            <w:vAlign w:val="center"/>
          </w:tcPr>
          <w:p w14:paraId="0D35683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default" w:ascii="宋体" w:hAnsi="宋体" w:eastAsia="宋体" w:cs="宋体"/>
                <w:szCs w:val="21"/>
              </w:rPr>
              <w:t>1</w:t>
            </w:r>
            <w:r>
              <w:rPr>
                <w:rFonts w:hint="eastAsia" w:ascii="宋体" w:hAnsi="宋体" w:eastAsia="宋体" w:cs="宋体"/>
                <w:szCs w:val="21"/>
              </w:rPr>
              <w:t>）支持创建/删除/列举资源实例。支持静态网站托管、防盗链、访问日志、跨域访问；</w:t>
            </w:r>
          </w:p>
          <w:p w14:paraId="0993ED7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default" w:ascii="宋体" w:hAnsi="宋体" w:eastAsia="宋体" w:cs="宋体"/>
                <w:szCs w:val="21"/>
              </w:rPr>
              <w:t>2</w:t>
            </w:r>
            <w:r>
              <w:rPr>
                <w:rFonts w:hint="eastAsia" w:ascii="宋体" w:hAnsi="宋体" w:eastAsia="宋体" w:cs="宋体"/>
                <w:szCs w:val="21"/>
              </w:rPr>
              <w:t>）支持对象简单上传/表单上传/追加上传/下载/删除/列举/复制，生命周期管理等功能。</w:t>
            </w:r>
          </w:p>
        </w:tc>
      </w:tr>
      <w:tr w14:paraId="5841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29" w:type="dxa"/>
            <w:tcBorders>
              <w:top w:val="single" w:color="auto" w:sz="4" w:space="0"/>
              <w:left w:val="single" w:color="auto" w:sz="4" w:space="0"/>
              <w:bottom w:val="single" w:color="auto" w:sz="4" w:space="0"/>
              <w:right w:val="single" w:color="auto" w:sz="4" w:space="0"/>
            </w:tcBorders>
            <w:vAlign w:val="center"/>
          </w:tcPr>
          <w:p w14:paraId="2DA94E1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兼容性/开放性</w:t>
            </w:r>
          </w:p>
        </w:tc>
        <w:tc>
          <w:tcPr>
            <w:tcW w:w="7393" w:type="dxa"/>
            <w:tcBorders>
              <w:top w:val="single" w:color="auto" w:sz="4" w:space="0"/>
              <w:left w:val="single" w:color="auto" w:sz="4" w:space="0"/>
              <w:bottom w:val="single" w:color="auto" w:sz="4" w:space="0"/>
              <w:right w:val="single" w:color="auto" w:sz="4" w:space="0"/>
            </w:tcBorders>
            <w:vAlign w:val="center"/>
          </w:tcPr>
          <w:p w14:paraId="47E43F3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支持RESTful API接口、S3接口标准。</w:t>
            </w:r>
          </w:p>
        </w:tc>
      </w:tr>
      <w:tr w14:paraId="2E6C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14:paraId="4A3D03C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rPr>
              <w:t>性能指标</w:t>
            </w:r>
          </w:p>
        </w:tc>
        <w:tc>
          <w:tcPr>
            <w:tcW w:w="7393" w:type="dxa"/>
            <w:tcBorders>
              <w:top w:val="single" w:color="auto" w:sz="4" w:space="0"/>
              <w:left w:val="single" w:color="auto" w:sz="4" w:space="0"/>
              <w:bottom w:val="single" w:color="auto" w:sz="4" w:space="0"/>
              <w:right w:val="single" w:color="auto" w:sz="4" w:space="0"/>
            </w:tcBorders>
            <w:vAlign w:val="center"/>
          </w:tcPr>
          <w:p w14:paraId="4CDFF6C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1）吞吐量：单数据节点支持读大于等于</w:t>
            </w:r>
            <w:r>
              <w:rPr>
                <w:rFonts w:hint="default" w:ascii="宋体" w:hAnsi="宋体" w:eastAsia="宋体" w:cs="宋体"/>
                <w:szCs w:val="21"/>
              </w:rPr>
              <w:t>300MB</w:t>
            </w:r>
            <w:r>
              <w:rPr>
                <w:rFonts w:hint="eastAsia" w:ascii="宋体" w:hAnsi="宋体" w:eastAsia="宋体" w:cs="宋体"/>
                <w:szCs w:val="21"/>
              </w:rPr>
              <w:t>/s、写大于等于</w:t>
            </w:r>
            <w:r>
              <w:rPr>
                <w:rFonts w:hint="default" w:ascii="宋体" w:hAnsi="宋体" w:eastAsia="宋体" w:cs="宋体"/>
                <w:szCs w:val="21"/>
              </w:rPr>
              <w:t>2</w:t>
            </w:r>
            <w:r>
              <w:rPr>
                <w:rFonts w:hint="eastAsia" w:ascii="宋体" w:hAnsi="宋体" w:eastAsia="宋体" w:cs="宋体"/>
                <w:szCs w:val="21"/>
              </w:rPr>
              <w:t>00MB/s；</w:t>
            </w:r>
          </w:p>
          <w:p w14:paraId="4E1EAAA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2）平均延时：在4K文件大小读写时，写平均延时不大于10ms、读平均延时不大于2.5ms；</w:t>
            </w:r>
          </w:p>
          <w:p w14:paraId="6315868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3）系统无节点上限。</w:t>
            </w:r>
          </w:p>
        </w:tc>
      </w:tr>
      <w:tr w14:paraId="2E06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right w:val="single" w:color="auto" w:sz="4" w:space="0"/>
            </w:tcBorders>
            <w:vAlign w:val="center"/>
          </w:tcPr>
          <w:p w14:paraId="2165811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rPr>
            </w:pPr>
            <w:r>
              <w:rPr>
                <w:rFonts w:hint="eastAsia"/>
              </w:rPr>
              <w:t>安全性</w:t>
            </w:r>
          </w:p>
        </w:tc>
        <w:tc>
          <w:tcPr>
            <w:tcW w:w="7393" w:type="dxa"/>
            <w:tcBorders>
              <w:top w:val="single" w:color="auto" w:sz="4" w:space="0"/>
              <w:left w:val="single" w:color="auto" w:sz="4" w:space="0"/>
              <w:bottom w:val="single" w:color="auto" w:sz="4" w:space="0"/>
              <w:right w:val="single" w:color="auto" w:sz="4" w:space="0"/>
            </w:tcBorders>
            <w:vAlign w:val="center"/>
          </w:tcPr>
          <w:p w14:paraId="6B29651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支持权限认证、服务器端和客户端加密、传输加密HTTPS。（提供截图证明）</w:t>
            </w:r>
          </w:p>
        </w:tc>
      </w:tr>
    </w:tbl>
    <w:p w14:paraId="16C1E101">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（三）数据库服务</w:t>
      </w:r>
    </w:p>
    <w:p w14:paraId="2926485A">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1.</w:t>
      </w:r>
      <w:r>
        <w:rPr>
          <w:rFonts w:hint="eastAsia" w:ascii="仿宋_GB2312" w:hAnsi="仿宋_GB2312" w:eastAsia="仿宋_GB2312" w:cs="仿宋_GB2312"/>
          <w:color w:val="000000"/>
          <w:sz w:val="24"/>
          <w:szCs w:val="24"/>
          <w:lang w:val="en-US" w:eastAsia="zh-CN"/>
        </w:rPr>
        <w:t>关系型数据库</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382"/>
      </w:tblGrid>
      <w:tr w14:paraId="4012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40" w:type="dxa"/>
            <w:tcBorders>
              <w:top w:val="single" w:color="auto" w:sz="4" w:space="0"/>
              <w:left w:val="single" w:color="auto" w:sz="4" w:space="0"/>
              <w:bottom w:val="single" w:color="auto" w:sz="4" w:space="0"/>
              <w:right w:val="single" w:color="auto" w:sz="4" w:space="0"/>
            </w:tcBorders>
            <w:vAlign w:val="center"/>
          </w:tcPr>
          <w:p w14:paraId="253874C8">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382" w:type="dxa"/>
            <w:tcBorders>
              <w:top w:val="single" w:color="auto" w:sz="4" w:space="0"/>
              <w:left w:val="single" w:color="auto" w:sz="4" w:space="0"/>
              <w:bottom w:val="single" w:color="auto" w:sz="4" w:space="0"/>
              <w:right w:val="single" w:color="auto" w:sz="4" w:space="0"/>
            </w:tcBorders>
            <w:vAlign w:val="center"/>
          </w:tcPr>
          <w:p w14:paraId="1D75C1A1">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26E2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40" w:type="dxa"/>
            <w:vMerge w:val="restart"/>
            <w:tcBorders>
              <w:top w:val="single" w:color="auto" w:sz="4" w:space="0"/>
              <w:left w:val="single" w:color="auto" w:sz="4" w:space="0"/>
              <w:right w:val="single" w:color="auto" w:sz="4" w:space="0"/>
            </w:tcBorders>
            <w:vAlign w:val="center"/>
          </w:tcPr>
          <w:p w14:paraId="54B9F1D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rPr>
              <w:t>功能指标</w:t>
            </w:r>
          </w:p>
        </w:tc>
        <w:tc>
          <w:tcPr>
            <w:tcW w:w="7382" w:type="dxa"/>
            <w:tcBorders>
              <w:top w:val="single" w:color="auto" w:sz="4" w:space="0"/>
              <w:left w:val="single" w:color="auto" w:sz="4" w:space="0"/>
              <w:bottom w:val="single" w:color="auto" w:sz="4" w:space="0"/>
              <w:right w:val="single" w:color="auto" w:sz="4" w:space="0"/>
            </w:tcBorders>
            <w:vAlign w:val="center"/>
          </w:tcPr>
          <w:p w14:paraId="7729AE16">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基于高效的调度、备份、HA控制、在线迁移以及监控系统，为用户提供为专业的云数据库服务。</w:t>
            </w:r>
          </w:p>
        </w:tc>
      </w:tr>
      <w:tr w14:paraId="40A5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619AFA2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1AC91EE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支持关系型数据库的基本功能，并进行优化服务。</w:t>
            </w:r>
          </w:p>
        </w:tc>
      </w:tr>
      <w:tr w14:paraId="69F9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6A3484C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93907BF">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支持MsSqlserver、Mysql等主流关系型数据库。（提供截图证明）</w:t>
            </w:r>
          </w:p>
        </w:tc>
      </w:tr>
      <w:tr w14:paraId="60AA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762ACB4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788755AE">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单数据库实例内存可达96G，并发连接数可达24000。（提供截图证明）</w:t>
            </w:r>
          </w:p>
        </w:tc>
      </w:tr>
      <w:tr w14:paraId="5A71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0ABDCDA9">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387CF188">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MsSqlserver单数据库实例可创建的数据库数量达20个，用户数达20个。</w:t>
            </w:r>
          </w:p>
        </w:tc>
      </w:tr>
      <w:tr w14:paraId="4B77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684E9B79">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47E4A8A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Mysql单数据库实例可创建的数据库数量达200个，用户数达50个。</w:t>
            </w:r>
          </w:p>
        </w:tc>
      </w:tr>
      <w:tr w14:paraId="4509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5E5E1F7B">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11D6C4C">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每份数据都保留两份并可实时切换。（提供截图证明）</w:t>
            </w:r>
          </w:p>
        </w:tc>
      </w:tr>
      <w:tr w14:paraId="1835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5D3B854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B71D3F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支持数据库在线升级、云内动态迁移、故障自动切换，实现业务秒级无缝切换，不中断用户服务。</w:t>
            </w:r>
          </w:p>
        </w:tc>
      </w:tr>
      <w:tr w14:paraId="2E36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40" w:type="dxa"/>
            <w:vMerge w:val="restart"/>
            <w:tcBorders>
              <w:top w:val="single" w:color="auto" w:sz="4" w:space="0"/>
              <w:left w:val="single" w:color="auto" w:sz="4" w:space="0"/>
              <w:bottom w:val="single" w:color="auto" w:sz="4" w:space="0"/>
              <w:right w:val="single" w:color="auto" w:sz="4" w:space="0"/>
            </w:tcBorders>
            <w:vAlign w:val="center"/>
          </w:tcPr>
          <w:p w14:paraId="3AAB346C">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扩展功能</w:t>
            </w:r>
          </w:p>
        </w:tc>
        <w:tc>
          <w:tcPr>
            <w:tcW w:w="7382" w:type="dxa"/>
            <w:tcBorders>
              <w:top w:val="single" w:color="auto" w:sz="4" w:space="0"/>
              <w:left w:val="single" w:color="auto" w:sz="4" w:space="0"/>
              <w:bottom w:val="single" w:color="auto" w:sz="4" w:space="0"/>
              <w:right w:val="single" w:color="auto" w:sz="4" w:space="0"/>
            </w:tcBorders>
            <w:vAlign w:val="center"/>
          </w:tcPr>
          <w:p w14:paraId="4C66B0D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按需开通，即开即用，按需计费，为用户提供方便的Web管理界面。</w:t>
            </w:r>
          </w:p>
        </w:tc>
      </w:tr>
      <w:tr w14:paraId="720D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39004208">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6C445BBF">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随着用户数和访问量的变化，可以弹性的调整数据库的规格，包含内存、连接数、IOPS、存储容量等，调整时服务不间断。</w:t>
            </w:r>
            <w:r>
              <w:rPr>
                <w:rFonts w:hint="eastAsia" w:ascii="宋体" w:hAnsi="宋体" w:cs="宋体"/>
                <w:szCs w:val="21"/>
              </w:rPr>
              <w:t>（提供截图证明）</w:t>
            </w:r>
          </w:p>
        </w:tc>
      </w:tr>
      <w:tr w14:paraId="0FF2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358B71CA">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2A02C59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提供数据导入、导出工具，方便用户进行数据迁移。</w:t>
            </w:r>
          </w:p>
        </w:tc>
      </w:tr>
      <w:tr w14:paraId="111F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2BE7A7A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15C9630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提供日志记录功能，包括错误日志、操作日志、访问日志等，可追查访问来源以及进行多维度的统计分析。</w:t>
            </w:r>
          </w:p>
        </w:tc>
      </w:tr>
      <w:tr w14:paraId="3EE6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40" w:type="dxa"/>
            <w:vMerge w:val="restart"/>
            <w:tcBorders>
              <w:top w:val="single" w:color="auto" w:sz="4" w:space="0"/>
              <w:left w:val="single" w:color="auto" w:sz="4" w:space="0"/>
              <w:bottom w:val="single" w:color="auto" w:sz="4" w:space="0"/>
              <w:right w:val="single" w:color="auto" w:sz="4" w:space="0"/>
            </w:tcBorders>
            <w:vAlign w:val="center"/>
          </w:tcPr>
          <w:p w14:paraId="79CA26D3">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安全性</w:t>
            </w:r>
          </w:p>
        </w:tc>
        <w:tc>
          <w:tcPr>
            <w:tcW w:w="7382" w:type="dxa"/>
            <w:tcBorders>
              <w:top w:val="single" w:color="auto" w:sz="4" w:space="0"/>
              <w:left w:val="single" w:color="auto" w:sz="4" w:space="0"/>
              <w:bottom w:val="single" w:color="auto" w:sz="4" w:space="0"/>
              <w:right w:val="single" w:color="auto" w:sz="4" w:space="0"/>
            </w:tcBorders>
            <w:vAlign w:val="center"/>
          </w:tcPr>
          <w:p w14:paraId="672E43FD">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支持IP授权访问。</w:t>
            </w:r>
          </w:p>
        </w:tc>
      </w:tr>
      <w:tr w14:paraId="1977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40" w:type="dxa"/>
            <w:vMerge w:val="continue"/>
            <w:tcBorders>
              <w:top w:val="single" w:color="auto" w:sz="4" w:space="0"/>
              <w:left w:val="single" w:color="auto" w:sz="4" w:space="0"/>
              <w:bottom w:val="single" w:color="auto" w:sz="4" w:space="0"/>
              <w:right w:val="single" w:color="auto" w:sz="4" w:space="0"/>
            </w:tcBorders>
            <w:vAlign w:val="center"/>
          </w:tcPr>
          <w:p w14:paraId="5DC838D5">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2DA9D5A3">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云服务端提供加密用户身份验证，提供不同的访问权限控制。</w:t>
            </w:r>
          </w:p>
        </w:tc>
      </w:tr>
    </w:tbl>
    <w:p w14:paraId="1023C9A6">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2.云数据库Redis版</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382"/>
      </w:tblGrid>
      <w:tr w14:paraId="0266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40" w:type="dxa"/>
            <w:vAlign w:val="center"/>
          </w:tcPr>
          <w:p w14:paraId="1BE12ED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382" w:type="dxa"/>
            <w:vAlign w:val="center"/>
          </w:tcPr>
          <w:p w14:paraId="4F66DFE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7291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0" w:type="dxa"/>
            <w:vAlign w:val="center"/>
          </w:tcPr>
          <w:p w14:paraId="63CDDDC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rPr>
              <w:t>功能指标</w:t>
            </w:r>
          </w:p>
        </w:tc>
        <w:tc>
          <w:tcPr>
            <w:tcW w:w="7382" w:type="dxa"/>
            <w:vAlign w:val="center"/>
          </w:tcPr>
          <w:p w14:paraId="699B860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1)支持高可用/集群模式，性能可线性提升；</w:t>
            </w:r>
          </w:p>
          <w:p w14:paraId="5416CC5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rPr>
            </w:pPr>
            <w:r>
              <w:rPr>
                <w:rFonts w:hint="eastAsia" w:ascii="宋体" w:hAnsi="宋体" w:eastAsia="宋体" w:cs="宋体"/>
                <w:szCs w:val="21"/>
              </w:rPr>
              <w:t>2)支持内存+硬盘的持久化存储方式；</w:t>
            </w:r>
          </w:p>
          <w:p w14:paraId="5278213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default" w:ascii="宋体" w:hAnsi="宋体" w:eastAsia="宋体" w:cs="宋体"/>
                <w:szCs w:val="21"/>
              </w:rPr>
              <w:t>3</w:t>
            </w:r>
            <w:r>
              <w:rPr>
                <w:rFonts w:hint="eastAsia" w:ascii="宋体" w:hAnsi="宋体" w:eastAsia="宋体" w:cs="宋体"/>
                <w:szCs w:val="21"/>
              </w:rPr>
              <w:t>)提供分钟级别的监控功能；</w:t>
            </w:r>
          </w:p>
          <w:p w14:paraId="374D2DA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default" w:ascii="宋体" w:hAnsi="宋体" w:eastAsia="宋体" w:cs="宋体"/>
                <w:szCs w:val="21"/>
              </w:rPr>
              <w:t>4</w:t>
            </w:r>
            <w:r>
              <w:rPr>
                <w:rFonts w:hint="eastAsia" w:ascii="宋体" w:hAnsi="宋体" w:eastAsia="宋体" w:cs="宋体"/>
                <w:szCs w:val="21"/>
              </w:rPr>
              <w:t>)支持虚拟专有网络，可支持指定虚拟网络创建数据库实例；</w:t>
            </w:r>
          </w:p>
          <w:p w14:paraId="507E328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default" w:ascii="宋体" w:hAnsi="宋体" w:eastAsia="宋体" w:cs="宋体"/>
                <w:szCs w:val="21"/>
              </w:rPr>
              <w:t>5</w:t>
            </w:r>
            <w:r>
              <w:rPr>
                <w:rFonts w:hint="eastAsia" w:ascii="宋体" w:hAnsi="宋体" w:eastAsia="宋体" w:cs="宋体"/>
                <w:szCs w:val="21"/>
              </w:rPr>
              <w:t>)支持在线平滑升降级，计算能力、内存容量和总IO带宽同步线性扩容。</w:t>
            </w:r>
          </w:p>
        </w:tc>
      </w:tr>
      <w:tr w14:paraId="55DD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40" w:type="dxa"/>
            <w:vAlign w:val="center"/>
          </w:tcPr>
          <w:p w14:paraId="5ED4671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rPr>
              <w:t>兼容性/开放性</w:t>
            </w:r>
          </w:p>
        </w:tc>
        <w:tc>
          <w:tcPr>
            <w:tcW w:w="7382" w:type="dxa"/>
            <w:vAlign w:val="center"/>
          </w:tcPr>
          <w:p w14:paraId="4ACC12A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rPr>
              <w:t>兼容主流如Redis或Memcache协议。</w:t>
            </w:r>
          </w:p>
        </w:tc>
      </w:tr>
      <w:tr w14:paraId="6A5C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40" w:type="dxa"/>
            <w:vAlign w:val="center"/>
          </w:tcPr>
          <w:p w14:paraId="16AADFB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rPr>
              <w:t>性能指标</w:t>
            </w:r>
          </w:p>
        </w:tc>
        <w:tc>
          <w:tcPr>
            <w:tcW w:w="7382" w:type="dxa"/>
            <w:vAlign w:val="center"/>
          </w:tcPr>
          <w:p w14:paraId="0522FDA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rPr>
            </w:pPr>
            <w:r>
              <w:rPr>
                <w:rFonts w:hint="eastAsia"/>
              </w:rPr>
              <w:t>1）非集群版本QPS大于80000，集群版本节点数乘以80000。</w:t>
            </w:r>
          </w:p>
          <w:p w14:paraId="01391FA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eastAsia="宋体"/>
                <w:lang w:eastAsia="zh-CN"/>
              </w:rPr>
            </w:pPr>
            <w:r>
              <w:rPr>
                <w:rFonts w:hint="eastAsia" w:ascii="仿宋" w:hAnsi="仿宋" w:eastAsia="仿宋" w:cs="仿宋"/>
                <w:szCs w:val="21"/>
              </w:rPr>
              <w:t>△</w:t>
            </w:r>
            <w:r>
              <w:rPr>
                <w:rFonts w:hint="eastAsia"/>
              </w:rPr>
              <w:t>2）redis标准版最大连接数不低于20000，集群版最大连接数不低于80000</w:t>
            </w:r>
            <w:r>
              <w:rPr>
                <w:rFonts w:hint="eastAsia"/>
                <w:lang w:eastAsia="zh-CN"/>
              </w:rPr>
              <w:t>。</w:t>
            </w:r>
          </w:p>
          <w:p w14:paraId="3103F2A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rPr>
            </w:pPr>
          </w:p>
        </w:tc>
      </w:tr>
      <w:tr w14:paraId="0DB7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40" w:type="dxa"/>
            <w:vAlign w:val="center"/>
          </w:tcPr>
          <w:p w14:paraId="0434985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rPr>
            </w:pPr>
            <w:r>
              <w:rPr>
                <w:rFonts w:hint="eastAsia"/>
              </w:rPr>
              <w:t>安全性</w:t>
            </w:r>
          </w:p>
        </w:tc>
        <w:tc>
          <w:tcPr>
            <w:tcW w:w="7382" w:type="dxa"/>
            <w:vAlign w:val="center"/>
          </w:tcPr>
          <w:p w14:paraId="04C65D1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rPr>
            </w:pPr>
            <w:r>
              <w:rPr>
                <w:rFonts w:hint="eastAsia"/>
              </w:rPr>
              <w:t>必须有完善用户账号控制策略和白名单策略，提高数据库集群的安全性。</w:t>
            </w:r>
          </w:p>
          <w:p w14:paraId="68317BC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rPr>
            </w:pPr>
            <w:r>
              <w:rPr>
                <w:rFonts w:hint="eastAsia"/>
              </w:rPr>
              <w:t>备注：</w:t>
            </w:r>
          </w:p>
          <w:p w14:paraId="1D5CA69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rPr>
            </w:pPr>
            <w:r>
              <w:rPr>
                <w:rFonts w:hint="eastAsia"/>
              </w:rPr>
              <w:t xml:space="preserve">集群版：群（cluster）实例采用分布式架构，每个节点都采用一主一从的高可用架构，自动容灾切换，故障迁移，多种集群规格可适配不同的业务压力，无限扩展数据库性能。 </w:t>
            </w:r>
          </w:p>
          <w:p w14:paraId="289C086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rPr>
            </w:pPr>
            <w:r>
              <w:rPr>
                <w:rFonts w:hint="eastAsia"/>
              </w:rPr>
              <w:t>标准版：即主从高配版，系统工作是主节点和备节点的数据实时同步，主节点故障时系统自动秒级切换到，被节点接管业务，全程自动且对业务无影响，主备架构保障系统服务具有高可用性。</w:t>
            </w:r>
          </w:p>
        </w:tc>
      </w:tr>
    </w:tbl>
    <w:p w14:paraId="2B6894E8">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3.云数据库PolarDB for Mysql</w:t>
      </w:r>
    </w:p>
    <w:tbl>
      <w:tblPr>
        <w:tblStyle w:val="1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355"/>
      </w:tblGrid>
      <w:tr w14:paraId="4225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40" w:type="dxa"/>
            <w:vAlign w:val="center"/>
          </w:tcPr>
          <w:p w14:paraId="50C7A91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355" w:type="dxa"/>
            <w:vAlign w:val="center"/>
          </w:tcPr>
          <w:p w14:paraId="597F098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6448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40" w:type="dxa"/>
            <w:vMerge w:val="restart"/>
            <w:vAlign w:val="center"/>
          </w:tcPr>
          <w:p w14:paraId="0D1AE00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基本功能/性能</w:t>
            </w:r>
          </w:p>
        </w:tc>
        <w:tc>
          <w:tcPr>
            <w:tcW w:w="7355" w:type="dxa"/>
            <w:vAlign w:val="center"/>
          </w:tcPr>
          <w:p w14:paraId="6D50360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提供丰富的</w:t>
            </w:r>
            <w:r>
              <w:rPr>
                <w:rFonts w:hint="default" w:ascii="宋体" w:hAnsi="宋体" w:eastAsia="宋体" w:cs="宋体"/>
                <w:szCs w:val="21"/>
              </w:rPr>
              <w:t>MySQL版本兼容性，支持5.</w:t>
            </w:r>
            <w:r>
              <w:rPr>
                <w:rFonts w:hint="eastAsia" w:ascii="宋体" w:hAnsi="宋体" w:eastAsia="宋体" w:cs="宋体"/>
                <w:szCs w:val="21"/>
              </w:rPr>
              <w:t>7、8.0。</w:t>
            </w:r>
          </w:p>
        </w:tc>
      </w:tr>
      <w:tr w14:paraId="7FF9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0" w:type="dxa"/>
            <w:vMerge w:val="continue"/>
            <w:vAlign w:val="center"/>
          </w:tcPr>
          <w:p w14:paraId="372E014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55" w:type="dxa"/>
            <w:vAlign w:val="center"/>
          </w:tcPr>
          <w:p w14:paraId="3C4CE87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提供丰富的数据库计算资源规格，最小规格支持</w:t>
            </w:r>
            <w:r>
              <w:rPr>
                <w:rFonts w:hint="default" w:ascii="宋体" w:hAnsi="宋体" w:eastAsia="宋体" w:cs="宋体"/>
                <w:szCs w:val="21"/>
              </w:rPr>
              <w:t>1核，最大规格支持64核。</w:t>
            </w:r>
          </w:p>
        </w:tc>
      </w:tr>
      <w:tr w14:paraId="2FFA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0" w:type="dxa"/>
            <w:vMerge w:val="continue"/>
            <w:vAlign w:val="center"/>
          </w:tcPr>
          <w:p w14:paraId="75EDF49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55" w:type="dxa"/>
            <w:vAlign w:val="center"/>
          </w:tcPr>
          <w:p w14:paraId="7188268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兼顾性能和成本考量，提供丰富的数据库规格类型，包括独占物理资源规格、共享物理资源规格。</w:t>
            </w:r>
          </w:p>
        </w:tc>
      </w:tr>
      <w:tr w14:paraId="1FDD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0" w:type="dxa"/>
            <w:vMerge w:val="continue"/>
            <w:vAlign w:val="center"/>
          </w:tcPr>
          <w:p w14:paraId="509D9F2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55" w:type="dxa"/>
            <w:vAlign w:val="center"/>
          </w:tcPr>
          <w:p w14:paraId="53774FA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集群支持</w:t>
            </w:r>
            <w:r>
              <w:rPr>
                <w:rFonts w:hint="default" w:ascii="宋体" w:hAnsi="宋体" w:eastAsia="宋体" w:cs="宋体"/>
                <w:szCs w:val="21"/>
              </w:rPr>
              <w:t>1写多读，只读节点</w:t>
            </w:r>
            <w:r>
              <w:rPr>
                <w:rFonts w:hint="eastAsia" w:ascii="宋体" w:hAnsi="宋体" w:eastAsia="宋体" w:cs="宋体"/>
                <w:szCs w:val="21"/>
              </w:rPr>
              <w:t>数支持最多</w:t>
            </w:r>
            <w:r>
              <w:rPr>
                <w:rFonts w:hint="default" w:ascii="宋体" w:hAnsi="宋体" w:eastAsia="宋体" w:cs="宋体"/>
                <w:szCs w:val="21"/>
              </w:rPr>
              <w:t>7个。</w:t>
            </w:r>
          </w:p>
        </w:tc>
      </w:tr>
      <w:tr w14:paraId="60E9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0" w:type="dxa"/>
            <w:vMerge w:val="continue"/>
            <w:vAlign w:val="center"/>
          </w:tcPr>
          <w:p w14:paraId="7CAED8C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55" w:type="dxa"/>
            <w:vAlign w:val="center"/>
          </w:tcPr>
          <w:p w14:paraId="3506CBD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所有集群均自带</w:t>
            </w:r>
            <w:r>
              <w:rPr>
                <w:rFonts w:hint="default" w:ascii="宋体" w:hAnsi="宋体" w:eastAsia="宋体" w:cs="宋体"/>
                <w:szCs w:val="21"/>
              </w:rPr>
              <w:t>Standby集群，且主集群与Standby集群部署在不同可用区，可应对AZ级故障。</w:t>
            </w:r>
          </w:p>
        </w:tc>
      </w:tr>
      <w:tr w14:paraId="5CB1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40" w:type="dxa"/>
            <w:vMerge w:val="restart"/>
            <w:vAlign w:val="center"/>
          </w:tcPr>
          <w:p w14:paraId="5A49DBC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存储规格</w:t>
            </w:r>
          </w:p>
        </w:tc>
        <w:tc>
          <w:tcPr>
            <w:tcW w:w="7355" w:type="dxa"/>
            <w:vAlign w:val="center"/>
          </w:tcPr>
          <w:p w14:paraId="7085827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提供自动弹性的数据库存储空间，最大支持</w:t>
            </w:r>
            <w:r>
              <w:rPr>
                <w:rFonts w:hint="default" w:ascii="宋体" w:hAnsi="宋体" w:eastAsia="宋体" w:cs="宋体"/>
                <w:szCs w:val="21"/>
              </w:rPr>
              <w:t>32T。</w:t>
            </w:r>
          </w:p>
        </w:tc>
      </w:tr>
      <w:tr w14:paraId="0D89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40" w:type="dxa"/>
            <w:vMerge w:val="continue"/>
            <w:vAlign w:val="center"/>
          </w:tcPr>
          <w:p w14:paraId="1A77148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55" w:type="dxa"/>
            <w:vAlign w:val="center"/>
          </w:tcPr>
          <w:p w14:paraId="6456C3D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支持共享存储架构，以便最大程度降低主节点与只读节点同步时延。</w:t>
            </w:r>
          </w:p>
        </w:tc>
      </w:tr>
    </w:tbl>
    <w:p w14:paraId="039086A9">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（四）网络服务</w:t>
      </w:r>
    </w:p>
    <w:p w14:paraId="127AD7DB">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1.负载均衡</w:t>
      </w:r>
      <w:r>
        <w:rPr>
          <w:rFonts w:hint="eastAsia" w:ascii="仿宋_GB2312" w:hAnsi="仿宋_GB2312" w:eastAsia="仿宋_GB2312" w:cs="仿宋_GB2312"/>
          <w:color w:val="000000"/>
          <w:sz w:val="24"/>
          <w:szCs w:val="24"/>
          <w:lang w:val="en-US" w:eastAsia="zh-CN"/>
        </w:rPr>
        <w:t>软件</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382"/>
      </w:tblGrid>
      <w:tr w14:paraId="402F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vAlign w:val="center"/>
          </w:tcPr>
          <w:p w14:paraId="0401722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382" w:type="dxa"/>
            <w:tcBorders>
              <w:top w:val="single" w:color="auto" w:sz="4" w:space="0"/>
              <w:left w:val="single" w:color="auto" w:sz="4" w:space="0"/>
              <w:bottom w:val="single" w:color="auto" w:sz="4" w:space="0"/>
              <w:right w:val="single" w:color="auto" w:sz="4" w:space="0"/>
            </w:tcBorders>
            <w:vAlign w:val="center"/>
          </w:tcPr>
          <w:p w14:paraId="12770AF9">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39D4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tcBorders>
              <w:top w:val="single" w:color="auto" w:sz="4" w:space="0"/>
              <w:left w:val="single" w:color="auto" w:sz="4" w:space="0"/>
              <w:bottom w:val="single" w:color="auto" w:sz="4" w:space="0"/>
              <w:right w:val="single" w:color="auto" w:sz="4" w:space="0"/>
            </w:tcBorders>
            <w:vAlign w:val="center"/>
          </w:tcPr>
          <w:p w14:paraId="436EA7A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负载均衡</w:t>
            </w:r>
          </w:p>
        </w:tc>
        <w:tc>
          <w:tcPr>
            <w:tcW w:w="7382" w:type="dxa"/>
            <w:tcBorders>
              <w:top w:val="single" w:color="auto" w:sz="4" w:space="0"/>
              <w:left w:val="single" w:color="auto" w:sz="4" w:space="0"/>
              <w:bottom w:val="single" w:color="auto" w:sz="4" w:space="0"/>
              <w:right w:val="single" w:color="auto" w:sz="4" w:space="0"/>
            </w:tcBorders>
            <w:vAlign w:val="center"/>
          </w:tcPr>
          <w:p w14:paraId="7D0D0119">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协议支持：提供四层(TCP协议和UDP协议)和七层(HTTP和HTTPS协议)的负载均衡服务。</w:t>
            </w:r>
            <w:r>
              <w:rPr>
                <w:rFonts w:hint="eastAsia" w:ascii="宋体" w:hAnsi="宋体" w:cs="宋体"/>
                <w:szCs w:val="21"/>
              </w:rPr>
              <w:t>（提供截图证明）</w:t>
            </w:r>
          </w:p>
        </w:tc>
      </w:tr>
      <w:tr w14:paraId="3ECD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top w:val="single" w:color="auto" w:sz="4" w:space="0"/>
              <w:left w:val="single" w:color="auto" w:sz="4" w:space="0"/>
              <w:bottom w:val="single" w:color="auto" w:sz="4" w:space="0"/>
              <w:right w:val="single" w:color="auto" w:sz="4" w:space="0"/>
            </w:tcBorders>
            <w:vAlign w:val="center"/>
          </w:tcPr>
          <w:p w14:paraId="0E7DA32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F640E4F">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lang w:eastAsia="zh-CN"/>
              </w:rPr>
            </w:pPr>
            <w:r>
              <w:rPr>
                <w:rFonts w:hint="eastAsia" w:ascii="宋体" w:hAnsi="宋体" w:eastAsia="宋体" w:cs="宋体"/>
                <w:szCs w:val="21"/>
              </w:rPr>
              <w:t>健康检查：提供后端ECS实例的健康检查。负载均衡服务会自动屏蔽异常状态的ECS实例,待该ECS实例恢复正常后自动解除屏蔽</w:t>
            </w:r>
            <w:r>
              <w:rPr>
                <w:rFonts w:hint="eastAsia" w:ascii="宋体" w:hAnsi="宋体" w:cs="宋体"/>
                <w:szCs w:val="21"/>
                <w:lang w:eastAsia="zh-CN"/>
              </w:rPr>
              <w:t>。</w:t>
            </w:r>
          </w:p>
        </w:tc>
      </w:tr>
      <w:tr w14:paraId="2070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top w:val="single" w:color="auto" w:sz="4" w:space="0"/>
              <w:left w:val="single" w:color="auto" w:sz="4" w:space="0"/>
              <w:bottom w:val="single" w:color="auto" w:sz="4" w:space="0"/>
              <w:right w:val="single" w:color="auto" w:sz="4" w:space="0"/>
            </w:tcBorders>
            <w:vAlign w:val="center"/>
          </w:tcPr>
          <w:p w14:paraId="08CBFF8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410BAA7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调度算法:支持轮询、最小连接数两种调度算法: 轮询:按照访问次数依次将外部请求依序分发到后端ECS实例上。最小连接数:连接数越小的后端服务器被轮询到的次数(概率)也越高。（提供截图证明）</w:t>
            </w:r>
          </w:p>
        </w:tc>
      </w:tr>
      <w:tr w14:paraId="7CE0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top w:val="single" w:color="auto" w:sz="4" w:space="0"/>
              <w:left w:val="single" w:color="auto" w:sz="4" w:space="0"/>
              <w:bottom w:val="single" w:color="auto" w:sz="4" w:space="0"/>
              <w:right w:val="single" w:color="auto" w:sz="4" w:space="0"/>
            </w:tcBorders>
            <w:vAlign w:val="center"/>
          </w:tcPr>
          <w:p w14:paraId="3194FF1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455F1919">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lang w:eastAsia="zh-CN"/>
              </w:rPr>
            </w:pPr>
            <w:r>
              <w:rPr>
                <w:rFonts w:hint="eastAsia" w:ascii="宋体" w:hAnsi="宋体" w:eastAsia="宋体" w:cs="宋体"/>
                <w:szCs w:val="21"/>
              </w:rPr>
              <w:t>证书管理：针对HTTPS协议,提供统一的证书管理服务。证书无需上传到后端ECS实例,解密处理在负载均衡上进行,降低后端ECS实例的CPU开销</w:t>
            </w:r>
            <w:r>
              <w:rPr>
                <w:rFonts w:hint="eastAsia" w:ascii="宋体" w:hAnsi="宋体" w:cs="宋体"/>
                <w:szCs w:val="21"/>
                <w:lang w:eastAsia="zh-CN"/>
              </w:rPr>
              <w:t>。</w:t>
            </w:r>
          </w:p>
        </w:tc>
      </w:tr>
      <w:tr w14:paraId="6A1E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top w:val="single" w:color="auto" w:sz="4" w:space="0"/>
              <w:left w:val="single" w:color="auto" w:sz="4" w:space="0"/>
              <w:bottom w:val="single" w:color="auto" w:sz="4" w:space="0"/>
              <w:right w:val="single" w:color="auto" w:sz="4" w:space="0"/>
            </w:tcBorders>
            <w:vAlign w:val="center"/>
          </w:tcPr>
          <w:p w14:paraId="4348E32A">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FB74BA7">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回话保持：提供会话保持功能。在会话的生命周期内,可以将同一客户端的请求转发到同一台后端ECS实例上。</w:t>
            </w:r>
          </w:p>
        </w:tc>
      </w:tr>
      <w:tr w14:paraId="5711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top w:val="single" w:color="auto" w:sz="4" w:space="0"/>
              <w:left w:val="single" w:color="auto" w:sz="4" w:space="0"/>
              <w:bottom w:val="single" w:color="auto" w:sz="4" w:space="0"/>
              <w:right w:val="single" w:color="auto" w:sz="4" w:space="0"/>
            </w:tcBorders>
            <w:vAlign w:val="center"/>
          </w:tcPr>
          <w:p w14:paraId="3652BC49">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B9FE4B5">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访问控制：支持白名单访问控制。通过添加负载均衡监听的访问白名单,仅允许特定IP访问负载均衡服务。（提供截图证明）</w:t>
            </w:r>
          </w:p>
        </w:tc>
      </w:tr>
    </w:tbl>
    <w:p w14:paraId="7CE23554">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2.虚拟专有网络</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382"/>
      </w:tblGrid>
      <w:tr w14:paraId="781C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vAlign w:val="center"/>
          </w:tcPr>
          <w:p w14:paraId="0E89B28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382" w:type="dxa"/>
            <w:tcBorders>
              <w:top w:val="single" w:color="auto" w:sz="4" w:space="0"/>
              <w:left w:val="single" w:color="auto" w:sz="4" w:space="0"/>
              <w:bottom w:val="single" w:color="auto" w:sz="4" w:space="0"/>
              <w:right w:val="single" w:color="auto" w:sz="4" w:space="0"/>
            </w:tcBorders>
            <w:vAlign w:val="center"/>
          </w:tcPr>
          <w:p w14:paraId="758052C9">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5EA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vAlign w:val="center"/>
          </w:tcPr>
          <w:p w14:paraId="29F1B393">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服务标准</w:t>
            </w:r>
          </w:p>
        </w:tc>
        <w:tc>
          <w:tcPr>
            <w:tcW w:w="7382" w:type="dxa"/>
            <w:tcBorders>
              <w:top w:val="single" w:color="auto" w:sz="4" w:space="0"/>
              <w:left w:val="single" w:color="auto" w:sz="4" w:space="0"/>
              <w:bottom w:val="single" w:color="auto" w:sz="4" w:space="0"/>
              <w:right w:val="single" w:color="auto" w:sz="4" w:space="0"/>
            </w:tcBorders>
            <w:vAlign w:val="center"/>
          </w:tcPr>
          <w:p w14:paraId="42000F0B">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在所提供的云平台构建出一个隔离的网络环境，客户完全掌控自己的虚拟网络，包括选择自有IP地址范围、划分网段、配置路由表和网关等。</w:t>
            </w:r>
          </w:p>
        </w:tc>
      </w:tr>
      <w:tr w14:paraId="09E0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tcBorders>
              <w:top w:val="single" w:color="auto" w:sz="4" w:space="0"/>
              <w:left w:val="single" w:color="auto" w:sz="4" w:space="0"/>
              <w:right w:val="single" w:color="auto" w:sz="4" w:space="0"/>
            </w:tcBorders>
            <w:vAlign w:val="center"/>
          </w:tcPr>
          <w:p w14:paraId="4610DBB4">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服务特性</w:t>
            </w:r>
          </w:p>
        </w:tc>
        <w:tc>
          <w:tcPr>
            <w:tcW w:w="7382" w:type="dxa"/>
            <w:tcBorders>
              <w:top w:val="single" w:color="auto" w:sz="4" w:space="0"/>
              <w:left w:val="single" w:color="auto" w:sz="4" w:space="0"/>
              <w:bottom w:val="single" w:color="auto" w:sz="4" w:space="0"/>
              <w:right w:val="single" w:color="auto" w:sz="4" w:space="0"/>
            </w:tcBorders>
            <w:vAlign w:val="center"/>
          </w:tcPr>
          <w:p w14:paraId="1242BBA6">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使用隧道技术达到与传统VLAN相同隔离效果，广播域隔离在实例网卡级别</w:t>
            </w:r>
          </w:p>
        </w:tc>
      </w:tr>
      <w:tr w14:paraId="0EED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left w:val="single" w:color="auto" w:sz="4" w:space="0"/>
              <w:right w:val="single" w:color="auto" w:sz="4" w:space="0"/>
            </w:tcBorders>
            <w:vAlign w:val="center"/>
          </w:tcPr>
          <w:p w14:paraId="05659BEB">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1FEE78B4">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按需配置网络设置、软件定义网络，管理操作实时生效</w:t>
            </w:r>
          </w:p>
        </w:tc>
      </w:tr>
      <w:tr w14:paraId="61FB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left w:val="single" w:color="auto" w:sz="4" w:space="0"/>
              <w:right w:val="single" w:color="auto" w:sz="4" w:space="0"/>
            </w:tcBorders>
            <w:vAlign w:val="center"/>
          </w:tcPr>
          <w:p w14:paraId="53D87338">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578ED22">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 xml:space="preserve">灵活的访问控制规则，满足政务、金融用户的安全隔离规范 </w:t>
            </w:r>
          </w:p>
          <w:p w14:paraId="40B67897">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可通过RAM实现对网络的权限管理</w:t>
            </w:r>
          </w:p>
        </w:tc>
      </w:tr>
      <w:tr w14:paraId="7D5E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left w:val="single" w:color="auto" w:sz="4" w:space="0"/>
              <w:right w:val="single" w:color="auto" w:sz="4" w:space="0"/>
            </w:tcBorders>
            <w:vAlign w:val="center"/>
          </w:tcPr>
          <w:p w14:paraId="51E821D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07EC93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支持使用高速通道实现跨地域/跨用户的内网互通和物理专线接入</w:t>
            </w:r>
          </w:p>
          <w:p w14:paraId="48DF7C50">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支持使用NAT网关进行DNAT/SNAT转发。</w:t>
            </w:r>
          </w:p>
        </w:tc>
      </w:tr>
      <w:tr w14:paraId="2236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left w:val="single" w:color="auto" w:sz="4" w:space="0"/>
              <w:right w:val="single" w:color="auto" w:sz="4" w:space="0"/>
            </w:tcBorders>
            <w:vAlign w:val="center"/>
          </w:tcPr>
          <w:p w14:paraId="791960F4">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4599F54">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通过NAT网关支持灵活的DNAT/SNAT转发，支持多IP共享带宽</w:t>
            </w:r>
          </w:p>
        </w:tc>
      </w:tr>
      <w:tr w14:paraId="541D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restart"/>
            <w:tcBorders>
              <w:left w:val="single" w:color="auto" w:sz="4" w:space="0"/>
              <w:right w:val="single" w:color="auto" w:sz="4" w:space="0"/>
            </w:tcBorders>
            <w:vAlign w:val="center"/>
          </w:tcPr>
          <w:p w14:paraId="4ED27849">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服务能力</w:t>
            </w:r>
          </w:p>
        </w:tc>
        <w:tc>
          <w:tcPr>
            <w:tcW w:w="7382" w:type="dxa"/>
            <w:tcBorders>
              <w:top w:val="single" w:color="auto" w:sz="4" w:space="0"/>
              <w:left w:val="single" w:color="auto" w:sz="4" w:space="0"/>
              <w:bottom w:val="single" w:color="auto" w:sz="4" w:space="0"/>
              <w:right w:val="single" w:color="auto" w:sz="4" w:space="0"/>
            </w:tcBorders>
            <w:vAlign w:val="center"/>
          </w:tcPr>
          <w:p w14:paraId="421E3F8D">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可以通过交换机将专有网络的私有 IP 地址划分成一个或多个子网</w:t>
            </w:r>
          </w:p>
        </w:tc>
      </w:tr>
      <w:tr w14:paraId="6D86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left w:val="single" w:color="auto" w:sz="4" w:space="0"/>
              <w:right w:val="single" w:color="auto" w:sz="4" w:space="0"/>
            </w:tcBorders>
            <w:vAlign w:val="center"/>
          </w:tcPr>
          <w:p w14:paraId="68BCF6B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36A0C6AA">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根据业务需求配置虚拟路由器的路由规则，管理专有网络流量的转发路径</w:t>
            </w:r>
          </w:p>
        </w:tc>
      </w:tr>
      <w:tr w14:paraId="2255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40" w:type="dxa"/>
            <w:vMerge w:val="continue"/>
            <w:tcBorders>
              <w:left w:val="single" w:color="auto" w:sz="4" w:space="0"/>
              <w:right w:val="single" w:color="auto" w:sz="4" w:space="0"/>
            </w:tcBorders>
            <w:vAlign w:val="center"/>
          </w:tcPr>
          <w:p w14:paraId="6381F3D8">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241DE655">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可以使用NAT网关作为VPC的公网网关，实现 SNAT / DNAT / 共享带宽。（提供截图证明）</w:t>
            </w:r>
          </w:p>
        </w:tc>
      </w:tr>
      <w:tr w14:paraId="3D8F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Merge w:val="continue"/>
            <w:tcBorders>
              <w:left w:val="single" w:color="auto" w:sz="4" w:space="0"/>
              <w:right w:val="single" w:color="auto" w:sz="4" w:space="0"/>
            </w:tcBorders>
            <w:vAlign w:val="center"/>
          </w:tcPr>
          <w:p w14:paraId="3C20764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760C953B">
            <w:pPr>
              <w:keepNext w:val="0"/>
              <w:keepLines w:val="0"/>
              <w:pageBreakBefore w:val="0"/>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支持自建VPN网关，弹性公网IP</w:t>
            </w:r>
          </w:p>
        </w:tc>
      </w:tr>
    </w:tbl>
    <w:p w14:paraId="6A51810E">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（五）大数据能力服务</w:t>
      </w:r>
    </w:p>
    <w:p w14:paraId="7624FF91">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val="zh-TW" w:eastAsia="zh-TW"/>
        </w:rPr>
        <w:t>大数据计算服务</w:t>
      </w:r>
    </w:p>
    <w:tbl>
      <w:tblPr>
        <w:tblStyle w:val="15"/>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Layout w:type="fixed"/>
        <w:tblCellMar>
          <w:top w:w="0" w:type="dxa"/>
          <w:left w:w="0" w:type="dxa"/>
          <w:bottom w:w="0" w:type="dxa"/>
          <w:right w:w="0" w:type="dxa"/>
        </w:tblCellMar>
      </w:tblPr>
      <w:tblGrid>
        <w:gridCol w:w="1112"/>
        <w:gridCol w:w="1119"/>
        <w:gridCol w:w="6208"/>
      </w:tblGrid>
      <w:tr w14:paraId="63F9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694" w:hRule="atLeast"/>
        </w:trPr>
        <w:tc>
          <w:tcPr>
            <w:tcW w:w="1112" w:type="dxa"/>
            <w:shd w:val="clear" w:color="auto" w:fill="auto"/>
            <w:tcMar>
              <w:top w:w="80" w:type="dxa"/>
              <w:left w:w="80" w:type="dxa"/>
              <w:bottom w:w="80" w:type="dxa"/>
              <w:right w:w="80" w:type="dxa"/>
            </w:tcMar>
            <w:vAlign w:val="center"/>
          </w:tcPr>
          <w:p w14:paraId="1B654F0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指标项</w:t>
            </w:r>
          </w:p>
        </w:tc>
        <w:tc>
          <w:tcPr>
            <w:tcW w:w="1119" w:type="dxa"/>
            <w:shd w:val="clear" w:color="auto" w:fill="auto"/>
            <w:tcMar>
              <w:top w:w="80" w:type="dxa"/>
              <w:left w:w="80" w:type="dxa"/>
              <w:bottom w:w="80" w:type="dxa"/>
              <w:right w:w="80" w:type="dxa"/>
            </w:tcMar>
            <w:vAlign w:val="center"/>
          </w:tcPr>
          <w:p w14:paraId="6403D53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指标子项</w:t>
            </w:r>
          </w:p>
        </w:tc>
        <w:tc>
          <w:tcPr>
            <w:tcW w:w="6208" w:type="dxa"/>
            <w:shd w:val="clear" w:color="auto" w:fill="auto"/>
            <w:tcMar>
              <w:top w:w="80" w:type="dxa"/>
              <w:left w:w="80" w:type="dxa"/>
              <w:bottom w:w="80" w:type="dxa"/>
              <w:right w:w="80" w:type="dxa"/>
            </w:tcMar>
            <w:vAlign w:val="center"/>
          </w:tcPr>
          <w:p w14:paraId="483922F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szCs w:val="21"/>
              </w:rPr>
              <w:t>规格要求</w:t>
            </w:r>
          </w:p>
        </w:tc>
      </w:tr>
      <w:tr w14:paraId="1717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112" w:type="dxa"/>
            <w:shd w:val="clear" w:color="auto" w:fill="auto"/>
            <w:tcMar>
              <w:top w:w="80" w:type="dxa"/>
              <w:left w:w="80" w:type="dxa"/>
              <w:bottom w:w="80" w:type="dxa"/>
              <w:right w:w="80" w:type="dxa"/>
            </w:tcMar>
            <w:vAlign w:val="center"/>
          </w:tcPr>
          <w:p w14:paraId="1D9F849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总体要求</w:t>
            </w:r>
          </w:p>
        </w:tc>
        <w:tc>
          <w:tcPr>
            <w:tcW w:w="1119" w:type="dxa"/>
            <w:shd w:val="clear" w:color="auto" w:fill="auto"/>
            <w:tcMar>
              <w:top w:w="80" w:type="dxa"/>
              <w:left w:w="80" w:type="dxa"/>
              <w:bottom w:w="80" w:type="dxa"/>
              <w:right w:w="80" w:type="dxa"/>
            </w:tcMar>
            <w:vAlign w:val="center"/>
          </w:tcPr>
          <w:p w14:paraId="640F876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6208" w:type="dxa"/>
            <w:shd w:val="clear" w:color="auto" w:fill="auto"/>
            <w:tcMar>
              <w:top w:w="80" w:type="dxa"/>
              <w:left w:w="80" w:type="dxa"/>
              <w:bottom w:w="80" w:type="dxa"/>
              <w:right w:w="80" w:type="dxa"/>
            </w:tcMar>
            <w:vAlign w:val="center"/>
          </w:tcPr>
          <w:p w14:paraId="0627995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大数据计算服务是一种快速、完全托管的</w:t>
            </w:r>
            <w:r>
              <w:rPr>
                <w:rFonts w:hint="eastAsia" w:ascii="宋体" w:hAnsi="宋体" w:eastAsia="宋体" w:cs="宋体"/>
                <w:color w:val="000000"/>
                <w:kern w:val="0"/>
                <w:szCs w:val="21"/>
              </w:rPr>
              <w:t xml:space="preserve">PB/EB </w:t>
            </w:r>
            <w:r>
              <w:rPr>
                <w:rFonts w:hint="eastAsia" w:ascii="宋体" w:hAnsi="宋体" w:eastAsia="宋体" w:cs="宋体"/>
                <w:color w:val="000000"/>
                <w:kern w:val="0"/>
                <w:szCs w:val="21"/>
                <w:lang w:val="zh-TW" w:eastAsia="zh-TW"/>
              </w:rPr>
              <w:t>级数据仓库服务。大数据计算服务提供完善的数据导入方案以及多种经典的分布式计算模型，能够更快速的解决海量数据计算问题。</w:t>
            </w:r>
          </w:p>
        </w:tc>
      </w:tr>
      <w:tr w14:paraId="5788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1112" w:type="dxa"/>
            <w:vMerge w:val="restart"/>
            <w:shd w:val="clear" w:color="auto" w:fill="auto"/>
            <w:tcMar>
              <w:top w:w="80" w:type="dxa"/>
              <w:left w:w="80" w:type="dxa"/>
              <w:bottom w:w="80" w:type="dxa"/>
              <w:right w:w="80" w:type="dxa"/>
            </w:tcMar>
            <w:vAlign w:val="center"/>
          </w:tcPr>
          <w:p w14:paraId="503E516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功能指标</w:t>
            </w:r>
          </w:p>
        </w:tc>
        <w:tc>
          <w:tcPr>
            <w:tcW w:w="1119" w:type="dxa"/>
            <w:shd w:val="clear" w:color="auto" w:fill="auto"/>
            <w:tcMar>
              <w:top w:w="80" w:type="dxa"/>
              <w:left w:w="80" w:type="dxa"/>
              <w:bottom w:w="80" w:type="dxa"/>
              <w:right w:w="80" w:type="dxa"/>
            </w:tcMar>
            <w:vAlign w:val="center"/>
          </w:tcPr>
          <w:p w14:paraId="4FA8F5F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功能特性</w:t>
            </w:r>
          </w:p>
        </w:tc>
        <w:tc>
          <w:tcPr>
            <w:tcW w:w="6208" w:type="dxa"/>
            <w:shd w:val="clear" w:color="auto" w:fill="auto"/>
            <w:tcMar>
              <w:top w:w="80" w:type="dxa"/>
              <w:left w:w="80" w:type="dxa"/>
              <w:bottom w:w="80" w:type="dxa"/>
              <w:right w:w="80" w:type="dxa"/>
            </w:tcMar>
            <w:vAlign w:val="center"/>
          </w:tcPr>
          <w:p w14:paraId="7FCC01E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提供完整</w:t>
            </w:r>
            <w:r>
              <w:rPr>
                <w:rFonts w:hint="eastAsia" w:ascii="宋体" w:hAnsi="宋体" w:eastAsia="宋体" w:cs="宋体"/>
                <w:color w:val="000000"/>
                <w:kern w:val="0"/>
                <w:szCs w:val="21"/>
              </w:rPr>
              <w:t>RESTful API</w:t>
            </w:r>
            <w:r>
              <w:rPr>
                <w:rFonts w:hint="eastAsia" w:ascii="宋体" w:hAnsi="宋体" w:eastAsia="宋体" w:cs="宋体"/>
                <w:color w:val="000000"/>
                <w:kern w:val="0"/>
                <w:szCs w:val="21"/>
                <w:lang w:val="zh-TW" w:eastAsia="zh-TW"/>
              </w:rPr>
              <w:t>的方式提供离线数据处理服务，提供</w:t>
            </w:r>
            <w:r>
              <w:rPr>
                <w:rFonts w:hint="eastAsia" w:ascii="宋体" w:hAnsi="宋体" w:eastAsia="宋体" w:cs="宋体"/>
                <w:color w:val="000000"/>
                <w:kern w:val="0"/>
                <w:szCs w:val="21"/>
              </w:rPr>
              <w:t>JAVA SDK</w:t>
            </w:r>
            <w:r>
              <w:rPr>
                <w:rFonts w:hint="eastAsia" w:ascii="宋体" w:hAnsi="宋体" w:eastAsia="宋体" w:cs="宋体"/>
                <w:color w:val="000000"/>
                <w:kern w:val="0"/>
                <w:szCs w:val="21"/>
                <w:lang w:val="zh-TW" w:eastAsia="zh-TW"/>
              </w:rPr>
              <w:t xml:space="preserve">， </w:t>
            </w:r>
            <w:r>
              <w:rPr>
                <w:rFonts w:hint="eastAsia" w:ascii="宋体" w:hAnsi="宋体" w:eastAsia="宋体" w:cs="宋体"/>
                <w:color w:val="000000"/>
                <w:kern w:val="0"/>
                <w:szCs w:val="21"/>
              </w:rPr>
              <w:t>Python SDK</w:t>
            </w:r>
            <w:r>
              <w:rPr>
                <w:rFonts w:hint="eastAsia" w:ascii="宋体" w:hAnsi="宋体" w:eastAsia="宋体" w:cs="宋体"/>
                <w:color w:val="000000"/>
                <w:kern w:val="0"/>
                <w:szCs w:val="21"/>
                <w:lang w:val="zh-TW" w:eastAsia="zh-TW"/>
              </w:rPr>
              <w:t>，等编程接口，支持</w:t>
            </w:r>
            <w:r>
              <w:rPr>
                <w:rFonts w:hint="eastAsia" w:ascii="宋体" w:hAnsi="宋体" w:eastAsia="宋体" w:cs="宋体"/>
                <w:color w:val="000000"/>
                <w:kern w:val="0"/>
                <w:szCs w:val="21"/>
              </w:rPr>
              <w:t>JDBC</w:t>
            </w:r>
            <w:r>
              <w:rPr>
                <w:rFonts w:hint="eastAsia" w:ascii="宋体" w:hAnsi="宋体" w:eastAsia="宋体" w:cs="宋体"/>
                <w:color w:val="000000"/>
                <w:kern w:val="0"/>
                <w:szCs w:val="21"/>
                <w:lang w:val="zh-TW" w:eastAsia="zh-TW"/>
              </w:rPr>
              <w:t>接口等系列用户开发工具和接口</w:t>
            </w:r>
          </w:p>
        </w:tc>
      </w:tr>
      <w:tr w14:paraId="0486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112" w:type="dxa"/>
            <w:vMerge w:val="continue"/>
            <w:shd w:val="clear" w:color="auto" w:fill="auto"/>
          </w:tcPr>
          <w:p w14:paraId="3F0ABB2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6F52582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功能特性</w:t>
            </w:r>
          </w:p>
        </w:tc>
        <w:tc>
          <w:tcPr>
            <w:tcW w:w="6208" w:type="dxa"/>
            <w:shd w:val="clear" w:color="auto" w:fill="auto"/>
            <w:tcMar>
              <w:top w:w="80" w:type="dxa"/>
              <w:left w:w="80" w:type="dxa"/>
              <w:bottom w:w="80" w:type="dxa"/>
              <w:right w:w="80" w:type="dxa"/>
            </w:tcMar>
            <w:vAlign w:val="center"/>
          </w:tcPr>
          <w:p w14:paraId="183AAAC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提供离线任务管理、监控告警的功能，任务运维管理支持两种模式可供用户选择，包括列表模式和</w:t>
            </w:r>
            <w:r>
              <w:rPr>
                <w:rFonts w:hint="eastAsia" w:ascii="宋体" w:hAnsi="宋体" w:eastAsia="宋体" w:cs="宋体"/>
                <w:color w:val="000000"/>
                <w:kern w:val="0"/>
                <w:szCs w:val="21"/>
              </w:rPr>
              <w:t>DAG</w:t>
            </w:r>
            <w:r>
              <w:rPr>
                <w:rFonts w:hint="eastAsia" w:ascii="宋体" w:hAnsi="宋体" w:eastAsia="宋体" w:cs="宋体"/>
                <w:color w:val="000000"/>
                <w:kern w:val="0"/>
                <w:szCs w:val="21"/>
                <w:lang w:val="zh-TW" w:eastAsia="zh-TW"/>
              </w:rPr>
              <w:t>模式。监控告警是调度任务的监控保障系统，支持基线告警和自定义告警两种方式。当任务出现错误或者延迟产出的时候，系统会通过预定义的方式告知用户任务状态。用户可以按照自己定义的规则来配置告警规则</w:t>
            </w:r>
            <w:r>
              <w:rPr>
                <w:rFonts w:hint="eastAsia" w:ascii="宋体" w:hAnsi="宋体" w:eastAsia="宋体" w:cs="宋体"/>
                <w:color w:val="000000"/>
                <w:kern w:val="0"/>
                <w:szCs w:val="21"/>
                <w:lang w:val="zh-TW"/>
              </w:rPr>
              <w:t>。</w:t>
            </w:r>
          </w:p>
        </w:tc>
      </w:tr>
      <w:tr w14:paraId="1FD1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112" w:type="dxa"/>
            <w:vMerge w:val="continue"/>
            <w:shd w:val="clear" w:color="auto" w:fill="auto"/>
          </w:tcPr>
          <w:p w14:paraId="010E726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61D328A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功能特性</w:t>
            </w:r>
          </w:p>
        </w:tc>
        <w:tc>
          <w:tcPr>
            <w:tcW w:w="6208" w:type="dxa"/>
            <w:shd w:val="clear" w:color="auto" w:fill="auto"/>
            <w:tcMar>
              <w:top w:w="80" w:type="dxa"/>
              <w:left w:w="80" w:type="dxa"/>
              <w:bottom w:w="80" w:type="dxa"/>
              <w:right w:w="80" w:type="dxa"/>
            </w:tcMar>
            <w:vAlign w:val="center"/>
          </w:tcPr>
          <w:p w14:paraId="2A796B4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支持</w:t>
            </w:r>
            <w:r>
              <w:rPr>
                <w:rFonts w:hint="eastAsia" w:ascii="宋体" w:hAnsi="宋体" w:eastAsia="宋体" w:cs="宋体"/>
                <w:color w:val="000000"/>
                <w:kern w:val="0"/>
                <w:szCs w:val="21"/>
              </w:rPr>
              <w:t>MapReduce</w:t>
            </w:r>
            <w:r>
              <w:rPr>
                <w:rFonts w:hint="eastAsia" w:ascii="宋体" w:hAnsi="宋体" w:eastAsia="宋体" w:cs="宋体"/>
                <w:color w:val="000000"/>
                <w:kern w:val="0"/>
                <w:szCs w:val="21"/>
                <w:lang w:val="zh-TW" w:eastAsia="zh-TW"/>
              </w:rPr>
              <w:t>类型的分布式计算任务，支持</w:t>
            </w:r>
            <w:r>
              <w:rPr>
                <w:rFonts w:hint="eastAsia" w:ascii="宋体" w:hAnsi="宋体" w:eastAsia="宋体" w:cs="宋体"/>
                <w:color w:val="000000"/>
                <w:kern w:val="0"/>
                <w:szCs w:val="21"/>
              </w:rPr>
              <w:t>DAG</w:t>
            </w:r>
            <w:r>
              <w:rPr>
                <w:rFonts w:hint="eastAsia" w:ascii="宋体" w:hAnsi="宋体" w:eastAsia="宋体" w:cs="宋体"/>
                <w:color w:val="000000"/>
                <w:kern w:val="0"/>
                <w:szCs w:val="21"/>
                <w:lang w:val="zh-TW" w:eastAsia="zh-TW"/>
              </w:rPr>
              <w:t>模式的作业处理方式</w:t>
            </w:r>
          </w:p>
        </w:tc>
      </w:tr>
      <w:tr w14:paraId="337C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112" w:type="dxa"/>
            <w:vMerge w:val="continue"/>
            <w:shd w:val="clear" w:color="auto" w:fill="auto"/>
          </w:tcPr>
          <w:p w14:paraId="681459F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1C407AE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功能特性</w:t>
            </w:r>
          </w:p>
        </w:tc>
        <w:tc>
          <w:tcPr>
            <w:tcW w:w="6208" w:type="dxa"/>
            <w:shd w:val="clear" w:color="auto" w:fill="auto"/>
            <w:tcMar>
              <w:top w:w="80" w:type="dxa"/>
              <w:left w:w="80" w:type="dxa"/>
              <w:bottom w:w="80" w:type="dxa"/>
              <w:right w:w="80" w:type="dxa"/>
            </w:tcMar>
            <w:vAlign w:val="center"/>
          </w:tcPr>
          <w:p w14:paraId="5772354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支持作业优先级设置功能，可支持多级优先级设置，在作业任务资源分配优先级上进行细粒度控制</w:t>
            </w:r>
          </w:p>
        </w:tc>
      </w:tr>
      <w:tr w14:paraId="132E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1112" w:type="dxa"/>
            <w:vMerge w:val="continue"/>
            <w:shd w:val="clear" w:color="auto" w:fill="auto"/>
          </w:tcPr>
          <w:p w14:paraId="1FB8D70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69107B0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功能特性</w:t>
            </w:r>
          </w:p>
        </w:tc>
        <w:tc>
          <w:tcPr>
            <w:tcW w:w="6208" w:type="dxa"/>
            <w:shd w:val="clear" w:color="auto" w:fill="auto"/>
            <w:tcMar>
              <w:top w:w="80" w:type="dxa"/>
              <w:left w:w="80" w:type="dxa"/>
              <w:bottom w:w="80" w:type="dxa"/>
              <w:right w:w="80" w:type="dxa"/>
            </w:tcMar>
            <w:vAlign w:val="center"/>
          </w:tcPr>
          <w:p w14:paraId="2E38A23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支持原生</w:t>
            </w:r>
            <w:r>
              <w:rPr>
                <w:rFonts w:hint="eastAsia" w:ascii="宋体" w:hAnsi="宋体" w:eastAsia="宋体" w:cs="宋体"/>
                <w:color w:val="000000"/>
                <w:kern w:val="0"/>
                <w:szCs w:val="21"/>
              </w:rPr>
              <w:t>Apache Spark</w:t>
            </w:r>
            <w:r>
              <w:rPr>
                <w:rFonts w:hint="eastAsia" w:ascii="宋体" w:hAnsi="宋体" w:eastAsia="宋体" w:cs="宋体"/>
                <w:color w:val="000000"/>
                <w:kern w:val="0"/>
                <w:szCs w:val="21"/>
                <w:lang w:val="zh-TW" w:eastAsia="zh-TW"/>
              </w:rPr>
              <w:t>编程接口，用户可以使用</w:t>
            </w:r>
            <w:r>
              <w:rPr>
                <w:rFonts w:hint="eastAsia" w:ascii="宋体" w:hAnsi="宋体" w:eastAsia="宋体" w:cs="宋体"/>
                <w:color w:val="000000"/>
                <w:kern w:val="0"/>
                <w:szCs w:val="21"/>
              </w:rPr>
              <w:t>Spark</w:t>
            </w:r>
            <w:r>
              <w:rPr>
                <w:rFonts w:hint="eastAsia" w:ascii="宋体" w:hAnsi="宋体" w:eastAsia="宋体" w:cs="宋体"/>
                <w:color w:val="000000"/>
                <w:kern w:val="0"/>
                <w:szCs w:val="21"/>
                <w:lang w:val="zh-TW" w:eastAsia="zh-TW"/>
              </w:rPr>
              <w:t>接口进行编程处理存储在大数据计算服务中的数据</w:t>
            </w:r>
          </w:p>
        </w:tc>
      </w:tr>
      <w:tr w14:paraId="79CB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112" w:type="dxa"/>
            <w:vMerge w:val="continue"/>
            <w:shd w:val="clear" w:color="auto" w:fill="auto"/>
          </w:tcPr>
          <w:p w14:paraId="6BA6983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2207434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功能特性</w:t>
            </w:r>
          </w:p>
        </w:tc>
        <w:tc>
          <w:tcPr>
            <w:tcW w:w="6208" w:type="dxa"/>
            <w:shd w:val="clear" w:color="auto" w:fill="auto"/>
            <w:tcMar>
              <w:top w:w="80" w:type="dxa"/>
              <w:left w:w="80" w:type="dxa"/>
              <w:bottom w:w="80" w:type="dxa"/>
              <w:right w:w="80" w:type="dxa"/>
            </w:tcMar>
            <w:vAlign w:val="center"/>
          </w:tcPr>
          <w:p w14:paraId="16D9D53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支持多种计算框架如</w:t>
            </w:r>
            <w:r>
              <w:rPr>
                <w:rFonts w:hint="eastAsia" w:ascii="宋体" w:hAnsi="宋体" w:eastAsia="宋体" w:cs="宋体"/>
                <w:color w:val="000000"/>
                <w:kern w:val="0"/>
                <w:szCs w:val="21"/>
              </w:rPr>
              <w:t>SQL</w:t>
            </w:r>
            <w:r>
              <w:rPr>
                <w:rFonts w:hint="eastAsia" w:ascii="宋体" w:hAnsi="宋体" w:eastAsia="宋体" w:cs="宋体"/>
                <w:color w:val="000000"/>
                <w:kern w:val="0"/>
                <w:szCs w:val="21"/>
                <w:lang w:val="zh-TW" w:eastAsia="zh-TW"/>
              </w:rPr>
              <w:t xml:space="preserve">， </w:t>
            </w:r>
            <w:r>
              <w:rPr>
                <w:rFonts w:hint="eastAsia" w:ascii="宋体" w:hAnsi="宋体" w:eastAsia="宋体" w:cs="宋体"/>
                <w:color w:val="000000"/>
                <w:kern w:val="0"/>
                <w:szCs w:val="21"/>
              </w:rPr>
              <w:t>MapReduce</w:t>
            </w:r>
            <w:r>
              <w:rPr>
                <w:rFonts w:hint="eastAsia" w:ascii="宋体" w:hAnsi="宋体" w:eastAsia="宋体" w:cs="宋体"/>
                <w:color w:val="000000"/>
                <w:kern w:val="0"/>
                <w:szCs w:val="21"/>
                <w:lang w:val="zh-TW" w:eastAsia="zh-TW"/>
              </w:rPr>
              <w:t xml:space="preserve">， </w:t>
            </w:r>
            <w:r>
              <w:rPr>
                <w:rFonts w:hint="eastAsia" w:ascii="宋体" w:hAnsi="宋体" w:eastAsia="宋体" w:cs="宋体"/>
                <w:color w:val="000000"/>
                <w:kern w:val="0"/>
                <w:szCs w:val="21"/>
              </w:rPr>
              <w:t xml:space="preserve">Spark </w:t>
            </w:r>
            <w:r>
              <w:rPr>
                <w:rFonts w:hint="eastAsia" w:ascii="宋体" w:hAnsi="宋体" w:eastAsia="宋体" w:cs="宋体"/>
                <w:color w:val="000000"/>
                <w:kern w:val="0"/>
                <w:szCs w:val="21"/>
                <w:lang w:val="zh-TW" w:eastAsia="zh-TW"/>
              </w:rPr>
              <w:t>，</w:t>
            </w:r>
            <w:r>
              <w:rPr>
                <w:rFonts w:hint="eastAsia" w:ascii="宋体" w:hAnsi="宋体" w:eastAsia="宋体" w:cs="宋体"/>
                <w:color w:val="000000"/>
                <w:kern w:val="0"/>
                <w:szCs w:val="21"/>
              </w:rPr>
              <w:t>Graph</w:t>
            </w:r>
          </w:p>
        </w:tc>
      </w:tr>
      <w:tr w14:paraId="0582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112" w:type="dxa"/>
            <w:vMerge w:val="continue"/>
            <w:shd w:val="clear" w:color="auto" w:fill="auto"/>
          </w:tcPr>
          <w:p w14:paraId="115DEB8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1EBE84B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功能特性</w:t>
            </w:r>
          </w:p>
        </w:tc>
        <w:tc>
          <w:tcPr>
            <w:tcW w:w="6208" w:type="dxa"/>
            <w:shd w:val="clear" w:color="auto" w:fill="auto"/>
            <w:tcMar>
              <w:top w:w="80" w:type="dxa"/>
              <w:left w:w="80" w:type="dxa"/>
              <w:bottom w:w="80" w:type="dxa"/>
              <w:right w:w="80" w:type="dxa"/>
            </w:tcMar>
            <w:vAlign w:val="center"/>
          </w:tcPr>
          <w:p w14:paraId="7B637A8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遵循</w:t>
            </w:r>
            <w:r>
              <w:rPr>
                <w:rFonts w:hint="eastAsia" w:ascii="宋体" w:hAnsi="宋体" w:eastAsia="宋体" w:cs="宋体"/>
                <w:color w:val="000000"/>
                <w:kern w:val="0"/>
                <w:szCs w:val="21"/>
              </w:rPr>
              <w:t>SQL92</w:t>
            </w:r>
            <w:r>
              <w:rPr>
                <w:rFonts w:hint="eastAsia" w:ascii="宋体" w:hAnsi="宋体" w:eastAsia="宋体" w:cs="宋体"/>
                <w:color w:val="000000"/>
                <w:kern w:val="0"/>
                <w:szCs w:val="21"/>
                <w:lang w:val="zh-TW" w:eastAsia="zh-TW"/>
              </w:rPr>
              <w:t>规范并做了优化与提升，做到</w:t>
            </w:r>
            <w:r>
              <w:rPr>
                <w:rFonts w:hint="eastAsia" w:ascii="宋体" w:hAnsi="宋体" w:eastAsia="宋体" w:cs="宋体"/>
                <w:color w:val="000000"/>
                <w:kern w:val="0"/>
                <w:szCs w:val="21"/>
              </w:rPr>
              <w:t>SQL</w:t>
            </w:r>
            <w:r>
              <w:rPr>
                <w:rFonts w:hint="eastAsia" w:ascii="宋体" w:hAnsi="宋体" w:eastAsia="宋体" w:cs="宋体"/>
                <w:color w:val="000000"/>
                <w:kern w:val="0"/>
                <w:szCs w:val="21"/>
                <w:lang w:val="zh-TW" w:eastAsia="zh-TW"/>
              </w:rPr>
              <w:t>可编程化，编程模型的扩展和增强</w:t>
            </w:r>
          </w:p>
        </w:tc>
      </w:tr>
      <w:tr w14:paraId="3E6F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trPr>
        <w:tc>
          <w:tcPr>
            <w:tcW w:w="1112" w:type="dxa"/>
            <w:vMerge w:val="continue"/>
            <w:shd w:val="clear" w:color="auto" w:fill="auto"/>
          </w:tcPr>
          <w:p w14:paraId="1D2C0B1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2974344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数据管理</w:t>
            </w:r>
          </w:p>
        </w:tc>
        <w:tc>
          <w:tcPr>
            <w:tcW w:w="6208" w:type="dxa"/>
            <w:shd w:val="clear" w:color="auto" w:fill="auto"/>
            <w:tcMar>
              <w:top w:w="80" w:type="dxa"/>
              <w:left w:w="80" w:type="dxa"/>
              <w:bottom w:w="80" w:type="dxa"/>
              <w:right w:w="80" w:type="dxa"/>
            </w:tcMar>
            <w:vAlign w:val="center"/>
          </w:tcPr>
          <w:p w14:paraId="4105C9F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支持分区级别的数据生命周期管理功能，过期数据系统自动清理</w:t>
            </w:r>
          </w:p>
        </w:tc>
      </w:tr>
      <w:tr w14:paraId="6C87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1112" w:type="dxa"/>
            <w:vMerge w:val="continue"/>
            <w:shd w:val="clear" w:color="auto" w:fill="auto"/>
          </w:tcPr>
          <w:p w14:paraId="520FEFE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4113F22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功能特性</w:t>
            </w:r>
          </w:p>
        </w:tc>
        <w:tc>
          <w:tcPr>
            <w:tcW w:w="6208" w:type="dxa"/>
            <w:shd w:val="clear" w:color="auto" w:fill="auto"/>
            <w:tcMar>
              <w:top w:w="80" w:type="dxa"/>
              <w:left w:w="80" w:type="dxa"/>
              <w:bottom w:w="80" w:type="dxa"/>
              <w:right w:w="80" w:type="dxa"/>
            </w:tcMar>
            <w:vAlign w:val="center"/>
          </w:tcPr>
          <w:p w14:paraId="18AEAEDC">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仿宋" w:hAnsi="仿宋" w:eastAsia="仿宋" w:cs="仿宋"/>
                <w:szCs w:val="21"/>
              </w:rPr>
              <w:t>△</w:t>
            </w:r>
            <w:r>
              <w:rPr>
                <w:rFonts w:hint="eastAsia" w:ascii="宋体" w:hAnsi="宋体" w:eastAsia="宋体" w:cs="宋体"/>
                <w:color w:val="000000"/>
                <w:kern w:val="0"/>
                <w:szCs w:val="21"/>
                <w:lang w:val="zh-TW" w:eastAsia="zh-TW"/>
              </w:rPr>
              <w:t>支持超大规模的</w:t>
            </w:r>
            <w:r>
              <w:rPr>
                <w:rFonts w:hint="eastAsia" w:ascii="宋体" w:hAnsi="宋体" w:eastAsia="宋体" w:cs="宋体"/>
                <w:color w:val="000000"/>
                <w:kern w:val="0"/>
                <w:szCs w:val="21"/>
              </w:rPr>
              <w:t>MapReduce</w:t>
            </w:r>
            <w:r>
              <w:rPr>
                <w:rFonts w:hint="eastAsia" w:ascii="宋体" w:hAnsi="宋体" w:eastAsia="宋体" w:cs="宋体"/>
                <w:color w:val="000000"/>
                <w:kern w:val="0"/>
                <w:szCs w:val="21"/>
                <w:lang w:val="zh-TW" w:eastAsia="zh-TW"/>
              </w:rPr>
              <w:t>计算，可支持最大</w:t>
            </w:r>
            <w:r>
              <w:rPr>
                <w:rFonts w:hint="eastAsia" w:ascii="宋体" w:hAnsi="宋体" w:eastAsia="宋体" w:cs="宋体"/>
                <w:color w:val="000000"/>
                <w:kern w:val="0"/>
                <w:szCs w:val="21"/>
              </w:rPr>
              <w:t>Mapper</w:t>
            </w:r>
            <w:r>
              <w:rPr>
                <w:rFonts w:hint="eastAsia" w:ascii="宋体" w:hAnsi="宋体" w:eastAsia="宋体" w:cs="宋体"/>
                <w:color w:val="000000"/>
                <w:kern w:val="0"/>
                <w:szCs w:val="21"/>
                <w:lang w:val="zh-TW" w:eastAsia="zh-TW"/>
              </w:rPr>
              <w:t>个数为</w:t>
            </w:r>
            <w:r>
              <w:rPr>
                <w:rFonts w:hint="eastAsia" w:ascii="宋体" w:hAnsi="宋体" w:eastAsia="宋体" w:cs="宋体"/>
                <w:color w:val="000000"/>
                <w:kern w:val="0"/>
                <w:szCs w:val="21"/>
              </w:rPr>
              <w:t>10</w:t>
            </w:r>
            <w:r>
              <w:rPr>
                <w:rFonts w:hint="eastAsia" w:ascii="宋体" w:hAnsi="宋体" w:eastAsia="宋体" w:cs="宋体"/>
                <w:color w:val="000000"/>
                <w:kern w:val="0"/>
                <w:szCs w:val="21"/>
                <w:lang w:val="zh-TW" w:eastAsia="zh-TW"/>
              </w:rPr>
              <w:t>万，最大</w:t>
            </w:r>
            <w:r>
              <w:rPr>
                <w:rFonts w:hint="eastAsia" w:ascii="宋体" w:hAnsi="宋体" w:eastAsia="宋体" w:cs="宋体"/>
                <w:color w:val="000000"/>
                <w:kern w:val="0"/>
                <w:szCs w:val="21"/>
              </w:rPr>
              <w:t>Reduce</w:t>
            </w:r>
            <w:r>
              <w:rPr>
                <w:rFonts w:hint="eastAsia" w:ascii="宋体" w:hAnsi="宋体" w:eastAsia="宋体" w:cs="宋体"/>
                <w:color w:val="000000"/>
                <w:kern w:val="0"/>
                <w:szCs w:val="21"/>
                <w:lang w:val="zh-TW" w:eastAsia="zh-TW"/>
              </w:rPr>
              <w:t>个数为</w:t>
            </w:r>
            <w:r>
              <w:rPr>
                <w:rFonts w:hint="eastAsia" w:ascii="宋体" w:hAnsi="宋体" w:eastAsia="宋体" w:cs="宋体"/>
                <w:color w:val="000000"/>
                <w:kern w:val="0"/>
                <w:szCs w:val="21"/>
              </w:rPr>
              <w:t>1000</w:t>
            </w:r>
            <w:r>
              <w:rPr>
                <w:rFonts w:hint="eastAsia" w:ascii="宋体" w:hAnsi="宋体" w:eastAsia="宋体" w:cs="宋体"/>
                <w:color w:val="000000"/>
                <w:kern w:val="0"/>
                <w:szCs w:val="21"/>
                <w:lang w:val="zh-TW" w:eastAsia="zh-TW"/>
              </w:rPr>
              <w:t>，最大</w:t>
            </w:r>
            <w:r>
              <w:rPr>
                <w:rFonts w:hint="eastAsia" w:ascii="宋体" w:hAnsi="宋体" w:eastAsia="宋体" w:cs="宋体"/>
                <w:color w:val="000000"/>
                <w:kern w:val="0"/>
                <w:szCs w:val="21"/>
              </w:rPr>
              <w:t>Join</w:t>
            </w:r>
            <w:r>
              <w:rPr>
                <w:rFonts w:hint="eastAsia" w:ascii="宋体" w:hAnsi="宋体" w:eastAsia="宋体" w:cs="宋体"/>
                <w:color w:val="000000"/>
                <w:kern w:val="0"/>
                <w:szCs w:val="21"/>
                <w:lang w:val="zh-TW" w:eastAsia="zh-TW"/>
              </w:rPr>
              <w:t>个数</w:t>
            </w:r>
            <w:r>
              <w:rPr>
                <w:rFonts w:hint="eastAsia" w:ascii="宋体" w:hAnsi="宋体" w:eastAsia="宋体" w:cs="宋体"/>
                <w:color w:val="000000"/>
                <w:kern w:val="0"/>
                <w:szCs w:val="21"/>
              </w:rPr>
              <w:t>1</w:t>
            </w:r>
            <w:r>
              <w:rPr>
                <w:rFonts w:hint="eastAsia" w:ascii="宋体" w:hAnsi="宋体" w:eastAsia="宋体" w:cs="宋体"/>
                <w:color w:val="000000"/>
                <w:kern w:val="0"/>
                <w:szCs w:val="21"/>
                <w:lang w:val="zh-TW" w:eastAsia="zh-TW"/>
              </w:rPr>
              <w:t>万，需提供中国信息通信研究院或首页具有CNAS及CMA标识的第三方检测报告</w:t>
            </w:r>
            <w:r>
              <w:rPr>
                <w:rFonts w:hint="eastAsia" w:ascii="宋体" w:hAnsi="宋体" w:eastAsia="宋体" w:cs="宋体"/>
                <w:color w:val="000000"/>
                <w:kern w:val="0"/>
                <w:szCs w:val="21"/>
                <w:lang w:val="zh-TW"/>
              </w:rPr>
              <w:t>。</w:t>
            </w:r>
          </w:p>
        </w:tc>
      </w:tr>
      <w:tr w14:paraId="5DDE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1112" w:type="dxa"/>
            <w:vMerge w:val="continue"/>
            <w:shd w:val="clear" w:color="auto" w:fill="auto"/>
          </w:tcPr>
          <w:p w14:paraId="66D9595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1B4D3C8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 xml:space="preserve"> </w:t>
            </w:r>
          </w:p>
        </w:tc>
        <w:tc>
          <w:tcPr>
            <w:tcW w:w="6208" w:type="dxa"/>
            <w:shd w:val="clear" w:color="auto" w:fill="auto"/>
            <w:tcMar>
              <w:top w:w="80" w:type="dxa"/>
              <w:left w:w="80" w:type="dxa"/>
              <w:bottom w:w="80" w:type="dxa"/>
              <w:right w:w="80" w:type="dxa"/>
            </w:tcMar>
            <w:vAlign w:val="center"/>
          </w:tcPr>
          <w:p w14:paraId="565522A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仿宋" w:hAnsi="仿宋" w:eastAsia="仿宋" w:cs="仿宋"/>
                <w:szCs w:val="21"/>
              </w:rPr>
              <w:t>△</w:t>
            </w:r>
            <w:r>
              <w:rPr>
                <w:rFonts w:hint="eastAsia" w:ascii="宋体" w:hAnsi="宋体" w:eastAsia="宋体" w:cs="宋体"/>
                <w:color w:val="000000"/>
                <w:kern w:val="0"/>
                <w:szCs w:val="21"/>
                <w:lang w:val="zh-TW" w:eastAsia="zh-TW"/>
              </w:rPr>
              <w:t>单集群可支持项目空间不少于</w:t>
            </w:r>
            <w:r>
              <w:rPr>
                <w:rFonts w:hint="eastAsia" w:ascii="宋体" w:hAnsi="宋体" w:eastAsia="宋体" w:cs="宋体"/>
                <w:color w:val="000000"/>
                <w:kern w:val="0"/>
                <w:szCs w:val="21"/>
              </w:rPr>
              <w:t>300PB</w:t>
            </w:r>
            <w:r>
              <w:rPr>
                <w:rFonts w:hint="eastAsia" w:ascii="宋体" w:hAnsi="宋体" w:eastAsia="宋体" w:cs="宋体"/>
                <w:color w:val="000000"/>
                <w:kern w:val="0"/>
                <w:szCs w:val="21"/>
                <w:lang w:val="zh-TW" w:eastAsia="zh-TW"/>
              </w:rPr>
              <w:t>数据量；单表可支持不少于</w:t>
            </w:r>
            <w:r>
              <w:rPr>
                <w:rFonts w:hint="eastAsia" w:ascii="宋体" w:hAnsi="宋体" w:eastAsia="宋体" w:cs="宋体"/>
                <w:color w:val="000000"/>
                <w:kern w:val="0"/>
                <w:szCs w:val="21"/>
              </w:rPr>
              <w:t>10PB</w:t>
            </w:r>
            <w:r>
              <w:rPr>
                <w:rFonts w:hint="eastAsia" w:ascii="宋体" w:hAnsi="宋体" w:eastAsia="宋体" w:cs="宋体"/>
                <w:color w:val="000000"/>
                <w:kern w:val="0"/>
                <w:szCs w:val="21"/>
                <w:lang w:val="zh-TW" w:eastAsia="zh-TW"/>
              </w:rPr>
              <w:t>数据量</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zh-TW" w:eastAsia="zh-TW"/>
              </w:rPr>
              <w:t>单表可支持超过</w:t>
            </w:r>
            <w:r>
              <w:rPr>
                <w:rFonts w:hint="eastAsia" w:ascii="宋体" w:hAnsi="宋体" w:eastAsia="宋体" w:cs="宋体"/>
                <w:color w:val="000000"/>
                <w:kern w:val="0"/>
                <w:szCs w:val="21"/>
              </w:rPr>
              <w:t>50000</w:t>
            </w:r>
            <w:r>
              <w:rPr>
                <w:rFonts w:hint="eastAsia" w:ascii="宋体" w:hAnsi="宋体" w:eastAsia="宋体" w:cs="宋体"/>
                <w:color w:val="000000"/>
                <w:kern w:val="0"/>
                <w:szCs w:val="21"/>
                <w:lang w:val="zh-TW" w:eastAsia="zh-TW"/>
              </w:rPr>
              <w:t>个分区。需提供中国信息通信研究院或首页具有CNAS及CMA标识的第三方检测报告</w:t>
            </w:r>
            <w:r>
              <w:rPr>
                <w:rFonts w:hint="eastAsia" w:ascii="宋体" w:hAnsi="宋体" w:eastAsia="宋体" w:cs="宋体"/>
                <w:color w:val="000000"/>
                <w:kern w:val="0"/>
                <w:szCs w:val="21"/>
                <w:lang w:val="zh-TW"/>
              </w:rPr>
              <w:t>。</w:t>
            </w:r>
          </w:p>
        </w:tc>
      </w:tr>
      <w:tr w14:paraId="753E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112" w:type="dxa"/>
            <w:vMerge w:val="continue"/>
            <w:shd w:val="clear" w:color="auto" w:fill="auto"/>
          </w:tcPr>
          <w:p w14:paraId="28E27CC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4CB71EA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承载规模</w:t>
            </w:r>
          </w:p>
        </w:tc>
        <w:tc>
          <w:tcPr>
            <w:tcW w:w="6208" w:type="dxa"/>
            <w:shd w:val="clear" w:color="auto" w:fill="auto"/>
            <w:tcMar>
              <w:top w:w="80" w:type="dxa"/>
              <w:left w:w="80" w:type="dxa"/>
              <w:bottom w:w="80" w:type="dxa"/>
              <w:right w:w="80" w:type="dxa"/>
            </w:tcMar>
            <w:vAlign w:val="center"/>
          </w:tcPr>
          <w:p w14:paraId="6E3C4B7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仿宋" w:hAnsi="仿宋" w:eastAsia="仿宋" w:cs="仿宋"/>
                <w:szCs w:val="21"/>
              </w:rPr>
              <w:t>△</w:t>
            </w:r>
            <w:r>
              <w:rPr>
                <w:rFonts w:hint="eastAsia" w:ascii="宋体" w:hAnsi="宋体" w:eastAsia="宋体" w:cs="宋体"/>
                <w:color w:val="000000"/>
                <w:kern w:val="0"/>
                <w:szCs w:val="21"/>
                <w:lang w:val="zh-TW" w:eastAsia="zh-TW"/>
              </w:rPr>
              <w:t xml:space="preserve">最高可支持单表万亿条记录的多表关联分析；单个项目空间可支持不少于 </w:t>
            </w:r>
            <w:r>
              <w:rPr>
                <w:rFonts w:hint="eastAsia" w:ascii="宋体" w:hAnsi="宋体" w:eastAsia="宋体" w:cs="宋体"/>
                <w:color w:val="000000"/>
                <w:kern w:val="0"/>
                <w:szCs w:val="21"/>
              </w:rPr>
              <w:t>40000</w:t>
            </w:r>
            <w:r>
              <w:rPr>
                <w:rFonts w:hint="eastAsia" w:ascii="宋体" w:hAnsi="宋体" w:eastAsia="宋体" w:cs="宋体"/>
                <w:color w:val="000000"/>
                <w:kern w:val="0"/>
                <w:szCs w:val="21"/>
                <w:lang w:val="zh-TW" w:eastAsia="zh-TW"/>
              </w:rPr>
              <w:t>张表，需提供中国信息通信研究院或首页具有CNAS及CMA标识的第三方检测报告</w:t>
            </w:r>
            <w:r>
              <w:rPr>
                <w:rFonts w:hint="eastAsia" w:ascii="宋体" w:hAnsi="宋体" w:eastAsia="宋体" w:cs="宋体"/>
                <w:color w:val="000000"/>
                <w:kern w:val="0"/>
                <w:szCs w:val="21"/>
                <w:lang w:val="zh-TW"/>
              </w:rPr>
              <w:t>。</w:t>
            </w:r>
          </w:p>
        </w:tc>
      </w:tr>
      <w:tr w14:paraId="1D39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112" w:type="dxa"/>
            <w:vMerge w:val="continue"/>
            <w:shd w:val="clear" w:color="auto" w:fill="auto"/>
          </w:tcPr>
          <w:p w14:paraId="01577D9E">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224A2DA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承载规模</w:t>
            </w:r>
          </w:p>
        </w:tc>
        <w:tc>
          <w:tcPr>
            <w:tcW w:w="6208" w:type="dxa"/>
            <w:shd w:val="clear" w:color="auto" w:fill="auto"/>
            <w:tcMar>
              <w:top w:w="80" w:type="dxa"/>
              <w:left w:w="80" w:type="dxa"/>
              <w:bottom w:w="80" w:type="dxa"/>
              <w:right w:w="80" w:type="dxa"/>
            </w:tcMar>
            <w:vAlign w:val="center"/>
          </w:tcPr>
          <w:p w14:paraId="11BBE61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仿宋" w:hAnsi="仿宋" w:eastAsia="仿宋" w:cs="仿宋"/>
                <w:szCs w:val="21"/>
              </w:rPr>
              <w:t>△</w:t>
            </w:r>
            <w:r>
              <w:rPr>
                <w:rFonts w:hint="eastAsia" w:ascii="宋体" w:hAnsi="宋体" w:eastAsia="宋体" w:cs="宋体"/>
                <w:color w:val="000000"/>
                <w:kern w:val="0"/>
                <w:szCs w:val="21"/>
                <w:lang w:val="zh-TW" w:eastAsia="zh-TW"/>
              </w:rPr>
              <w:t>用户服务实例和资源管理基于项目空间隔离，可支持不少于</w:t>
            </w:r>
            <w:r>
              <w:rPr>
                <w:rFonts w:hint="eastAsia" w:ascii="宋体" w:hAnsi="宋体" w:eastAsia="宋体" w:cs="宋体"/>
                <w:color w:val="000000"/>
                <w:kern w:val="0"/>
                <w:szCs w:val="21"/>
              </w:rPr>
              <w:t>10000</w:t>
            </w:r>
            <w:r>
              <w:rPr>
                <w:rFonts w:hint="eastAsia" w:ascii="宋体" w:hAnsi="宋体" w:eastAsia="宋体" w:cs="宋体"/>
                <w:color w:val="000000"/>
                <w:kern w:val="0"/>
                <w:szCs w:val="21"/>
                <w:lang w:val="zh-TW" w:eastAsia="zh-TW"/>
              </w:rPr>
              <w:t>个用户项目空间。需提供中国信息通信研究院或首页具有CNAS及CMA标识的第三方检测报告</w:t>
            </w:r>
            <w:r>
              <w:rPr>
                <w:rFonts w:hint="eastAsia" w:ascii="宋体" w:hAnsi="宋体" w:eastAsia="宋体" w:cs="宋体"/>
                <w:color w:val="000000"/>
                <w:kern w:val="0"/>
                <w:szCs w:val="21"/>
                <w:lang w:val="zh-TW"/>
              </w:rPr>
              <w:t>。</w:t>
            </w:r>
          </w:p>
        </w:tc>
      </w:tr>
      <w:tr w14:paraId="0AA1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112" w:type="dxa"/>
            <w:vMerge w:val="continue"/>
            <w:shd w:val="clear" w:color="auto" w:fill="auto"/>
          </w:tcPr>
          <w:p w14:paraId="51A5F38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2B173E6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数据管理</w:t>
            </w:r>
          </w:p>
        </w:tc>
        <w:tc>
          <w:tcPr>
            <w:tcW w:w="6208" w:type="dxa"/>
            <w:shd w:val="clear" w:color="auto" w:fill="auto"/>
            <w:tcMar>
              <w:top w:w="80" w:type="dxa"/>
              <w:left w:w="80" w:type="dxa"/>
              <w:bottom w:w="80" w:type="dxa"/>
              <w:right w:w="80" w:type="dxa"/>
            </w:tcMar>
            <w:vAlign w:val="center"/>
          </w:tcPr>
          <w:p w14:paraId="66CA72A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支持高效数据压缩存储，压缩效率和数据格式相关，最低压缩比大于等于3，对冷数据支持归档操作，可节约存储</w:t>
            </w:r>
            <w:r>
              <w:rPr>
                <w:rFonts w:hint="eastAsia" w:ascii="宋体" w:hAnsi="宋体" w:eastAsia="宋体" w:cs="宋体"/>
                <w:color w:val="000000"/>
                <w:kern w:val="0"/>
                <w:szCs w:val="21"/>
                <w:lang w:val="zh-TW"/>
              </w:rPr>
              <w:t>不少于</w:t>
            </w:r>
            <w:r>
              <w:rPr>
                <w:rFonts w:hint="eastAsia" w:ascii="宋体" w:hAnsi="宋体" w:eastAsia="宋体" w:cs="宋体"/>
                <w:color w:val="000000"/>
                <w:kern w:val="0"/>
                <w:szCs w:val="21"/>
              </w:rPr>
              <w:t>50%。</w:t>
            </w:r>
          </w:p>
        </w:tc>
      </w:tr>
      <w:tr w14:paraId="36A8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1112" w:type="dxa"/>
            <w:vMerge w:val="continue"/>
            <w:shd w:val="clear" w:color="auto" w:fill="auto"/>
          </w:tcPr>
          <w:p w14:paraId="06CE685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65980C4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节点调度</w:t>
            </w:r>
          </w:p>
        </w:tc>
        <w:tc>
          <w:tcPr>
            <w:tcW w:w="6208" w:type="dxa"/>
            <w:shd w:val="clear" w:color="auto" w:fill="auto"/>
            <w:tcMar>
              <w:top w:w="80" w:type="dxa"/>
              <w:left w:w="80" w:type="dxa"/>
              <w:bottom w:w="80" w:type="dxa"/>
              <w:right w:w="80" w:type="dxa"/>
            </w:tcMar>
            <w:vAlign w:val="center"/>
          </w:tcPr>
          <w:p w14:paraId="71A5B00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超大规模节点调度能力，具备</w:t>
            </w:r>
            <w:r>
              <w:rPr>
                <w:rFonts w:hint="eastAsia" w:ascii="宋体" w:hAnsi="宋体" w:eastAsia="宋体" w:cs="宋体"/>
                <w:color w:val="000000"/>
                <w:kern w:val="0"/>
                <w:szCs w:val="21"/>
              </w:rPr>
              <w:t>30000</w:t>
            </w:r>
            <w:r>
              <w:rPr>
                <w:rFonts w:hint="eastAsia" w:ascii="宋体" w:hAnsi="宋体" w:eastAsia="宋体" w:cs="宋体"/>
                <w:color w:val="000000"/>
                <w:kern w:val="0"/>
                <w:szCs w:val="21"/>
                <w:lang w:val="zh-TW" w:eastAsia="zh-TW"/>
              </w:rPr>
              <w:t>节点以上调度能力。为保证大数据集群具有高可扩展性。</w:t>
            </w:r>
          </w:p>
        </w:tc>
      </w:tr>
      <w:tr w14:paraId="6D10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trPr>
        <w:tc>
          <w:tcPr>
            <w:tcW w:w="1112" w:type="dxa"/>
            <w:vMerge w:val="continue"/>
            <w:shd w:val="clear" w:color="auto" w:fill="auto"/>
          </w:tcPr>
          <w:p w14:paraId="5596BD0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73B5CAC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集群规模</w:t>
            </w:r>
          </w:p>
        </w:tc>
        <w:tc>
          <w:tcPr>
            <w:tcW w:w="6208" w:type="dxa"/>
            <w:shd w:val="clear" w:color="auto" w:fill="auto"/>
            <w:tcMar>
              <w:top w:w="80" w:type="dxa"/>
              <w:left w:w="80" w:type="dxa"/>
              <w:bottom w:w="80" w:type="dxa"/>
              <w:right w:w="80" w:type="dxa"/>
            </w:tcMar>
            <w:vAlign w:val="center"/>
          </w:tcPr>
          <w:p w14:paraId="7E5BCF4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仿宋" w:hAnsi="仿宋" w:eastAsia="仿宋" w:cs="仿宋"/>
                <w:szCs w:val="21"/>
              </w:rPr>
              <w:t>△</w:t>
            </w:r>
            <w:r>
              <w:rPr>
                <w:rFonts w:hint="eastAsia" w:ascii="宋体" w:hAnsi="宋体" w:eastAsia="宋体" w:cs="宋体"/>
                <w:color w:val="000000"/>
                <w:kern w:val="0"/>
                <w:szCs w:val="21"/>
                <w:lang w:val="zh-TW" w:eastAsia="zh-TW"/>
              </w:rPr>
              <w:t>采用分布式计算框架提供大规模数据存储与计算，可按需扩容。大数据计算平台能力单集群可达到</w:t>
            </w:r>
            <w:r>
              <w:rPr>
                <w:rFonts w:hint="eastAsia" w:ascii="宋体" w:hAnsi="宋体" w:eastAsia="宋体" w:cs="宋体"/>
                <w:color w:val="000000"/>
                <w:kern w:val="0"/>
                <w:szCs w:val="21"/>
              </w:rPr>
              <w:t>10000</w:t>
            </w:r>
            <w:r>
              <w:rPr>
                <w:rFonts w:hint="eastAsia" w:ascii="宋体" w:hAnsi="宋体" w:eastAsia="宋体" w:cs="宋体"/>
                <w:color w:val="000000"/>
                <w:kern w:val="0"/>
                <w:szCs w:val="21"/>
                <w:lang w:val="zh-TW" w:eastAsia="zh-TW"/>
              </w:rPr>
              <w:t>台物理服务器并行作业，需提供中国信息通信研究院或首页具有CNAS及CMA标识的第三方检测报告</w:t>
            </w:r>
            <w:r>
              <w:rPr>
                <w:rFonts w:hint="eastAsia" w:ascii="宋体" w:hAnsi="宋体" w:eastAsia="宋体" w:cs="宋体"/>
                <w:color w:val="000000"/>
                <w:kern w:val="0"/>
                <w:szCs w:val="21"/>
                <w:lang w:val="zh-TW"/>
              </w:rPr>
              <w:t>。</w:t>
            </w:r>
          </w:p>
        </w:tc>
      </w:tr>
      <w:tr w14:paraId="4149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1112" w:type="dxa"/>
            <w:vMerge w:val="restart"/>
            <w:shd w:val="clear" w:color="auto" w:fill="auto"/>
            <w:tcMar>
              <w:top w:w="80" w:type="dxa"/>
              <w:left w:w="80" w:type="dxa"/>
              <w:bottom w:w="80" w:type="dxa"/>
              <w:right w:w="80" w:type="dxa"/>
            </w:tcMar>
            <w:vAlign w:val="center"/>
          </w:tcPr>
          <w:p w14:paraId="2A77329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安全性</w:t>
            </w:r>
          </w:p>
        </w:tc>
        <w:tc>
          <w:tcPr>
            <w:tcW w:w="1119" w:type="dxa"/>
            <w:shd w:val="clear" w:color="auto" w:fill="auto"/>
            <w:tcMar>
              <w:top w:w="80" w:type="dxa"/>
              <w:left w:w="80" w:type="dxa"/>
              <w:bottom w:w="80" w:type="dxa"/>
              <w:right w:w="80" w:type="dxa"/>
            </w:tcMar>
            <w:vAlign w:val="center"/>
          </w:tcPr>
          <w:p w14:paraId="3CDA755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6208" w:type="dxa"/>
            <w:shd w:val="clear" w:color="auto" w:fill="auto"/>
            <w:tcMar>
              <w:top w:w="80" w:type="dxa"/>
              <w:left w:w="80" w:type="dxa"/>
              <w:bottom w:w="80" w:type="dxa"/>
              <w:right w:w="80" w:type="dxa"/>
            </w:tcMar>
            <w:vAlign w:val="center"/>
          </w:tcPr>
          <w:p w14:paraId="2FF2560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具备完善的权限认证与隔离机制，保障用户数据的私密性，支持多粒度的数据授权访问；针对高敏感数据可设置数据保护模式避免数据流出，限制用户项目空间内数据流出。</w:t>
            </w:r>
          </w:p>
        </w:tc>
      </w:tr>
      <w:tr w14:paraId="44F4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1112" w:type="dxa"/>
            <w:vMerge w:val="continue"/>
            <w:shd w:val="clear" w:color="auto" w:fill="auto"/>
          </w:tcPr>
          <w:p w14:paraId="1A4AE5B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1119" w:type="dxa"/>
            <w:shd w:val="clear" w:color="auto" w:fill="auto"/>
            <w:tcMar>
              <w:top w:w="80" w:type="dxa"/>
              <w:left w:w="80" w:type="dxa"/>
              <w:bottom w:w="80" w:type="dxa"/>
              <w:right w:w="80" w:type="dxa"/>
            </w:tcMar>
            <w:vAlign w:val="center"/>
          </w:tcPr>
          <w:p w14:paraId="4E3E0D3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p>
        </w:tc>
        <w:tc>
          <w:tcPr>
            <w:tcW w:w="6208" w:type="dxa"/>
            <w:shd w:val="clear" w:color="auto" w:fill="auto"/>
            <w:tcMar>
              <w:top w:w="80" w:type="dxa"/>
              <w:left w:w="80" w:type="dxa"/>
              <w:bottom w:w="80" w:type="dxa"/>
              <w:right w:w="80" w:type="dxa"/>
            </w:tcMar>
            <w:vAlign w:val="center"/>
          </w:tcPr>
          <w:p w14:paraId="6C4E5A3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zh-TW" w:eastAsia="zh-TW"/>
              </w:rPr>
              <w:t>支持标准加密算法</w:t>
            </w:r>
            <w:r>
              <w:rPr>
                <w:rFonts w:hint="eastAsia" w:ascii="宋体" w:hAnsi="宋体" w:eastAsia="宋体" w:cs="宋体"/>
                <w:color w:val="000000"/>
                <w:kern w:val="0"/>
                <w:szCs w:val="21"/>
              </w:rPr>
              <w:t>AES</w:t>
            </w:r>
            <w:r>
              <w:rPr>
                <w:rFonts w:hint="eastAsia" w:ascii="宋体" w:hAnsi="宋体" w:eastAsia="宋体" w:cs="宋体"/>
                <w:color w:val="000000"/>
                <w:kern w:val="0"/>
                <w:szCs w:val="21"/>
                <w:lang w:val="zh-TW" w:eastAsia="zh-TW"/>
              </w:rPr>
              <w:t>、国密算法</w:t>
            </w:r>
            <w:r>
              <w:rPr>
                <w:rFonts w:hint="eastAsia" w:ascii="宋体" w:hAnsi="宋体" w:eastAsia="宋体" w:cs="宋体"/>
                <w:color w:val="000000"/>
                <w:kern w:val="0"/>
                <w:szCs w:val="21"/>
              </w:rPr>
              <w:t>SM4</w:t>
            </w:r>
            <w:r>
              <w:rPr>
                <w:rFonts w:hint="eastAsia" w:ascii="宋体" w:hAnsi="宋体" w:eastAsia="宋体" w:cs="宋体"/>
                <w:color w:val="000000"/>
                <w:kern w:val="0"/>
                <w:szCs w:val="21"/>
                <w:lang w:val="zh-TW" w:eastAsia="zh-TW"/>
              </w:rPr>
              <w:t>的加密能力，支持服务自动生成加密密钥方式和用户自定义加密密钥方式</w:t>
            </w:r>
            <w:r>
              <w:rPr>
                <w:rFonts w:hint="eastAsia" w:ascii="宋体" w:hAnsi="宋体" w:eastAsia="宋体" w:cs="宋体"/>
                <w:color w:val="000000"/>
                <w:kern w:val="0"/>
                <w:szCs w:val="21"/>
                <w:lang w:val="zh-TW"/>
              </w:rPr>
              <w:t>。</w:t>
            </w:r>
            <w:r>
              <w:rPr>
                <w:rFonts w:hint="eastAsia" w:ascii="宋体" w:hAnsi="宋体" w:eastAsia="宋体" w:cs="宋体"/>
                <w:color w:val="000000"/>
                <w:kern w:val="0"/>
                <w:szCs w:val="21"/>
              </w:rPr>
              <w:t xml:space="preserve"> </w:t>
            </w:r>
          </w:p>
        </w:tc>
      </w:tr>
    </w:tbl>
    <w:p w14:paraId="4337CBEF">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2.大数据开发套件</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382"/>
      </w:tblGrid>
      <w:tr w14:paraId="4081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58DCD6D9">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指标项</w:t>
            </w:r>
          </w:p>
        </w:tc>
        <w:tc>
          <w:tcPr>
            <w:tcW w:w="7382" w:type="dxa"/>
            <w:tcBorders>
              <w:top w:val="single" w:color="auto" w:sz="4" w:space="0"/>
              <w:left w:val="single" w:color="auto" w:sz="4" w:space="0"/>
              <w:bottom w:val="single" w:color="auto" w:sz="4" w:space="0"/>
              <w:right w:val="single" w:color="auto" w:sz="4" w:space="0"/>
            </w:tcBorders>
            <w:vAlign w:val="center"/>
          </w:tcPr>
          <w:p w14:paraId="701099B4">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规格要求</w:t>
            </w:r>
          </w:p>
        </w:tc>
      </w:tr>
      <w:tr w14:paraId="45D2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14:paraId="6E2AF2BE">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服务标准</w:t>
            </w:r>
          </w:p>
        </w:tc>
        <w:tc>
          <w:tcPr>
            <w:tcW w:w="7382" w:type="dxa"/>
            <w:tcBorders>
              <w:top w:val="single" w:color="auto" w:sz="4" w:space="0"/>
              <w:left w:val="single" w:color="auto" w:sz="4" w:space="0"/>
              <w:bottom w:val="single" w:color="auto" w:sz="4" w:space="0"/>
              <w:right w:val="single" w:color="auto" w:sz="4" w:space="0"/>
            </w:tcBorders>
            <w:vAlign w:val="center"/>
          </w:tcPr>
          <w:p w14:paraId="0767531A">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提供数据集成、开发、治理、服务、质量、安全等全套数据研发工作。</w:t>
            </w:r>
          </w:p>
        </w:tc>
      </w:tr>
      <w:tr w14:paraId="4976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40" w:type="dxa"/>
            <w:vMerge w:val="restart"/>
            <w:tcBorders>
              <w:top w:val="single" w:color="auto" w:sz="4" w:space="0"/>
              <w:left w:val="single" w:color="auto" w:sz="4" w:space="0"/>
              <w:right w:val="single" w:color="auto" w:sz="4" w:space="0"/>
            </w:tcBorders>
            <w:vAlign w:val="center"/>
          </w:tcPr>
          <w:p w14:paraId="637D0606">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服务特性</w:t>
            </w:r>
          </w:p>
        </w:tc>
        <w:tc>
          <w:tcPr>
            <w:tcW w:w="7382" w:type="dxa"/>
            <w:tcBorders>
              <w:top w:val="single" w:color="auto" w:sz="4" w:space="0"/>
              <w:left w:val="single" w:color="auto" w:sz="4" w:space="0"/>
              <w:bottom w:val="single" w:color="auto" w:sz="4" w:space="0"/>
              <w:right w:val="single" w:color="auto" w:sz="4" w:space="0"/>
            </w:tcBorders>
            <w:vAlign w:val="center"/>
          </w:tcPr>
          <w:p w14:paraId="1B5287E6">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万亿级数据JOIN，百万级并发Job，作业I/O可达PB级/天。</w:t>
            </w:r>
          </w:p>
        </w:tc>
      </w:tr>
      <w:tr w14:paraId="6D4C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40" w:type="dxa"/>
            <w:vMerge w:val="continue"/>
            <w:tcBorders>
              <w:left w:val="single" w:color="auto" w:sz="4" w:space="0"/>
              <w:right w:val="single" w:color="auto" w:sz="4" w:space="0"/>
            </w:tcBorders>
            <w:vAlign w:val="center"/>
          </w:tcPr>
          <w:p w14:paraId="5CA45222">
            <w:pPr>
              <w:keepNext w:val="0"/>
              <w:keepLines w:val="0"/>
              <w:pageBreakBefore w:val="0"/>
              <w:widowControl/>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4388C112">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离线调度支持百万级任务量，实时监控告警。</w:t>
            </w:r>
          </w:p>
        </w:tc>
      </w:tr>
      <w:tr w14:paraId="5AA0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0" w:type="dxa"/>
            <w:vMerge w:val="continue"/>
            <w:tcBorders>
              <w:left w:val="single" w:color="auto" w:sz="4" w:space="0"/>
              <w:right w:val="single" w:color="auto" w:sz="4" w:space="0"/>
            </w:tcBorders>
            <w:vAlign w:val="center"/>
          </w:tcPr>
          <w:p w14:paraId="425CBD5D">
            <w:pPr>
              <w:keepNext w:val="0"/>
              <w:keepLines w:val="0"/>
              <w:pageBreakBefore w:val="0"/>
              <w:widowControl/>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0050C601">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提供功能强大易用的SQL、MR引擎，兼容大部分标准SQL语法。</w:t>
            </w:r>
          </w:p>
        </w:tc>
      </w:tr>
      <w:tr w14:paraId="063D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40" w:type="dxa"/>
            <w:vMerge w:val="continue"/>
            <w:tcBorders>
              <w:left w:val="single" w:color="auto" w:sz="4" w:space="0"/>
              <w:right w:val="single" w:color="auto" w:sz="4" w:space="0"/>
            </w:tcBorders>
            <w:vAlign w:val="center"/>
          </w:tcPr>
          <w:p w14:paraId="6BF685B3">
            <w:pPr>
              <w:keepNext w:val="0"/>
              <w:keepLines w:val="0"/>
              <w:pageBreakBefore w:val="0"/>
              <w:widowControl/>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2A34577C">
            <w:pPr>
              <w:keepNext w:val="0"/>
              <w:keepLines w:val="0"/>
              <w:pageBreakBefore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采用三重备份或者E</w:t>
            </w:r>
            <w:r>
              <w:rPr>
                <w:rFonts w:hint="default" w:ascii="宋体" w:hAnsi="宋体" w:eastAsia="宋体" w:cs="宋体"/>
                <w:szCs w:val="21"/>
              </w:rPr>
              <w:t>C</w:t>
            </w:r>
            <w:r>
              <w:rPr>
                <w:rFonts w:hint="eastAsia" w:ascii="宋体" w:hAnsi="宋体" w:eastAsia="宋体" w:cs="宋体"/>
                <w:szCs w:val="21"/>
              </w:rPr>
              <w:t>冗余技术、读写请求鉴权、应用沙箱、系统沙箱等多层次数据存储和访问安全机制保护您的数据，确保不丢失、不泄露、不被窃取。</w:t>
            </w:r>
          </w:p>
        </w:tc>
      </w:tr>
      <w:tr w14:paraId="664F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40" w:type="dxa"/>
            <w:vMerge w:val="continue"/>
            <w:tcBorders>
              <w:left w:val="single" w:color="auto" w:sz="4" w:space="0"/>
              <w:right w:val="single" w:color="auto" w:sz="4" w:space="0"/>
            </w:tcBorders>
            <w:vAlign w:val="center"/>
          </w:tcPr>
          <w:p w14:paraId="3500A1E0">
            <w:pPr>
              <w:keepNext w:val="0"/>
              <w:keepLines w:val="0"/>
              <w:pageBreakBefore w:val="0"/>
              <w:widowControl/>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5006152A">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提供数据从集成、加工、管理、监控、输出服务的全流程所有功能,提供可视化工作流程设计器功能。</w:t>
            </w:r>
          </w:p>
        </w:tc>
      </w:tr>
      <w:tr w14:paraId="346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40" w:type="dxa"/>
            <w:vMerge w:val="restart"/>
            <w:tcBorders>
              <w:left w:val="single" w:color="auto" w:sz="4" w:space="0"/>
              <w:right w:val="single" w:color="auto" w:sz="4" w:space="0"/>
            </w:tcBorders>
            <w:vAlign w:val="center"/>
          </w:tcPr>
          <w:p w14:paraId="15FDDBD4">
            <w:pPr>
              <w:keepNext w:val="0"/>
              <w:keepLines w:val="0"/>
              <w:pageBreakBefore w:val="0"/>
              <w:widowControl/>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服务能力</w:t>
            </w:r>
          </w:p>
        </w:tc>
        <w:tc>
          <w:tcPr>
            <w:tcW w:w="7382" w:type="dxa"/>
            <w:tcBorders>
              <w:top w:val="single" w:color="auto" w:sz="4" w:space="0"/>
              <w:left w:val="single" w:color="auto" w:sz="4" w:space="0"/>
              <w:bottom w:val="single" w:color="auto" w:sz="4" w:space="0"/>
              <w:right w:val="single" w:color="auto" w:sz="4" w:space="0"/>
            </w:tcBorders>
            <w:vAlign w:val="center"/>
          </w:tcPr>
          <w:p w14:paraId="68200E10">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支持400对异构数据源的离线同步，支持分钟、小时、天、周和月多种调度周期配置。</w:t>
            </w:r>
          </w:p>
        </w:tc>
      </w:tr>
      <w:tr w14:paraId="60C9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40" w:type="dxa"/>
            <w:vMerge w:val="continue"/>
            <w:tcBorders>
              <w:left w:val="single" w:color="auto" w:sz="4" w:space="0"/>
              <w:right w:val="single" w:color="auto" w:sz="4" w:space="0"/>
            </w:tcBorders>
            <w:vAlign w:val="center"/>
          </w:tcPr>
          <w:p w14:paraId="2B240D4D">
            <w:pPr>
              <w:keepNext w:val="0"/>
              <w:keepLines w:val="0"/>
              <w:pageBreakBefore w:val="0"/>
              <w:widowControl/>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52E6DBED">
            <w:pPr>
              <w:keepNext w:val="0"/>
              <w:keepLines w:val="0"/>
              <w:pageBreakBefore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仿宋" w:hAnsi="仿宋" w:eastAsia="仿宋" w:cs="仿宋"/>
                <w:szCs w:val="21"/>
              </w:rPr>
              <w:t>△</w:t>
            </w:r>
            <w:r>
              <w:rPr>
                <w:rFonts w:hint="eastAsia" w:ascii="宋体" w:hAnsi="宋体" w:eastAsia="宋体" w:cs="宋体"/>
                <w:szCs w:val="21"/>
              </w:rPr>
              <w:t>多租户模型确保您的数据被安全隔离，以租户为单位进行统⼀的权限管控、数据管理、调度资源管理和成员管理工作。</w:t>
            </w:r>
            <w:r>
              <w:rPr>
                <w:rFonts w:hint="eastAsia" w:ascii="宋体" w:hAnsi="宋体" w:cs="宋体"/>
                <w:szCs w:val="21"/>
              </w:rPr>
              <w:t>（提供截图证明）</w:t>
            </w:r>
          </w:p>
        </w:tc>
      </w:tr>
      <w:tr w14:paraId="1FED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40" w:type="dxa"/>
            <w:vMerge w:val="continue"/>
            <w:tcBorders>
              <w:left w:val="single" w:color="auto" w:sz="4" w:space="0"/>
              <w:right w:val="single" w:color="auto" w:sz="4" w:space="0"/>
            </w:tcBorders>
            <w:vAlign w:val="center"/>
          </w:tcPr>
          <w:p w14:paraId="0A489296">
            <w:pPr>
              <w:keepNext w:val="0"/>
              <w:keepLines w:val="0"/>
              <w:pageBreakBefore w:val="0"/>
              <w:widowControl/>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p>
        </w:tc>
        <w:tc>
          <w:tcPr>
            <w:tcW w:w="7382" w:type="dxa"/>
            <w:tcBorders>
              <w:top w:val="single" w:color="auto" w:sz="4" w:space="0"/>
              <w:left w:val="single" w:color="auto" w:sz="4" w:space="0"/>
              <w:bottom w:val="single" w:color="auto" w:sz="4" w:space="0"/>
              <w:right w:val="single" w:color="auto" w:sz="4" w:space="0"/>
            </w:tcBorders>
            <w:vAlign w:val="center"/>
          </w:tcPr>
          <w:p w14:paraId="7FB4BEA0">
            <w:pPr>
              <w:keepNext w:val="0"/>
              <w:keepLines w:val="0"/>
              <w:pageBreakBefore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rPr>
            </w:pPr>
            <w:r>
              <w:rPr>
                <w:rFonts w:hint="eastAsia" w:ascii="宋体" w:hAnsi="宋体" w:eastAsia="宋体" w:cs="宋体"/>
                <w:szCs w:val="21"/>
              </w:rPr>
              <w:t>支持多种异构数据源、离线数据的质量校验、通知、管理。</w:t>
            </w:r>
          </w:p>
        </w:tc>
      </w:tr>
    </w:tbl>
    <w:p w14:paraId="18FF1F8D">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（六）大模型能力服务</w:t>
      </w:r>
    </w:p>
    <w:p w14:paraId="347C1819">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1.大模型开发服务</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382"/>
      </w:tblGrid>
      <w:tr w14:paraId="1049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vAlign w:val="center"/>
          </w:tcPr>
          <w:p w14:paraId="336FFC84">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指标项</w:t>
            </w:r>
          </w:p>
        </w:tc>
        <w:tc>
          <w:tcPr>
            <w:tcW w:w="7382" w:type="dxa"/>
            <w:tcBorders>
              <w:top w:val="single" w:color="auto" w:sz="4" w:space="0"/>
              <w:left w:val="single" w:color="auto" w:sz="4" w:space="0"/>
              <w:bottom w:val="single" w:color="auto" w:sz="4" w:space="0"/>
              <w:right w:val="single" w:color="auto" w:sz="4" w:space="0"/>
            </w:tcBorders>
            <w:vAlign w:val="center"/>
          </w:tcPr>
          <w:p w14:paraId="530BFF99">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规格要求</w:t>
            </w:r>
          </w:p>
        </w:tc>
      </w:tr>
      <w:tr w14:paraId="3B05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vAlign w:val="center"/>
          </w:tcPr>
          <w:p w14:paraId="74BB438A">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功能要求</w:t>
            </w:r>
          </w:p>
        </w:tc>
        <w:tc>
          <w:tcPr>
            <w:tcW w:w="7382" w:type="dxa"/>
            <w:tcBorders>
              <w:top w:val="single" w:color="auto" w:sz="4" w:space="0"/>
              <w:left w:val="single" w:color="auto" w:sz="4" w:space="0"/>
              <w:bottom w:val="single" w:color="auto" w:sz="4" w:space="0"/>
              <w:right w:val="single" w:color="auto" w:sz="4" w:space="0"/>
            </w:tcBorders>
            <w:vAlign w:val="center"/>
          </w:tcPr>
          <w:p w14:paraId="5F9E6E10">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（1）需内置提供大语言模型、多模态大语言模型并支持预训练、微调训练（包括SFT、LORA等），支持启动、停止训练任务，查看训练日志</w:t>
            </w:r>
            <w:r>
              <w:rPr>
                <w:rFonts w:hint="eastAsia" w:ascii="宋体" w:hAnsi="宋体" w:eastAsia="宋体" w:cs="宋体"/>
                <w:szCs w:val="21"/>
                <w:highlight w:val="none"/>
                <w:lang w:eastAsia="zh-CN"/>
              </w:rPr>
              <w:t>。</w:t>
            </w:r>
          </w:p>
          <w:p w14:paraId="05CA30D1">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（2）支持通过导入镜像文件、模型文件、代码包的方式接入自定义大模型、小模型并进行训练和推理</w:t>
            </w:r>
          </w:p>
          <w:p w14:paraId="3F4C4488">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（3）支持对微调训练后的模型进行推理部署，支持查看推理服务状态，启动和停止推理服务</w:t>
            </w:r>
          </w:p>
          <w:p w14:paraId="0F3FE8E3">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（4）支持富文本（文档中包含文字、公式、表格、图片）的检索增强开发场景：包括且不仅限于文档解析、公式解析、表格解析、文本embedding向量化、检索召回、重新排序等服务</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w:t>
            </w:r>
          </w:p>
          <w:p w14:paraId="31D50880">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（5）支持多模态（图片）检索增强开发场景</w:t>
            </w:r>
            <w:r>
              <w:rPr>
                <w:rFonts w:hint="eastAsia" w:ascii="宋体" w:hAnsi="宋体" w:eastAsia="宋体" w:cs="宋体"/>
                <w:szCs w:val="21"/>
                <w:highlight w:val="none"/>
                <w:lang w:eastAsia="zh-CN"/>
              </w:rPr>
              <w:t>。</w:t>
            </w:r>
          </w:p>
          <w:p w14:paraId="40C13AD6">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（6）支持基于数据库（标准SQL语法的数据库）的检索增强开发场景</w:t>
            </w:r>
            <w:r>
              <w:rPr>
                <w:rFonts w:hint="eastAsia" w:ascii="宋体" w:hAnsi="宋体" w:eastAsia="宋体" w:cs="宋体"/>
                <w:szCs w:val="21"/>
                <w:highlight w:val="none"/>
                <w:lang w:eastAsia="zh-CN"/>
              </w:rPr>
              <w:t>。</w:t>
            </w:r>
          </w:p>
          <w:p w14:paraId="7FE29BF0">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 xml:space="preserve">（7）支持管理评测集，内置裁判模型可自动评测大模型、大模型应用，支持通过API方式注册三方裁判模型 </w:t>
            </w:r>
            <w:r>
              <w:rPr>
                <w:rFonts w:hint="eastAsia" w:ascii="宋体" w:hAnsi="宋体" w:eastAsia="宋体" w:cs="宋体"/>
                <w:szCs w:val="21"/>
                <w:highlight w:val="none"/>
                <w:lang w:eastAsia="zh-CN"/>
              </w:rPr>
              <w:t>。</w:t>
            </w:r>
          </w:p>
        </w:tc>
      </w:tr>
      <w:tr w14:paraId="69ED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0" w:type="dxa"/>
            <w:tcBorders>
              <w:top w:val="single" w:color="auto" w:sz="4" w:space="0"/>
              <w:left w:val="single" w:color="auto" w:sz="4" w:space="0"/>
              <w:bottom w:val="single" w:color="auto" w:sz="4" w:space="0"/>
              <w:right w:val="single" w:color="auto" w:sz="4" w:space="0"/>
            </w:tcBorders>
            <w:vAlign w:val="center"/>
          </w:tcPr>
          <w:p w14:paraId="17A12C95">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兼容性</w:t>
            </w:r>
          </w:p>
          <w:p w14:paraId="52597238">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要求</w:t>
            </w:r>
          </w:p>
        </w:tc>
        <w:tc>
          <w:tcPr>
            <w:tcW w:w="7382" w:type="dxa"/>
            <w:tcBorders>
              <w:top w:val="single" w:color="auto" w:sz="4" w:space="0"/>
              <w:left w:val="single" w:color="auto" w:sz="4" w:space="0"/>
              <w:bottom w:val="single" w:color="auto" w:sz="4" w:space="0"/>
              <w:right w:val="single" w:color="auto" w:sz="4" w:space="0"/>
            </w:tcBorders>
            <w:vAlign w:val="center"/>
          </w:tcPr>
          <w:p w14:paraId="12B5B230">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提供的大模型调用服务可兼容智能算力服务的GPU</w:t>
            </w:r>
            <w:r>
              <w:rPr>
                <w:rFonts w:hint="eastAsia" w:ascii="宋体" w:hAnsi="宋体" w:eastAsia="宋体" w:cs="宋体"/>
                <w:szCs w:val="21"/>
                <w:highlight w:val="none"/>
                <w:lang w:val="en-US" w:eastAsia="zh-CN"/>
              </w:rPr>
              <w:t>/NPU</w:t>
            </w:r>
            <w:r>
              <w:rPr>
                <w:rFonts w:hint="eastAsia" w:ascii="宋体" w:hAnsi="宋体" w:eastAsia="宋体" w:cs="宋体"/>
                <w:szCs w:val="21"/>
                <w:highlight w:val="none"/>
              </w:rPr>
              <w:t>服务器等进行训练和推理</w:t>
            </w:r>
          </w:p>
        </w:tc>
      </w:tr>
      <w:tr w14:paraId="2D23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vAlign w:val="center"/>
          </w:tcPr>
          <w:p w14:paraId="580B1A61">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安全性</w:t>
            </w:r>
          </w:p>
          <w:p w14:paraId="55DE4BA5">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要求</w:t>
            </w:r>
          </w:p>
        </w:tc>
        <w:tc>
          <w:tcPr>
            <w:tcW w:w="7382" w:type="dxa"/>
            <w:tcBorders>
              <w:top w:val="single" w:color="auto" w:sz="4" w:space="0"/>
              <w:left w:val="single" w:color="auto" w:sz="4" w:space="0"/>
              <w:bottom w:val="single" w:color="auto" w:sz="4" w:space="0"/>
              <w:right w:val="single" w:color="auto" w:sz="4" w:space="0"/>
            </w:tcBorders>
            <w:vAlign w:val="center"/>
          </w:tcPr>
          <w:p w14:paraId="0B54AD0C">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（1）支持工作空间隔离，隔离用户数据和模型服务</w:t>
            </w:r>
            <w:r>
              <w:rPr>
                <w:rFonts w:hint="eastAsia" w:ascii="宋体" w:hAnsi="宋体" w:eastAsia="宋体" w:cs="宋体"/>
                <w:szCs w:val="21"/>
                <w:highlight w:val="none"/>
                <w:lang w:eastAsia="zh-CN"/>
              </w:rPr>
              <w:t>。</w:t>
            </w:r>
          </w:p>
          <w:p w14:paraId="2716F339">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（2）内置的大模型，微调后部署在独立的GPU服务器实例并提供调用访问API，但不提供基础GPU实例的可访问权限</w:t>
            </w:r>
            <w:r>
              <w:rPr>
                <w:rFonts w:hint="eastAsia" w:ascii="宋体" w:hAnsi="宋体" w:eastAsia="宋体" w:cs="宋体"/>
                <w:szCs w:val="21"/>
                <w:highlight w:val="none"/>
                <w:lang w:eastAsia="zh-CN"/>
              </w:rPr>
              <w:t>。</w:t>
            </w:r>
          </w:p>
        </w:tc>
      </w:tr>
    </w:tbl>
    <w:p w14:paraId="22076BE0">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outlineLvl w:val="3"/>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2.大模型调用服务</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7382"/>
      </w:tblGrid>
      <w:tr w14:paraId="49CB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vAlign w:val="center"/>
          </w:tcPr>
          <w:p w14:paraId="75000DC2">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指标项</w:t>
            </w:r>
          </w:p>
        </w:tc>
        <w:tc>
          <w:tcPr>
            <w:tcW w:w="7382" w:type="dxa"/>
            <w:tcBorders>
              <w:top w:val="single" w:color="auto" w:sz="4" w:space="0"/>
              <w:left w:val="single" w:color="auto" w:sz="4" w:space="0"/>
              <w:bottom w:val="single" w:color="auto" w:sz="4" w:space="0"/>
              <w:right w:val="single" w:color="auto" w:sz="4" w:space="0"/>
            </w:tcBorders>
            <w:vAlign w:val="center"/>
          </w:tcPr>
          <w:p w14:paraId="6E523115">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规格要求</w:t>
            </w:r>
          </w:p>
        </w:tc>
      </w:tr>
      <w:tr w14:paraId="3647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140" w:type="dxa"/>
            <w:tcBorders>
              <w:top w:val="single" w:color="auto" w:sz="4" w:space="0"/>
              <w:left w:val="single" w:color="auto" w:sz="4" w:space="0"/>
              <w:bottom w:val="single" w:color="auto" w:sz="4" w:space="0"/>
              <w:right w:val="single" w:color="auto" w:sz="4" w:space="0"/>
            </w:tcBorders>
            <w:vAlign w:val="center"/>
          </w:tcPr>
          <w:p w14:paraId="147D035D">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功能要求</w:t>
            </w:r>
          </w:p>
        </w:tc>
        <w:tc>
          <w:tcPr>
            <w:tcW w:w="7382" w:type="dxa"/>
            <w:tcBorders>
              <w:top w:val="single" w:color="auto" w:sz="4" w:space="0"/>
              <w:left w:val="single" w:color="auto" w:sz="4" w:space="0"/>
              <w:bottom w:val="single" w:color="auto" w:sz="4" w:space="0"/>
              <w:right w:val="single" w:color="auto" w:sz="4" w:space="0"/>
            </w:tcBorders>
            <w:vAlign w:val="center"/>
          </w:tcPr>
          <w:p w14:paraId="1F06BE78">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（1）提供大语言模型服务，包含且不仅限于：7B、14B、</w:t>
            </w:r>
            <w:r>
              <w:rPr>
                <w:rFonts w:hint="eastAsia" w:ascii="宋体" w:hAnsi="宋体" w:eastAsia="宋体" w:cs="宋体"/>
                <w:szCs w:val="21"/>
                <w:highlight w:val="none"/>
                <w:lang w:val="en-US" w:eastAsia="zh-CN"/>
              </w:rPr>
              <w:t>32B、</w:t>
            </w:r>
            <w:r>
              <w:rPr>
                <w:rFonts w:hint="eastAsia" w:ascii="宋体" w:hAnsi="宋体" w:eastAsia="宋体" w:cs="宋体"/>
                <w:szCs w:val="21"/>
                <w:highlight w:val="none"/>
              </w:rPr>
              <w:t>72B</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671B等</w:t>
            </w:r>
            <w:r>
              <w:rPr>
                <w:rFonts w:hint="eastAsia" w:ascii="宋体" w:hAnsi="宋体" w:eastAsia="宋体" w:cs="宋体"/>
                <w:szCs w:val="21"/>
                <w:highlight w:val="none"/>
              </w:rPr>
              <w:t>参数版本</w:t>
            </w:r>
            <w:r>
              <w:rPr>
                <w:rFonts w:hint="eastAsia" w:ascii="宋体" w:hAnsi="宋体" w:eastAsia="宋体" w:cs="宋体"/>
                <w:szCs w:val="21"/>
                <w:highlight w:val="none"/>
                <w:lang w:eastAsia="zh-CN"/>
              </w:rPr>
              <w:t>。</w:t>
            </w:r>
          </w:p>
          <w:p w14:paraId="5F111EEA">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（2）提供多模态大模型服务。 </w:t>
            </w:r>
          </w:p>
          <w:p w14:paraId="7070442A">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rPr>
            </w:pPr>
            <w:r>
              <w:rPr>
                <w:rFonts w:hint="eastAsia" w:ascii="宋体" w:hAnsi="宋体" w:eastAsia="宋体" w:cs="宋体"/>
                <w:szCs w:val="21"/>
                <w:highlight w:val="none"/>
              </w:rPr>
              <w:t>（3）提供使用大模型服务进行智能体开发的服务，包括且不仅限于：3rd工具、大模型和API接入，智能体设计、编排、调试和版本管理服务</w:t>
            </w:r>
            <w:r>
              <w:rPr>
                <w:rFonts w:hint="eastAsia" w:ascii="宋体" w:hAnsi="宋体" w:eastAsia="宋体" w:cs="宋体"/>
                <w:szCs w:val="21"/>
                <w:highlight w:val="none"/>
                <w:lang w:eastAsia="zh-CN"/>
              </w:rPr>
              <w:t>。</w:t>
            </w:r>
          </w:p>
        </w:tc>
      </w:tr>
      <w:tr w14:paraId="4539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vAlign w:val="center"/>
          </w:tcPr>
          <w:p w14:paraId="16161127">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兼容性</w:t>
            </w:r>
          </w:p>
          <w:p w14:paraId="23DA1C5E">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要求</w:t>
            </w:r>
          </w:p>
        </w:tc>
        <w:tc>
          <w:tcPr>
            <w:tcW w:w="7382" w:type="dxa"/>
            <w:tcBorders>
              <w:top w:val="single" w:color="auto" w:sz="4" w:space="0"/>
              <w:left w:val="single" w:color="auto" w:sz="4" w:space="0"/>
              <w:bottom w:val="single" w:color="auto" w:sz="4" w:space="0"/>
              <w:right w:val="single" w:color="auto" w:sz="4" w:space="0"/>
            </w:tcBorders>
            <w:vAlign w:val="center"/>
          </w:tcPr>
          <w:p w14:paraId="7899C5B2">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兼容智能算力服务的GPU</w:t>
            </w:r>
            <w:r>
              <w:rPr>
                <w:rFonts w:hint="eastAsia" w:ascii="宋体" w:hAnsi="宋体" w:eastAsia="宋体" w:cs="宋体"/>
                <w:szCs w:val="21"/>
                <w:highlight w:val="none"/>
                <w:lang w:val="en-US" w:eastAsia="zh-CN"/>
              </w:rPr>
              <w:t>/NPU</w:t>
            </w:r>
            <w:r>
              <w:rPr>
                <w:rFonts w:hint="eastAsia" w:ascii="宋体" w:hAnsi="宋体" w:eastAsia="宋体" w:cs="宋体"/>
                <w:szCs w:val="21"/>
                <w:highlight w:val="none"/>
              </w:rPr>
              <w:t>服务器系列</w:t>
            </w:r>
            <w:r>
              <w:rPr>
                <w:rFonts w:hint="eastAsia" w:ascii="宋体" w:hAnsi="宋体" w:cs="宋体"/>
                <w:szCs w:val="21"/>
                <w:highlight w:val="none"/>
                <w:lang w:eastAsia="zh-CN"/>
              </w:rPr>
              <w:t>。</w:t>
            </w:r>
          </w:p>
        </w:tc>
      </w:tr>
      <w:tr w14:paraId="1305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vAlign w:val="center"/>
          </w:tcPr>
          <w:p w14:paraId="7D23CB0F">
            <w:pPr>
              <w:keepNext w:val="0"/>
              <w:keepLines w:val="0"/>
              <w:pageBreakBefore w:val="0"/>
              <w:widowControl w:val="0"/>
              <w:suppressLineNumbers w:val="0"/>
              <w:kinsoku/>
              <w:wordWrap w:val="0"/>
              <w:overflowPunct/>
              <w:topLinePunct/>
              <w:bidi w:val="0"/>
              <w:adjustRightInd/>
              <w:snapToGrid/>
              <w:spacing w:before="0" w:beforeAutospacing="0" w:after="0" w:afterAutospacing="0" w:line="420" w:lineRule="exact"/>
              <w:ind w:left="0" w:right="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安全性要求</w:t>
            </w:r>
          </w:p>
        </w:tc>
        <w:tc>
          <w:tcPr>
            <w:tcW w:w="7382" w:type="dxa"/>
            <w:tcBorders>
              <w:top w:val="single" w:color="auto" w:sz="4" w:space="0"/>
              <w:left w:val="single" w:color="auto" w:sz="4" w:space="0"/>
              <w:bottom w:val="single" w:color="auto" w:sz="4" w:space="0"/>
              <w:right w:val="single" w:color="auto" w:sz="4" w:space="0"/>
            </w:tcBorders>
            <w:vAlign w:val="center"/>
          </w:tcPr>
          <w:p w14:paraId="0B6F4F9D">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（1）大模型服务运行在GPU独立服务实例，通过AI大模型网关服务面向租户提供API。</w:t>
            </w:r>
          </w:p>
          <w:p w14:paraId="6675C13E">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（2）基础模型在模型预训练过程中的样本数据中的敏感内容须经过人工审核和标注反馈，并在模型评测阶段增加专项风险测试。</w:t>
            </w:r>
          </w:p>
          <w:p w14:paraId="0B45903E">
            <w:pPr>
              <w:keepNext w:val="0"/>
              <w:keepLines w:val="0"/>
              <w:pageBreakBefore w:val="0"/>
              <w:widowControl w:val="0"/>
              <w:suppressLineNumbers w:val="0"/>
              <w:kinsoku/>
              <w:wordWrap w:val="0"/>
              <w:overflowPunct/>
              <w:topLinePunct/>
              <w:autoSpaceDE w:val="0"/>
              <w:autoSpaceDN w:val="0"/>
              <w:bidi w:val="0"/>
              <w:adjustRightInd/>
              <w:snapToGrid/>
              <w:spacing w:before="0" w:beforeAutospacing="0" w:after="0" w:afterAutospacing="0" w:line="420" w:lineRule="exact"/>
              <w:ind w:left="0" w:righ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（3）对于用户输入和和模型输出只在运行期加载到内存中进行运算，不落盘存储。</w:t>
            </w:r>
          </w:p>
        </w:tc>
      </w:tr>
    </w:tbl>
    <w:p w14:paraId="21C8E0F3">
      <w:pPr>
        <w:keepNext w:val="0"/>
        <w:keepLines w:val="0"/>
        <w:pageBreakBefore w:val="0"/>
        <w:kinsoku/>
        <w:wordWrap w:val="0"/>
        <w:overflowPunct/>
        <w:topLinePunct/>
        <w:autoSpaceDE/>
        <w:autoSpaceDN/>
        <w:bidi w:val="0"/>
        <w:adjustRightInd/>
        <w:snapToGrid/>
        <w:spacing w:line="420" w:lineRule="exact"/>
        <w:ind w:firstLine="480" w:firstLineChars="200"/>
        <w:jc w:val="left"/>
        <w:textAlignment w:val="auto"/>
        <w:outlineLvl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七</w:t>
      </w:r>
      <w:r>
        <w:rPr>
          <w:rFonts w:hint="eastAsia" w:ascii="仿宋_GB2312" w:hAnsi="仿宋_GB2312" w:eastAsia="仿宋_GB2312" w:cs="仿宋_GB2312"/>
          <w:color w:val="000000"/>
          <w:sz w:val="24"/>
          <w:szCs w:val="24"/>
        </w:rPr>
        <w:t>）安全服务</w:t>
      </w:r>
    </w:p>
    <w:p w14:paraId="6993CDAA">
      <w:pPr>
        <w:pStyle w:val="14"/>
        <w:keepNext w:val="0"/>
        <w:keepLines w:val="0"/>
        <w:pageBreakBefore w:val="0"/>
        <w:kinsoku/>
        <w:wordWrap w:val="0"/>
        <w:overflowPunct/>
        <w:topLinePunct/>
        <w:autoSpaceDE/>
        <w:autoSpaceDN/>
        <w:bidi w:val="0"/>
        <w:adjustRightInd/>
        <w:snapToGrid/>
        <w:spacing w:after="0" w:line="420" w:lineRule="exact"/>
        <w:ind w:firstLine="482" w:firstLineChars="200"/>
        <w:jc w:val="left"/>
        <w:textAlignment w:val="auto"/>
        <w:rPr>
          <w:rFonts w:ascii="仿宋_GB2312" w:hAnsi="仿宋_GB2312" w:eastAsia="仿宋_GB2312" w:cs="仿宋_GB2312"/>
          <w:b/>
          <w:bCs/>
          <w:sz w:val="24"/>
          <w:szCs w:val="24"/>
          <w:lang w:val="zh-TW" w:eastAsia="zh-TW"/>
        </w:rPr>
      </w:pPr>
      <w:r>
        <w:rPr>
          <w:rFonts w:hint="eastAsia" w:ascii="仿宋_GB2312" w:hAnsi="仿宋_GB2312" w:eastAsia="仿宋_GB2312" w:cs="仿宋_GB2312"/>
          <w:b/>
          <w:bCs/>
          <w:sz w:val="24"/>
          <w:szCs w:val="24"/>
          <w:lang w:eastAsia="zh-CN"/>
        </w:rPr>
        <w:t>1.</w:t>
      </w:r>
      <w:r>
        <w:rPr>
          <w:rFonts w:hint="eastAsia" w:ascii="仿宋_GB2312" w:hAnsi="仿宋_GB2312" w:eastAsia="仿宋_GB2312" w:cs="仿宋_GB2312"/>
          <w:b/>
          <w:bCs/>
          <w:sz w:val="24"/>
          <w:szCs w:val="24"/>
          <w:lang w:val="zh-TW" w:eastAsia="zh-TW"/>
        </w:rPr>
        <w:t>安全目标</w:t>
      </w:r>
    </w:p>
    <w:p w14:paraId="5F4B4D86">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CN"/>
        </w:rPr>
        <w:t>（</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zh-TW" w:eastAsia="zh-CN"/>
        </w:rPr>
        <w:t>）</w:t>
      </w:r>
      <w:r>
        <w:rPr>
          <w:rFonts w:hint="eastAsia" w:ascii="仿宋_GB2312" w:hAnsi="仿宋_GB2312" w:eastAsia="仿宋_GB2312" w:cs="仿宋_GB2312"/>
          <w:sz w:val="24"/>
          <w:szCs w:val="24"/>
          <w:lang w:val="zh-TW" w:eastAsia="zh-TW"/>
        </w:rPr>
        <w:t>明确安全工作界面、维护责任界面</w:t>
      </w:r>
    </w:p>
    <w:p w14:paraId="2D76246A">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在政务云网安全服务采购的基础上，按照“谁建设、谁负责，谁运营、谁负责”的原则，进一步明确政务云供应商安全工作中的关键角色及其安全工作任务；规划设计政务云供应商信息安全管理组织架构，细化各岗位的工作职责。全面梳理各个关键角色的安全工作内容及责任划分，细化事前、事中、事后各项安全工作的分工和各角色之间的责任边界。</w:t>
      </w:r>
    </w:p>
    <w:p w14:paraId="2F1FA4A0">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（2）建立全面的安全监测机制</w:t>
      </w:r>
    </w:p>
    <w:p w14:paraId="64C66365">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已有的政务云网安全监测基础上，按照云供应商各自负责的要求，对未纳入及新增的云计算平台、网络设备、安全设备、应用软件等进行多层次的动态事件监控；外部实施全网全方位的网络安全监测，实现安全事件的统一收集和处理，用于预警、分析和追查。实现尽早预测安全威胁、及时发现安全事件；进而快速做好防护应对，全面掌控政务云的安全现状。</w:t>
      </w:r>
    </w:p>
    <w:p w14:paraId="60DF3F85">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（3）综合运用各种安全保障技术解决实际问题</w:t>
      </w:r>
    </w:p>
    <w:p w14:paraId="4C741C1D">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已有的政务云网安全监测基础上，根据各自云供应商的特点及应用的实际安全需求制定切实可行的安全防护策略，将传统安全保障措施与先进安全技术相结合，科学解决云计算应用和互联网发展带来的网络安全风险与隐患，保障云平台安全和各种具体应用场景下的安全，有效提高抵御和防范风险能力。</w:t>
      </w:r>
    </w:p>
    <w:p w14:paraId="212B0987">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（4）云供应商须遵守数据安全和保护工作相关规定：</w:t>
      </w:r>
    </w:p>
    <w:p w14:paraId="4F1A0D31">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一、遵守《中华人民共和国计算机信息系统安全保护条例》和《计算机信息网络国际联网安全保护管理办法》及有关法律、法规和行政规章制度、文件规定。</w:t>
      </w:r>
    </w:p>
    <w:p w14:paraId="3C64B2CF">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二、妥善保管涉及政务云相关数据的软（硬）件、账号权限，防止泄漏、传播或转借他人。</w:t>
      </w:r>
    </w:p>
    <w:p w14:paraId="0AA52250">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三、不在未经授权情况下对政务云平台所涉及的相关数据进行增加、删除和修改等操作，严格防止相关数据被恶意破坏。</w:t>
      </w:r>
    </w:p>
    <w:p w14:paraId="3E50987E">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四、如发现云平台安全隐患或其它不安全因素，第一时间上报并密切配合采购方按照相关处置流程做好信息安全事件相关工作，采取措施消除安全隐患。</w:t>
      </w:r>
    </w:p>
    <w:p w14:paraId="78DB5634">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五、建立云平台安全应急处置机制，一旦发现有关保密信息已经泄露或可能泄露，立即通知主管部门，共同采取相应措施，查找相关工作人员和泄漏原因、线索和证据，并承担相应责任。</w:t>
      </w:r>
    </w:p>
    <w:p w14:paraId="5C3590EA">
      <w:pPr>
        <w:pStyle w:val="14"/>
        <w:keepNext w:val="0"/>
        <w:keepLines w:val="0"/>
        <w:pageBreakBefore w:val="0"/>
        <w:kinsoku/>
        <w:wordWrap w:val="0"/>
        <w:overflowPunct/>
        <w:topLinePunct/>
        <w:autoSpaceDE/>
        <w:autoSpaceDN/>
        <w:bidi w:val="0"/>
        <w:adjustRightInd/>
        <w:snapToGrid/>
        <w:spacing w:after="0" w:line="420" w:lineRule="exact"/>
        <w:ind w:firstLine="482" w:firstLineChars="200"/>
        <w:jc w:val="left"/>
        <w:textAlignment w:val="auto"/>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2.安全建设内容</w:t>
      </w:r>
    </w:p>
    <w:p w14:paraId="2368A0AD">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除基础共性服务全覆盖外，通过建设政务云安全组件，落实安全服务目录化，云上用户可根据需要，构建自己的安全防护体系。满足云上用户对安全的各种需要，覆盖从远程接入、边界防护、入侵防护、病毒过滤、终端防护、堡垒机、数据库审计等全面的安全能力。</w:t>
      </w:r>
    </w:p>
    <w:p w14:paraId="6F256884">
      <w:pPr>
        <w:pStyle w:val="14"/>
        <w:keepNext w:val="0"/>
        <w:keepLines w:val="0"/>
        <w:pageBreakBefore w:val="0"/>
        <w:kinsoku/>
        <w:wordWrap w:val="0"/>
        <w:overflowPunct/>
        <w:topLinePunct/>
        <w:autoSpaceDE/>
        <w:autoSpaceDN/>
        <w:bidi w:val="0"/>
        <w:adjustRightInd/>
        <w:snapToGrid/>
        <w:spacing w:after="0" w:line="420" w:lineRule="exact"/>
        <w:ind w:firstLine="480" w:firstLineChars="200"/>
        <w:jc w:val="left"/>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在已有的政务云网安全监测基础上，云供应商按要求能对部署在云平台上的应用系统提供统一的安全服务，所有提供安全服务设备的日志须按要求传给态势感知平台，提供的安全服务包括但不限于以下内容。</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7003"/>
      </w:tblGrid>
      <w:tr w14:paraId="07DB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7504CFA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bCs/>
                <w:kern w:val="0"/>
                <w:szCs w:val="21"/>
              </w:rPr>
            </w:pPr>
            <w:r>
              <w:rPr>
                <w:rFonts w:hint="eastAsia" w:ascii="宋体" w:hAnsi="宋体" w:eastAsia="宋体" w:cs="宋体"/>
                <w:bCs/>
                <w:kern w:val="0"/>
                <w:szCs w:val="21"/>
              </w:rPr>
              <w:t>指标项</w:t>
            </w:r>
          </w:p>
        </w:tc>
        <w:tc>
          <w:tcPr>
            <w:tcW w:w="7003" w:type="dxa"/>
          </w:tcPr>
          <w:p w14:paraId="17F4D064">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bCs/>
                <w:kern w:val="0"/>
                <w:szCs w:val="21"/>
              </w:rPr>
            </w:pPr>
            <w:r>
              <w:rPr>
                <w:rFonts w:hint="eastAsia" w:ascii="宋体" w:hAnsi="宋体" w:eastAsia="宋体" w:cs="宋体"/>
                <w:szCs w:val="21"/>
              </w:rPr>
              <w:t>规格要求</w:t>
            </w:r>
          </w:p>
        </w:tc>
      </w:tr>
      <w:tr w14:paraId="3ED9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5D4B7E0B">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bCs/>
                <w:kern w:val="0"/>
                <w:szCs w:val="21"/>
              </w:rPr>
            </w:pPr>
            <w:r>
              <w:rPr>
                <w:rFonts w:hint="eastAsia" w:ascii="宋体" w:hAnsi="宋体" w:eastAsia="宋体" w:cs="宋体"/>
                <w:bCs/>
                <w:kern w:val="0"/>
                <w:szCs w:val="21"/>
              </w:rPr>
              <w:t>下一代防火墙</w:t>
            </w:r>
            <w:r>
              <w:rPr>
                <w:rFonts w:hint="eastAsia" w:ascii="宋体" w:hAnsi="宋体" w:cs="宋体"/>
                <w:szCs w:val="21"/>
              </w:rPr>
              <w:t>（含传统防火墙、IPS、防病毒网关）</w:t>
            </w:r>
          </w:p>
        </w:tc>
        <w:tc>
          <w:tcPr>
            <w:tcW w:w="7003" w:type="dxa"/>
          </w:tcPr>
          <w:p w14:paraId="3F76CD7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bCs/>
                <w:kern w:val="0"/>
                <w:szCs w:val="21"/>
              </w:rPr>
            </w:pPr>
            <w:r>
              <w:rPr>
                <w:rFonts w:hint="eastAsia" w:ascii="宋体" w:hAnsi="宋体" w:cs="宋体"/>
                <w:bCs/>
                <w:kern w:val="0"/>
                <w:szCs w:val="21"/>
              </w:rPr>
              <w:t>作用于信息系统所有子网及安全域；控制进出各子网的所有数据流量，阻止各类非法应用，并提供边界处访问控制、包过滤、防病毒、入侵防护等功能。</w:t>
            </w:r>
          </w:p>
        </w:tc>
      </w:tr>
      <w:tr w14:paraId="4126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07443E0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bCs/>
                <w:kern w:val="0"/>
                <w:szCs w:val="21"/>
              </w:rPr>
            </w:pPr>
            <w:r>
              <w:rPr>
                <w:rFonts w:hint="eastAsia" w:ascii="宋体" w:hAnsi="宋体" w:eastAsia="宋体" w:cs="宋体"/>
                <w:bCs/>
                <w:kern w:val="0"/>
                <w:szCs w:val="21"/>
              </w:rPr>
              <w:t>Web应用防火墙</w:t>
            </w:r>
          </w:p>
        </w:tc>
        <w:tc>
          <w:tcPr>
            <w:tcW w:w="7003" w:type="dxa"/>
          </w:tcPr>
          <w:p w14:paraId="4A44B3F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eastAsia="宋体" w:cs="宋体"/>
                <w:bCs/>
                <w:kern w:val="0"/>
                <w:szCs w:val="21"/>
              </w:rPr>
            </w:pPr>
            <w:r>
              <w:rPr>
                <w:rFonts w:hint="eastAsia" w:ascii="宋体" w:hAnsi="宋体" w:cs="宋体"/>
                <w:bCs/>
                <w:kern w:val="0"/>
                <w:szCs w:val="21"/>
              </w:rPr>
              <w:t>对访问应用系统的行为进行检测，并阻断恶意攻击行为。</w:t>
            </w:r>
          </w:p>
        </w:tc>
      </w:tr>
      <w:tr w14:paraId="2466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2EAEBB0B">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szCs w:val="21"/>
              </w:rPr>
              <w:t>网页防篡改</w:t>
            </w:r>
          </w:p>
        </w:tc>
        <w:tc>
          <w:tcPr>
            <w:tcW w:w="7003" w:type="dxa"/>
          </w:tcPr>
          <w:p w14:paraId="4DCECBF0">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szCs w:val="21"/>
              </w:rPr>
              <w:t>防止首页或特定的文件防篡改等</w:t>
            </w:r>
          </w:p>
        </w:tc>
      </w:tr>
      <w:tr w14:paraId="2BFF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791A5C44">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宋体" w:hAnsi="宋体" w:cs="宋体"/>
                <w:szCs w:val="21"/>
              </w:rPr>
              <w:t>主机安全</w:t>
            </w:r>
          </w:p>
        </w:tc>
        <w:tc>
          <w:tcPr>
            <w:tcW w:w="7003" w:type="dxa"/>
          </w:tcPr>
          <w:p w14:paraId="6E05F95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仿宋" w:hAnsi="仿宋" w:eastAsia="仿宋" w:cs="仿宋"/>
                <w:szCs w:val="21"/>
              </w:rPr>
              <w:t>△</w:t>
            </w:r>
            <w:r>
              <w:rPr>
                <w:rFonts w:hint="eastAsia" w:ascii="宋体" w:hAnsi="宋体" w:cs="宋体"/>
                <w:szCs w:val="21"/>
              </w:rPr>
              <w:t>具备防恶意软件、防病毒、资产管理模块；（提供截图证明）</w:t>
            </w:r>
          </w:p>
          <w:p w14:paraId="1D0E5F17">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宋体" w:hAnsi="宋体" w:cs="宋体"/>
                <w:szCs w:val="21"/>
              </w:rPr>
              <w:t>支持本地扫描和云安全扫描，具备本地病毒码和云端病毒码，支持实时扫描，预设扫描、手动扫描和快速扫描；</w:t>
            </w:r>
          </w:p>
          <w:p w14:paraId="1519DB98">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宋体" w:hAnsi="宋体" w:cs="宋体"/>
                <w:szCs w:val="21"/>
              </w:rPr>
              <w:t>对病毒的处理措施支持：清除、删除、拒绝访问、隔离、不予处理，系统针对不同的病毒类型提供默认配置，同时支持用户自定义。</w:t>
            </w:r>
          </w:p>
          <w:p w14:paraId="67CDCF21">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宋体" w:hAnsi="宋体" w:cs="宋体"/>
                <w:szCs w:val="21"/>
              </w:rPr>
              <w:t>支持通过对操作系统行为高清记录和长期存储，对操作系统、应用软件和账号资产进行动态发现的威胁包括暴力密码破解攻击、WebShell攻击、提权攻击、漏洞攻击和无文件攻击等类型高级威胁进行关联分析及检测，通过绘制进程事件树实现攻击可视化，对受害主机进行远程遏制和修复。</w:t>
            </w:r>
          </w:p>
        </w:tc>
      </w:tr>
      <w:tr w14:paraId="69B4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431304E1">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宋体" w:hAnsi="宋体" w:cs="宋体"/>
                <w:szCs w:val="21"/>
              </w:rPr>
              <w:t>VPN安全接入</w:t>
            </w:r>
          </w:p>
        </w:tc>
        <w:tc>
          <w:tcPr>
            <w:tcW w:w="7003" w:type="dxa"/>
          </w:tcPr>
          <w:p w14:paraId="3F9D88E6">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宋体" w:hAnsi="宋体" w:cs="宋体"/>
                <w:szCs w:val="21"/>
              </w:rPr>
              <w:t>提供SSL VPN或IPSEC VPN接入服务。</w:t>
            </w:r>
          </w:p>
        </w:tc>
      </w:tr>
      <w:tr w14:paraId="7AC0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73F3FF7F">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宋体" w:hAnsi="宋体" w:cs="宋体"/>
                <w:szCs w:val="21"/>
              </w:rPr>
              <w:t>运维审计（堡垒机）</w:t>
            </w:r>
          </w:p>
        </w:tc>
        <w:tc>
          <w:tcPr>
            <w:tcW w:w="7003" w:type="dxa"/>
          </w:tcPr>
          <w:p w14:paraId="0C1B5DA6">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宋体" w:hAnsi="宋体" w:cs="宋体"/>
                <w:szCs w:val="21"/>
              </w:rPr>
              <w:t>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针对RDP、VNC、X11等图形终端操作0 的连接情况进行记录及审计，并支持保存审计日志（视频）180天以上。</w:t>
            </w:r>
          </w:p>
        </w:tc>
      </w:tr>
      <w:tr w14:paraId="6CD2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5809D1C5">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数据库审计</w:t>
            </w:r>
          </w:p>
        </w:tc>
        <w:tc>
          <w:tcPr>
            <w:tcW w:w="7003" w:type="dxa"/>
          </w:tcPr>
          <w:p w14:paraId="44FE48D4">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对内部用户对数据库的操作进行细粒度的审计并分析，发现危险行为。支持单一数据库和全局数据库两个维度分别审计展示、查询。</w:t>
            </w:r>
            <w:r>
              <w:rPr>
                <w:rFonts w:hint="eastAsia" w:ascii="宋体" w:hAnsi="宋体" w:cs="宋体"/>
                <w:szCs w:val="21"/>
              </w:rPr>
              <w:t>支持多种数据库类型的审计，支持Oracle数据库审计、SQL-Server数据库审计、DB2数据库审计、MySQL数据等。智能解析数据库通信流量，细粒度审计数据库访问行为，通过对数据库全量行为的审计溯源、危险攻击的实时告警、风险语句的智能预警。</w:t>
            </w:r>
          </w:p>
        </w:tc>
      </w:tr>
      <w:tr w14:paraId="1C6E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2D794EF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szCs w:val="21"/>
              </w:rPr>
              <w:t>综合日志审计</w:t>
            </w:r>
          </w:p>
        </w:tc>
        <w:tc>
          <w:tcPr>
            <w:tcW w:w="7003" w:type="dxa"/>
          </w:tcPr>
          <w:p w14:paraId="4E72CE20">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szCs w:val="21"/>
              </w:rPr>
              <w:t>系统支持从不同设备或系统中所获得的各类日志、事件中抽取相关片段准确和完整地映射至安全事件的标准字段；对安全事件重新定级。能根据统一的安全策略，按照安全设备识别名、事件类别、事件级别等所有可能的条件及各种条件的组合对事件严重级别进行重定义；含运维及报表服务，支持自定义存储周期和日志保存时长；支持180天以上的保存时长自定义配置；支持存储空间监控，存储日志达到上限时告警响应。</w:t>
            </w:r>
          </w:p>
        </w:tc>
      </w:tr>
      <w:tr w14:paraId="2A32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1008DFF1">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szCs w:val="21"/>
              </w:rPr>
            </w:pPr>
            <w:r>
              <w:rPr>
                <w:rFonts w:hint="eastAsia" w:ascii="宋体" w:hAnsi="宋体" w:cs="宋体"/>
                <w:szCs w:val="21"/>
              </w:rPr>
              <w:t>态势感知</w:t>
            </w:r>
          </w:p>
        </w:tc>
        <w:tc>
          <w:tcPr>
            <w:tcW w:w="7003" w:type="dxa"/>
          </w:tcPr>
          <w:p w14:paraId="00A534E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管理所有安全设备及部分网络设备；对安全设备和部分网络设备进行统一管理、状态监控、策略下发，实现全局网络安全态势感知。</w:t>
            </w:r>
            <w:r>
              <w:rPr>
                <w:rFonts w:hint="eastAsia" w:ascii="宋体" w:hAnsi="宋体" w:cs="宋体"/>
                <w:color w:val="000000"/>
                <w:kern w:val="0"/>
                <w:szCs w:val="21"/>
              </w:rPr>
              <w:t>态势感知在集中管理所有安全组件日志数据的基础上，综合运用攻击地图、安全拓扑等可视化技术手段，对云中及网络资产的安全风险、攻击威胁的分布、趋势、来源进行综合的感知呈现，为总体把握安全态势提供有力支撑，且能为各部门提供提供安全态势大屏，推送告警等信息。</w:t>
            </w:r>
          </w:p>
        </w:tc>
      </w:tr>
      <w:tr w14:paraId="6184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7C8E6326">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网络安全扫描</w:t>
            </w:r>
          </w:p>
        </w:tc>
        <w:tc>
          <w:tcPr>
            <w:tcW w:w="7003" w:type="dxa"/>
          </w:tcPr>
          <w:p w14:paraId="7B3DD924">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对主机、网络设备、恶意代码等进行漏洞检测。支持资产导入功能，包括域名资产、IP资产、URL资产，实时查看资产导入和扫描进度。</w:t>
            </w:r>
          </w:p>
        </w:tc>
      </w:tr>
      <w:tr w14:paraId="0AD5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4155C832">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网络流量检测系统</w:t>
            </w:r>
          </w:p>
        </w:tc>
        <w:tc>
          <w:tcPr>
            <w:tcW w:w="7003" w:type="dxa"/>
          </w:tcPr>
          <w:p w14:paraId="6E11F3E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作用于信息系统的重要安全域；实时检测目标网络流量，监测 Web 应用攻击、SQL 注入、Webshell、恶意软件、恶意扫瞄、网络爬虫、挖矿、蠕虫、木马、僵尸网络、可疑行为；还可以进行原始流量还原审计以及 IOT 协议分析、白名单自学习、流量资产发现、资产视图、网络通讯关系视图等， 及时发现入侵行为并进行报警和审计，及时发现入侵行为并进行报警和审计。</w:t>
            </w:r>
          </w:p>
        </w:tc>
      </w:tr>
      <w:tr w14:paraId="00B5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tcPr>
          <w:p w14:paraId="0225F53B">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网络安全审计</w:t>
            </w:r>
          </w:p>
        </w:tc>
        <w:tc>
          <w:tcPr>
            <w:tcW w:w="7003" w:type="dxa"/>
          </w:tcPr>
          <w:p w14:paraId="08426156">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对信息系统网络行为监控和审计，及时发现网络应用异常行为。为集中安全管理提供监控数据</w:t>
            </w:r>
          </w:p>
        </w:tc>
      </w:tr>
    </w:tbl>
    <w:p w14:paraId="28B5F6B5">
      <w:pPr>
        <w:keepNext w:val="0"/>
        <w:keepLines w:val="0"/>
        <w:pageBreakBefore w:val="0"/>
        <w:widowControl w:val="0"/>
        <w:numPr>
          <w:ilvl w:val="0"/>
          <w:numId w:val="0"/>
        </w:numPr>
        <w:kinsoku/>
        <w:wordWrap w:val="0"/>
        <w:overflowPunct/>
        <w:topLinePunct/>
        <w:autoSpaceDE/>
        <w:autoSpaceDN/>
        <w:bidi w:val="0"/>
        <w:adjustRightInd/>
        <w:snapToGrid/>
        <w:spacing w:line="420" w:lineRule="exact"/>
        <w:ind w:firstLine="480" w:firstLineChars="200"/>
        <w:jc w:val="left"/>
        <w:textAlignment w:val="auto"/>
        <w:outlineLvl w:val="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运维保障服务</w:t>
      </w:r>
    </w:p>
    <w:p w14:paraId="223BA076">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包含</w:t>
      </w:r>
      <w:r>
        <w:rPr>
          <w:rFonts w:hint="eastAsia" w:ascii="仿宋" w:hAnsi="仿宋" w:eastAsia="仿宋" w:cs="仿宋"/>
          <w:color w:val="000000" w:themeColor="text1"/>
          <w:sz w:val="24"/>
          <w:szCs w:val="24"/>
          <w:lang w:val="en-US" w:eastAsia="zh-CN" w:bidi="ar"/>
          <w14:textFill>
            <w14:solidFill>
              <w14:schemeClr w14:val="tx1"/>
            </w14:solidFill>
          </w14:textFill>
        </w:rPr>
        <w:t>统一云平台管理服务、</w:t>
      </w:r>
      <w:r>
        <w:rPr>
          <w:rFonts w:hint="eastAsia" w:ascii="仿宋" w:hAnsi="仿宋" w:eastAsia="仿宋" w:cs="仿宋"/>
          <w:color w:val="000000" w:themeColor="text1"/>
          <w:sz w:val="24"/>
          <w:szCs w:val="24"/>
          <w:lang w:bidi="ar"/>
          <w14:textFill>
            <w14:solidFill>
              <w14:schemeClr w14:val="tx1"/>
            </w14:solidFill>
          </w14:textFill>
        </w:rPr>
        <w:t>重大活动平台保障护航服务</w:t>
      </w:r>
      <w:r>
        <w:rPr>
          <w:rFonts w:hint="eastAsia" w:ascii="仿宋" w:hAnsi="仿宋" w:eastAsia="仿宋" w:cs="仿宋"/>
          <w:color w:val="000000" w:themeColor="text1"/>
          <w:sz w:val="24"/>
          <w:szCs w:val="24"/>
          <w:lang w:eastAsia="zh-CN" w:bidi="ar"/>
          <w14:textFill>
            <w14:solidFill>
              <w14:schemeClr w14:val="tx1"/>
            </w14:solidFill>
          </w14:textFill>
        </w:rPr>
        <w:t>、</w:t>
      </w:r>
      <w:r>
        <w:rPr>
          <w:rFonts w:hint="eastAsia" w:ascii="仿宋" w:hAnsi="仿宋" w:eastAsia="仿宋" w:cs="仿宋"/>
          <w:color w:val="000000" w:themeColor="text1"/>
          <w:kern w:val="2"/>
          <w:sz w:val="24"/>
          <w:szCs w:val="24"/>
          <w:lang w:bidi="ar"/>
          <w14:textFill>
            <w14:solidFill>
              <w14:schemeClr w14:val="tx1"/>
            </w14:solidFill>
          </w14:textFill>
        </w:rPr>
        <w:t>云主机资产盘点监控服务</w:t>
      </w:r>
      <w:r>
        <w:rPr>
          <w:rFonts w:hint="eastAsia" w:ascii="仿宋" w:hAnsi="仿宋" w:eastAsia="仿宋" w:cs="仿宋"/>
          <w:color w:val="000000" w:themeColor="text1"/>
          <w:sz w:val="24"/>
          <w:szCs w:val="24"/>
          <w:lang w:bidi="ar"/>
          <w14:textFill>
            <w14:solidFill>
              <w14:schemeClr w14:val="tx1"/>
            </w14:solidFill>
          </w14:textFill>
        </w:rPr>
        <w:t>。</w:t>
      </w:r>
    </w:p>
    <w:p w14:paraId="3D0A9180">
      <w:pPr>
        <w:pStyle w:val="13"/>
        <w:keepNext w:val="0"/>
        <w:keepLines w:val="0"/>
        <w:pageBreakBefore w:val="0"/>
        <w:widowControl w:val="0"/>
        <w:numPr>
          <w:ilvl w:val="0"/>
          <w:numId w:val="0"/>
        </w:numPr>
        <w:kinsoku/>
        <w:overflowPunct/>
        <w:autoSpaceDE/>
        <w:autoSpaceDN/>
        <w:bidi w:val="0"/>
        <w:adjustRightInd/>
        <w:snapToGrid/>
        <w:spacing w:beforeAutospacing="0" w:afterAutospacing="0" w:line="420" w:lineRule="exact"/>
        <w:ind w:firstLine="480" w:firstLineChars="200"/>
        <w:jc w:val="left"/>
        <w:textAlignment w:val="auto"/>
        <w:outlineLvl w:val="3"/>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1、统一云平台管理服务</w:t>
      </w:r>
    </w:p>
    <w:p w14:paraId="363797BF">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政务云</w:t>
      </w:r>
      <w:r>
        <w:rPr>
          <w:rFonts w:hint="eastAsia" w:ascii="仿宋" w:hAnsi="仿宋" w:eastAsia="仿宋" w:cs="仿宋"/>
          <w:color w:val="000000" w:themeColor="text1"/>
          <w:sz w:val="24"/>
          <w:szCs w:val="24"/>
          <w:lang w:eastAsia="zh-CN" w:bidi="ar"/>
          <w14:textFill>
            <w14:solidFill>
              <w14:schemeClr w14:val="tx1"/>
            </w14:solidFill>
          </w14:textFill>
        </w:rPr>
        <w:t>多云管理</w:t>
      </w:r>
      <w:r>
        <w:rPr>
          <w:rFonts w:hint="eastAsia" w:ascii="仿宋" w:hAnsi="仿宋" w:eastAsia="仿宋" w:cs="仿宋"/>
          <w:color w:val="000000" w:themeColor="text1"/>
          <w:sz w:val="24"/>
          <w:szCs w:val="24"/>
          <w:lang w:val="en-US" w:eastAsia="zh-CN" w:bidi="ar"/>
          <w14:textFill>
            <w14:solidFill>
              <w14:schemeClr w14:val="tx1"/>
            </w14:solidFill>
          </w14:textFill>
        </w:rPr>
        <w:t>服务需支持以下功能</w:t>
      </w:r>
      <w:r>
        <w:rPr>
          <w:rFonts w:hint="eastAsia" w:ascii="仿宋" w:hAnsi="仿宋" w:eastAsia="仿宋" w:cs="仿宋"/>
          <w:color w:val="000000" w:themeColor="text1"/>
          <w:sz w:val="24"/>
          <w:szCs w:val="24"/>
          <w:lang w:eastAsia="zh-CN" w:bidi="ar"/>
          <w14:textFill>
            <w14:solidFill>
              <w14:schemeClr w14:val="tx1"/>
            </w14:solidFill>
          </w14:textFill>
        </w:rPr>
        <w:t>组件：多云资源管理模块、</w:t>
      </w:r>
      <w:r>
        <w:rPr>
          <w:rFonts w:hint="eastAsia" w:ascii="仿宋" w:hAnsi="仿宋" w:eastAsia="仿宋" w:cs="仿宋"/>
          <w:color w:val="000000" w:themeColor="text1"/>
          <w:sz w:val="24"/>
          <w:szCs w:val="24"/>
          <w:lang w:val="en-US" w:eastAsia="zh-CN" w:bidi="ar"/>
          <w14:textFill>
            <w14:solidFill>
              <w14:schemeClr w14:val="tx1"/>
            </w14:solidFill>
          </w14:textFill>
        </w:rPr>
        <w:t>多租户的</w:t>
      </w:r>
      <w:r>
        <w:rPr>
          <w:rFonts w:hint="eastAsia" w:ascii="仿宋" w:hAnsi="仿宋" w:eastAsia="仿宋" w:cs="仿宋"/>
          <w:color w:val="000000" w:themeColor="text1"/>
          <w:sz w:val="24"/>
          <w:szCs w:val="24"/>
          <w:lang w:eastAsia="zh-CN" w:bidi="ar"/>
          <w14:textFill>
            <w14:solidFill>
              <w14:schemeClr w14:val="tx1"/>
            </w14:solidFill>
          </w14:textFill>
        </w:rPr>
        <w:t>运营运维管理</w:t>
      </w:r>
      <w:r>
        <w:rPr>
          <w:rFonts w:hint="eastAsia" w:ascii="仿宋" w:hAnsi="仿宋" w:eastAsia="仿宋" w:cs="仿宋"/>
          <w:color w:val="000000" w:themeColor="text1"/>
          <w:sz w:val="24"/>
          <w:szCs w:val="24"/>
          <w:lang w:val="en-US" w:eastAsia="zh-CN" w:bidi="ar"/>
          <w14:textFill>
            <w14:solidFill>
              <w14:schemeClr w14:val="tx1"/>
            </w14:solidFill>
          </w14:textFill>
        </w:rPr>
        <w:t>、IRS接口管理、计费管理</w:t>
      </w:r>
      <w:r>
        <w:rPr>
          <w:rFonts w:hint="eastAsia" w:ascii="仿宋" w:hAnsi="仿宋" w:eastAsia="仿宋" w:cs="仿宋"/>
          <w:color w:val="000000" w:themeColor="text1"/>
          <w:sz w:val="24"/>
          <w:szCs w:val="24"/>
          <w:lang w:eastAsia="zh-CN" w:bidi="ar"/>
          <w14:textFill>
            <w14:solidFill>
              <w14:schemeClr w14:val="tx1"/>
            </w14:solidFill>
          </w14:textFill>
        </w:rPr>
        <w:t>。</w:t>
      </w:r>
    </w:p>
    <w:p w14:paraId="75FA0328">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资源管理模块</w:t>
      </w:r>
      <w:r>
        <w:rPr>
          <w:rFonts w:hint="eastAsia" w:ascii="仿宋" w:hAnsi="仿宋" w:eastAsia="仿宋" w:cs="仿宋"/>
          <w:color w:val="000000" w:themeColor="text1"/>
          <w:sz w:val="24"/>
          <w:szCs w:val="24"/>
          <w:lang w:val="en-US" w:eastAsia="zh-CN" w:bidi="ar"/>
          <w14:textFill>
            <w14:solidFill>
              <w14:schemeClr w14:val="tx1"/>
            </w14:solidFill>
          </w14:textFill>
        </w:rPr>
        <w:t>实现</w:t>
      </w:r>
      <w:r>
        <w:rPr>
          <w:rFonts w:hint="eastAsia" w:ascii="仿宋" w:hAnsi="仿宋" w:eastAsia="仿宋" w:cs="仿宋"/>
          <w:color w:val="000000" w:themeColor="text1"/>
          <w:sz w:val="24"/>
          <w:szCs w:val="24"/>
          <w:lang w:eastAsia="zh-CN" w:bidi="ar"/>
          <w14:textFill>
            <w14:solidFill>
              <w14:schemeClr w14:val="tx1"/>
            </w14:solidFill>
          </w14:textFill>
        </w:rPr>
        <w:t>混合云资源池计算、存储、网络等基础资源的统一调度、配置与部署，实现</w:t>
      </w:r>
      <w:r>
        <w:rPr>
          <w:rFonts w:hint="eastAsia" w:ascii="仿宋" w:hAnsi="仿宋" w:eastAsia="仿宋" w:cs="仿宋"/>
          <w:color w:val="000000" w:themeColor="text1"/>
          <w:sz w:val="24"/>
          <w:szCs w:val="24"/>
          <w:lang w:val="en-US" w:eastAsia="zh-CN" w:bidi="ar"/>
          <w14:textFill>
            <w14:solidFill>
              <w14:schemeClr w14:val="tx1"/>
            </w14:solidFill>
          </w14:textFill>
        </w:rPr>
        <w:t>华三云</w:t>
      </w:r>
      <w:r>
        <w:rPr>
          <w:rFonts w:hint="eastAsia" w:ascii="仿宋" w:hAnsi="仿宋" w:eastAsia="仿宋" w:cs="仿宋"/>
          <w:color w:val="000000" w:themeColor="text1"/>
          <w:sz w:val="24"/>
          <w:szCs w:val="24"/>
          <w:lang w:eastAsia="zh-CN" w:bidi="ar"/>
          <w14:textFill>
            <w14:solidFill>
              <w14:schemeClr w14:val="tx1"/>
            </w14:solidFill>
          </w14:textFill>
        </w:rPr>
        <w:t>、</w:t>
      </w:r>
      <w:r>
        <w:rPr>
          <w:rFonts w:hint="eastAsia" w:ascii="仿宋" w:hAnsi="仿宋" w:eastAsia="仿宋" w:cs="仿宋"/>
          <w:color w:val="000000" w:themeColor="text1"/>
          <w:sz w:val="24"/>
          <w:szCs w:val="24"/>
          <w:lang w:val="en-US" w:eastAsia="zh-CN" w:bidi="ar"/>
          <w14:textFill>
            <w14:solidFill>
              <w14:schemeClr w14:val="tx1"/>
            </w14:solidFill>
          </w14:textFill>
        </w:rPr>
        <w:t>阿里</w:t>
      </w:r>
      <w:r>
        <w:rPr>
          <w:rFonts w:hint="eastAsia" w:ascii="仿宋" w:hAnsi="仿宋" w:eastAsia="仿宋" w:cs="仿宋"/>
          <w:color w:val="000000" w:themeColor="text1"/>
          <w:sz w:val="24"/>
          <w:szCs w:val="24"/>
          <w:lang w:eastAsia="zh-CN" w:bidi="ar"/>
          <w14:textFill>
            <w14:solidFill>
              <w14:schemeClr w14:val="tx1"/>
            </w14:solidFill>
          </w14:textFill>
        </w:rPr>
        <w:t>云等跨平台资源统一管理及调度。</w:t>
      </w:r>
    </w:p>
    <w:p w14:paraId="5B6ADCDD">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多租户的</w:t>
      </w:r>
      <w:r>
        <w:rPr>
          <w:rFonts w:hint="eastAsia" w:ascii="仿宋" w:hAnsi="仿宋" w:eastAsia="仿宋" w:cs="仿宋"/>
          <w:color w:val="000000" w:themeColor="text1"/>
          <w:sz w:val="24"/>
          <w:szCs w:val="24"/>
          <w:lang w:eastAsia="zh-CN" w:bidi="ar"/>
          <w14:textFill>
            <w14:solidFill>
              <w14:schemeClr w14:val="tx1"/>
            </w14:solidFill>
          </w14:textFill>
        </w:rPr>
        <w:t>运维</w:t>
      </w:r>
      <w:r>
        <w:rPr>
          <w:rFonts w:hint="eastAsia" w:ascii="仿宋" w:hAnsi="仿宋" w:eastAsia="仿宋" w:cs="仿宋"/>
          <w:color w:val="000000" w:themeColor="text1"/>
          <w:sz w:val="24"/>
          <w:szCs w:val="24"/>
          <w:lang w:val="en-US" w:eastAsia="zh-CN" w:bidi="ar"/>
          <w14:textFill>
            <w14:solidFill>
              <w14:schemeClr w14:val="tx1"/>
            </w14:solidFill>
          </w14:textFill>
        </w:rPr>
        <w:t>运营</w:t>
      </w:r>
      <w:r>
        <w:rPr>
          <w:rFonts w:hint="eastAsia" w:ascii="仿宋" w:hAnsi="仿宋" w:eastAsia="仿宋" w:cs="仿宋"/>
          <w:color w:val="000000" w:themeColor="text1"/>
          <w:sz w:val="24"/>
          <w:szCs w:val="24"/>
          <w:lang w:eastAsia="zh-CN" w:bidi="ar"/>
          <w14:textFill>
            <w14:solidFill>
              <w14:schemeClr w14:val="tx1"/>
            </w14:solidFill>
          </w14:textFill>
        </w:rPr>
        <w:t>管理模块主要是实现对云平台的计算、存储、网络资源的监控、性能、告警的统一</w:t>
      </w:r>
      <w:r>
        <w:rPr>
          <w:rFonts w:hint="eastAsia" w:ascii="仿宋" w:hAnsi="仿宋" w:eastAsia="仿宋" w:cs="仿宋"/>
          <w:color w:val="000000" w:themeColor="text1"/>
          <w:sz w:val="24"/>
          <w:szCs w:val="24"/>
          <w:lang w:val="en-US" w:eastAsia="zh-CN" w:bidi="ar"/>
          <w14:textFill>
            <w14:solidFill>
              <w14:schemeClr w14:val="tx1"/>
            </w14:solidFill>
          </w14:textFill>
        </w:rPr>
        <w:t>接入</w:t>
      </w:r>
      <w:r>
        <w:rPr>
          <w:rFonts w:hint="eastAsia" w:ascii="仿宋" w:hAnsi="仿宋" w:eastAsia="仿宋" w:cs="仿宋"/>
          <w:color w:val="000000" w:themeColor="text1"/>
          <w:sz w:val="24"/>
          <w:szCs w:val="24"/>
          <w:lang w:eastAsia="zh-CN" w:bidi="ar"/>
          <w14:textFill>
            <w14:solidFill>
              <w14:schemeClr w14:val="tx1"/>
            </w14:solidFill>
          </w14:textFill>
        </w:rPr>
        <w:t>，</w:t>
      </w:r>
      <w:r>
        <w:rPr>
          <w:rFonts w:hint="eastAsia" w:ascii="仿宋" w:hAnsi="仿宋" w:eastAsia="仿宋" w:cs="仿宋"/>
          <w:color w:val="000000" w:themeColor="text1"/>
          <w:sz w:val="24"/>
          <w:szCs w:val="24"/>
          <w:lang w:val="en-US" w:eastAsia="zh-CN" w:bidi="ar"/>
          <w14:textFill>
            <w14:solidFill>
              <w14:schemeClr w14:val="tx1"/>
            </w14:solidFill>
          </w14:textFill>
        </w:rPr>
        <w:t>基于租户</w:t>
      </w:r>
      <w:r>
        <w:rPr>
          <w:rFonts w:hint="eastAsia" w:ascii="仿宋" w:hAnsi="仿宋" w:eastAsia="仿宋" w:cs="仿宋"/>
          <w:color w:val="000000" w:themeColor="text1"/>
          <w:sz w:val="24"/>
          <w:szCs w:val="24"/>
          <w:lang w:eastAsia="zh-CN" w:bidi="ar"/>
          <w14:textFill>
            <w14:solidFill>
              <w14:schemeClr w14:val="tx1"/>
            </w14:solidFill>
          </w14:textFill>
        </w:rPr>
        <w:t>实现</w:t>
      </w:r>
      <w:r>
        <w:rPr>
          <w:rFonts w:hint="eastAsia" w:ascii="仿宋" w:hAnsi="仿宋" w:eastAsia="仿宋" w:cs="仿宋"/>
          <w:color w:val="000000" w:themeColor="text1"/>
          <w:sz w:val="24"/>
          <w:szCs w:val="24"/>
          <w:lang w:val="en-US" w:eastAsia="zh-CN" w:bidi="ar"/>
          <w14:textFill>
            <w14:solidFill>
              <w14:schemeClr w14:val="tx1"/>
            </w14:solidFill>
          </w14:textFill>
        </w:rPr>
        <w:t>政务</w:t>
      </w:r>
      <w:r>
        <w:rPr>
          <w:rFonts w:hint="eastAsia" w:ascii="仿宋" w:hAnsi="仿宋" w:eastAsia="仿宋" w:cs="仿宋"/>
          <w:color w:val="000000" w:themeColor="text1"/>
          <w:sz w:val="24"/>
          <w:szCs w:val="24"/>
          <w:lang w:eastAsia="zh-CN" w:bidi="ar"/>
          <w14:textFill>
            <w14:solidFill>
              <w14:schemeClr w14:val="tx1"/>
            </w14:solidFill>
          </w14:textFill>
        </w:rPr>
        <w:t>云资源的</w:t>
      </w:r>
      <w:r>
        <w:rPr>
          <w:rFonts w:hint="eastAsia" w:ascii="仿宋" w:hAnsi="仿宋" w:eastAsia="仿宋" w:cs="仿宋"/>
          <w:color w:val="000000" w:themeColor="text1"/>
          <w:sz w:val="24"/>
          <w:szCs w:val="24"/>
          <w:lang w:val="en-US" w:eastAsia="zh-CN" w:bidi="ar"/>
          <w14:textFill>
            <w14:solidFill>
              <w14:schemeClr w14:val="tx1"/>
            </w14:solidFill>
          </w14:textFill>
        </w:rPr>
        <w:t>分级</w:t>
      </w:r>
      <w:r>
        <w:rPr>
          <w:rFonts w:hint="eastAsia" w:ascii="仿宋" w:hAnsi="仿宋" w:eastAsia="仿宋" w:cs="仿宋"/>
          <w:color w:val="000000" w:themeColor="text1"/>
          <w:sz w:val="24"/>
          <w:szCs w:val="24"/>
          <w:lang w:eastAsia="zh-CN" w:bidi="ar"/>
          <w14:textFill>
            <w14:solidFill>
              <w14:schemeClr w14:val="tx1"/>
            </w14:solidFill>
          </w14:textFill>
        </w:rPr>
        <w:t>运维支撑。</w:t>
      </w:r>
    </w:p>
    <w:p w14:paraId="335D313B">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IRS接口管理</w:t>
      </w:r>
      <w:r>
        <w:rPr>
          <w:rFonts w:hint="eastAsia" w:ascii="仿宋" w:hAnsi="仿宋" w:eastAsia="仿宋" w:cs="仿宋"/>
          <w:color w:val="000000" w:themeColor="text1"/>
          <w:sz w:val="24"/>
          <w:szCs w:val="24"/>
          <w:lang w:eastAsia="zh-CN" w:bidi="ar"/>
          <w14:textFill>
            <w14:solidFill>
              <w14:schemeClr w14:val="tx1"/>
            </w14:solidFill>
          </w14:textFill>
        </w:rPr>
        <w:t>模块</w:t>
      </w:r>
      <w:r>
        <w:rPr>
          <w:rFonts w:hint="eastAsia" w:ascii="仿宋" w:hAnsi="仿宋" w:eastAsia="仿宋" w:cs="仿宋"/>
          <w:color w:val="000000" w:themeColor="text1"/>
          <w:sz w:val="24"/>
          <w:szCs w:val="24"/>
          <w:lang w:val="en-US" w:eastAsia="zh-CN" w:bidi="ar"/>
          <w14:textFill>
            <w14:solidFill>
              <w14:schemeClr w14:val="tx1"/>
            </w14:solidFill>
          </w14:textFill>
        </w:rPr>
        <w:t>提供对接省级大数据局IRS系统的能力，实现RDS、ECS、OSS、SLB 等多种资源的自动化开通流程。</w:t>
      </w:r>
    </w:p>
    <w:p w14:paraId="00F67A7E">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eastAsia="zh-Hans"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计费管理模块</w:t>
      </w:r>
      <w:r>
        <w:rPr>
          <w:rFonts w:hint="eastAsia" w:ascii="仿宋" w:hAnsi="仿宋" w:eastAsia="仿宋" w:cs="仿宋"/>
          <w:color w:val="000000" w:themeColor="text1"/>
          <w:sz w:val="24"/>
          <w:szCs w:val="24"/>
          <w:lang w:val="en-US" w:eastAsia="zh-Hans" w:bidi="ar"/>
          <w14:textFill>
            <w14:solidFill>
              <w14:schemeClr w14:val="tx1"/>
            </w14:solidFill>
          </w14:textFill>
        </w:rPr>
        <w:t>提供系统化账单服务，费用报表，支持自动化计量计费。</w:t>
      </w:r>
      <w:r>
        <w:rPr>
          <w:rFonts w:hint="eastAsia" w:ascii="仿宋" w:hAnsi="仿宋" w:eastAsia="仿宋" w:cs="仿宋"/>
          <w:color w:val="000000" w:themeColor="text1"/>
          <w:sz w:val="24"/>
          <w:szCs w:val="24"/>
          <w:lang w:val="en-US" w:eastAsia="zh-CN" w:bidi="ar"/>
          <w14:textFill>
            <w14:solidFill>
              <w14:schemeClr w14:val="tx1"/>
            </w14:solidFill>
          </w14:textFill>
        </w:rPr>
        <w:t>须</w:t>
      </w:r>
      <w:r>
        <w:rPr>
          <w:rFonts w:hint="eastAsia" w:ascii="仿宋" w:hAnsi="仿宋" w:eastAsia="仿宋" w:cs="仿宋"/>
          <w:color w:val="000000" w:themeColor="text1"/>
          <w:sz w:val="24"/>
          <w:szCs w:val="24"/>
          <w:lang w:val="en-US" w:eastAsia="zh-Hans" w:bidi="ar"/>
          <w14:textFill>
            <w14:solidFill>
              <w14:schemeClr w14:val="tx1"/>
            </w14:solidFill>
          </w14:textFill>
        </w:rPr>
        <w:t>包含但不限于如下功能：</w:t>
      </w:r>
    </w:p>
    <w:p w14:paraId="3D2C7E5D">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eastAsia="zh-Hans" w:bidi="ar"/>
          <w14:textFill>
            <w14:solidFill>
              <w14:schemeClr w14:val="tx1"/>
            </w14:solidFill>
          </w14:textFill>
        </w:rPr>
      </w:pPr>
      <w:r>
        <w:rPr>
          <w:rFonts w:hint="eastAsia" w:ascii="仿宋" w:hAnsi="仿宋" w:eastAsia="仿宋" w:cs="仿宋"/>
          <w:color w:val="000000" w:themeColor="text1"/>
          <w:sz w:val="24"/>
          <w:szCs w:val="24"/>
          <w:lang w:val="en-US" w:eastAsia="zh-Hans" w:bidi="ar"/>
          <w14:textFill>
            <w14:solidFill>
              <w14:schemeClr w14:val="tx1"/>
            </w14:solidFill>
          </w14:textFill>
        </w:rPr>
        <w:t>（1）月度账单：每月上旬自动出具上月账单，账单内容包括部门下所有产品费用详情；支持从概览、项目、实例维度查看部门账单</w:t>
      </w:r>
      <w:r>
        <w:rPr>
          <w:rFonts w:hint="eastAsia" w:ascii="仿宋" w:hAnsi="仿宋" w:eastAsia="仿宋" w:cs="仿宋"/>
          <w:color w:val="000000" w:themeColor="text1"/>
          <w:sz w:val="24"/>
          <w:szCs w:val="24"/>
          <w:lang w:val="en-US" w:eastAsia="zh-CN" w:bidi="ar"/>
          <w14:textFill>
            <w14:solidFill>
              <w14:schemeClr w14:val="tx1"/>
            </w14:solidFill>
          </w14:textFill>
        </w:rPr>
        <w:t>；</w:t>
      </w:r>
    </w:p>
    <w:p w14:paraId="2F7FF7C4">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eastAsia="zh-Hans" w:bidi="ar"/>
          <w14:textFill>
            <w14:solidFill>
              <w14:schemeClr w14:val="tx1"/>
            </w14:solidFill>
          </w14:textFill>
        </w:rPr>
      </w:pPr>
      <w:r>
        <w:rPr>
          <w:rFonts w:hint="eastAsia" w:ascii="仿宋" w:hAnsi="仿宋" w:eastAsia="仿宋" w:cs="仿宋"/>
          <w:color w:val="000000" w:themeColor="text1"/>
          <w:sz w:val="24"/>
          <w:szCs w:val="24"/>
          <w:lang w:val="en-US" w:eastAsia="zh-Hans" w:bidi="ar"/>
          <w14:textFill>
            <w14:solidFill>
              <w14:schemeClr w14:val="tx1"/>
            </w14:solidFill>
          </w14:textFill>
        </w:rPr>
        <w:t>（2）账单查询：支持账单在线查询，要求查询历史月账单和单月账单详情</w:t>
      </w:r>
      <w:r>
        <w:rPr>
          <w:rFonts w:hint="eastAsia" w:ascii="仿宋" w:hAnsi="仿宋" w:eastAsia="仿宋" w:cs="仿宋"/>
          <w:color w:val="000000" w:themeColor="text1"/>
          <w:sz w:val="24"/>
          <w:szCs w:val="24"/>
          <w:lang w:val="en-US" w:eastAsia="zh-CN" w:bidi="ar"/>
          <w14:textFill>
            <w14:solidFill>
              <w14:schemeClr w14:val="tx1"/>
            </w14:solidFill>
          </w14:textFill>
        </w:rPr>
        <w:t>；</w:t>
      </w:r>
    </w:p>
    <w:p w14:paraId="18A842E8">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eastAsia="zh-Hans" w:bidi="ar"/>
          <w14:textFill>
            <w14:solidFill>
              <w14:schemeClr w14:val="tx1"/>
            </w14:solidFill>
          </w14:textFill>
        </w:rPr>
      </w:pPr>
      <w:r>
        <w:rPr>
          <w:rFonts w:hint="eastAsia" w:ascii="仿宋" w:hAnsi="仿宋" w:eastAsia="仿宋" w:cs="仿宋"/>
          <w:color w:val="000000" w:themeColor="text1"/>
          <w:sz w:val="24"/>
          <w:szCs w:val="24"/>
          <w:lang w:val="en-US" w:eastAsia="zh-Hans" w:bidi="ar"/>
          <w14:textFill>
            <w14:solidFill>
              <w14:schemeClr w14:val="tx1"/>
            </w14:solidFill>
          </w14:textFill>
        </w:rPr>
        <w:t>（3）账单确认：支持账单线上确认，用户可在线确认月度账单</w:t>
      </w:r>
      <w:r>
        <w:rPr>
          <w:rFonts w:hint="eastAsia" w:ascii="仿宋" w:hAnsi="仿宋" w:eastAsia="仿宋" w:cs="仿宋"/>
          <w:color w:val="000000" w:themeColor="text1"/>
          <w:sz w:val="24"/>
          <w:szCs w:val="24"/>
          <w:lang w:val="en-US" w:eastAsia="zh-CN" w:bidi="ar"/>
          <w14:textFill>
            <w14:solidFill>
              <w14:schemeClr w14:val="tx1"/>
            </w14:solidFill>
          </w14:textFill>
        </w:rPr>
        <w:t>；</w:t>
      </w:r>
    </w:p>
    <w:p w14:paraId="609DB9AF">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（4）</w:t>
      </w:r>
      <w:r>
        <w:rPr>
          <w:rFonts w:hint="eastAsia" w:ascii="仿宋" w:hAnsi="仿宋" w:eastAsia="仿宋" w:cs="仿宋"/>
          <w:color w:val="000000" w:themeColor="text1"/>
          <w:sz w:val="24"/>
          <w:szCs w:val="24"/>
          <w:lang w:val="en-US" w:eastAsia="zh-Hans" w:bidi="ar"/>
          <w14:textFill>
            <w14:solidFill>
              <w14:schemeClr w14:val="tx1"/>
            </w14:solidFill>
          </w14:textFill>
        </w:rPr>
        <w:t>账单统计：支持按部门、项目、产品、实例维度统计不同时间周期的账单，展示用户部门在指定时间周期内的账单详情。</w:t>
      </w:r>
    </w:p>
    <w:p w14:paraId="15B8BF05">
      <w:pPr>
        <w:pStyle w:val="13"/>
        <w:keepNext w:val="0"/>
        <w:keepLines w:val="0"/>
        <w:pageBreakBefore w:val="0"/>
        <w:widowControl w:val="0"/>
        <w:kinsoku/>
        <w:overflowPunct/>
        <w:autoSpaceDE/>
        <w:autoSpaceDN/>
        <w:bidi w:val="0"/>
        <w:adjustRightInd/>
        <w:snapToGrid/>
        <w:spacing w:beforeAutospacing="0" w:afterAutospacing="0" w:line="420" w:lineRule="exact"/>
        <w:ind w:firstLine="480" w:firstLineChars="200"/>
        <w:jc w:val="left"/>
        <w:textAlignment w:val="auto"/>
        <w:outlineLvl w:val="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w:t>
      </w:r>
      <w:r>
        <w:rPr>
          <w:rFonts w:hint="eastAsia" w:ascii="仿宋" w:hAnsi="仿宋" w:eastAsia="仿宋" w:cs="仿宋"/>
          <w:color w:val="000000" w:themeColor="text1"/>
          <w:kern w:val="2"/>
          <w:sz w:val="24"/>
          <w:szCs w:val="24"/>
          <w:lang w:bidi="ar"/>
          <w14:textFill>
            <w14:solidFill>
              <w14:schemeClr w14:val="tx1"/>
            </w14:solidFill>
          </w14:textFill>
        </w:rPr>
        <w:t>重大活动平台保障护航服务</w:t>
      </w:r>
    </w:p>
    <w:p w14:paraId="44FFB8F2">
      <w:pPr>
        <w:keepNext w:val="0"/>
        <w:keepLines w:val="0"/>
        <w:pageBreakBefore w:val="0"/>
        <w:widowControl w:val="0"/>
        <w:kinsoku/>
        <w:overflowPunct/>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为重大活动提供重保护航服务。包含保障目标对齐、平台水位风险排查、产品稳定性风险排查、应急协同响应、7×24小时值守、护航日报</w:t>
      </w:r>
      <w:r>
        <w:rPr>
          <w:rFonts w:hint="eastAsia" w:ascii="仿宋" w:hAnsi="仿宋" w:eastAsia="仿宋" w:cs="仿宋"/>
          <w:color w:val="000000" w:themeColor="text1"/>
          <w:sz w:val="24"/>
          <w:szCs w:val="24"/>
          <w:lang w:val="en-US" w:eastAsia="zh-CN" w:bidi="ar"/>
          <w14:textFill>
            <w14:solidFill>
              <w14:schemeClr w14:val="tx1"/>
            </w14:solidFill>
          </w14:textFill>
        </w:rPr>
        <w:t>六</w:t>
      </w:r>
      <w:r>
        <w:rPr>
          <w:rFonts w:hint="eastAsia" w:ascii="仿宋" w:hAnsi="仿宋" w:eastAsia="仿宋" w:cs="仿宋"/>
          <w:color w:val="000000" w:themeColor="text1"/>
          <w:sz w:val="24"/>
          <w:szCs w:val="24"/>
          <w:lang w:bidi="ar"/>
          <w14:textFill>
            <w14:solidFill>
              <w14:schemeClr w14:val="tx1"/>
            </w14:solidFill>
          </w14:textFill>
        </w:rPr>
        <w:t>个指标项。</w:t>
      </w:r>
    </w:p>
    <w:tbl>
      <w:tblPr>
        <w:tblStyle w:val="15"/>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6164"/>
      </w:tblGrid>
      <w:tr w14:paraId="76E6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D8D8D8"/>
            <w:vAlign w:val="center"/>
          </w:tcPr>
          <w:p w14:paraId="6125A4F0">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序号</w:t>
            </w:r>
          </w:p>
        </w:tc>
        <w:tc>
          <w:tcPr>
            <w:tcW w:w="1351" w:type="dxa"/>
            <w:tcBorders>
              <w:top w:val="single" w:color="auto" w:sz="4" w:space="0"/>
              <w:left w:val="single" w:color="auto" w:sz="4" w:space="0"/>
              <w:bottom w:val="single" w:color="auto" w:sz="4" w:space="0"/>
              <w:right w:val="single" w:color="auto" w:sz="4" w:space="0"/>
            </w:tcBorders>
            <w:shd w:val="clear" w:color="auto" w:fill="D8D8D8"/>
            <w:vAlign w:val="center"/>
          </w:tcPr>
          <w:p w14:paraId="26FE803F">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指标项</w:t>
            </w:r>
          </w:p>
        </w:tc>
        <w:tc>
          <w:tcPr>
            <w:tcW w:w="6164" w:type="dxa"/>
            <w:tcBorders>
              <w:top w:val="single" w:color="auto" w:sz="4" w:space="0"/>
              <w:left w:val="single" w:color="auto" w:sz="4" w:space="0"/>
              <w:bottom w:val="single" w:color="auto" w:sz="4" w:space="0"/>
              <w:right w:val="single" w:color="auto" w:sz="4" w:space="0"/>
            </w:tcBorders>
            <w:shd w:val="clear" w:color="auto" w:fill="D8D8D8"/>
            <w:vAlign w:val="center"/>
          </w:tcPr>
          <w:p w14:paraId="74599BAB">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指标要求</w:t>
            </w:r>
          </w:p>
        </w:tc>
      </w:tr>
      <w:tr w14:paraId="360C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7DF0D0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1</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3ABC2EE1">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保障目标对齐</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6698DA3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与用户对齐保障背景、保障范围、保障时间、安全要求、响应时间、人员要求、特殊要求等，制订护航保障计划与细则，确定值守排班表，提供重点关注项，例如资源瓶颈、业务单点风险、上下游风险等。</w:t>
            </w:r>
          </w:p>
        </w:tc>
      </w:tr>
      <w:tr w14:paraId="302D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09469066">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cs="宋体"/>
                <w:bCs/>
                <w:kern w:val="0"/>
                <w:szCs w:val="21"/>
                <w:lang w:val="en-US" w:eastAsia="zh-CN"/>
              </w:rPr>
            </w:pPr>
            <w:r>
              <w:rPr>
                <w:rFonts w:hint="eastAsia" w:ascii="宋体" w:hAnsi="宋体" w:cs="宋体"/>
                <w:bCs/>
                <w:kern w:val="0"/>
                <w:szCs w:val="21"/>
                <w:lang w:val="en-US" w:eastAsia="zh-CN"/>
              </w:rPr>
              <w:t>2</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0DACFBC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平台水位风险排查</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3C46153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进行平台各产品水位风险排查，确认当前存在的高水位风险、修复计划与应对预案，并形成风险记录文档与应对预案文档。包括云产品、网络、物理资源等。</w:t>
            </w:r>
          </w:p>
        </w:tc>
      </w:tr>
      <w:tr w14:paraId="793F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ECDCD48">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cs="宋体"/>
                <w:bCs/>
                <w:kern w:val="0"/>
                <w:szCs w:val="21"/>
                <w:lang w:val="en-US" w:eastAsia="zh-CN"/>
              </w:rPr>
            </w:pPr>
            <w:r>
              <w:rPr>
                <w:rFonts w:hint="eastAsia" w:ascii="宋体" w:hAnsi="宋体" w:cs="宋体"/>
                <w:bCs/>
                <w:kern w:val="0"/>
                <w:szCs w:val="21"/>
                <w:lang w:val="en-US" w:eastAsia="zh-CN"/>
              </w:rPr>
              <w:t>3</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79B1740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产品稳定性风险排查</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707ABC36">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对照已发布的已知产品风险点列表，进行平台各产品风险点排查，确认当前存在的产品风险点、修复计划与应对预案，并形成风险记录文档与应对预案文档。包括云产品、网络、物理资源等。</w:t>
            </w:r>
          </w:p>
        </w:tc>
      </w:tr>
      <w:tr w14:paraId="6969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B1F637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cs="宋体"/>
                <w:bCs/>
                <w:kern w:val="0"/>
                <w:szCs w:val="21"/>
                <w:lang w:val="en-US" w:eastAsia="zh-CN"/>
              </w:rPr>
            </w:pPr>
            <w:r>
              <w:rPr>
                <w:rFonts w:hint="eastAsia" w:ascii="宋体" w:hAnsi="宋体" w:cs="宋体"/>
                <w:bCs/>
                <w:kern w:val="0"/>
                <w:szCs w:val="21"/>
                <w:lang w:val="en-US" w:eastAsia="zh-CN"/>
              </w:rPr>
              <w:t>4</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2904B1A4">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应急响应协同</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798D0C16">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制定故障/事件应急响应流程、各环节SLA与SOP，确保相关人员熟悉应急流程、岗位职责与处置标准，确保重保过程中能够对故障/事件进行快速响应与正确处置。</w:t>
            </w:r>
          </w:p>
        </w:tc>
      </w:tr>
      <w:tr w14:paraId="3047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31C48A0">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cs="宋体"/>
                <w:bCs/>
                <w:kern w:val="0"/>
                <w:szCs w:val="21"/>
                <w:lang w:val="en-US" w:eastAsia="zh-CN"/>
              </w:rPr>
            </w:pPr>
            <w:r>
              <w:rPr>
                <w:rFonts w:hint="eastAsia" w:ascii="宋体" w:hAnsi="宋体" w:cs="宋体"/>
                <w:bCs/>
                <w:kern w:val="0"/>
                <w:szCs w:val="21"/>
                <w:lang w:val="en-US" w:eastAsia="zh-CN"/>
              </w:rPr>
              <w:t>5</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7E8F3809">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7×24值守</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398DFDD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（1）提供活动期间7×24小时远程值守服务，支持电话、网上值班等响应方式，及时解答用户在云平台使用中遇到的问题，并及时提出解决问题的建议和操作方法。</w:t>
            </w:r>
          </w:p>
          <w:p w14:paraId="09A3C524">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（2）及时响应用户侧故障请求，对重大问题提供现场技术支持。</w:t>
            </w:r>
          </w:p>
          <w:p w14:paraId="3F8C732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（3）组建即时通讯护航群，包含用户侧主要干系人和护航保障人员。</w:t>
            </w:r>
          </w:p>
          <w:p w14:paraId="7D7C5507">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（4）护航期间定期在护航群中同步监控大盘状态，关注实例性能、容量数据等信息，查看异常波动。</w:t>
            </w:r>
          </w:p>
          <w:p w14:paraId="17409332">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（5）及时处理护航群内提出的各类服务请求，做好第一时间响应及处理。</w:t>
            </w:r>
          </w:p>
          <w:p w14:paraId="500E5578">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6</w:t>
            </w:r>
            <w:r>
              <w:rPr>
                <w:rFonts w:hint="eastAsia" w:ascii="宋体" w:hAnsi="宋体" w:cs="宋体"/>
                <w:bCs/>
                <w:kern w:val="0"/>
                <w:szCs w:val="21"/>
              </w:rPr>
              <w:t>）对重保对象定期巡检，对巡检结果定期播报。</w:t>
            </w:r>
          </w:p>
        </w:tc>
      </w:tr>
      <w:tr w14:paraId="28FD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C14181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eastAsia" w:ascii="宋体" w:hAnsi="宋体" w:cs="宋体"/>
                <w:bCs/>
                <w:kern w:val="0"/>
                <w:szCs w:val="21"/>
                <w:lang w:val="en-US" w:eastAsia="zh-CN"/>
              </w:rPr>
            </w:pPr>
            <w:r>
              <w:rPr>
                <w:rFonts w:hint="eastAsia" w:ascii="宋体" w:hAnsi="宋体" w:cs="宋体"/>
                <w:bCs/>
                <w:kern w:val="0"/>
                <w:szCs w:val="21"/>
                <w:lang w:val="en-US" w:eastAsia="zh-CN"/>
              </w:rPr>
              <w:t>6</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79BC28BA">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护航日报</w:t>
            </w:r>
          </w:p>
        </w:tc>
        <w:tc>
          <w:tcPr>
            <w:tcW w:w="6164" w:type="dxa"/>
            <w:tcBorders>
              <w:top w:val="single" w:color="auto" w:sz="4" w:space="0"/>
              <w:left w:val="single" w:color="auto" w:sz="4" w:space="0"/>
              <w:bottom w:val="single" w:color="auto" w:sz="4" w:space="0"/>
              <w:right w:val="single" w:color="auto" w:sz="4" w:space="0"/>
            </w:tcBorders>
            <w:shd w:val="clear" w:color="auto" w:fill="auto"/>
            <w:vAlign w:val="center"/>
          </w:tcPr>
          <w:p w14:paraId="07BB38E7">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（1）重保护航日报服务，每日总结当天重保发生的事件和问题，形成重保日报发送，针对护航期间每日发生的问题处理情况、云资源使用情况、应急处理情况、平台巡检情况等，提供护航日报。</w:t>
            </w:r>
          </w:p>
          <w:p w14:paraId="117F262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（2）护航日报形式包括但不限于文档、图片、钉钉消息、邮件、网页等。</w:t>
            </w:r>
          </w:p>
        </w:tc>
      </w:tr>
    </w:tbl>
    <w:p w14:paraId="0842B0A8">
      <w:pPr>
        <w:pStyle w:val="20"/>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3、</w:t>
      </w:r>
      <w:r>
        <w:rPr>
          <w:rFonts w:hint="eastAsia" w:ascii="仿宋" w:hAnsi="仿宋" w:eastAsia="仿宋" w:cs="仿宋"/>
          <w:color w:val="000000" w:themeColor="text1"/>
          <w:sz w:val="24"/>
          <w:szCs w:val="24"/>
          <w:lang w:val="en-US" w:bidi="ar-SA"/>
          <w14:textFill>
            <w14:solidFill>
              <w14:schemeClr w14:val="tx1"/>
            </w14:solidFill>
          </w14:textFill>
        </w:rPr>
        <w:t>云主机资产盘点监控服务</w:t>
      </w:r>
    </w:p>
    <w:p w14:paraId="502E306A">
      <w:pPr>
        <w:pStyle w:val="20"/>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000000" w:themeColor="text1"/>
          <w:sz w:val="24"/>
          <w:szCs w:val="24"/>
          <w:lang w:val="en-US" w:bidi="ar-SA"/>
          <w14:textFill>
            <w14:solidFill>
              <w14:schemeClr w14:val="tx1"/>
            </w14:solidFill>
          </w14:textFill>
        </w:rPr>
      </w:pPr>
      <w:r>
        <w:rPr>
          <w:rFonts w:hint="eastAsia" w:ascii="仿宋" w:hAnsi="仿宋" w:eastAsia="仿宋" w:cs="仿宋"/>
          <w:color w:val="000000" w:themeColor="text1"/>
          <w:sz w:val="24"/>
          <w:szCs w:val="24"/>
          <w:lang w:val="en-US" w:bidi="ar-SA"/>
          <w14:textFill>
            <w14:solidFill>
              <w14:schemeClr w14:val="tx1"/>
            </w14:solidFill>
          </w14:textFill>
        </w:rPr>
        <w:t>提供对云主机的主机资产盘点能力，以及稳定性异常监控服务能力，提供实时的资产信息的盘点、梳理、分析能力，针对资产异常情况进行实时的监控告警。每</w:t>
      </w:r>
      <w:r>
        <w:rPr>
          <w:rFonts w:hint="eastAsia" w:ascii="仿宋" w:hAnsi="仿宋" w:eastAsia="仿宋" w:cs="仿宋"/>
          <w:color w:val="000000" w:themeColor="text1"/>
          <w:sz w:val="24"/>
          <w:szCs w:val="24"/>
          <w:lang w:val="en-US" w:eastAsia="zh-CN" w:bidi="ar-SA"/>
          <w14:textFill>
            <w14:solidFill>
              <w14:schemeClr w14:val="tx1"/>
            </w14:solidFill>
          </w14:textFill>
        </w:rPr>
        <w:t>月</w:t>
      </w:r>
      <w:r>
        <w:rPr>
          <w:rFonts w:hint="eastAsia" w:ascii="仿宋" w:hAnsi="仿宋" w:eastAsia="仿宋" w:cs="仿宋"/>
          <w:color w:val="000000" w:themeColor="text1"/>
          <w:sz w:val="24"/>
          <w:szCs w:val="24"/>
          <w:lang w:val="en-US" w:bidi="ar-SA"/>
          <w14:textFill>
            <w14:solidFill>
              <w14:schemeClr w14:val="tx1"/>
            </w14:solidFill>
          </w14:textFill>
        </w:rPr>
        <w:t>对全量资产中的</w:t>
      </w:r>
      <w:r>
        <w:rPr>
          <w:rFonts w:hint="eastAsia" w:ascii="仿宋" w:hAnsi="仿宋" w:eastAsia="仿宋" w:cs="仿宋"/>
          <w:color w:val="000000" w:themeColor="text1"/>
          <w:sz w:val="24"/>
          <w:szCs w:val="24"/>
          <w:lang w:val="en-US" w:eastAsia="zh-CN" w:bidi="ar-SA"/>
          <w14:textFill>
            <w14:solidFill>
              <w14:schemeClr w14:val="tx1"/>
            </w14:solidFill>
          </w14:textFill>
        </w:rPr>
        <w:t>超低或者超高利用率</w:t>
      </w:r>
      <w:r>
        <w:rPr>
          <w:rFonts w:hint="eastAsia" w:ascii="仿宋" w:hAnsi="仿宋" w:eastAsia="仿宋" w:cs="仿宋"/>
          <w:color w:val="000000" w:themeColor="text1"/>
          <w:sz w:val="24"/>
          <w:szCs w:val="24"/>
          <w:lang w:val="en-US" w:bidi="ar-SA"/>
          <w14:textFill>
            <w14:solidFill>
              <w14:schemeClr w14:val="tx1"/>
            </w14:solidFill>
          </w14:textFill>
        </w:rPr>
        <w:t>情况</w:t>
      </w:r>
      <w:r>
        <w:rPr>
          <w:rFonts w:hint="eastAsia" w:ascii="仿宋" w:hAnsi="仿宋" w:eastAsia="仿宋" w:cs="仿宋"/>
          <w:color w:val="000000" w:themeColor="text1"/>
          <w:sz w:val="24"/>
          <w:szCs w:val="24"/>
          <w:lang w:val="en-US" w:eastAsia="zh-CN" w:bidi="ar-SA"/>
          <w14:textFill>
            <w14:solidFill>
              <w14:schemeClr w14:val="tx1"/>
            </w14:solidFill>
          </w14:textFill>
        </w:rPr>
        <w:t>及</w:t>
      </w:r>
      <w:r>
        <w:rPr>
          <w:rFonts w:hint="eastAsia" w:ascii="仿宋" w:hAnsi="仿宋" w:eastAsia="仿宋" w:cs="仿宋"/>
          <w:color w:val="000000" w:themeColor="text1"/>
          <w:sz w:val="24"/>
          <w:szCs w:val="24"/>
          <w:lang w:val="en-US" w:bidi="ar-SA"/>
          <w14:textFill>
            <w14:solidFill>
              <w14:schemeClr w14:val="tx1"/>
            </w14:solidFill>
          </w14:textFill>
        </w:rPr>
        <w:t>长期休眠云帐号信息进行汇总分析</w:t>
      </w:r>
      <w:r>
        <w:rPr>
          <w:rFonts w:hint="eastAsia" w:ascii="仿宋" w:hAnsi="仿宋" w:eastAsia="仿宋" w:cs="仿宋"/>
          <w:color w:val="000000" w:themeColor="text1"/>
          <w:sz w:val="24"/>
          <w:szCs w:val="24"/>
          <w:lang w:val="en-US" w:eastAsia="zh-CN" w:bidi="ar-SA"/>
          <w14:textFill>
            <w14:solidFill>
              <w14:schemeClr w14:val="tx1"/>
            </w14:solidFill>
          </w14:textFill>
        </w:rPr>
        <w:t>及优化建议</w:t>
      </w:r>
      <w:r>
        <w:rPr>
          <w:rFonts w:hint="eastAsia" w:ascii="仿宋" w:hAnsi="仿宋" w:eastAsia="仿宋" w:cs="仿宋"/>
          <w:color w:val="000000" w:themeColor="text1"/>
          <w:sz w:val="24"/>
          <w:szCs w:val="24"/>
          <w:lang w:val="en-US" w:bidi="ar-SA"/>
          <w14:textFill>
            <w14:solidFill>
              <w14:schemeClr w14:val="tx1"/>
            </w14:solidFill>
          </w14:textFill>
        </w:rPr>
        <w:t>。</w:t>
      </w:r>
    </w:p>
    <w:p w14:paraId="21708ABE">
      <w:pPr>
        <w:keepNext w:val="0"/>
        <w:keepLines w:val="0"/>
        <w:pageBreakBefore w:val="0"/>
        <w:kinsoku/>
        <w:wordWrap w:val="0"/>
        <w:overflowPunct/>
        <w:topLinePunct/>
        <w:autoSpaceDE/>
        <w:autoSpaceDN/>
        <w:bidi w:val="0"/>
        <w:adjustRightInd/>
        <w:snapToGrid/>
        <w:spacing w:line="420" w:lineRule="exact"/>
        <w:ind w:firstLine="480" w:firstLineChars="200"/>
        <w:jc w:val="left"/>
        <w:textAlignment w:val="auto"/>
        <w:outlineLvl w:val="2"/>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九</w:t>
      </w:r>
      <w:r>
        <w:rPr>
          <w:rFonts w:hint="eastAsia" w:ascii="仿宋" w:hAnsi="仿宋" w:eastAsia="仿宋" w:cs="仿宋"/>
          <w:color w:val="000000"/>
          <w:sz w:val="24"/>
          <w:szCs w:val="24"/>
        </w:rPr>
        <w:t>）政务云国产化资源总体要求</w:t>
      </w:r>
    </w:p>
    <w:tbl>
      <w:tblPr>
        <w:tblStyle w:val="15"/>
        <w:tblW w:w="9073" w:type="dxa"/>
        <w:tblInd w:w="-2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7371"/>
      </w:tblGrid>
      <w:tr w14:paraId="41280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47AEE69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指标项</w:t>
            </w:r>
          </w:p>
        </w:tc>
        <w:tc>
          <w:tcPr>
            <w:tcW w:w="7371" w:type="dxa"/>
            <w:tcBorders>
              <w:top w:val="single" w:color="auto" w:sz="4" w:space="0"/>
              <w:left w:val="single" w:color="auto" w:sz="4" w:space="0"/>
              <w:bottom w:val="single" w:color="auto" w:sz="4" w:space="0"/>
              <w:right w:val="single" w:color="auto" w:sz="4" w:space="0"/>
            </w:tcBorders>
            <w:vAlign w:val="center"/>
          </w:tcPr>
          <w:p w14:paraId="3A77E08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规格要求</w:t>
            </w:r>
          </w:p>
        </w:tc>
      </w:tr>
      <w:tr w14:paraId="40807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702" w:type="dxa"/>
            <w:tcBorders>
              <w:top w:val="single" w:color="auto" w:sz="4" w:space="0"/>
              <w:left w:val="single" w:color="auto" w:sz="4" w:space="0"/>
              <w:bottom w:val="single" w:color="auto" w:sz="4" w:space="0"/>
              <w:right w:val="single" w:color="auto" w:sz="4" w:space="0"/>
            </w:tcBorders>
            <w:vAlign w:val="center"/>
          </w:tcPr>
          <w:p w14:paraId="6D9EC075">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云平台技术</w:t>
            </w:r>
          </w:p>
        </w:tc>
        <w:tc>
          <w:tcPr>
            <w:tcW w:w="7371" w:type="dxa"/>
            <w:tcBorders>
              <w:top w:val="single" w:color="auto" w:sz="4" w:space="0"/>
              <w:left w:val="single" w:color="auto" w:sz="4" w:space="0"/>
              <w:bottom w:val="single" w:color="auto" w:sz="4" w:space="0"/>
              <w:right w:val="single" w:color="auto" w:sz="4" w:space="0"/>
            </w:tcBorders>
            <w:vAlign w:val="center"/>
          </w:tcPr>
          <w:p w14:paraId="0B330B95">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要求所有产品(组件)采用多种技术架构，能够支持鲲鹏芯片、飞腾芯片、海光等芯片制造的设备。采用多种调度机制实现对集群内的CPU、内存资源进行统一调度； 采用多种管理机制实现对集群内的硬盘资源进行统一的管理和分配等相关功能。</w:t>
            </w:r>
          </w:p>
        </w:tc>
      </w:tr>
      <w:tr w14:paraId="45992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15AED60A">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网络要求</w:t>
            </w:r>
          </w:p>
        </w:tc>
        <w:tc>
          <w:tcPr>
            <w:tcW w:w="7371" w:type="dxa"/>
            <w:tcBorders>
              <w:top w:val="single" w:color="auto" w:sz="4" w:space="0"/>
              <w:left w:val="single" w:color="auto" w:sz="4" w:space="0"/>
              <w:bottom w:val="single" w:color="auto" w:sz="4" w:space="0"/>
              <w:right w:val="single" w:color="auto" w:sz="4" w:space="0"/>
            </w:tcBorders>
            <w:vAlign w:val="center"/>
          </w:tcPr>
          <w:p w14:paraId="66FA2D1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网络应满足政务外网规范及分域设计要求。按照互联网业务、公共业务等进行分区分域规划。</w:t>
            </w:r>
          </w:p>
        </w:tc>
      </w:tr>
      <w:tr w14:paraId="658F5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0B402E86">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计算存储能力</w:t>
            </w:r>
          </w:p>
        </w:tc>
        <w:tc>
          <w:tcPr>
            <w:tcW w:w="7371" w:type="dxa"/>
            <w:tcBorders>
              <w:top w:val="single" w:color="auto" w:sz="4" w:space="0"/>
              <w:left w:val="single" w:color="auto" w:sz="4" w:space="0"/>
              <w:bottom w:val="single" w:color="auto" w:sz="4" w:space="0"/>
              <w:right w:val="single" w:color="auto" w:sz="4" w:space="0"/>
            </w:tcBorders>
            <w:vAlign w:val="center"/>
          </w:tcPr>
          <w:p w14:paraId="4E3F2EFF">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规模能够按实际使用情况扩容，并留有一定余量，至少10%及以上能力。</w:t>
            </w:r>
          </w:p>
        </w:tc>
      </w:tr>
      <w:tr w14:paraId="193F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vAlign w:val="center"/>
          </w:tcPr>
          <w:p w14:paraId="6202DE7B">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系统软件服务</w:t>
            </w:r>
          </w:p>
        </w:tc>
        <w:tc>
          <w:tcPr>
            <w:tcW w:w="7371" w:type="dxa"/>
            <w:tcBorders>
              <w:top w:val="single" w:color="auto" w:sz="4" w:space="0"/>
              <w:left w:val="single" w:color="auto" w:sz="4" w:space="0"/>
              <w:bottom w:val="single" w:color="auto" w:sz="4" w:space="0"/>
              <w:right w:val="single" w:color="auto" w:sz="4" w:space="0"/>
            </w:tcBorders>
            <w:vAlign w:val="center"/>
          </w:tcPr>
          <w:p w14:paraId="3F94DC55">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提供云服务器操作系统软件、数据库软件和中间件软件等系统软件，满足应用部署要求。</w:t>
            </w:r>
          </w:p>
        </w:tc>
      </w:tr>
    </w:tbl>
    <w:p w14:paraId="208697E8">
      <w:pPr>
        <w:keepNext w:val="0"/>
        <w:keepLines w:val="0"/>
        <w:pageBreakBefore w:val="0"/>
        <w:widowControl/>
        <w:kinsoku/>
        <w:wordWrap w:val="0"/>
        <w:overflowPunct/>
        <w:topLinePunct/>
        <w:autoSpaceDE/>
        <w:autoSpaceDN/>
        <w:bidi w:val="0"/>
        <w:adjustRightInd/>
        <w:snapToGrid/>
        <w:spacing w:line="420" w:lineRule="exact"/>
        <w:ind w:firstLine="480" w:firstLineChars="200"/>
        <w:jc w:val="left"/>
        <w:textAlignment w:val="auto"/>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1.产品技术要求</w:t>
      </w:r>
    </w:p>
    <w:tbl>
      <w:tblPr>
        <w:tblStyle w:val="15"/>
        <w:tblW w:w="9073" w:type="dxa"/>
        <w:tblInd w:w="-289" w:type="dxa"/>
        <w:tblLayout w:type="fixed"/>
        <w:tblCellMar>
          <w:top w:w="0" w:type="dxa"/>
          <w:left w:w="108" w:type="dxa"/>
          <w:bottom w:w="0" w:type="dxa"/>
          <w:right w:w="108" w:type="dxa"/>
        </w:tblCellMar>
      </w:tblPr>
      <w:tblGrid>
        <w:gridCol w:w="1844"/>
        <w:gridCol w:w="7229"/>
      </w:tblGrid>
      <w:tr w14:paraId="375049B9">
        <w:tblPrEx>
          <w:tblCellMar>
            <w:top w:w="0" w:type="dxa"/>
            <w:left w:w="108" w:type="dxa"/>
            <w:bottom w:w="0" w:type="dxa"/>
            <w:right w:w="108" w:type="dxa"/>
          </w:tblCellMar>
        </w:tblPrEx>
        <w:trPr>
          <w:trHeight w:val="280" w:hRule="atLeast"/>
        </w:trPr>
        <w:tc>
          <w:tcPr>
            <w:tcW w:w="1844" w:type="dxa"/>
            <w:tcBorders>
              <w:top w:val="single" w:color="000000" w:sz="4" w:space="0"/>
              <w:left w:val="single" w:color="000000" w:sz="4" w:space="0"/>
              <w:bottom w:val="single" w:color="000000" w:sz="4" w:space="0"/>
              <w:right w:val="single" w:color="000000" w:sz="4" w:space="0"/>
            </w:tcBorders>
            <w:vAlign w:val="center"/>
          </w:tcPr>
          <w:p w14:paraId="51D2591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指标项</w:t>
            </w:r>
          </w:p>
        </w:tc>
        <w:tc>
          <w:tcPr>
            <w:tcW w:w="7229" w:type="dxa"/>
            <w:tcBorders>
              <w:top w:val="single" w:color="000000" w:sz="4" w:space="0"/>
              <w:left w:val="single" w:color="000000" w:sz="4" w:space="0"/>
              <w:bottom w:val="single" w:color="000000" w:sz="4" w:space="0"/>
              <w:right w:val="single" w:color="000000" w:sz="4" w:space="0"/>
            </w:tcBorders>
            <w:vAlign w:val="center"/>
          </w:tcPr>
          <w:p w14:paraId="785F6105">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规格要求</w:t>
            </w:r>
          </w:p>
        </w:tc>
      </w:tr>
      <w:tr w14:paraId="1B4378F5">
        <w:tblPrEx>
          <w:tblCellMar>
            <w:top w:w="0" w:type="dxa"/>
            <w:left w:w="108" w:type="dxa"/>
            <w:bottom w:w="0" w:type="dxa"/>
            <w:right w:w="108" w:type="dxa"/>
          </w:tblCellMar>
        </w:tblPrEx>
        <w:trPr>
          <w:trHeight w:val="573" w:hRule="atLeast"/>
        </w:trPr>
        <w:tc>
          <w:tcPr>
            <w:tcW w:w="1844" w:type="dxa"/>
            <w:vMerge w:val="restart"/>
            <w:tcBorders>
              <w:top w:val="single" w:color="000000" w:sz="4" w:space="0"/>
              <w:left w:val="single" w:color="000000" w:sz="4" w:space="0"/>
              <w:right w:val="single" w:color="000000" w:sz="4" w:space="0"/>
            </w:tcBorders>
            <w:vAlign w:val="center"/>
          </w:tcPr>
          <w:p w14:paraId="320096C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云服务器技术要求</w:t>
            </w:r>
          </w:p>
        </w:tc>
        <w:tc>
          <w:tcPr>
            <w:tcW w:w="7229" w:type="dxa"/>
            <w:tcBorders>
              <w:top w:val="single" w:color="000000" w:sz="4" w:space="0"/>
              <w:left w:val="single" w:color="000000" w:sz="4" w:space="0"/>
              <w:bottom w:val="single" w:color="000000" w:sz="4" w:space="0"/>
              <w:right w:val="single" w:color="000000" w:sz="4" w:space="0"/>
            </w:tcBorders>
          </w:tcPr>
          <w:p w14:paraId="427A83EF">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对以下操作系统的支持：麒麟操作系统，统信操作系统 ；提供丰富的API接口，包括创建，删除，修改，查询，启动，重启，停止。</w:t>
            </w:r>
          </w:p>
        </w:tc>
      </w:tr>
      <w:tr w14:paraId="640486C5">
        <w:tblPrEx>
          <w:tblCellMar>
            <w:top w:w="0" w:type="dxa"/>
            <w:left w:w="108" w:type="dxa"/>
            <w:bottom w:w="0" w:type="dxa"/>
            <w:right w:w="108" w:type="dxa"/>
          </w:tblCellMar>
        </w:tblPrEx>
        <w:trPr>
          <w:trHeight w:val="125" w:hRule="atLeast"/>
        </w:trPr>
        <w:tc>
          <w:tcPr>
            <w:tcW w:w="1844" w:type="dxa"/>
            <w:vMerge w:val="continue"/>
            <w:tcBorders>
              <w:left w:val="single" w:color="000000" w:sz="4" w:space="0"/>
              <w:right w:val="single" w:color="000000" w:sz="4" w:space="0"/>
            </w:tcBorders>
            <w:vAlign w:val="center"/>
          </w:tcPr>
          <w:p w14:paraId="774CCFA8">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tcPr>
          <w:p w14:paraId="5F6C5847">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可提供基于海光或者鲲鹏等国产</w:t>
            </w:r>
            <w:r>
              <w:rPr>
                <w:rFonts w:hint="default" w:ascii="宋体" w:hAnsi="宋体" w:cs="宋体"/>
                <w:bCs/>
                <w:color w:val="000000" w:themeColor="text1"/>
                <w:kern w:val="0"/>
                <w:szCs w:val="21"/>
                <w14:textFill>
                  <w14:solidFill>
                    <w14:schemeClr w14:val="tx1"/>
                  </w14:solidFill>
                </w14:textFill>
              </w:rPr>
              <w:t>CPU的云服务器。</w:t>
            </w:r>
          </w:p>
        </w:tc>
      </w:tr>
      <w:tr w14:paraId="5FD9635A">
        <w:tblPrEx>
          <w:tblCellMar>
            <w:top w:w="0" w:type="dxa"/>
            <w:left w:w="108" w:type="dxa"/>
            <w:bottom w:w="0" w:type="dxa"/>
            <w:right w:w="108" w:type="dxa"/>
          </w:tblCellMar>
        </w:tblPrEx>
        <w:trPr>
          <w:trHeight w:val="334" w:hRule="atLeast"/>
        </w:trPr>
        <w:tc>
          <w:tcPr>
            <w:tcW w:w="1844" w:type="dxa"/>
            <w:vMerge w:val="continue"/>
            <w:tcBorders>
              <w:left w:val="single" w:color="000000" w:sz="4" w:space="0"/>
              <w:right w:val="single" w:color="000000" w:sz="4" w:space="0"/>
            </w:tcBorders>
            <w:vAlign w:val="center"/>
          </w:tcPr>
          <w:p w14:paraId="62E7C71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tcPr>
          <w:p w14:paraId="5F920D7F">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云服务器支持用户通过快照对云服务器的数据进行备份，通过快照进行云服务器的数据恢复，可以为每块磁盘创建64个快照，支持设置自动快照策略。</w:t>
            </w:r>
          </w:p>
        </w:tc>
      </w:tr>
      <w:tr w14:paraId="5344B474">
        <w:tblPrEx>
          <w:tblCellMar>
            <w:top w:w="0" w:type="dxa"/>
            <w:left w:w="108" w:type="dxa"/>
            <w:bottom w:w="0" w:type="dxa"/>
            <w:right w:w="108" w:type="dxa"/>
          </w:tblCellMar>
        </w:tblPrEx>
        <w:trPr>
          <w:trHeight w:val="430" w:hRule="atLeast"/>
        </w:trPr>
        <w:tc>
          <w:tcPr>
            <w:tcW w:w="1844" w:type="dxa"/>
            <w:vMerge w:val="continue"/>
            <w:tcBorders>
              <w:left w:val="single" w:color="000000" w:sz="4" w:space="0"/>
              <w:bottom w:val="single" w:color="000000" w:sz="4" w:space="0"/>
              <w:right w:val="single" w:color="000000" w:sz="4" w:space="0"/>
            </w:tcBorders>
            <w:vAlign w:val="center"/>
          </w:tcPr>
          <w:p w14:paraId="6963B21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tcPr>
          <w:p w14:paraId="4146E51F">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支持虚拟机系统盘在线扩容，支持在白屏化界面操作。</w:t>
            </w:r>
          </w:p>
        </w:tc>
      </w:tr>
      <w:tr w14:paraId="55904D02">
        <w:tblPrEx>
          <w:tblCellMar>
            <w:top w:w="0" w:type="dxa"/>
            <w:left w:w="108" w:type="dxa"/>
            <w:bottom w:w="0" w:type="dxa"/>
            <w:right w:w="108" w:type="dxa"/>
          </w:tblCellMar>
        </w:tblPrEx>
        <w:trPr>
          <w:trHeight w:val="269" w:hRule="atLeast"/>
        </w:trPr>
        <w:tc>
          <w:tcPr>
            <w:tcW w:w="1844" w:type="dxa"/>
            <w:vMerge w:val="restart"/>
            <w:tcBorders>
              <w:top w:val="single" w:color="000000" w:sz="4" w:space="0"/>
              <w:left w:val="single" w:color="000000" w:sz="4" w:space="0"/>
              <w:right w:val="single" w:color="000000" w:sz="4" w:space="0"/>
            </w:tcBorders>
            <w:vAlign w:val="center"/>
          </w:tcPr>
          <w:p w14:paraId="0C71AA18">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云主机数据盘技术要求</w:t>
            </w:r>
          </w:p>
        </w:tc>
        <w:tc>
          <w:tcPr>
            <w:tcW w:w="7229" w:type="dxa"/>
            <w:tcBorders>
              <w:top w:val="single" w:color="000000" w:sz="4" w:space="0"/>
              <w:left w:val="single" w:color="000000" w:sz="4" w:space="0"/>
              <w:bottom w:val="single" w:color="000000" w:sz="4" w:space="0"/>
              <w:right w:val="single" w:color="000000" w:sz="4" w:space="0"/>
            </w:tcBorders>
            <w:vAlign w:val="center"/>
          </w:tcPr>
          <w:p w14:paraId="3B82E1D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支持在线扩展容量，扩容期间无需关闭虚拟机，无需卸载云盘；系统盘在线扩容不停业务。</w:t>
            </w:r>
          </w:p>
        </w:tc>
      </w:tr>
      <w:tr w14:paraId="19FFC584">
        <w:tblPrEx>
          <w:tblCellMar>
            <w:top w:w="0" w:type="dxa"/>
            <w:left w:w="108" w:type="dxa"/>
            <w:bottom w:w="0" w:type="dxa"/>
            <w:right w:w="108" w:type="dxa"/>
          </w:tblCellMar>
        </w:tblPrEx>
        <w:trPr>
          <w:trHeight w:val="463" w:hRule="atLeast"/>
        </w:trPr>
        <w:tc>
          <w:tcPr>
            <w:tcW w:w="1844" w:type="dxa"/>
            <w:vMerge w:val="continue"/>
            <w:tcBorders>
              <w:left w:val="single" w:color="000000" w:sz="4" w:space="0"/>
              <w:right w:val="single" w:color="000000" w:sz="4" w:space="0"/>
            </w:tcBorders>
            <w:vAlign w:val="center"/>
          </w:tcPr>
          <w:p w14:paraId="5B8AA3E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14:paraId="73F4642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单个云盘支持32TB容量。</w:t>
            </w:r>
          </w:p>
        </w:tc>
      </w:tr>
      <w:tr w14:paraId="4BD225B2">
        <w:tblPrEx>
          <w:tblCellMar>
            <w:top w:w="0" w:type="dxa"/>
            <w:left w:w="108" w:type="dxa"/>
            <w:bottom w:w="0" w:type="dxa"/>
            <w:right w:w="108" w:type="dxa"/>
          </w:tblCellMar>
        </w:tblPrEx>
        <w:trPr>
          <w:trHeight w:val="341" w:hRule="atLeast"/>
        </w:trPr>
        <w:tc>
          <w:tcPr>
            <w:tcW w:w="1844" w:type="dxa"/>
            <w:vMerge w:val="continue"/>
            <w:tcBorders>
              <w:left w:val="single" w:color="000000" w:sz="4" w:space="0"/>
              <w:right w:val="single" w:color="000000" w:sz="4" w:space="0"/>
            </w:tcBorders>
            <w:vAlign w:val="center"/>
          </w:tcPr>
          <w:p w14:paraId="6B00E02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14:paraId="15EC814A">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单台实例支持挂载不少于17块云盘(包括系统盘)，支持同时挂载本地盘与云盘。</w:t>
            </w:r>
          </w:p>
        </w:tc>
      </w:tr>
      <w:tr w14:paraId="0CD500A9">
        <w:tblPrEx>
          <w:tblCellMar>
            <w:top w:w="0" w:type="dxa"/>
            <w:left w:w="108" w:type="dxa"/>
            <w:bottom w:w="0" w:type="dxa"/>
            <w:right w:w="108" w:type="dxa"/>
          </w:tblCellMar>
        </w:tblPrEx>
        <w:trPr>
          <w:trHeight w:val="176" w:hRule="atLeast"/>
        </w:trPr>
        <w:tc>
          <w:tcPr>
            <w:tcW w:w="1844" w:type="dxa"/>
            <w:vMerge w:val="continue"/>
            <w:tcBorders>
              <w:left w:val="single" w:color="000000" w:sz="4" w:space="0"/>
              <w:bottom w:val="single" w:color="000000" w:sz="4" w:space="0"/>
              <w:right w:val="single" w:color="000000" w:sz="4" w:space="0"/>
            </w:tcBorders>
            <w:vAlign w:val="center"/>
          </w:tcPr>
          <w:p w14:paraId="31BA7920">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14:paraId="7C877726">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支持针对云盘在线创建快照，能够支持针对任意快照时间点进行回滚。</w:t>
            </w:r>
          </w:p>
        </w:tc>
      </w:tr>
      <w:tr w14:paraId="25A511F9">
        <w:tblPrEx>
          <w:tblCellMar>
            <w:top w:w="0" w:type="dxa"/>
            <w:left w:w="108" w:type="dxa"/>
            <w:bottom w:w="0" w:type="dxa"/>
            <w:right w:w="108" w:type="dxa"/>
          </w:tblCellMar>
        </w:tblPrEx>
        <w:trPr>
          <w:trHeight w:val="491" w:hRule="atLeast"/>
        </w:trPr>
        <w:tc>
          <w:tcPr>
            <w:tcW w:w="1844" w:type="dxa"/>
            <w:vMerge w:val="restart"/>
            <w:tcBorders>
              <w:top w:val="single" w:color="000000" w:sz="4" w:space="0"/>
              <w:left w:val="single" w:color="000000" w:sz="4" w:space="0"/>
              <w:right w:val="single" w:color="000000" w:sz="4" w:space="0"/>
            </w:tcBorders>
            <w:vAlign w:val="center"/>
          </w:tcPr>
          <w:p w14:paraId="59EE2FC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云对象存储服务技术要求</w:t>
            </w:r>
          </w:p>
        </w:tc>
        <w:tc>
          <w:tcPr>
            <w:tcW w:w="7229" w:type="dxa"/>
            <w:tcBorders>
              <w:top w:val="single" w:color="000000" w:sz="4" w:space="0"/>
              <w:left w:val="single" w:color="000000" w:sz="4" w:space="0"/>
              <w:bottom w:val="single" w:color="000000" w:sz="4" w:space="0"/>
              <w:right w:val="single" w:color="000000" w:sz="4" w:space="0"/>
            </w:tcBorders>
            <w:vAlign w:val="center"/>
          </w:tcPr>
          <w:p w14:paraId="4ED49352">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对象存储服务支持RESTful API接口、兼容Amazon S3接口。</w:t>
            </w:r>
          </w:p>
        </w:tc>
      </w:tr>
      <w:tr w14:paraId="04FA46DC">
        <w:tblPrEx>
          <w:tblCellMar>
            <w:top w:w="0" w:type="dxa"/>
            <w:left w:w="108" w:type="dxa"/>
            <w:bottom w:w="0" w:type="dxa"/>
            <w:right w:w="108" w:type="dxa"/>
          </w:tblCellMar>
        </w:tblPrEx>
        <w:trPr>
          <w:trHeight w:val="612" w:hRule="atLeast"/>
        </w:trPr>
        <w:tc>
          <w:tcPr>
            <w:tcW w:w="1844" w:type="dxa"/>
            <w:vMerge w:val="continue"/>
            <w:tcBorders>
              <w:left w:val="single" w:color="000000" w:sz="4" w:space="0"/>
              <w:right w:val="single" w:color="000000" w:sz="4" w:space="0"/>
            </w:tcBorders>
            <w:vAlign w:val="center"/>
          </w:tcPr>
          <w:p w14:paraId="0FFD499F">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14:paraId="342DE19A">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理论存储空间无上限，单个对象最大支持40TB以上，单租户最大bucket数量不少于100个， 图片大小支持不小于20MB。</w:t>
            </w:r>
          </w:p>
        </w:tc>
      </w:tr>
      <w:tr w14:paraId="7E3E8523">
        <w:tblPrEx>
          <w:tblCellMar>
            <w:top w:w="0" w:type="dxa"/>
            <w:left w:w="108" w:type="dxa"/>
            <w:bottom w:w="0" w:type="dxa"/>
            <w:right w:w="108" w:type="dxa"/>
          </w:tblCellMar>
        </w:tblPrEx>
        <w:trPr>
          <w:trHeight w:val="400" w:hRule="atLeast"/>
        </w:trPr>
        <w:tc>
          <w:tcPr>
            <w:tcW w:w="1844" w:type="dxa"/>
            <w:vMerge w:val="continue"/>
            <w:tcBorders>
              <w:left w:val="single" w:color="000000" w:sz="4" w:space="0"/>
              <w:right w:val="single" w:color="000000" w:sz="4" w:space="0"/>
            </w:tcBorders>
            <w:vAlign w:val="center"/>
          </w:tcPr>
          <w:p w14:paraId="04700CC7">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14:paraId="75FB7A1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提供基于三副本或EC校验模式的数据多重冗余备份。</w:t>
            </w:r>
          </w:p>
        </w:tc>
      </w:tr>
      <w:tr w14:paraId="179C4D0E">
        <w:tblPrEx>
          <w:tblCellMar>
            <w:top w:w="0" w:type="dxa"/>
            <w:left w:w="108" w:type="dxa"/>
            <w:bottom w:w="0" w:type="dxa"/>
            <w:right w:w="108" w:type="dxa"/>
          </w:tblCellMar>
        </w:tblPrEx>
        <w:trPr>
          <w:trHeight w:val="248" w:hRule="atLeast"/>
        </w:trPr>
        <w:tc>
          <w:tcPr>
            <w:tcW w:w="1844" w:type="dxa"/>
            <w:vMerge w:val="restart"/>
            <w:tcBorders>
              <w:top w:val="single" w:color="000000" w:sz="4" w:space="0"/>
              <w:left w:val="single" w:color="000000" w:sz="4" w:space="0"/>
              <w:right w:val="single" w:color="000000" w:sz="4" w:space="0"/>
            </w:tcBorders>
            <w:vAlign w:val="center"/>
          </w:tcPr>
          <w:p w14:paraId="1E867AED">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云负载均衡技术要求</w:t>
            </w:r>
          </w:p>
        </w:tc>
        <w:tc>
          <w:tcPr>
            <w:tcW w:w="7229" w:type="dxa"/>
            <w:tcBorders>
              <w:top w:val="single" w:color="000000" w:sz="4" w:space="0"/>
              <w:left w:val="single" w:color="000000" w:sz="4" w:space="0"/>
              <w:bottom w:val="single" w:color="000000" w:sz="4" w:space="0"/>
              <w:right w:val="single" w:color="000000" w:sz="4" w:space="0"/>
            </w:tcBorders>
            <w:vAlign w:val="center"/>
          </w:tcPr>
          <w:p w14:paraId="23F2DCE2">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采用国产化服务器实现。</w:t>
            </w:r>
          </w:p>
        </w:tc>
      </w:tr>
      <w:tr w14:paraId="309E1928">
        <w:tblPrEx>
          <w:tblCellMar>
            <w:top w:w="0" w:type="dxa"/>
            <w:left w:w="108" w:type="dxa"/>
            <w:bottom w:w="0" w:type="dxa"/>
            <w:right w:w="108" w:type="dxa"/>
          </w:tblCellMar>
        </w:tblPrEx>
        <w:trPr>
          <w:trHeight w:val="418" w:hRule="atLeast"/>
        </w:trPr>
        <w:tc>
          <w:tcPr>
            <w:tcW w:w="1844" w:type="dxa"/>
            <w:vMerge w:val="continue"/>
            <w:tcBorders>
              <w:top w:val="single" w:color="000000" w:sz="4" w:space="0"/>
              <w:left w:val="single" w:color="000000" w:sz="4" w:space="0"/>
              <w:right w:val="single" w:color="000000" w:sz="4" w:space="0"/>
            </w:tcBorders>
            <w:vAlign w:val="center"/>
          </w:tcPr>
          <w:p w14:paraId="507B2397">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14:paraId="1654B9F4">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同时支持4层负载均衡和七层负载均衡。</w:t>
            </w:r>
          </w:p>
        </w:tc>
      </w:tr>
      <w:tr w14:paraId="7C84887C">
        <w:tblPrEx>
          <w:tblCellMar>
            <w:top w:w="0" w:type="dxa"/>
            <w:left w:w="108" w:type="dxa"/>
            <w:bottom w:w="0" w:type="dxa"/>
            <w:right w:w="108" w:type="dxa"/>
          </w:tblCellMar>
        </w:tblPrEx>
        <w:trPr>
          <w:trHeight w:val="320" w:hRule="atLeast"/>
        </w:trPr>
        <w:tc>
          <w:tcPr>
            <w:tcW w:w="1844" w:type="dxa"/>
            <w:vMerge w:val="continue"/>
            <w:tcBorders>
              <w:left w:val="single" w:color="000000" w:sz="4" w:space="0"/>
              <w:bottom w:val="single" w:color="000000" w:sz="4" w:space="0"/>
              <w:right w:val="single" w:color="000000" w:sz="4" w:space="0"/>
            </w:tcBorders>
            <w:vAlign w:val="center"/>
          </w:tcPr>
          <w:p w14:paraId="324AA8A3">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14:paraId="27CF6111">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支持集群高可用架构，支持动态扩展。</w:t>
            </w:r>
          </w:p>
        </w:tc>
      </w:tr>
      <w:tr w14:paraId="61414E15">
        <w:tblPrEx>
          <w:tblCellMar>
            <w:top w:w="0" w:type="dxa"/>
            <w:left w:w="108" w:type="dxa"/>
            <w:bottom w:w="0" w:type="dxa"/>
            <w:right w:w="108" w:type="dxa"/>
          </w:tblCellMar>
        </w:tblPrEx>
        <w:trPr>
          <w:trHeight w:val="558" w:hRule="atLeast"/>
        </w:trPr>
        <w:tc>
          <w:tcPr>
            <w:tcW w:w="1844" w:type="dxa"/>
            <w:vMerge w:val="restart"/>
            <w:tcBorders>
              <w:top w:val="single" w:color="000000" w:sz="4" w:space="0"/>
              <w:left w:val="single" w:color="000000" w:sz="4" w:space="0"/>
              <w:right w:val="single" w:color="000000" w:sz="4" w:space="0"/>
            </w:tcBorders>
            <w:vAlign w:val="center"/>
          </w:tcPr>
          <w:p w14:paraId="4415F1B1">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云管理平台技术要求</w:t>
            </w:r>
          </w:p>
        </w:tc>
        <w:tc>
          <w:tcPr>
            <w:tcW w:w="7229" w:type="dxa"/>
            <w:tcBorders>
              <w:top w:val="single" w:color="000000" w:sz="4" w:space="0"/>
              <w:left w:val="single" w:color="000000" w:sz="4" w:space="0"/>
              <w:bottom w:val="single" w:color="000000" w:sz="4" w:space="0"/>
              <w:right w:val="single" w:color="000000" w:sz="4" w:space="0"/>
            </w:tcBorders>
            <w:vAlign w:val="center"/>
          </w:tcPr>
          <w:p w14:paraId="088F7277">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虚拟资源管理：提供对云数据库、云数据库、云存储、负载均衡、多租户等全方位的管理和监控；将分散的高性能计算资源实现统一融合管理，计算资源不再以孤立的形式存在，而由云管控平台整合、管理与调度，构成出一个统一的资源池，实现资源的按需分配，确保闲置、高性能资源得到充分利用，提高资源利用率。</w:t>
            </w:r>
          </w:p>
        </w:tc>
      </w:tr>
      <w:tr w14:paraId="2F092770">
        <w:tblPrEx>
          <w:tblCellMar>
            <w:top w:w="0" w:type="dxa"/>
            <w:left w:w="108" w:type="dxa"/>
            <w:bottom w:w="0" w:type="dxa"/>
            <w:right w:w="108" w:type="dxa"/>
          </w:tblCellMar>
        </w:tblPrEx>
        <w:trPr>
          <w:trHeight w:val="502" w:hRule="atLeast"/>
        </w:trPr>
        <w:tc>
          <w:tcPr>
            <w:tcW w:w="1844" w:type="dxa"/>
            <w:vMerge w:val="continue"/>
            <w:tcBorders>
              <w:left w:val="single" w:color="000000" w:sz="4" w:space="0"/>
              <w:right w:val="single" w:color="000000" w:sz="4" w:space="0"/>
            </w:tcBorders>
            <w:vAlign w:val="center"/>
          </w:tcPr>
          <w:p w14:paraId="7EF742DA">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14:paraId="177DDA4C">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运营管理：主要面向云资源的使用者及管理员，基于用户的鉴权及资源分配，提供对云资源的各类操作、监控、分析等管理功能。告警支持钉钉推送。</w:t>
            </w:r>
          </w:p>
        </w:tc>
      </w:tr>
      <w:tr w14:paraId="1730E2C7">
        <w:tblPrEx>
          <w:tblCellMar>
            <w:top w:w="0" w:type="dxa"/>
            <w:left w:w="108" w:type="dxa"/>
            <w:bottom w:w="0" w:type="dxa"/>
            <w:right w:w="108" w:type="dxa"/>
          </w:tblCellMar>
        </w:tblPrEx>
        <w:trPr>
          <w:trHeight w:val="1400" w:hRule="atLeast"/>
        </w:trPr>
        <w:tc>
          <w:tcPr>
            <w:tcW w:w="1844" w:type="dxa"/>
            <w:tcBorders>
              <w:top w:val="single" w:color="000000" w:sz="4" w:space="0"/>
              <w:left w:val="single" w:color="000000" w:sz="4" w:space="0"/>
              <w:bottom w:val="single" w:color="000000" w:sz="4" w:space="0"/>
              <w:right w:val="single" w:color="000000" w:sz="4" w:space="0"/>
            </w:tcBorders>
            <w:vAlign w:val="center"/>
          </w:tcPr>
          <w:p w14:paraId="6EB43BE2">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操作系统</w:t>
            </w:r>
          </w:p>
        </w:tc>
        <w:tc>
          <w:tcPr>
            <w:tcW w:w="7229" w:type="dxa"/>
            <w:tcBorders>
              <w:top w:val="single" w:color="000000" w:sz="4" w:space="0"/>
              <w:left w:val="single" w:color="000000" w:sz="4" w:space="0"/>
              <w:bottom w:val="single" w:color="000000" w:sz="4" w:space="0"/>
              <w:right w:val="single" w:color="000000" w:sz="4" w:space="0"/>
            </w:tcBorders>
            <w:vAlign w:val="center"/>
          </w:tcPr>
          <w:p w14:paraId="58538B92">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基本文件管理、设备管理、日志管理、服务管理、进程和监控管理、网络管理、资源管理、软件包管理、硬盘管理等基本功能，提供语言支持工具、文件共享服务工具、集成开发平台等常用工具， 支持KVM虚拟化技术，具备政务网内操作系统软件升级仓库的能力。提供两家或者两家以上符合上述要求的国产化操作系统产品的能力。</w:t>
            </w:r>
          </w:p>
        </w:tc>
      </w:tr>
      <w:tr w14:paraId="7142FC75">
        <w:tblPrEx>
          <w:tblCellMar>
            <w:top w:w="0" w:type="dxa"/>
            <w:left w:w="108" w:type="dxa"/>
            <w:bottom w:w="0" w:type="dxa"/>
            <w:right w:w="108" w:type="dxa"/>
          </w:tblCellMar>
        </w:tblPrEx>
        <w:trPr>
          <w:trHeight w:val="1862" w:hRule="atLeast"/>
        </w:trPr>
        <w:tc>
          <w:tcPr>
            <w:tcW w:w="1844" w:type="dxa"/>
            <w:vMerge w:val="restart"/>
            <w:tcBorders>
              <w:top w:val="single" w:color="000000" w:sz="4" w:space="0"/>
              <w:left w:val="single" w:color="000000" w:sz="4" w:space="0"/>
              <w:right w:val="single" w:color="000000" w:sz="4" w:space="0"/>
            </w:tcBorders>
            <w:vAlign w:val="center"/>
          </w:tcPr>
          <w:p w14:paraId="71E3ED9F">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集群版数据库</w:t>
            </w:r>
          </w:p>
        </w:tc>
        <w:tc>
          <w:tcPr>
            <w:tcW w:w="7229" w:type="dxa"/>
            <w:tcBorders>
              <w:top w:val="single" w:color="000000" w:sz="4" w:space="0"/>
              <w:left w:val="single" w:color="000000" w:sz="4" w:space="0"/>
              <w:bottom w:val="single" w:color="000000" w:sz="4" w:space="0"/>
              <w:right w:val="single" w:color="000000" w:sz="4" w:space="0"/>
            </w:tcBorders>
            <w:vAlign w:val="center"/>
          </w:tcPr>
          <w:p w14:paraId="75EDB535">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r>
      <w:tr w14:paraId="77F7B7CD">
        <w:tblPrEx>
          <w:tblCellMar>
            <w:top w:w="0" w:type="dxa"/>
            <w:left w:w="108" w:type="dxa"/>
            <w:bottom w:w="0" w:type="dxa"/>
            <w:right w:w="108" w:type="dxa"/>
          </w:tblCellMar>
        </w:tblPrEx>
        <w:trPr>
          <w:trHeight w:val="734" w:hRule="atLeast"/>
        </w:trPr>
        <w:tc>
          <w:tcPr>
            <w:tcW w:w="1844" w:type="dxa"/>
            <w:vMerge w:val="continue"/>
            <w:tcBorders>
              <w:left w:val="single" w:color="000000" w:sz="4" w:space="0"/>
              <w:bottom w:val="single" w:color="000000" w:sz="4" w:space="0"/>
              <w:right w:val="single" w:color="000000" w:sz="4" w:space="0"/>
            </w:tcBorders>
            <w:vAlign w:val="center"/>
          </w:tcPr>
          <w:p w14:paraId="22021197">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14:paraId="3FF8B0FE">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符合GB/T30994-2014关系数据库管理规范、GB/T28821-2012关系数据库管理系统技术要求和基础通用产品集群版数据库管理系统测试规范要求。</w:t>
            </w:r>
          </w:p>
        </w:tc>
      </w:tr>
      <w:tr w14:paraId="7D5B640C">
        <w:tblPrEx>
          <w:tblCellMar>
            <w:top w:w="0" w:type="dxa"/>
            <w:left w:w="108" w:type="dxa"/>
            <w:bottom w:w="0" w:type="dxa"/>
            <w:right w:w="108" w:type="dxa"/>
          </w:tblCellMar>
        </w:tblPrEx>
        <w:trPr>
          <w:trHeight w:val="406" w:hRule="atLeast"/>
        </w:trPr>
        <w:tc>
          <w:tcPr>
            <w:tcW w:w="1844" w:type="dxa"/>
            <w:tcBorders>
              <w:top w:val="single" w:color="000000" w:sz="4" w:space="0"/>
              <w:left w:val="single" w:color="000000" w:sz="4" w:space="0"/>
              <w:bottom w:val="single" w:color="000000" w:sz="4" w:space="0"/>
              <w:right w:val="single" w:color="000000" w:sz="4" w:space="0"/>
            </w:tcBorders>
            <w:vAlign w:val="center"/>
          </w:tcPr>
          <w:p w14:paraId="24E88059">
            <w:pPr>
              <w:keepNext w:val="0"/>
              <w:keepLines w:val="0"/>
              <w:pageBreakBefore w:val="0"/>
              <w:widowControl/>
              <w:suppressLineNumbers w:val="0"/>
              <w:tabs>
                <w:tab w:val="center" w:pos="814"/>
              </w:tabs>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ab/>
            </w:r>
            <w:r>
              <w:rPr>
                <w:rFonts w:hint="eastAsia" w:ascii="宋体" w:hAnsi="宋体" w:cs="宋体"/>
                <w:bCs/>
                <w:kern w:val="0"/>
                <w:szCs w:val="21"/>
              </w:rPr>
              <w:t>Web应用中间件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1B06ED7B">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420" w:lineRule="exact"/>
              <w:ind w:left="0" w:right="0"/>
              <w:jc w:val="left"/>
              <w:textAlignment w:val="auto"/>
              <w:rPr>
                <w:rFonts w:hint="default" w:ascii="宋体" w:hAnsi="宋体" w:cs="宋体"/>
                <w:bCs/>
                <w:kern w:val="0"/>
                <w:szCs w:val="21"/>
              </w:rPr>
            </w:pPr>
            <w:r>
              <w:rPr>
                <w:rFonts w:hint="eastAsia" w:ascii="宋体" w:hAnsi="宋体" w:cs="宋体"/>
                <w:bCs/>
                <w:kern w:val="0"/>
                <w:szCs w:val="21"/>
              </w:rPr>
              <w:t>根据实际具备Web应用、EJB应用、虚拟主机、应用服务器集群、身份验证、日志审计等基本功能，可以提供类库管理、集成环境管理、图形化监控、JVM配置、垃圾回收配置工具、支持实例部署、数据库连接服务，为业务系统提供运行环境。提供两家或者两家以上符合上述要求的应用中间件产品的能力。</w:t>
            </w:r>
          </w:p>
        </w:tc>
      </w:tr>
    </w:tbl>
    <w:p w14:paraId="0B31A708">
      <w:pPr>
        <w:pStyle w:val="5"/>
        <w:spacing w:line="440" w:lineRule="exact"/>
        <w:rPr>
          <w:rFonts w:hint="eastAsia" w:ascii="仿宋_GB2312" w:hAnsi="宋体" w:eastAsia="仿宋_GB2312"/>
          <w:bCs/>
          <w:color w:val="000000" w:themeColor="text1"/>
          <w:sz w:val="24"/>
          <w:szCs w:val="24"/>
          <w14:textFill>
            <w14:solidFill>
              <w14:schemeClr w14:val="tx1"/>
            </w14:solidFill>
          </w14:textFill>
        </w:rPr>
      </w:pPr>
    </w:p>
    <w:p w14:paraId="0C0E73D8">
      <w:pPr>
        <w:rPr>
          <w:rFonts w:hint="eastAsia" w:ascii="仿宋_GB2312" w:hAnsi="宋体" w:eastAsia="仿宋_GB2312"/>
          <w:bCs/>
          <w:color w:val="000000" w:themeColor="text1"/>
          <w:sz w:val="24"/>
          <w:szCs w:val="24"/>
          <w14:textFill>
            <w14:solidFill>
              <w14:schemeClr w14:val="tx1"/>
            </w14:solidFill>
          </w14:textFill>
        </w:rPr>
      </w:pPr>
      <w:r>
        <w:rPr>
          <w:rFonts w:hint="eastAsia" w:ascii="仿宋_GB2312" w:hAnsi="宋体" w:eastAsia="仿宋_GB2312"/>
          <w:bCs/>
          <w:color w:val="000000" w:themeColor="text1"/>
          <w:sz w:val="24"/>
          <w:szCs w:val="24"/>
          <w14:textFill>
            <w14:solidFill>
              <w14:schemeClr w14:val="tx1"/>
            </w14:solidFill>
          </w14:textFill>
        </w:rPr>
        <w:br w:type="page"/>
      </w:r>
    </w:p>
    <w:p w14:paraId="5D61B905">
      <w:pPr>
        <w:ind w:firstLine="2731" w:firstLineChars="850"/>
        <w:jc w:val="left"/>
        <w:outlineLvl w:val="0"/>
        <w:rPr>
          <w:rFonts w:ascii="仿宋_GB2312" w:eastAsia="仿宋_GB2312"/>
          <w:sz w:val="28"/>
          <w:szCs w:val="28"/>
        </w:rPr>
      </w:pPr>
      <w:r>
        <w:rPr>
          <w:rFonts w:hint="eastAsia"/>
          <w:b/>
          <w:sz w:val="32"/>
          <w:szCs w:val="32"/>
        </w:rPr>
        <w:t xml:space="preserve">第四部分   </w:t>
      </w:r>
      <w:bookmarkStart w:id="27" w:name="_Toc184310316"/>
      <w:bookmarkEnd w:id="27"/>
      <w:bookmarkStart w:id="28" w:name="_Toc184310282"/>
      <w:bookmarkEnd w:id="28"/>
      <w:bookmarkStart w:id="29" w:name="_Toc184313271"/>
      <w:bookmarkEnd w:id="29"/>
      <w:bookmarkStart w:id="30" w:name="_Toc184308048"/>
      <w:bookmarkEnd w:id="30"/>
      <w:bookmarkStart w:id="31" w:name="_Toc184313241"/>
      <w:bookmarkEnd w:id="31"/>
      <w:bookmarkStart w:id="32" w:name="_Toc184314443"/>
      <w:bookmarkEnd w:id="32"/>
      <w:bookmarkStart w:id="33" w:name="_Toc184314428"/>
      <w:bookmarkEnd w:id="33"/>
      <w:bookmarkStart w:id="34" w:name="_Toc184313282"/>
      <w:bookmarkEnd w:id="34"/>
      <w:bookmarkStart w:id="35" w:name="_Toc184314482"/>
      <w:bookmarkEnd w:id="35"/>
      <w:bookmarkStart w:id="36" w:name="_Toc184312124"/>
      <w:bookmarkEnd w:id="36"/>
      <w:bookmarkStart w:id="37" w:name="_Toc184313297"/>
      <w:bookmarkEnd w:id="37"/>
      <w:bookmarkStart w:id="38" w:name="_Toc184313258"/>
      <w:bookmarkEnd w:id="38"/>
      <w:bookmarkStart w:id="39" w:name="_Toc184314460"/>
      <w:bookmarkEnd w:id="39"/>
      <w:bookmarkStart w:id="40" w:name="_Toc184313299"/>
      <w:bookmarkEnd w:id="40"/>
      <w:bookmarkStart w:id="41" w:name="_Toc184314447"/>
      <w:bookmarkEnd w:id="41"/>
      <w:bookmarkStart w:id="42" w:name="_Toc184308055"/>
      <w:bookmarkEnd w:id="42"/>
      <w:bookmarkStart w:id="43" w:name="_Toc184313285"/>
      <w:bookmarkEnd w:id="43"/>
      <w:bookmarkStart w:id="44" w:name="_Toc184313308"/>
      <w:bookmarkEnd w:id="44"/>
      <w:bookmarkStart w:id="45" w:name="_Toc184310332"/>
      <w:bookmarkEnd w:id="45"/>
      <w:bookmarkStart w:id="46" w:name="_Toc184312102"/>
      <w:bookmarkEnd w:id="46"/>
      <w:bookmarkStart w:id="47" w:name="_Toc184308085"/>
      <w:bookmarkEnd w:id="47"/>
      <w:bookmarkStart w:id="48" w:name="_Toc184313273"/>
      <w:bookmarkEnd w:id="48"/>
      <w:bookmarkStart w:id="49" w:name="_Toc184314462"/>
      <w:bookmarkEnd w:id="49"/>
      <w:bookmarkStart w:id="50" w:name="_Toc184308073"/>
      <w:bookmarkEnd w:id="50"/>
      <w:bookmarkStart w:id="51" w:name="_Toc184312103"/>
      <w:bookmarkEnd w:id="51"/>
      <w:bookmarkStart w:id="52" w:name="_Toc184308078"/>
      <w:bookmarkEnd w:id="52"/>
      <w:bookmarkStart w:id="53" w:name="_Toc184313238"/>
      <w:bookmarkEnd w:id="53"/>
      <w:bookmarkStart w:id="54" w:name="_Toc184312072"/>
      <w:bookmarkEnd w:id="54"/>
      <w:bookmarkStart w:id="55" w:name="_Toc184308068"/>
      <w:bookmarkEnd w:id="55"/>
      <w:bookmarkStart w:id="56" w:name="_Toc184314429"/>
      <w:bookmarkEnd w:id="56"/>
      <w:bookmarkStart w:id="57" w:name="_Toc184314418"/>
      <w:bookmarkEnd w:id="57"/>
      <w:bookmarkStart w:id="58" w:name="_Toc184314478"/>
      <w:bookmarkEnd w:id="58"/>
      <w:bookmarkStart w:id="59" w:name="_Toc184314411"/>
      <w:bookmarkEnd w:id="59"/>
      <w:bookmarkStart w:id="60" w:name="_Toc184314454"/>
      <w:bookmarkEnd w:id="60"/>
      <w:bookmarkStart w:id="61" w:name="_Toc184308080"/>
      <w:bookmarkEnd w:id="61"/>
      <w:bookmarkStart w:id="62" w:name="_Toc184314479"/>
      <w:bookmarkEnd w:id="62"/>
      <w:bookmarkStart w:id="63" w:name="_Toc184313305"/>
      <w:bookmarkEnd w:id="63"/>
      <w:bookmarkStart w:id="64" w:name="_Toc184308107"/>
      <w:bookmarkEnd w:id="64"/>
      <w:bookmarkStart w:id="65" w:name="_Toc184308079"/>
      <w:bookmarkEnd w:id="65"/>
      <w:bookmarkStart w:id="66" w:name="_Toc184312071"/>
      <w:bookmarkEnd w:id="66"/>
      <w:bookmarkStart w:id="67" w:name="_Toc184314467"/>
      <w:bookmarkEnd w:id="67"/>
      <w:bookmarkStart w:id="68" w:name="_Toc184310301"/>
      <w:bookmarkEnd w:id="68"/>
      <w:bookmarkStart w:id="69" w:name="_Toc184308082"/>
      <w:bookmarkEnd w:id="69"/>
      <w:bookmarkStart w:id="70" w:name="_Toc184310340"/>
      <w:bookmarkEnd w:id="70"/>
      <w:bookmarkStart w:id="71" w:name="_Toc184312138"/>
      <w:bookmarkEnd w:id="71"/>
      <w:bookmarkStart w:id="72" w:name="_Toc184313259"/>
      <w:bookmarkEnd w:id="72"/>
      <w:bookmarkStart w:id="73" w:name="_Toc184313255"/>
      <w:bookmarkEnd w:id="73"/>
      <w:bookmarkStart w:id="74" w:name="_Toc184313283"/>
      <w:bookmarkEnd w:id="74"/>
      <w:bookmarkStart w:id="75" w:name="_Toc184310284"/>
      <w:bookmarkEnd w:id="75"/>
      <w:bookmarkStart w:id="76" w:name="_Toc184310308"/>
      <w:bookmarkEnd w:id="76"/>
      <w:bookmarkStart w:id="77" w:name="_Toc184313301"/>
      <w:bookmarkEnd w:id="77"/>
      <w:bookmarkStart w:id="78" w:name="_Toc184310302"/>
      <w:bookmarkEnd w:id="78"/>
      <w:bookmarkStart w:id="79" w:name="_Toc184308090"/>
      <w:bookmarkEnd w:id="79"/>
      <w:bookmarkStart w:id="80" w:name="_Toc184314458"/>
      <w:bookmarkEnd w:id="80"/>
      <w:bookmarkStart w:id="81" w:name="_Toc184310313"/>
      <w:bookmarkEnd w:id="81"/>
      <w:bookmarkStart w:id="82" w:name="_Toc184310321"/>
      <w:bookmarkEnd w:id="82"/>
      <w:bookmarkStart w:id="83" w:name="_Toc184312132"/>
      <w:bookmarkEnd w:id="83"/>
      <w:bookmarkStart w:id="84" w:name="_Toc184314476"/>
      <w:bookmarkEnd w:id="84"/>
      <w:bookmarkStart w:id="85" w:name="_Toc184310293"/>
      <w:bookmarkEnd w:id="85"/>
      <w:bookmarkStart w:id="86" w:name="_Toc184310295"/>
      <w:bookmarkEnd w:id="86"/>
      <w:bookmarkStart w:id="87" w:name="_Toc184308045"/>
      <w:bookmarkEnd w:id="87"/>
      <w:bookmarkStart w:id="88" w:name="_Toc184310325"/>
      <w:bookmarkEnd w:id="88"/>
      <w:bookmarkStart w:id="89" w:name="_Toc184313304"/>
      <w:bookmarkEnd w:id="89"/>
      <w:bookmarkStart w:id="90" w:name="_Toc184314421"/>
      <w:bookmarkEnd w:id="90"/>
      <w:bookmarkStart w:id="91" w:name="_Toc184312083"/>
      <w:bookmarkEnd w:id="91"/>
      <w:bookmarkStart w:id="92" w:name="_Toc184313306"/>
      <w:bookmarkEnd w:id="92"/>
      <w:bookmarkStart w:id="93" w:name="_Toc184313276"/>
      <w:bookmarkEnd w:id="93"/>
      <w:bookmarkStart w:id="94" w:name="_Toc184314481"/>
      <w:bookmarkEnd w:id="94"/>
      <w:bookmarkStart w:id="95" w:name="_Toc184308089"/>
      <w:bookmarkEnd w:id="95"/>
      <w:bookmarkStart w:id="96" w:name="_Toc184310312"/>
      <w:bookmarkEnd w:id="96"/>
      <w:bookmarkStart w:id="97" w:name="_Toc184313269"/>
      <w:bookmarkEnd w:id="97"/>
      <w:bookmarkStart w:id="98" w:name="_Toc184314464"/>
      <w:bookmarkEnd w:id="98"/>
      <w:bookmarkStart w:id="99" w:name="_Toc184310314"/>
      <w:bookmarkEnd w:id="99"/>
      <w:bookmarkStart w:id="100" w:name="_Toc184310318"/>
      <w:bookmarkEnd w:id="100"/>
      <w:bookmarkStart w:id="101" w:name="_Toc184314412"/>
      <w:bookmarkEnd w:id="101"/>
      <w:bookmarkStart w:id="102" w:name="_Toc184313298"/>
      <w:bookmarkEnd w:id="102"/>
      <w:bookmarkStart w:id="103" w:name="_Toc184312082"/>
      <w:bookmarkEnd w:id="103"/>
      <w:bookmarkStart w:id="104" w:name="_Toc184312085"/>
      <w:bookmarkEnd w:id="104"/>
      <w:bookmarkStart w:id="105" w:name="_Toc184312089"/>
      <w:bookmarkEnd w:id="105"/>
      <w:bookmarkStart w:id="106" w:name="_Toc184308050"/>
      <w:bookmarkEnd w:id="106"/>
      <w:bookmarkStart w:id="107" w:name="_Toc184310333"/>
      <w:bookmarkEnd w:id="107"/>
      <w:bookmarkStart w:id="108" w:name="_Toc184314441"/>
      <w:bookmarkEnd w:id="108"/>
      <w:bookmarkStart w:id="109" w:name="_Toc184308044"/>
      <w:bookmarkEnd w:id="109"/>
      <w:bookmarkStart w:id="110" w:name="_Toc184314413"/>
      <w:bookmarkEnd w:id="110"/>
      <w:bookmarkStart w:id="111" w:name="_Toc184314426"/>
      <w:bookmarkEnd w:id="111"/>
      <w:bookmarkStart w:id="112" w:name="_Toc184312113"/>
      <w:bookmarkEnd w:id="112"/>
      <w:bookmarkStart w:id="113" w:name="_Toc184314456"/>
      <w:bookmarkEnd w:id="113"/>
      <w:bookmarkStart w:id="114" w:name="_Toc184310330"/>
      <w:bookmarkEnd w:id="114"/>
      <w:bookmarkStart w:id="115" w:name="_Toc184313254"/>
      <w:bookmarkEnd w:id="115"/>
      <w:bookmarkStart w:id="116" w:name="_Toc184313270"/>
      <w:bookmarkEnd w:id="116"/>
      <w:bookmarkStart w:id="117" w:name="_Toc184310297"/>
      <w:bookmarkEnd w:id="117"/>
      <w:bookmarkStart w:id="118" w:name="_Toc184308053"/>
      <w:bookmarkEnd w:id="118"/>
      <w:bookmarkStart w:id="119" w:name="_Toc184312112"/>
      <w:bookmarkEnd w:id="119"/>
      <w:bookmarkStart w:id="120" w:name="_Toc184308087"/>
      <w:bookmarkEnd w:id="120"/>
      <w:bookmarkStart w:id="121" w:name="_Toc184313277"/>
      <w:bookmarkEnd w:id="121"/>
      <w:bookmarkStart w:id="122" w:name="_Toc184313310"/>
      <w:bookmarkEnd w:id="122"/>
      <w:bookmarkStart w:id="123" w:name="_Toc184308064"/>
      <w:bookmarkEnd w:id="123"/>
      <w:bookmarkStart w:id="124" w:name="_Toc184308081"/>
      <w:bookmarkEnd w:id="124"/>
      <w:bookmarkStart w:id="125" w:name="_Toc184308061"/>
      <w:bookmarkEnd w:id="125"/>
      <w:bookmarkStart w:id="126" w:name="_Toc184312122"/>
      <w:bookmarkEnd w:id="126"/>
      <w:bookmarkStart w:id="127" w:name="_Toc184308074"/>
      <w:bookmarkEnd w:id="127"/>
      <w:bookmarkStart w:id="128" w:name="_Toc184310278"/>
      <w:bookmarkEnd w:id="128"/>
      <w:bookmarkStart w:id="129" w:name="_Toc184314461"/>
      <w:bookmarkEnd w:id="129"/>
      <w:bookmarkStart w:id="130" w:name="_Toc184308076"/>
      <w:bookmarkEnd w:id="130"/>
      <w:bookmarkStart w:id="131" w:name="_Toc184314414"/>
      <w:bookmarkEnd w:id="131"/>
      <w:bookmarkStart w:id="132" w:name="_Toc184308105"/>
      <w:bookmarkEnd w:id="132"/>
      <w:bookmarkStart w:id="133" w:name="_Toc184308083"/>
      <w:bookmarkEnd w:id="133"/>
      <w:bookmarkStart w:id="134" w:name="_Toc184310323"/>
      <w:bookmarkEnd w:id="134"/>
      <w:bookmarkStart w:id="135" w:name="_Toc184312118"/>
      <w:bookmarkEnd w:id="135"/>
      <w:bookmarkStart w:id="136" w:name="_Toc184308108"/>
      <w:bookmarkEnd w:id="136"/>
      <w:bookmarkStart w:id="137" w:name="_Toc184313253"/>
      <w:bookmarkEnd w:id="137"/>
      <w:bookmarkStart w:id="138" w:name="_Toc184310341"/>
      <w:bookmarkEnd w:id="138"/>
      <w:bookmarkStart w:id="139" w:name="_Toc184312076"/>
      <w:bookmarkEnd w:id="139"/>
      <w:bookmarkStart w:id="140" w:name="_Toc184310327"/>
      <w:bookmarkEnd w:id="140"/>
      <w:bookmarkStart w:id="141" w:name="_Toc184312126"/>
      <w:bookmarkEnd w:id="141"/>
      <w:bookmarkStart w:id="142" w:name="_Toc184310287"/>
      <w:bookmarkEnd w:id="142"/>
      <w:bookmarkStart w:id="143" w:name="_Toc184308099"/>
      <w:bookmarkEnd w:id="143"/>
      <w:bookmarkStart w:id="144" w:name="_Toc184312078"/>
      <w:bookmarkEnd w:id="144"/>
      <w:bookmarkStart w:id="145" w:name="_Toc184310291"/>
      <w:bookmarkEnd w:id="145"/>
      <w:bookmarkStart w:id="146" w:name="_Toc184313287"/>
      <w:bookmarkEnd w:id="146"/>
      <w:bookmarkStart w:id="147" w:name="_Toc184313247"/>
      <w:bookmarkEnd w:id="147"/>
      <w:bookmarkStart w:id="148" w:name="_Toc184312109"/>
      <w:bookmarkEnd w:id="148"/>
      <w:bookmarkStart w:id="149" w:name="_Toc184314425"/>
      <w:bookmarkEnd w:id="149"/>
      <w:bookmarkStart w:id="150" w:name="_Toc184310290"/>
      <w:bookmarkEnd w:id="150"/>
      <w:bookmarkStart w:id="151" w:name="_Toc184312130"/>
      <w:bookmarkEnd w:id="151"/>
      <w:bookmarkStart w:id="152" w:name="_Toc184313267"/>
      <w:bookmarkEnd w:id="152"/>
      <w:bookmarkStart w:id="153" w:name="_Toc184312123"/>
      <w:bookmarkEnd w:id="153"/>
      <w:bookmarkStart w:id="154" w:name="_Toc184313246"/>
      <w:bookmarkEnd w:id="154"/>
      <w:bookmarkStart w:id="155" w:name="_Toc184312073"/>
      <w:bookmarkEnd w:id="155"/>
      <w:bookmarkStart w:id="156" w:name="_Toc184314440"/>
      <w:bookmarkEnd w:id="156"/>
      <w:bookmarkStart w:id="157" w:name="_Toc184312077"/>
      <w:bookmarkEnd w:id="157"/>
      <w:bookmarkStart w:id="158" w:name="_Toc184313278"/>
      <w:bookmarkEnd w:id="158"/>
      <w:bookmarkStart w:id="159" w:name="_Toc184313256"/>
      <w:bookmarkEnd w:id="159"/>
      <w:bookmarkStart w:id="160" w:name="_Toc184314472"/>
      <w:bookmarkEnd w:id="160"/>
      <w:bookmarkStart w:id="161" w:name="_Toc184312095"/>
      <w:bookmarkEnd w:id="161"/>
      <w:bookmarkStart w:id="162" w:name="_Toc184312111"/>
      <w:bookmarkEnd w:id="162"/>
      <w:bookmarkStart w:id="163" w:name="_Toc184308075"/>
      <w:bookmarkEnd w:id="163"/>
      <w:bookmarkStart w:id="164" w:name="_Toc184314439"/>
      <w:bookmarkEnd w:id="164"/>
      <w:bookmarkStart w:id="165" w:name="_Toc184313263"/>
      <w:bookmarkEnd w:id="165"/>
      <w:bookmarkStart w:id="166" w:name="_Toc184314459"/>
      <w:bookmarkEnd w:id="166"/>
      <w:bookmarkStart w:id="167" w:name="_Toc184308103"/>
      <w:bookmarkEnd w:id="167"/>
      <w:bookmarkStart w:id="168" w:name="_Toc184313257"/>
      <w:bookmarkEnd w:id="168"/>
      <w:bookmarkStart w:id="169" w:name="_Toc184310305"/>
      <w:bookmarkEnd w:id="169"/>
      <w:bookmarkStart w:id="170" w:name="_Toc184308096"/>
      <w:bookmarkEnd w:id="170"/>
      <w:bookmarkStart w:id="171" w:name="_Toc184308062"/>
      <w:bookmarkEnd w:id="171"/>
      <w:bookmarkStart w:id="172" w:name="_Toc184310296"/>
      <w:bookmarkEnd w:id="172"/>
      <w:bookmarkStart w:id="173" w:name="_Toc184314470"/>
      <w:bookmarkEnd w:id="173"/>
      <w:bookmarkStart w:id="174" w:name="_Toc184308097"/>
      <w:bookmarkEnd w:id="174"/>
      <w:bookmarkStart w:id="175" w:name="_Toc184314430"/>
      <w:bookmarkEnd w:id="175"/>
      <w:bookmarkStart w:id="176" w:name="_Toc184312108"/>
      <w:bookmarkEnd w:id="176"/>
      <w:bookmarkStart w:id="177" w:name="_Toc184312121"/>
      <w:bookmarkEnd w:id="177"/>
      <w:bookmarkStart w:id="178" w:name="_Toc184314444"/>
      <w:bookmarkEnd w:id="178"/>
      <w:bookmarkStart w:id="179" w:name="_Toc184314475"/>
      <w:bookmarkEnd w:id="179"/>
      <w:bookmarkStart w:id="180" w:name="_Toc184308049"/>
      <w:bookmarkEnd w:id="180"/>
      <w:bookmarkStart w:id="181" w:name="_Toc184314474"/>
      <w:bookmarkEnd w:id="181"/>
      <w:bookmarkStart w:id="182" w:name="_Toc184314422"/>
      <w:bookmarkEnd w:id="182"/>
      <w:bookmarkStart w:id="183" w:name="_Toc184310310"/>
      <w:bookmarkEnd w:id="183"/>
      <w:bookmarkStart w:id="184" w:name="_Toc184310300"/>
      <w:bookmarkEnd w:id="184"/>
      <w:bookmarkStart w:id="185" w:name="_Toc184310286"/>
      <w:bookmarkEnd w:id="185"/>
      <w:bookmarkStart w:id="186" w:name="_Toc184314452"/>
      <w:bookmarkEnd w:id="186"/>
      <w:bookmarkStart w:id="187" w:name="_Toc184313245"/>
      <w:bookmarkEnd w:id="187"/>
      <w:bookmarkStart w:id="188" w:name="_Toc184312079"/>
      <w:bookmarkEnd w:id="188"/>
      <w:bookmarkStart w:id="189" w:name="_Toc184308066"/>
      <w:bookmarkEnd w:id="189"/>
      <w:bookmarkStart w:id="190" w:name="_Toc184312090"/>
      <w:bookmarkEnd w:id="190"/>
      <w:bookmarkStart w:id="191" w:name="_Toc184310336"/>
      <w:bookmarkEnd w:id="191"/>
      <w:bookmarkStart w:id="192" w:name="_Toc184313296"/>
      <w:bookmarkEnd w:id="192"/>
      <w:bookmarkStart w:id="193" w:name="_Toc184310292"/>
      <w:bookmarkEnd w:id="193"/>
      <w:bookmarkStart w:id="194" w:name="_Toc184308098"/>
      <w:bookmarkEnd w:id="194"/>
      <w:bookmarkStart w:id="195" w:name="_Toc184313266"/>
      <w:bookmarkEnd w:id="195"/>
      <w:bookmarkStart w:id="196" w:name="_Toc184310309"/>
      <w:bookmarkEnd w:id="196"/>
      <w:bookmarkStart w:id="197" w:name="_Toc184314432"/>
      <w:bookmarkEnd w:id="197"/>
      <w:bookmarkStart w:id="198" w:name="_Toc184312091"/>
      <w:bookmarkEnd w:id="198"/>
      <w:bookmarkStart w:id="199" w:name="_Toc184312107"/>
      <w:bookmarkEnd w:id="199"/>
      <w:bookmarkStart w:id="200" w:name="_Toc184310343"/>
      <w:bookmarkEnd w:id="200"/>
      <w:bookmarkStart w:id="201" w:name="_Toc184314455"/>
      <w:bookmarkEnd w:id="201"/>
      <w:bookmarkStart w:id="202" w:name="_Toc184314419"/>
      <w:bookmarkEnd w:id="202"/>
      <w:bookmarkStart w:id="203" w:name="_Toc184310299"/>
      <w:bookmarkEnd w:id="203"/>
      <w:bookmarkStart w:id="204" w:name="_Toc184312068"/>
      <w:bookmarkEnd w:id="204"/>
      <w:bookmarkStart w:id="205" w:name="_Toc184313243"/>
      <w:bookmarkEnd w:id="205"/>
      <w:bookmarkStart w:id="206" w:name="_Toc184308042"/>
      <w:bookmarkEnd w:id="206"/>
      <w:bookmarkStart w:id="207" w:name="_Toc184314457"/>
      <w:bookmarkEnd w:id="207"/>
      <w:bookmarkStart w:id="208" w:name="_Toc184312119"/>
      <w:bookmarkEnd w:id="208"/>
      <w:bookmarkStart w:id="209" w:name="_Toc184314417"/>
      <w:bookmarkEnd w:id="209"/>
      <w:bookmarkStart w:id="210" w:name="_Toc184314468"/>
      <w:bookmarkEnd w:id="210"/>
      <w:bookmarkStart w:id="211" w:name="_Toc184313272"/>
      <w:bookmarkEnd w:id="211"/>
      <w:bookmarkStart w:id="212" w:name="_Toc184308052"/>
      <w:bookmarkEnd w:id="212"/>
      <w:bookmarkStart w:id="213" w:name="_Toc184312096"/>
      <w:bookmarkEnd w:id="213"/>
      <w:bookmarkStart w:id="214" w:name="_Toc184313288"/>
      <w:bookmarkEnd w:id="214"/>
      <w:bookmarkStart w:id="215" w:name="_Toc184313251"/>
      <w:bookmarkEnd w:id="215"/>
      <w:bookmarkStart w:id="216" w:name="_Toc184312093"/>
      <w:bookmarkEnd w:id="216"/>
      <w:bookmarkStart w:id="217" w:name="_Toc184314473"/>
      <w:bookmarkEnd w:id="217"/>
      <w:bookmarkStart w:id="218" w:name="_Toc184313274"/>
      <w:bookmarkEnd w:id="218"/>
      <w:bookmarkStart w:id="219" w:name="_Toc184314451"/>
      <w:bookmarkEnd w:id="219"/>
      <w:bookmarkStart w:id="220" w:name="_Toc184312080"/>
      <w:bookmarkEnd w:id="220"/>
      <w:bookmarkStart w:id="221" w:name="_Toc184314453"/>
      <w:bookmarkEnd w:id="221"/>
      <w:bookmarkStart w:id="222" w:name="_Toc184313303"/>
      <w:bookmarkEnd w:id="222"/>
      <w:bookmarkStart w:id="223" w:name="_Toc184310329"/>
      <w:bookmarkEnd w:id="223"/>
      <w:bookmarkStart w:id="224" w:name="_Toc184313279"/>
      <w:bookmarkEnd w:id="224"/>
      <w:bookmarkStart w:id="225" w:name="_Toc184308088"/>
      <w:bookmarkEnd w:id="225"/>
      <w:bookmarkStart w:id="226" w:name="_Toc184312115"/>
      <w:bookmarkEnd w:id="226"/>
      <w:bookmarkStart w:id="227" w:name="_Toc184312139"/>
      <w:bookmarkEnd w:id="227"/>
      <w:bookmarkStart w:id="228" w:name="_Toc184313307"/>
      <w:bookmarkEnd w:id="228"/>
      <w:bookmarkStart w:id="229" w:name="_Toc184310277"/>
      <w:bookmarkEnd w:id="229"/>
      <w:bookmarkStart w:id="230" w:name="_Toc184312131"/>
      <w:bookmarkEnd w:id="230"/>
      <w:bookmarkStart w:id="231" w:name="_Toc184312104"/>
      <w:bookmarkEnd w:id="231"/>
      <w:bookmarkStart w:id="232" w:name="_Toc184314434"/>
      <w:bookmarkEnd w:id="232"/>
      <w:bookmarkStart w:id="233" w:name="_Toc184308036"/>
      <w:bookmarkEnd w:id="233"/>
      <w:bookmarkStart w:id="234" w:name="_Toc184308072"/>
      <w:bookmarkEnd w:id="234"/>
      <w:bookmarkStart w:id="235" w:name="_Toc184310339"/>
      <w:bookmarkEnd w:id="235"/>
      <w:bookmarkStart w:id="236" w:name="_Toc184313249"/>
      <w:bookmarkEnd w:id="236"/>
      <w:bookmarkStart w:id="237" w:name="_Toc184310317"/>
      <w:bookmarkEnd w:id="237"/>
      <w:bookmarkStart w:id="238" w:name="_Toc184308065"/>
      <w:bookmarkEnd w:id="238"/>
      <w:bookmarkStart w:id="239" w:name="_Toc184312128"/>
      <w:bookmarkEnd w:id="239"/>
      <w:bookmarkStart w:id="240" w:name="_Toc184310304"/>
      <w:bookmarkEnd w:id="240"/>
      <w:bookmarkStart w:id="241" w:name="_Toc184312133"/>
      <w:bookmarkEnd w:id="241"/>
      <w:bookmarkStart w:id="242" w:name="_Toc184313261"/>
      <w:bookmarkEnd w:id="242"/>
      <w:bookmarkStart w:id="243" w:name="_Toc184308070"/>
      <w:bookmarkEnd w:id="243"/>
      <w:bookmarkStart w:id="244" w:name="_Toc184308095"/>
      <w:bookmarkEnd w:id="244"/>
      <w:bookmarkStart w:id="245" w:name="_Toc184314438"/>
      <w:bookmarkEnd w:id="245"/>
      <w:bookmarkStart w:id="246" w:name="_Toc184310324"/>
      <w:bookmarkEnd w:id="246"/>
      <w:bookmarkStart w:id="247" w:name="_Toc184313250"/>
      <w:bookmarkEnd w:id="247"/>
      <w:bookmarkStart w:id="248" w:name="_Toc184314423"/>
      <w:bookmarkEnd w:id="248"/>
      <w:bookmarkStart w:id="249" w:name="_Toc184313286"/>
      <w:bookmarkEnd w:id="249"/>
      <w:bookmarkStart w:id="250" w:name="_Toc184314431"/>
      <w:bookmarkEnd w:id="250"/>
      <w:bookmarkStart w:id="251" w:name="_Toc184312087"/>
      <w:bookmarkEnd w:id="251"/>
      <w:bookmarkStart w:id="252" w:name="_Toc184313281"/>
      <w:bookmarkEnd w:id="252"/>
      <w:bookmarkStart w:id="253" w:name="_Toc184314416"/>
      <w:bookmarkEnd w:id="253"/>
      <w:bookmarkStart w:id="254" w:name="_Toc184312084"/>
      <w:bookmarkEnd w:id="254"/>
      <w:bookmarkStart w:id="255" w:name="_Toc184312134"/>
      <w:bookmarkEnd w:id="255"/>
      <w:bookmarkStart w:id="256" w:name="_Toc184308038"/>
      <w:bookmarkEnd w:id="256"/>
      <w:bookmarkStart w:id="257" w:name="_Toc184308101"/>
      <w:bookmarkEnd w:id="257"/>
      <w:bookmarkStart w:id="258" w:name="_Toc184312136"/>
      <w:bookmarkEnd w:id="258"/>
      <w:bookmarkStart w:id="259" w:name="_Toc184312120"/>
      <w:bookmarkEnd w:id="259"/>
      <w:bookmarkStart w:id="260" w:name="_Toc184313252"/>
      <w:bookmarkEnd w:id="260"/>
      <w:bookmarkStart w:id="261" w:name="_Toc184313265"/>
      <w:bookmarkEnd w:id="261"/>
      <w:bookmarkStart w:id="262" w:name="_Toc184310337"/>
      <w:bookmarkEnd w:id="262"/>
      <w:bookmarkStart w:id="263" w:name="_Toc184314437"/>
      <w:bookmarkEnd w:id="263"/>
      <w:bookmarkStart w:id="264" w:name="_Toc184313268"/>
      <w:bookmarkEnd w:id="264"/>
      <w:bookmarkStart w:id="265" w:name="_Toc184310298"/>
      <w:bookmarkEnd w:id="265"/>
      <w:bookmarkStart w:id="266" w:name="_Toc184313293"/>
      <w:bookmarkEnd w:id="266"/>
      <w:bookmarkStart w:id="267" w:name="_Toc184312129"/>
      <w:bookmarkEnd w:id="267"/>
      <w:bookmarkStart w:id="268" w:name="_Toc184312098"/>
      <w:bookmarkEnd w:id="268"/>
      <w:bookmarkStart w:id="269" w:name="_Toc184312127"/>
      <w:bookmarkEnd w:id="269"/>
      <w:bookmarkStart w:id="270" w:name="_Toc184312075"/>
      <w:bookmarkEnd w:id="270"/>
      <w:bookmarkStart w:id="271" w:name="_Toc184312088"/>
      <w:bookmarkEnd w:id="271"/>
      <w:bookmarkStart w:id="272" w:name="_Toc184310331"/>
      <w:bookmarkEnd w:id="272"/>
      <w:bookmarkStart w:id="273" w:name="_Toc184310281"/>
      <w:bookmarkEnd w:id="273"/>
      <w:bookmarkStart w:id="274" w:name="_Toc184313309"/>
      <w:bookmarkEnd w:id="274"/>
      <w:bookmarkStart w:id="275" w:name="_Toc184308102"/>
      <w:bookmarkEnd w:id="275"/>
      <w:bookmarkStart w:id="276" w:name="_Toc184312097"/>
      <w:bookmarkEnd w:id="276"/>
      <w:bookmarkStart w:id="277" w:name="_Toc184312137"/>
      <w:bookmarkEnd w:id="277"/>
      <w:bookmarkStart w:id="278" w:name="_Toc184310288"/>
      <w:bookmarkEnd w:id="278"/>
      <w:bookmarkStart w:id="279" w:name="_Toc184310275"/>
      <w:bookmarkEnd w:id="279"/>
      <w:bookmarkStart w:id="280" w:name="_Toc184312099"/>
      <w:bookmarkEnd w:id="280"/>
      <w:bookmarkStart w:id="281" w:name="_Toc184308047"/>
      <w:bookmarkEnd w:id="281"/>
      <w:bookmarkStart w:id="282" w:name="_Toc184312110"/>
      <w:bookmarkEnd w:id="282"/>
      <w:bookmarkStart w:id="283" w:name="_Toc184310322"/>
      <w:bookmarkEnd w:id="283"/>
      <w:bookmarkStart w:id="284" w:name="_Toc184313275"/>
      <w:bookmarkEnd w:id="284"/>
      <w:bookmarkStart w:id="285" w:name="_Toc184313290"/>
      <w:bookmarkEnd w:id="285"/>
      <w:bookmarkStart w:id="286" w:name="_Toc184314463"/>
      <w:bookmarkEnd w:id="286"/>
      <w:bookmarkStart w:id="287" w:name="_Toc184313284"/>
      <w:bookmarkEnd w:id="287"/>
      <w:bookmarkStart w:id="288" w:name="_Toc184308058"/>
      <w:bookmarkEnd w:id="288"/>
      <w:bookmarkStart w:id="289" w:name="_Toc184312086"/>
      <w:bookmarkEnd w:id="289"/>
      <w:bookmarkStart w:id="290" w:name="_Toc184308084"/>
      <w:bookmarkEnd w:id="290"/>
      <w:bookmarkStart w:id="291" w:name="_Toc184314420"/>
      <w:bookmarkEnd w:id="291"/>
      <w:bookmarkStart w:id="292" w:name="_Toc184308100"/>
      <w:bookmarkEnd w:id="292"/>
      <w:bookmarkStart w:id="293" w:name="_Toc184312067"/>
      <w:bookmarkEnd w:id="293"/>
      <w:bookmarkStart w:id="294" w:name="_Toc184312106"/>
      <w:bookmarkEnd w:id="294"/>
      <w:bookmarkStart w:id="295" w:name="_Toc184310315"/>
      <w:bookmarkEnd w:id="295"/>
      <w:bookmarkStart w:id="296" w:name="_Toc184314466"/>
      <w:bookmarkEnd w:id="296"/>
      <w:bookmarkStart w:id="297" w:name="_Toc184310307"/>
      <w:bookmarkEnd w:id="297"/>
      <w:bookmarkStart w:id="298" w:name="_Toc184313295"/>
      <w:bookmarkEnd w:id="298"/>
      <w:bookmarkStart w:id="299" w:name="_Toc184308069"/>
      <w:bookmarkEnd w:id="299"/>
      <w:bookmarkStart w:id="300" w:name="_Toc184310335"/>
      <w:bookmarkEnd w:id="300"/>
      <w:bookmarkStart w:id="301" w:name="_Toc184313260"/>
      <w:bookmarkEnd w:id="301"/>
      <w:bookmarkStart w:id="302" w:name="_Toc184310342"/>
      <w:bookmarkEnd w:id="302"/>
      <w:bookmarkStart w:id="303" w:name="_Toc184312070"/>
      <w:bookmarkEnd w:id="303"/>
      <w:bookmarkStart w:id="304" w:name="_Toc184312117"/>
      <w:bookmarkEnd w:id="304"/>
      <w:bookmarkStart w:id="305" w:name="_Toc184308060"/>
      <w:bookmarkEnd w:id="305"/>
      <w:bookmarkStart w:id="306" w:name="_Toc184314469"/>
      <w:bookmarkEnd w:id="306"/>
      <w:bookmarkStart w:id="307" w:name="_Toc184313239"/>
      <w:bookmarkEnd w:id="307"/>
      <w:bookmarkStart w:id="308" w:name="_Toc184312069"/>
      <w:bookmarkEnd w:id="308"/>
      <w:bookmarkStart w:id="309" w:name="_Toc184314450"/>
      <w:bookmarkEnd w:id="309"/>
      <w:bookmarkStart w:id="310" w:name="_Toc184308051"/>
      <w:bookmarkEnd w:id="310"/>
      <w:bookmarkStart w:id="311" w:name="_Toc184314436"/>
      <w:bookmarkEnd w:id="311"/>
      <w:bookmarkStart w:id="312" w:name="_Toc184308037"/>
      <w:bookmarkEnd w:id="312"/>
      <w:bookmarkStart w:id="313" w:name="_Toc184310276"/>
      <w:bookmarkEnd w:id="313"/>
      <w:bookmarkStart w:id="314" w:name="_Toc184313291"/>
      <w:bookmarkEnd w:id="314"/>
      <w:bookmarkStart w:id="315" w:name="_Toc184312101"/>
      <w:bookmarkEnd w:id="315"/>
      <w:bookmarkStart w:id="316" w:name="_Toc184314427"/>
      <w:bookmarkEnd w:id="316"/>
      <w:bookmarkStart w:id="317" w:name="_Toc184308046"/>
      <w:bookmarkEnd w:id="317"/>
      <w:bookmarkStart w:id="318" w:name="_Toc184310285"/>
      <w:bookmarkEnd w:id="318"/>
      <w:bookmarkStart w:id="319" w:name="_Toc184310283"/>
      <w:bookmarkEnd w:id="319"/>
      <w:bookmarkStart w:id="320" w:name="_Toc184308093"/>
      <w:bookmarkEnd w:id="320"/>
      <w:bookmarkStart w:id="321" w:name="_Toc184313248"/>
      <w:bookmarkEnd w:id="321"/>
      <w:bookmarkStart w:id="322" w:name="_Toc184314424"/>
      <w:bookmarkEnd w:id="322"/>
      <w:bookmarkStart w:id="323" w:name="_Toc184310280"/>
      <w:bookmarkEnd w:id="323"/>
      <w:bookmarkStart w:id="324" w:name="_Toc184308094"/>
      <w:bookmarkEnd w:id="324"/>
      <w:bookmarkStart w:id="325" w:name="_Toc184312105"/>
      <w:bookmarkEnd w:id="325"/>
      <w:bookmarkStart w:id="326" w:name="_Toc184310289"/>
      <w:bookmarkEnd w:id="326"/>
      <w:bookmarkStart w:id="327" w:name="_Toc184310306"/>
      <w:bookmarkEnd w:id="327"/>
      <w:bookmarkStart w:id="328" w:name="_Toc184312135"/>
      <w:bookmarkEnd w:id="328"/>
      <w:bookmarkStart w:id="329" w:name="_Toc184313294"/>
      <w:bookmarkEnd w:id="329"/>
      <w:bookmarkStart w:id="330" w:name="_Toc184313289"/>
      <w:bookmarkEnd w:id="330"/>
      <w:bookmarkStart w:id="331" w:name="_Toc184310311"/>
      <w:bookmarkEnd w:id="331"/>
      <w:bookmarkStart w:id="332" w:name="_Toc184310334"/>
      <w:bookmarkEnd w:id="332"/>
      <w:bookmarkStart w:id="333" w:name="_Toc184308067"/>
      <w:bookmarkEnd w:id="333"/>
      <w:bookmarkStart w:id="334" w:name="_Toc184310273"/>
      <w:bookmarkEnd w:id="334"/>
      <w:bookmarkStart w:id="335" w:name="_Toc184313240"/>
      <w:bookmarkEnd w:id="335"/>
      <w:bookmarkStart w:id="336" w:name="_Toc184314442"/>
      <w:bookmarkEnd w:id="336"/>
      <w:bookmarkStart w:id="337" w:name="_Toc184312114"/>
      <w:bookmarkEnd w:id="337"/>
      <w:bookmarkStart w:id="338" w:name="_Toc184308039"/>
      <w:bookmarkEnd w:id="338"/>
      <w:bookmarkStart w:id="339" w:name="_Toc184308086"/>
      <w:bookmarkEnd w:id="339"/>
      <w:bookmarkStart w:id="340" w:name="_Toc184314448"/>
      <w:bookmarkEnd w:id="340"/>
      <w:bookmarkStart w:id="341" w:name="_Toc184308091"/>
      <w:bookmarkEnd w:id="341"/>
      <w:bookmarkStart w:id="342" w:name="_Toc184312100"/>
      <w:bookmarkEnd w:id="342"/>
      <w:bookmarkStart w:id="343" w:name="_Toc184310338"/>
      <w:bookmarkEnd w:id="343"/>
      <w:bookmarkStart w:id="344" w:name="_Toc184313242"/>
      <w:bookmarkEnd w:id="344"/>
      <w:bookmarkStart w:id="345" w:name="_Toc184308092"/>
      <w:bookmarkEnd w:id="345"/>
      <w:bookmarkStart w:id="346" w:name="_Toc184308106"/>
      <w:bookmarkEnd w:id="346"/>
      <w:bookmarkStart w:id="347" w:name="_Toc184314449"/>
      <w:bookmarkEnd w:id="347"/>
      <w:bookmarkStart w:id="348" w:name="_Toc184310272"/>
      <w:bookmarkEnd w:id="348"/>
      <w:bookmarkStart w:id="349" w:name="_Toc184314480"/>
      <w:bookmarkEnd w:id="349"/>
      <w:bookmarkStart w:id="350" w:name="_Toc184310274"/>
      <w:bookmarkEnd w:id="350"/>
      <w:bookmarkStart w:id="351" w:name="_Toc184314446"/>
      <w:bookmarkEnd w:id="351"/>
      <w:bookmarkStart w:id="352" w:name="_Toc184313292"/>
      <w:bookmarkEnd w:id="352"/>
      <w:bookmarkStart w:id="353" w:name="_Toc184308041"/>
      <w:bookmarkEnd w:id="353"/>
      <w:bookmarkStart w:id="354" w:name="_Toc184313264"/>
      <w:bookmarkEnd w:id="354"/>
      <w:bookmarkStart w:id="355" w:name="_Toc184312092"/>
      <w:bookmarkEnd w:id="355"/>
      <w:bookmarkStart w:id="356" w:name="_Toc184310294"/>
      <w:bookmarkEnd w:id="356"/>
      <w:bookmarkStart w:id="357" w:name="_Toc184313262"/>
      <w:bookmarkEnd w:id="357"/>
      <w:bookmarkStart w:id="358" w:name="_Toc184314410"/>
      <w:bookmarkEnd w:id="358"/>
      <w:bookmarkStart w:id="359" w:name="_Toc184310326"/>
      <w:bookmarkEnd w:id="359"/>
      <w:bookmarkStart w:id="360" w:name="_Toc184310279"/>
      <w:bookmarkEnd w:id="360"/>
      <w:bookmarkStart w:id="361" w:name="_Toc184308043"/>
      <w:bookmarkEnd w:id="361"/>
      <w:bookmarkStart w:id="362" w:name="_Toc184314445"/>
      <w:bookmarkEnd w:id="362"/>
      <w:bookmarkStart w:id="363" w:name="_Toc184310319"/>
      <w:bookmarkEnd w:id="363"/>
      <w:bookmarkStart w:id="364" w:name="_Toc184312081"/>
      <w:bookmarkEnd w:id="364"/>
      <w:bookmarkStart w:id="365" w:name="_Toc184308040"/>
      <w:bookmarkEnd w:id="365"/>
      <w:bookmarkStart w:id="366" w:name="_Toc184308077"/>
      <w:bookmarkEnd w:id="366"/>
      <w:bookmarkStart w:id="367" w:name="_Toc184312116"/>
      <w:bookmarkEnd w:id="367"/>
      <w:bookmarkStart w:id="368" w:name="_Toc184313300"/>
      <w:bookmarkEnd w:id="368"/>
      <w:bookmarkStart w:id="369" w:name="_Toc184312074"/>
      <w:bookmarkEnd w:id="369"/>
      <w:bookmarkStart w:id="370" w:name="_Toc184308059"/>
      <w:bookmarkEnd w:id="370"/>
      <w:bookmarkStart w:id="371" w:name="_Toc184313244"/>
      <w:bookmarkEnd w:id="371"/>
      <w:bookmarkStart w:id="372" w:name="_Toc184308057"/>
      <w:bookmarkEnd w:id="372"/>
      <w:bookmarkStart w:id="373" w:name="_Toc184308054"/>
      <w:bookmarkEnd w:id="373"/>
      <w:bookmarkStart w:id="374" w:name="_Toc184314415"/>
      <w:bookmarkEnd w:id="374"/>
      <w:bookmarkStart w:id="375" w:name="_Toc184314477"/>
      <w:bookmarkEnd w:id="375"/>
      <w:bookmarkStart w:id="376" w:name="_Toc184310328"/>
      <w:bookmarkEnd w:id="376"/>
      <w:bookmarkStart w:id="377" w:name="_Toc184313280"/>
      <w:bookmarkEnd w:id="377"/>
      <w:bookmarkStart w:id="378" w:name="_Toc184314435"/>
      <w:bookmarkEnd w:id="378"/>
      <w:bookmarkStart w:id="379" w:name="_Toc184310320"/>
      <w:bookmarkEnd w:id="379"/>
      <w:bookmarkStart w:id="380" w:name="_Toc184312094"/>
      <w:bookmarkEnd w:id="380"/>
      <w:bookmarkStart w:id="381" w:name="_Toc184313302"/>
      <w:bookmarkEnd w:id="381"/>
      <w:bookmarkStart w:id="382" w:name="_Toc184310344"/>
      <w:bookmarkEnd w:id="382"/>
      <w:bookmarkStart w:id="383" w:name="_Toc184314471"/>
      <w:bookmarkEnd w:id="383"/>
      <w:bookmarkStart w:id="384" w:name="_Toc184314465"/>
      <w:bookmarkEnd w:id="384"/>
      <w:bookmarkStart w:id="385" w:name="_Toc184310303"/>
      <w:bookmarkEnd w:id="385"/>
      <w:bookmarkStart w:id="386" w:name="_Toc184312125"/>
      <w:bookmarkEnd w:id="386"/>
      <w:bookmarkStart w:id="387" w:name="_Toc184308063"/>
      <w:bookmarkEnd w:id="387"/>
      <w:bookmarkStart w:id="388" w:name="_Toc184314433"/>
      <w:bookmarkEnd w:id="388"/>
      <w:bookmarkStart w:id="389" w:name="_Toc184308056"/>
      <w:bookmarkEnd w:id="389"/>
      <w:bookmarkStart w:id="390" w:name="_Toc184308071"/>
      <w:bookmarkEnd w:id="390"/>
      <w:bookmarkStart w:id="391" w:name="_Toc184308104"/>
      <w:bookmarkEnd w:id="391"/>
      <w:r>
        <w:rPr>
          <w:rFonts w:hint="eastAsia"/>
          <w:b/>
          <w:sz w:val="32"/>
          <w:szCs w:val="32"/>
        </w:rPr>
        <w:t>评标办法</w:t>
      </w:r>
    </w:p>
    <w:p w14:paraId="7F0CADF5">
      <w:pPr>
        <w:rPr>
          <w:rFonts w:hint="eastAsia" w:asciiTheme="minorEastAsia" w:hAnsiTheme="minorEastAsia"/>
        </w:rPr>
      </w:pPr>
    </w:p>
    <w:tbl>
      <w:tblPr>
        <w:tblStyle w:val="15"/>
        <w:tblpPr w:leftFromText="180" w:rightFromText="180" w:vertAnchor="text" w:horzAnchor="page" w:tblpX="1031" w:tblpY="126"/>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58"/>
        <w:gridCol w:w="5888"/>
        <w:gridCol w:w="945"/>
        <w:gridCol w:w="1290"/>
      </w:tblGrid>
      <w:tr w14:paraId="4349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698" w:type="dxa"/>
            <w:tcBorders>
              <w:top w:val="single" w:color="auto" w:sz="4" w:space="0"/>
              <w:left w:val="single" w:color="auto" w:sz="4" w:space="0"/>
              <w:bottom w:val="single" w:color="auto" w:sz="4" w:space="0"/>
              <w:right w:val="single" w:color="auto" w:sz="4" w:space="0"/>
            </w:tcBorders>
            <w:vAlign w:val="center"/>
          </w:tcPr>
          <w:p w14:paraId="37BF992C">
            <w:pPr>
              <w:keepNext w:val="0"/>
              <w:keepLines w:val="0"/>
              <w:pageBreakBefore w:val="0"/>
              <w:widowControl w:val="0"/>
              <w:suppressLineNumbers w:val="0"/>
              <w:kinsoku/>
              <w:wordWrap/>
              <w:overflowPunct/>
              <w:autoSpaceDE/>
              <w:autoSpaceDN/>
              <w:bidi w:val="0"/>
              <w:spacing w:before="0" w:beforeAutospacing="0" w:after="0" w:afterAutospacing="0" w:line="420" w:lineRule="exact"/>
              <w:ind w:left="0" w:right="3"/>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类别</w:t>
            </w:r>
          </w:p>
        </w:tc>
        <w:tc>
          <w:tcPr>
            <w:tcW w:w="458" w:type="dxa"/>
            <w:tcBorders>
              <w:top w:val="single" w:color="auto" w:sz="4" w:space="0"/>
              <w:left w:val="single" w:color="auto" w:sz="4" w:space="0"/>
              <w:bottom w:val="single" w:color="auto" w:sz="4" w:space="0"/>
              <w:right w:val="single" w:color="auto" w:sz="4" w:space="0"/>
            </w:tcBorders>
            <w:vAlign w:val="center"/>
          </w:tcPr>
          <w:p w14:paraId="454ABB1A">
            <w:pPr>
              <w:keepNext w:val="0"/>
              <w:keepLines w:val="0"/>
              <w:pageBreakBefore w:val="0"/>
              <w:widowControl w:val="0"/>
              <w:suppressLineNumbers w:val="0"/>
              <w:kinsoku/>
              <w:wordWrap/>
              <w:overflowPunct/>
              <w:autoSpaceDE/>
              <w:autoSpaceDN/>
              <w:bidi w:val="0"/>
              <w:spacing w:before="0" w:beforeAutospacing="0" w:after="0" w:afterAutospacing="0" w:line="420" w:lineRule="exact"/>
              <w:ind w:left="0" w:right="3"/>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序号</w:t>
            </w:r>
          </w:p>
        </w:tc>
        <w:tc>
          <w:tcPr>
            <w:tcW w:w="5888" w:type="dxa"/>
            <w:tcBorders>
              <w:top w:val="single" w:color="auto" w:sz="4" w:space="0"/>
              <w:left w:val="single" w:color="auto" w:sz="4" w:space="0"/>
              <w:bottom w:val="single" w:color="auto" w:sz="4" w:space="0"/>
              <w:right w:val="single" w:color="auto" w:sz="4" w:space="0"/>
            </w:tcBorders>
            <w:vAlign w:val="center"/>
          </w:tcPr>
          <w:p w14:paraId="12A23D6B">
            <w:pPr>
              <w:keepNext w:val="0"/>
              <w:keepLines w:val="0"/>
              <w:pageBreakBefore w:val="0"/>
              <w:widowControl w:val="0"/>
              <w:suppressLineNumbers w:val="0"/>
              <w:kinsoku/>
              <w:wordWrap/>
              <w:overflowPunct/>
              <w:autoSpaceDE/>
              <w:autoSpaceDN/>
              <w:bidi w:val="0"/>
              <w:spacing w:before="0" w:beforeAutospacing="0" w:after="0" w:afterAutospacing="0" w:line="420" w:lineRule="exact"/>
              <w:ind w:left="0" w:right="0"/>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评分标准</w:t>
            </w:r>
          </w:p>
        </w:tc>
        <w:tc>
          <w:tcPr>
            <w:tcW w:w="945" w:type="dxa"/>
            <w:tcBorders>
              <w:top w:val="single" w:color="auto" w:sz="4" w:space="0"/>
              <w:left w:val="single" w:color="auto" w:sz="4" w:space="0"/>
              <w:bottom w:val="single" w:color="auto" w:sz="4" w:space="0"/>
              <w:right w:val="single" w:color="auto" w:sz="4" w:space="0"/>
            </w:tcBorders>
            <w:vAlign w:val="center"/>
          </w:tcPr>
          <w:p w14:paraId="36125C2A">
            <w:pPr>
              <w:keepNext w:val="0"/>
              <w:keepLines w:val="0"/>
              <w:pageBreakBefore w:val="0"/>
              <w:widowControl w:val="0"/>
              <w:suppressLineNumbers w:val="0"/>
              <w:kinsoku/>
              <w:wordWrap/>
              <w:overflowPunct/>
              <w:autoSpaceDE/>
              <w:autoSpaceDN/>
              <w:bidi w:val="0"/>
              <w:spacing w:before="0" w:beforeAutospacing="0" w:after="0" w:afterAutospacing="0" w:line="420" w:lineRule="exact"/>
              <w:ind w:left="0" w:right="0"/>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权重</w:t>
            </w:r>
          </w:p>
        </w:tc>
        <w:tc>
          <w:tcPr>
            <w:tcW w:w="1290" w:type="dxa"/>
            <w:tcBorders>
              <w:top w:val="single" w:color="auto" w:sz="4" w:space="0"/>
              <w:left w:val="single" w:color="auto" w:sz="4" w:space="0"/>
              <w:bottom w:val="single" w:color="auto" w:sz="4" w:space="0"/>
              <w:right w:val="single" w:color="auto" w:sz="4" w:space="0"/>
            </w:tcBorders>
            <w:vAlign w:val="center"/>
          </w:tcPr>
          <w:p w14:paraId="2D9E43A9">
            <w:pPr>
              <w:keepNext w:val="0"/>
              <w:keepLines w:val="0"/>
              <w:pageBreakBefore w:val="0"/>
              <w:widowControl w:val="0"/>
              <w:suppressLineNumbers w:val="0"/>
              <w:kinsoku/>
              <w:wordWrap/>
              <w:overflowPunct/>
              <w:autoSpaceDE/>
              <w:autoSpaceDN/>
              <w:bidi w:val="0"/>
              <w:spacing w:before="0" w:beforeAutospacing="0" w:after="0" w:afterAutospacing="0" w:line="420" w:lineRule="exact"/>
              <w:ind w:left="0" w:right="0"/>
              <w:jc w:val="left"/>
              <w:textAlignment w:val="auto"/>
              <w:rPr>
                <w:rFonts w:hint="default" w:ascii="仿宋_GB2312" w:eastAsia="仿宋_GB2312"/>
                <w:sz w:val="20"/>
                <w:szCs w:val="20"/>
              </w:rPr>
            </w:pPr>
            <w:r>
              <w:rPr>
                <w:rFonts w:hint="eastAsia" w:ascii="仿宋_GB2312" w:hAnsi="宋体" w:eastAsia="仿宋_GB2312" w:cs="宋体"/>
                <w:b/>
                <w:spacing w:val="4"/>
                <w:sz w:val="20"/>
                <w:szCs w:val="20"/>
              </w:rPr>
              <w:t>主观分/客观分属性</w:t>
            </w:r>
          </w:p>
        </w:tc>
      </w:tr>
      <w:tr w14:paraId="5EC4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98" w:type="dxa"/>
            <w:vMerge w:val="restart"/>
            <w:tcBorders>
              <w:top w:val="single" w:color="auto" w:sz="4" w:space="0"/>
              <w:left w:val="single" w:color="auto" w:sz="4" w:space="0"/>
              <w:right w:val="single" w:color="auto" w:sz="4" w:space="0"/>
            </w:tcBorders>
            <w:vAlign w:val="center"/>
          </w:tcPr>
          <w:p w14:paraId="6F0A9FDF">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商</w:t>
            </w:r>
          </w:p>
          <w:p w14:paraId="57C1A774">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务</w:t>
            </w:r>
          </w:p>
          <w:p w14:paraId="1465F986">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部</w:t>
            </w:r>
          </w:p>
          <w:p w14:paraId="6C70621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分</w:t>
            </w:r>
          </w:p>
          <w:p w14:paraId="365E8F5A">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（2</w:t>
            </w:r>
            <w:r>
              <w:rPr>
                <w:rFonts w:hint="eastAsia" w:ascii="仿宋_GB2312" w:eastAsia="仿宋_GB2312"/>
                <w:sz w:val="22"/>
                <w:szCs w:val="22"/>
                <w:lang w:val="en-US" w:eastAsia="zh-CN"/>
              </w:rPr>
              <w:t>4</w:t>
            </w:r>
            <w:r>
              <w:rPr>
                <w:rFonts w:hint="eastAsia" w:ascii="仿宋_GB2312" w:eastAsia="仿宋_GB2312"/>
                <w:sz w:val="22"/>
                <w:szCs w:val="22"/>
              </w:rPr>
              <w:t>分）</w:t>
            </w:r>
          </w:p>
        </w:tc>
        <w:tc>
          <w:tcPr>
            <w:tcW w:w="458" w:type="dxa"/>
            <w:tcBorders>
              <w:top w:val="single" w:color="auto" w:sz="4" w:space="0"/>
              <w:left w:val="single" w:color="auto" w:sz="4" w:space="0"/>
              <w:bottom w:val="single" w:color="auto" w:sz="4" w:space="0"/>
              <w:right w:val="single" w:color="auto" w:sz="4" w:space="0"/>
            </w:tcBorders>
            <w:vAlign w:val="center"/>
          </w:tcPr>
          <w:p w14:paraId="2AA1EA6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rPr>
              <w:t>1</w:t>
            </w:r>
          </w:p>
        </w:tc>
        <w:tc>
          <w:tcPr>
            <w:tcW w:w="5888" w:type="dxa"/>
            <w:tcBorders>
              <w:top w:val="single" w:color="auto" w:sz="4" w:space="0"/>
              <w:left w:val="single" w:color="auto" w:sz="4" w:space="0"/>
              <w:bottom w:val="single" w:color="auto" w:sz="4" w:space="0"/>
              <w:right w:val="single" w:color="auto" w:sz="4" w:space="0"/>
            </w:tcBorders>
            <w:vAlign w:val="center"/>
          </w:tcPr>
          <w:p w14:paraId="46E3D06F">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bookmarkStart w:id="468" w:name="_GoBack"/>
            <w:r>
              <w:rPr>
                <w:rFonts w:hint="eastAsia" w:ascii="仿宋_GB2312" w:hAnsi="宋体" w:eastAsia="仿宋_GB2312" w:cs="宋体"/>
                <w:sz w:val="22"/>
                <w:szCs w:val="22"/>
              </w:rPr>
              <w:t>投标人</w:t>
            </w:r>
            <w:r>
              <w:rPr>
                <w:rFonts w:hint="eastAsia" w:ascii="仿宋_GB2312" w:hAnsi="仿宋_GB2312" w:eastAsia="仿宋_GB2312" w:cs="仿宋_GB2312"/>
                <w:sz w:val="22"/>
                <w:szCs w:val="22"/>
              </w:rPr>
              <w:t>具有自20</w:t>
            </w:r>
            <w:r>
              <w:rPr>
                <w:rFonts w:hint="default" w:ascii="仿宋_GB2312" w:hAnsi="仿宋_GB2312" w:eastAsia="仿宋_GB2312" w:cs="仿宋_GB2312"/>
                <w:sz w:val="22"/>
                <w:szCs w:val="22"/>
              </w:rPr>
              <w:t>22</w:t>
            </w:r>
            <w:r>
              <w:rPr>
                <w:rFonts w:hint="eastAsia" w:ascii="仿宋_GB2312" w:hAnsi="仿宋_GB2312" w:eastAsia="仿宋_GB2312" w:cs="仿宋_GB2312"/>
                <w:sz w:val="22"/>
                <w:szCs w:val="22"/>
              </w:rPr>
              <w:t>年1月1日（含）（以合同签订之日为准）以来</w:t>
            </w:r>
            <w:r>
              <w:rPr>
                <w:rFonts w:hint="eastAsia" w:ascii="仿宋_GB2312" w:hAnsi="宋体" w:eastAsia="仿宋_GB2312" w:cs="宋体"/>
                <w:sz w:val="22"/>
                <w:szCs w:val="22"/>
              </w:rPr>
              <w:t>云服务、云安全服务或云运维等类似业绩的，提供其中一类合同的得1分，满分1分，未提供不得分。</w:t>
            </w:r>
            <w:bookmarkEnd w:id="468"/>
          </w:p>
        </w:tc>
        <w:tc>
          <w:tcPr>
            <w:tcW w:w="945" w:type="dxa"/>
            <w:tcBorders>
              <w:top w:val="single" w:color="auto" w:sz="4" w:space="0"/>
              <w:left w:val="single" w:color="auto" w:sz="4" w:space="0"/>
              <w:bottom w:val="single" w:color="auto" w:sz="4" w:space="0"/>
              <w:right w:val="single" w:color="auto" w:sz="4" w:space="0"/>
            </w:tcBorders>
            <w:vAlign w:val="center"/>
          </w:tcPr>
          <w:p w14:paraId="299D3126">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w:t>
            </w:r>
          </w:p>
        </w:tc>
        <w:tc>
          <w:tcPr>
            <w:tcW w:w="1290" w:type="dxa"/>
            <w:tcBorders>
              <w:top w:val="single" w:color="auto" w:sz="4" w:space="0"/>
              <w:left w:val="single" w:color="auto" w:sz="4" w:space="0"/>
              <w:bottom w:val="single" w:color="auto" w:sz="4" w:space="0"/>
              <w:right w:val="single" w:color="auto" w:sz="4" w:space="0"/>
            </w:tcBorders>
            <w:vAlign w:val="center"/>
          </w:tcPr>
          <w:p w14:paraId="089C4BE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客观分</w:t>
            </w:r>
          </w:p>
        </w:tc>
      </w:tr>
      <w:tr w14:paraId="1037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98" w:type="dxa"/>
            <w:vMerge w:val="continue"/>
            <w:tcBorders>
              <w:left w:val="single" w:color="auto" w:sz="4" w:space="0"/>
              <w:right w:val="single" w:color="auto" w:sz="4" w:space="0"/>
            </w:tcBorders>
            <w:vAlign w:val="center"/>
          </w:tcPr>
          <w:p w14:paraId="615DBD3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5DD71D2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rPr>
              <w:t>2</w:t>
            </w:r>
          </w:p>
        </w:tc>
        <w:tc>
          <w:tcPr>
            <w:tcW w:w="5888" w:type="dxa"/>
            <w:tcBorders>
              <w:top w:val="single" w:color="auto" w:sz="4" w:space="0"/>
              <w:left w:val="single" w:color="auto" w:sz="4" w:space="0"/>
              <w:bottom w:val="single" w:color="auto" w:sz="4" w:space="0"/>
              <w:right w:val="single" w:color="auto" w:sz="4" w:space="0"/>
            </w:tcBorders>
            <w:vAlign w:val="center"/>
          </w:tcPr>
          <w:p w14:paraId="063BBE01">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sz w:val="22"/>
                <w:szCs w:val="22"/>
                <w14:textFill>
                  <w14:solidFill>
                    <w14:schemeClr w14:val="tx1"/>
                  </w14:solidFill>
                </w14:textFill>
              </w:rPr>
              <w:t>投标人提供所投自有云平台</w:t>
            </w:r>
            <w:r>
              <w:rPr>
                <w:rFonts w:hint="eastAsia" w:ascii="仿宋_GB2312" w:hAnsi="宋体" w:eastAsia="仿宋_GB2312" w:cs="宋体"/>
                <w:color w:val="000000" w:themeColor="text1"/>
                <w:sz w:val="22"/>
                <w:szCs w:val="22"/>
                <w:lang w:eastAsia="zh-CN"/>
                <w14:textFill>
                  <w14:solidFill>
                    <w14:schemeClr w14:val="tx1"/>
                  </w14:solidFill>
                </w14:textFill>
              </w:rPr>
              <w:t>具有在有效期内的商用密码应用安全性评估报告</w:t>
            </w:r>
            <w:r>
              <w:rPr>
                <w:rFonts w:hint="eastAsia" w:ascii="仿宋_GB2312" w:hAnsi="宋体" w:eastAsia="仿宋_GB2312" w:cs="宋体"/>
                <w:color w:val="000000" w:themeColor="text1"/>
                <w:sz w:val="22"/>
                <w:szCs w:val="22"/>
                <w14:textFill>
                  <w14:solidFill>
                    <w14:schemeClr w14:val="tx1"/>
                  </w14:solidFill>
                </w14:textFill>
              </w:rPr>
              <w:t>安全的得</w:t>
            </w:r>
            <w:r>
              <w:rPr>
                <w:rFonts w:hint="default" w:ascii="仿宋_GB2312" w:hAnsi="宋体" w:eastAsia="仿宋_GB2312" w:cs="宋体"/>
                <w:color w:val="000000" w:themeColor="text1"/>
                <w:sz w:val="22"/>
                <w:szCs w:val="22"/>
                <w14:textFill>
                  <w14:solidFill>
                    <w14:schemeClr w14:val="tx1"/>
                  </w14:solidFill>
                </w14:textFill>
              </w:rPr>
              <w:t>1分</w:t>
            </w:r>
            <w:r>
              <w:rPr>
                <w:rFonts w:hint="eastAsia" w:ascii="仿宋_GB2312" w:hAnsi="宋体" w:eastAsia="仿宋_GB2312" w:cs="宋体"/>
                <w:color w:val="000000" w:themeColor="text1"/>
                <w:sz w:val="22"/>
                <w:szCs w:val="22"/>
                <w14:textFill>
                  <w14:solidFill>
                    <w14:schemeClr w14:val="tx1"/>
                  </w14:solidFill>
                </w14:textFill>
              </w:rPr>
              <w:t>，没有不得分。</w:t>
            </w:r>
          </w:p>
          <w:p w14:paraId="1797AC2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eastAsia="仿宋_GB2312"/>
                <w:sz w:val="20"/>
                <w:szCs w:val="22"/>
              </w:rPr>
            </w:pPr>
            <w:r>
              <w:rPr>
                <w:rFonts w:hint="eastAsia" w:ascii="仿宋_GB2312" w:hAnsi="宋体" w:eastAsia="仿宋_GB2312" w:cs="宋体"/>
                <w:color w:val="000000" w:themeColor="text1"/>
                <w:sz w:val="22"/>
                <w:szCs w:val="22"/>
                <w14:textFill>
                  <w14:solidFill>
                    <w14:schemeClr w14:val="tx1"/>
                  </w14:solidFill>
                </w14:textFill>
              </w:rPr>
              <w:t xml:space="preserve">注：投标时须提供证书，否则不得分。 </w:t>
            </w:r>
          </w:p>
        </w:tc>
        <w:tc>
          <w:tcPr>
            <w:tcW w:w="945" w:type="dxa"/>
            <w:tcBorders>
              <w:top w:val="single" w:color="auto" w:sz="4" w:space="0"/>
              <w:left w:val="single" w:color="auto" w:sz="4" w:space="0"/>
              <w:bottom w:val="single" w:color="auto" w:sz="4" w:space="0"/>
              <w:right w:val="single" w:color="auto" w:sz="4" w:space="0"/>
            </w:tcBorders>
            <w:vAlign w:val="center"/>
          </w:tcPr>
          <w:p w14:paraId="408900A8">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default" w:ascii="仿宋_GB2312" w:eastAsia="仿宋_GB2312"/>
                <w:sz w:val="22"/>
                <w:szCs w:val="22"/>
              </w:rPr>
              <w:t>1</w:t>
            </w:r>
          </w:p>
        </w:tc>
        <w:tc>
          <w:tcPr>
            <w:tcW w:w="1290" w:type="dxa"/>
            <w:tcBorders>
              <w:top w:val="single" w:color="auto" w:sz="4" w:space="0"/>
              <w:left w:val="single" w:color="auto" w:sz="4" w:space="0"/>
              <w:bottom w:val="single" w:color="auto" w:sz="4" w:space="0"/>
              <w:right w:val="single" w:color="auto" w:sz="4" w:space="0"/>
            </w:tcBorders>
            <w:vAlign w:val="center"/>
          </w:tcPr>
          <w:p w14:paraId="32A3FAC1">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p w14:paraId="3998EBC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客观分</w:t>
            </w:r>
          </w:p>
        </w:tc>
      </w:tr>
      <w:tr w14:paraId="2CE0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98" w:type="dxa"/>
            <w:vMerge w:val="continue"/>
            <w:tcBorders>
              <w:left w:val="single" w:color="auto" w:sz="4" w:space="0"/>
              <w:right w:val="single" w:color="auto" w:sz="4" w:space="0"/>
            </w:tcBorders>
            <w:vAlign w:val="center"/>
          </w:tcPr>
          <w:p w14:paraId="21DFE89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right w:val="single" w:color="auto" w:sz="4" w:space="0"/>
            </w:tcBorders>
            <w:vAlign w:val="center"/>
          </w:tcPr>
          <w:p w14:paraId="1E988BA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3</w:t>
            </w:r>
          </w:p>
        </w:tc>
        <w:tc>
          <w:tcPr>
            <w:tcW w:w="5888" w:type="dxa"/>
            <w:tcBorders>
              <w:top w:val="single" w:color="auto" w:sz="4" w:space="0"/>
              <w:left w:val="single" w:color="auto" w:sz="4" w:space="0"/>
              <w:right w:val="single" w:color="auto" w:sz="4" w:space="0"/>
            </w:tcBorders>
            <w:vAlign w:val="center"/>
          </w:tcPr>
          <w:p w14:paraId="7E869458">
            <w:pPr>
              <w:pStyle w:val="21"/>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20" w:lineRule="exact"/>
              <w:ind w:left="0" w:right="0" w:firstLine="0" w:firstLineChars="0"/>
              <w:jc w:val="left"/>
              <w:textAlignment w:val="auto"/>
              <w:rPr>
                <w:rFonts w:hint="default" w:ascii="仿宋_GB2312" w:hAnsi="宋体" w:eastAsia="仿宋_GB2312" w:cs="宋体"/>
                <w:spacing w:val="0"/>
                <w:kern w:val="2"/>
                <w:sz w:val="22"/>
                <w:szCs w:val="22"/>
              </w:rPr>
            </w:pPr>
            <w:r>
              <w:rPr>
                <w:rFonts w:hint="eastAsia" w:ascii="仿宋_GB2312" w:hAnsi="宋体" w:eastAsia="仿宋_GB2312" w:cs="宋体"/>
                <w:spacing w:val="0"/>
                <w:kern w:val="2"/>
                <w:sz w:val="22"/>
                <w:szCs w:val="22"/>
              </w:rPr>
              <w:t>投标人拟派本项目实施团队中：</w:t>
            </w:r>
          </w:p>
          <w:p w14:paraId="4ECC10C0">
            <w:pPr>
              <w:pStyle w:val="21"/>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20" w:lineRule="exact"/>
              <w:ind w:left="0" w:right="0" w:firstLine="0" w:firstLineChars="0"/>
              <w:jc w:val="left"/>
              <w:textAlignment w:val="auto"/>
              <w:rPr>
                <w:rFonts w:hint="default" w:ascii="仿宋_GB2312" w:hAnsi="宋体" w:eastAsia="仿宋_GB2312" w:cs="宋体"/>
                <w:spacing w:val="0"/>
                <w:kern w:val="2"/>
                <w:sz w:val="22"/>
                <w:szCs w:val="22"/>
              </w:rPr>
            </w:pPr>
            <w:r>
              <w:rPr>
                <w:rFonts w:hint="eastAsia" w:ascii="仿宋_GB2312" w:hAnsi="宋体" w:eastAsia="仿宋_GB2312" w:cs="宋体"/>
                <w:spacing w:val="0"/>
                <w:kern w:val="2"/>
                <w:sz w:val="22"/>
                <w:szCs w:val="22"/>
              </w:rPr>
              <w:t>具有（1）系统集成项目管理工程师中级或以上证书；</w:t>
            </w:r>
          </w:p>
          <w:p w14:paraId="735BC15C">
            <w:pPr>
              <w:pStyle w:val="21"/>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20" w:lineRule="exact"/>
              <w:ind w:left="0" w:right="0" w:firstLine="0" w:firstLineChars="0"/>
              <w:jc w:val="left"/>
              <w:textAlignment w:val="auto"/>
              <w:rPr>
                <w:rFonts w:hint="eastAsia" w:ascii="仿宋_GB2312" w:hAnsi="宋体" w:eastAsia="仿宋_GB2312" w:cs="宋体"/>
                <w:color w:val="000000" w:themeColor="text1"/>
                <w:spacing w:val="0"/>
                <w:kern w:val="2"/>
                <w:sz w:val="22"/>
                <w:szCs w:val="22"/>
                <w:lang w:eastAsia="zh-CN"/>
                <w14:textFill>
                  <w14:solidFill>
                    <w14:schemeClr w14:val="tx1"/>
                  </w14:solidFill>
                </w14:textFill>
              </w:rPr>
            </w:pPr>
            <w:r>
              <w:rPr>
                <w:rFonts w:hint="eastAsia" w:ascii="仿宋_GB2312" w:hAnsi="宋体" w:eastAsia="仿宋_GB2312" w:cs="宋体"/>
                <w:color w:val="000000" w:themeColor="text1"/>
                <w:spacing w:val="0"/>
                <w:kern w:val="2"/>
                <w:sz w:val="22"/>
                <w:szCs w:val="22"/>
                <w14:textFill>
                  <w14:solidFill>
                    <w14:schemeClr w14:val="tx1"/>
                  </w14:solidFill>
                </w14:textFill>
              </w:rPr>
              <w:t>（2）所投云平台原厂商云计算专业工程师认证证书；</w:t>
            </w:r>
            <w:r>
              <w:rPr>
                <w:rFonts w:hint="eastAsia" w:ascii="仿宋_GB2312" w:hAnsi="宋体" w:eastAsia="仿宋_GB2312" w:cs="宋体"/>
                <w:color w:val="000000" w:themeColor="text1"/>
                <w:spacing w:val="0"/>
                <w:kern w:val="2"/>
                <w:sz w:val="22"/>
                <w:szCs w:val="22"/>
                <w:lang w:eastAsia="zh-CN"/>
                <w14:textFill>
                  <w14:solidFill>
                    <w14:schemeClr w14:val="tx1"/>
                  </w14:solidFill>
                </w14:textFill>
              </w:rPr>
              <w:t>（</w:t>
            </w:r>
            <w:r>
              <w:rPr>
                <w:rFonts w:hint="eastAsia" w:ascii="仿宋_GB2312" w:hAnsi="宋体" w:eastAsia="仿宋_GB2312" w:cs="宋体"/>
                <w:color w:val="000000" w:themeColor="text1"/>
                <w:spacing w:val="0"/>
                <w:kern w:val="2"/>
                <w:sz w:val="22"/>
                <w:szCs w:val="22"/>
                <w:lang w:val="en-US" w:eastAsia="zh-CN"/>
                <w14:textFill>
                  <w14:solidFill>
                    <w14:schemeClr w14:val="tx1"/>
                  </w14:solidFill>
                </w14:textFill>
              </w:rPr>
              <w:t>ACP</w:t>
            </w:r>
            <w:r>
              <w:rPr>
                <w:rFonts w:hint="eastAsia" w:ascii="仿宋_GB2312" w:hAnsi="宋体" w:eastAsia="仿宋_GB2312" w:cs="宋体"/>
                <w:color w:val="000000" w:themeColor="text1"/>
                <w:spacing w:val="0"/>
                <w:kern w:val="2"/>
                <w:sz w:val="22"/>
                <w:szCs w:val="22"/>
                <w:lang w:eastAsia="zh-CN"/>
                <w14:textFill>
                  <w14:solidFill>
                    <w14:schemeClr w14:val="tx1"/>
                  </w14:solidFill>
                </w14:textFill>
              </w:rPr>
              <w:t>）</w:t>
            </w:r>
          </w:p>
          <w:p w14:paraId="1F0FCCCC">
            <w:pPr>
              <w:pStyle w:val="21"/>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20" w:lineRule="exact"/>
              <w:ind w:left="0" w:right="0" w:firstLine="0" w:firstLineChars="0"/>
              <w:jc w:val="left"/>
              <w:textAlignment w:val="auto"/>
              <w:rPr>
                <w:rFonts w:hint="default" w:ascii="仿宋_GB2312" w:hAnsi="宋体" w:eastAsia="仿宋_GB2312" w:cs="宋体"/>
                <w:color w:val="000000" w:themeColor="text1"/>
                <w:spacing w:val="0"/>
                <w:kern w:val="2"/>
                <w:sz w:val="22"/>
                <w:szCs w:val="22"/>
                <w14:textFill>
                  <w14:solidFill>
                    <w14:schemeClr w14:val="tx1"/>
                  </w14:solidFill>
                </w14:textFill>
              </w:rPr>
            </w:pPr>
            <w:r>
              <w:rPr>
                <w:rFonts w:hint="eastAsia" w:ascii="仿宋_GB2312" w:hAnsi="宋体" w:eastAsia="仿宋_GB2312" w:cs="宋体"/>
                <w:color w:val="000000" w:themeColor="text1"/>
                <w:spacing w:val="0"/>
                <w:kern w:val="2"/>
                <w:sz w:val="22"/>
                <w:szCs w:val="22"/>
                <w14:textFill>
                  <w14:solidFill>
                    <w14:schemeClr w14:val="tx1"/>
                  </w14:solidFill>
                </w14:textFill>
              </w:rPr>
              <w:t>（3）所投云平台原厂商大模型售前技术工程师认证证书</w:t>
            </w:r>
            <w:r>
              <w:rPr>
                <w:rFonts w:hint="default" w:ascii="仿宋_GB2312" w:hAnsi="宋体" w:eastAsia="仿宋_GB2312" w:cs="宋体"/>
                <w:color w:val="000000" w:themeColor="text1"/>
                <w:spacing w:val="0"/>
                <w:kern w:val="2"/>
                <w:sz w:val="22"/>
                <w:szCs w:val="22"/>
                <w14:textFill>
                  <w14:solidFill>
                    <w14:schemeClr w14:val="tx1"/>
                  </w14:solidFill>
                </w14:textFill>
              </w:rPr>
              <w:t>；</w:t>
            </w:r>
          </w:p>
          <w:p w14:paraId="1B072BED">
            <w:pPr>
              <w:pStyle w:val="21"/>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20" w:lineRule="exact"/>
              <w:ind w:left="0" w:right="0" w:firstLine="0" w:firstLineChars="0"/>
              <w:jc w:val="left"/>
              <w:textAlignment w:val="auto"/>
              <w:rPr>
                <w:rFonts w:hint="default" w:ascii="仿宋_GB2312" w:hAnsi="宋体" w:eastAsia="仿宋_GB2312" w:cs="宋体"/>
                <w:color w:val="000000" w:themeColor="text1"/>
                <w:spacing w:val="0"/>
                <w:kern w:val="2"/>
                <w:sz w:val="22"/>
                <w:szCs w:val="22"/>
                <w14:textFill>
                  <w14:solidFill>
                    <w14:schemeClr w14:val="tx1"/>
                  </w14:solidFill>
                </w14:textFill>
              </w:rPr>
            </w:pPr>
            <w:r>
              <w:rPr>
                <w:rFonts w:hint="eastAsia" w:ascii="仿宋_GB2312" w:hAnsi="宋体" w:eastAsia="仿宋_GB2312" w:cs="宋体"/>
                <w:color w:val="000000" w:themeColor="text1"/>
                <w:spacing w:val="0"/>
                <w:kern w:val="2"/>
                <w:sz w:val="22"/>
                <w:szCs w:val="22"/>
                <w14:textFill>
                  <w14:solidFill>
                    <w14:schemeClr w14:val="tx1"/>
                  </w14:solidFill>
                </w14:textFill>
              </w:rPr>
              <w:t>（</w:t>
            </w:r>
            <w:r>
              <w:rPr>
                <w:rFonts w:hint="default" w:ascii="仿宋_GB2312" w:hAnsi="宋体" w:eastAsia="仿宋_GB2312" w:cs="宋体"/>
                <w:color w:val="000000" w:themeColor="text1"/>
                <w:spacing w:val="0"/>
                <w:kern w:val="2"/>
                <w:sz w:val="22"/>
                <w:szCs w:val="22"/>
                <w14:textFill>
                  <w14:solidFill>
                    <w14:schemeClr w14:val="tx1"/>
                  </w14:solidFill>
                </w14:textFill>
              </w:rPr>
              <w:t>4）</w:t>
            </w:r>
            <w:r>
              <w:rPr>
                <w:rFonts w:hint="eastAsia" w:ascii="仿宋_GB2312" w:hAnsi="宋体" w:eastAsia="仿宋_GB2312" w:cs="宋体"/>
                <w:color w:val="000000" w:themeColor="text1"/>
                <w:spacing w:val="0"/>
                <w:kern w:val="2"/>
                <w:sz w:val="22"/>
                <w:szCs w:val="22"/>
                <w:lang w:val="en-US" w:eastAsia="zh-CN"/>
                <w14:textFill>
                  <w14:solidFill>
                    <w14:schemeClr w14:val="tx1"/>
                  </w14:solidFill>
                </w14:textFill>
              </w:rPr>
              <w:t>网络工程师证书</w:t>
            </w:r>
            <w:r>
              <w:rPr>
                <w:rFonts w:hint="eastAsia" w:ascii="仿宋_GB2312" w:hAnsi="宋体" w:eastAsia="仿宋_GB2312" w:cs="宋体"/>
                <w:color w:val="000000" w:themeColor="text1"/>
                <w:spacing w:val="0"/>
                <w:kern w:val="2"/>
                <w:sz w:val="22"/>
                <w:szCs w:val="22"/>
                <w14:textFill>
                  <w14:solidFill>
                    <w14:schemeClr w14:val="tx1"/>
                  </w14:solidFill>
                </w14:textFill>
              </w:rPr>
              <w:t>（人社部）</w:t>
            </w:r>
            <w:r>
              <w:rPr>
                <w:rFonts w:hint="default" w:ascii="仿宋_GB2312" w:hAnsi="宋体" w:eastAsia="仿宋_GB2312" w:cs="宋体"/>
                <w:color w:val="000000" w:themeColor="text1"/>
                <w:spacing w:val="0"/>
                <w:kern w:val="2"/>
                <w:sz w:val="22"/>
                <w:szCs w:val="22"/>
                <w14:textFill>
                  <w14:solidFill>
                    <w14:schemeClr w14:val="tx1"/>
                  </w14:solidFill>
                </w14:textFill>
              </w:rPr>
              <w:t>；</w:t>
            </w:r>
          </w:p>
          <w:p w14:paraId="5A996875">
            <w:pPr>
              <w:pStyle w:val="21"/>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20" w:lineRule="exact"/>
              <w:ind w:left="0" w:right="0" w:firstLine="0" w:firstLineChars="0"/>
              <w:jc w:val="left"/>
              <w:textAlignment w:val="auto"/>
              <w:rPr>
                <w:rFonts w:hint="default" w:ascii="仿宋_GB2312" w:hAnsi="宋体" w:eastAsia="仿宋_GB2312" w:cs="宋体"/>
                <w:color w:val="000000" w:themeColor="text1"/>
                <w:spacing w:val="0"/>
                <w:kern w:val="2"/>
                <w:sz w:val="22"/>
                <w:szCs w:val="22"/>
                <w14:textFill>
                  <w14:solidFill>
                    <w14:schemeClr w14:val="tx1"/>
                  </w14:solidFill>
                </w14:textFill>
              </w:rPr>
            </w:pPr>
            <w:r>
              <w:rPr>
                <w:rFonts w:hint="eastAsia" w:ascii="仿宋_GB2312" w:hAnsi="宋体" w:eastAsia="仿宋_GB2312" w:cs="宋体"/>
                <w:color w:val="000000" w:themeColor="text1"/>
                <w:spacing w:val="0"/>
                <w:kern w:val="2"/>
                <w:sz w:val="22"/>
                <w:szCs w:val="22"/>
                <w14:textFill>
                  <w14:solidFill>
                    <w14:schemeClr w14:val="tx1"/>
                  </w14:solidFill>
                </w14:textFill>
              </w:rPr>
              <w:t>（</w:t>
            </w:r>
            <w:r>
              <w:rPr>
                <w:rFonts w:hint="default" w:ascii="仿宋_GB2312" w:hAnsi="宋体" w:eastAsia="仿宋_GB2312" w:cs="宋体"/>
                <w:color w:val="000000" w:themeColor="text1"/>
                <w:spacing w:val="0"/>
                <w:kern w:val="2"/>
                <w:sz w:val="22"/>
                <w:szCs w:val="22"/>
                <w14:textFill>
                  <w14:solidFill>
                    <w14:schemeClr w14:val="tx1"/>
                  </w14:solidFill>
                </w14:textFill>
              </w:rPr>
              <w:t>5）信息安全工程师证书</w:t>
            </w:r>
            <w:r>
              <w:rPr>
                <w:rFonts w:hint="eastAsia" w:ascii="仿宋_GB2312" w:hAnsi="宋体" w:eastAsia="仿宋_GB2312" w:cs="宋体"/>
                <w:color w:val="000000" w:themeColor="text1"/>
                <w:spacing w:val="0"/>
                <w:kern w:val="2"/>
                <w:sz w:val="22"/>
                <w:szCs w:val="22"/>
                <w14:textFill>
                  <w14:solidFill>
                    <w14:schemeClr w14:val="tx1"/>
                  </w14:solidFill>
                </w14:textFill>
              </w:rPr>
              <w:t>（人社部）；</w:t>
            </w:r>
          </w:p>
          <w:p w14:paraId="2160D560">
            <w:pPr>
              <w:pStyle w:val="21"/>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20" w:lineRule="exact"/>
              <w:ind w:left="0" w:right="0" w:firstLine="0" w:firstLineChars="0"/>
              <w:jc w:val="left"/>
              <w:textAlignment w:val="auto"/>
              <w:rPr>
                <w:rFonts w:hint="default" w:ascii="仿宋_GB2312" w:hAnsi="宋体" w:eastAsia="仿宋_GB2312" w:cs="宋体"/>
                <w:spacing w:val="0"/>
                <w:kern w:val="2"/>
                <w:sz w:val="22"/>
                <w:szCs w:val="22"/>
              </w:rPr>
            </w:pPr>
            <w:r>
              <w:rPr>
                <w:rFonts w:hint="eastAsia" w:ascii="仿宋_GB2312" w:hAnsi="宋体" w:eastAsia="仿宋_GB2312" w:cs="宋体"/>
                <w:spacing w:val="0"/>
                <w:kern w:val="2"/>
                <w:sz w:val="22"/>
                <w:szCs w:val="22"/>
              </w:rPr>
              <w:t>（6）电子信息技术工程师中级或以上证书；</w:t>
            </w:r>
          </w:p>
          <w:p w14:paraId="63B0EB05">
            <w:pPr>
              <w:pStyle w:val="21"/>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20" w:lineRule="exact"/>
              <w:ind w:left="0" w:right="0" w:firstLine="0" w:firstLineChars="0"/>
              <w:jc w:val="left"/>
              <w:textAlignment w:val="auto"/>
              <w:rPr>
                <w:rFonts w:hint="default" w:ascii="仿宋_GB2312" w:hAnsi="宋体" w:eastAsia="仿宋_GB2312" w:cs="宋体"/>
                <w:spacing w:val="0"/>
                <w:kern w:val="2"/>
                <w:sz w:val="22"/>
                <w:szCs w:val="22"/>
              </w:rPr>
            </w:pPr>
            <w:r>
              <w:rPr>
                <w:rFonts w:hint="eastAsia" w:ascii="仿宋_GB2312" w:hAnsi="宋体" w:eastAsia="仿宋_GB2312" w:cs="宋体"/>
                <w:spacing w:val="0"/>
                <w:kern w:val="2"/>
                <w:sz w:val="22"/>
                <w:szCs w:val="22"/>
              </w:rPr>
              <w:t>每具备1类证书得1分，最高得6分，同类证书不同等级就高计取不重复计分，同一人员同时具有上述2类或2类以上证书的，最多得1分。</w:t>
            </w:r>
          </w:p>
          <w:p w14:paraId="6660D37C">
            <w:pPr>
              <w:pStyle w:val="21"/>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20" w:lineRule="exact"/>
              <w:ind w:left="0" w:right="0" w:firstLine="0" w:firstLineChars="0"/>
              <w:jc w:val="left"/>
              <w:textAlignment w:val="auto"/>
              <w:rPr>
                <w:rFonts w:hint="default" w:ascii="仿宋_GB2312" w:hAnsi="宋体" w:eastAsia="仿宋_GB2312" w:cs="宋体"/>
                <w:spacing w:val="0"/>
                <w:kern w:val="2"/>
                <w:sz w:val="22"/>
                <w:szCs w:val="22"/>
              </w:rPr>
            </w:pPr>
            <w:r>
              <w:rPr>
                <w:rFonts w:hint="eastAsia" w:ascii="仿宋_GB2312" w:hAnsi="宋体" w:eastAsia="仿宋_GB2312" w:cs="宋体"/>
                <w:spacing w:val="0"/>
                <w:kern w:val="2"/>
                <w:sz w:val="22"/>
                <w:szCs w:val="22"/>
              </w:rPr>
              <w:t>注：1.须提供上述证书及上述人员在本单位的社保证明（</w:t>
            </w:r>
            <w:r>
              <w:rPr>
                <w:rFonts w:hint="eastAsia" w:ascii="仿宋_GB2312" w:hAnsi="仿宋_GB2312" w:eastAsia="仿宋_GB2312" w:cs="仿宋_GB2312"/>
                <w:sz w:val="22"/>
                <w:szCs w:val="18"/>
              </w:rPr>
              <w:t>202</w:t>
            </w:r>
            <w:r>
              <w:rPr>
                <w:rFonts w:hint="eastAsia" w:ascii="仿宋_GB2312" w:hAnsi="仿宋_GB2312" w:eastAsia="仿宋_GB2312" w:cs="仿宋_GB2312"/>
                <w:sz w:val="22"/>
                <w:szCs w:val="18"/>
                <w:lang w:val="en-US" w:eastAsia="zh-CN"/>
              </w:rPr>
              <w:t>5</w:t>
            </w:r>
            <w:r>
              <w:rPr>
                <w:rFonts w:hint="eastAsia" w:ascii="仿宋_GB2312" w:hAnsi="仿宋_GB2312" w:eastAsia="仿宋_GB2312" w:cs="仿宋_GB2312"/>
                <w:sz w:val="22"/>
                <w:szCs w:val="18"/>
              </w:rPr>
              <w:t>年</w:t>
            </w:r>
            <w:r>
              <w:rPr>
                <w:rFonts w:hint="eastAsia" w:ascii="仿宋_GB2312" w:hAnsi="仿宋_GB2312" w:eastAsia="仿宋_GB2312" w:cs="仿宋_GB2312"/>
                <w:sz w:val="22"/>
                <w:szCs w:val="18"/>
                <w:lang w:val="en-US" w:eastAsia="zh-CN"/>
              </w:rPr>
              <w:t>6</w:t>
            </w:r>
            <w:r>
              <w:rPr>
                <w:rFonts w:hint="eastAsia" w:ascii="仿宋_GB2312" w:hAnsi="仿宋_GB2312" w:eastAsia="仿宋_GB2312" w:cs="仿宋_GB2312"/>
                <w:sz w:val="22"/>
                <w:szCs w:val="18"/>
              </w:rPr>
              <w:t>月、</w:t>
            </w:r>
            <w:r>
              <w:rPr>
                <w:rFonts w:hint="eastAsia" w:ascii="仿宋_GB2312" w:hAnsi="仿宋_GB2312" w:eastAsia="仿宋_GB2312" w:cs="仿宋_GB2312"/>
                <w:sz w:val="22"/>
                <w:szCs w:val="18"/>
                <w:lang w:val="en-US" w:eastAsia="zh-CN"/>
              </w:rPr>
              <w:t>5</w:t>
            </w:r>
            <w:r>
              <w:rPr>
                <w:rFonts w:hint="eastAsia" w:ascii="仿宋_GB2312" w:hAnsi="仿宋_GB2312" w:eastAsia="仿宋_GB2312" w:cs="仿宋_GB2312"/>
                <w:sz w:val="22"/>
                <w:szCs w:val="18"/>
              </w:rPr>
              <w:t>月、</w:t>
            </w:r>
            <w:r>
              <w:rPr>
                <w:rFonts w:hint="eastAsia" w:ascii="仿宋_GB2312" w:hAnsi="仿宋_GB2312" w:eastAsia="仿宋_GB2312" w:cs="仿宋_GB2312"/>
                <w:sz w:val="22"/>
                <w:szCs w:val="18"/>
                <w:lang w:val="en-US" w:eastAsia="zh-CN"/>
              </w:rPr>
              <w:t>4</w:t>
            </w:r>
            <w:r>
              <w:rPr>
                <w:rFonts w:hint="eastAsia" w:ascii="仿宋_GB2312" w:hAnsi="仿宋_GB2312" w:eastAsia="仿宋_GB2312" w:cs="仿宋_GB2312"/>
                <w:sz w:val="22"/>
                <w:szCs w:val="18"/>
              </w:rPr>
              <w:t>月中的任意一个月</w:t>
            </w:r>
            <w:r>
              <w:rPr>
                <w:rFonts w:hint="eastAsia" w:ascii="仿宋_GB2312" w:hAnsi="宋体" w:eastAsia="仿宋_GB2312" w:cs="宋体"/>
                <w:spacing w:val="0"/>
                <w:kern w:val="2"/>
                <w:sz w:val="22"/>
                <w:szCs w:val="22"/>
              </w:rPr>
              <w:t>），否则不得分。</w:t>
            </w:r>
          </w:p>
        </w:tc>
        <w:tc>
          <w:tcPr>
            <w:tcW w:w="945" w:type="dxa"/>
            <w:tcBorders>
              <w:top w:val="single" w:color="auto" w:sz="4" w:space="0"/>
              <w:left w:val="single" w:color="auto" w:sz="4" w:space="0"/>
              <w:right w:val="single" w:color="auto" w:sz="4" w:space="0"/>
            </w:tcBorders>
            <w:vAlign w:val="center"/>
          </w:tcPr>
          <w:p w14:paraId="23E87956">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6</w:t>
            </w:r>
          </w:p>
        </w:tc>
        <w:tc>
          <w:tcPr>
            <w:tcW w:w="1290" w:type="dxa"/>
            <w:tcBorders>
              <w:top w:val="single" w:color="auto" w:sz="4" w:space="0"/>
              <w:left w:val="single" w:color="auto" w:sz="4" w:space="0"/>
              <w:right w:val="single" w:color="auto" w:sz="4" w:space="0"/>
            </w:tcBorders>
            <w:vAlign w:val="center"/>
          </w:tcPr>
          <w:p w14:paraId="0215724E">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客观分</w:t>
            </w:r>
          </w:p>
        </w:tc>
      </w:tr>
      <w:tr w14:paraId="2FC2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698" w:type="dxa"/>
            <w:vMerge w:val="continue"/>
            <w:tcBorders>
              <w:left w:val="single" w:color="auto" w:sz="4" w:space="0"/>
              <w:right w:val="single" w:color="auto" w:sz="4" w:space="0"/>
            </w:tcBorders>
            <w:vAlign w:val="center"/>
          </w:tcPr>
          <w:p w14:paraId="2119778F">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62AE5BB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4</w:t>
            </w:r>
          </w:p>
        </w:tc>
        <w:tc>
          <w:tcPr>
            <w:tcW w:w="5888" w:type="dxa"/>
            <w:tcBorders>
              <w:top w:val="single" w:color="auto" w:sz="4" w:space="0"/>
              <w:left w:val="single" w:color="auto" w:sz="4" w:space="0"/>
              <w:bottom w:val="single" w:color="auto" w:sz="4" w:space="0"/>
              <w:right w:val="single" w:color="auto" w:sz="4" w:space="0"/>
            </w:tcBorders>
            <w:vAlign w:val="center"/>
          </w:tcPr>
          <w:p w14:paraId="28F46A1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仿宋_GB2312" w:eastAsia="仿宋_GB2312" w:cs="仿宋_GB2312"/>
                <w:sz w:val="22"/>
                <w:szCs w:val="22"/>
                <w:lang w:eastAsia="zh-CN"/>
              </w:rPr>
            </w:pPr>
            <w:r>
              <w:rPr>
                <w:rFonts w:hint="eastAsia" w:ascii="仿宋_GB2312" w:hAnsi="宋体" w:eastAsia="仿宋_GB2312" w:cs="宋体"/>
                <w:sz w:val="22"/>
                <w:szCs w:val="22"/>
              </w:rPr>
              <w:t>根据投标人对本项目制定的</w:t>
            </w:r>
            <w:r>
              <w:rPr>
                <w:rFonts w:hint="eastAsia" w:ascii="仿宋_GB2312" w:hAnsi="仿宋_GB2312" w:eastAsia="仿宋_GB2312" w:cs="仿宋_GB2312"/>
                <w:sz w:val="22"/>
                <w:szCs w:val="22"/>
              </w:rPr>
              <w:t>的售后服务方案</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包括响应速度、运维人员配置、服务承诺等情况</w:t>
            </w:r>
            <w:r>
              <w:rPr>
                <w:rFonts w:hint="eastAsia" w:ascii="仿宋_GB2312" w:hAnsi="仿宋_GB2312" w:eastAsia="仿宋_GB2312" w:cs="仿宋_GB2312"/>
                <w:sz w:val="22"/>
                <w:szCs w:val="22"/>
              </w:rPr>
              <w:t>打分</w:t>
            </w:r>
            <w:r>
              <w:rPr>
                <w:rFonts w:hint="eastAsia" w:ascii="仿宋_GB2312" w:hAnsi="仿宋_GB2312" w:eastAsia="仿宋_GB2312" w:cs="仿宋_GB2312"/>
                <w:sz w:val="22"/>
                <w:szCs w:val="22"/>
                <w:lang w:eastAsia="zh-CN"/>
              </w:rPr>
              <w:t>：</w:t>
            </w:r>
          </w:p>
          <w:p w14:paraId="32717BD0">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420" w:lineRule="exact"/>
              <w:ind w:right="0" w:rightChars="0"/>
              <w:contextualSpacing/>
              <w:jc w:val="left"/>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以上每点，描述完整详细且与采购人实际需求完全契合的得1分；</w:t>
            </w:r>
          </w:p>
          <w:p w14:paraId="3BD58A94">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420" w:lineRule="exact"/>
              <w:ind w:right="0" w:rightChars="0"/>
              <w:contextualSpacing/>
              <w:jc w:val="left"/>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描述较详细完整或与采购人实际需求基本符合的得0.5分；</w:t>
            </w:r>
          </w:p>
          <w:p w14:paraId="1A7E654C">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420" w:lineRule="exact"/>
              <w:ind w:right="0" w:rightChars="0"/>
              <w:contextualSpacing/>
              <w:jc w:val="left"/>
              <w:textAlignment w:val="auto"/>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未提供或完全不符合采购人需求的得0分。</w:t>
            </w:r>
          </w:p>
        </w:tc>
        <w:tc>
          <w:tcPr>
            <w:tcW w:w="945" w:type="dxa"/>
            <w:tcBorders>
              <w:top w:val="single" w:color="auto" w:sz="4" w:space="0"/>
              <w:left w:val="single" w:color="auto" w:sz="4" w:space="0"/>
              <w:bottom w:val="single" w:color="auto" w:sz="4" w:space="0"/>
              <w:right w:val="single" w:color="auto" w:sz="4" w:space="0"/>
            </w:tcBorders>
            <w:vAlign w:val="center"/>
          </w:tcPr>
          <w:p w14:paraId="21DA1299">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仿宋_GB2312" w:eastAsia="仿宋_GB2312" w:cs="仿宋_GB2312"/>
                <w:sz w:val="22"/>
                <w:szCs w:val="22"/>
              </w:rPr>
              <w:t>3</w:t>
            </w:r>
          </w:p>
        </w:tc>
        <w:tc>
          <w:tcPr>
            <w:tcW w:w="1290" w:type="dxa"/>
            <w:tcBorders>
              <w:top w:val="single" w:color="auto" w:sz="4" w:space="0"/>
              <w:left w:val="single" w:color="auto" w:sz="4" w:space="0"/>
              <w:bottom w:val="single" w:color="auto" w:sz="4" w:space="0"/>
              <w:right w:val="single" w:color="auto" w:sz="4" w:space="0"/>
            </w:tcBorders>
            <w:vAlign w:val="center"/>
          </w:tcPr>
          <w:p w14:paraId="51CBDDC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主观分</w:t>
            </w:r>
          </w:p>
        </w:tc>
      </w:tr>
      <w:tr w14:paraId="20BC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698" w:type="dxa"/>
            <w:vMerge w:val="continue"/>
            <w:tcBorders>
              <w:left w:val="single" w:color="auto" w:sz="4" w:space="0"/>
              <w:right w:val="single" w:color="auto" w:sz="4" w:space="0"/>
            </w:tcBorders>
            <w:vAlign w:val="center"/>
          </w:tcPr>
          <w:p w14:paraId="62B13623">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right w:val="single" w:color="auto" w:sz="4" w:space="0"/>
            </w:tcBorders>
            <w:vAlign w:val="center"/>
          </w:tcPr>
          <w:p w14:paraId="520CB571">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5</w:t>
            </w:r>
          </w:p>
        </w:tc>
        <w:tc>
          <w:tcPr>
            <w:tcW w:w="5888" w:type="dxa"/>
            <w:tcBorders>
              <w:top w:val="single" w:color="auto" w:sz="4" w:space="0"/>
              <w:left w:val="single" w:color="auto" w:sz="4" w:space="0"/>
              <w:right w:val="single" w:color="auto" w:sz="4" w:space="0"/>
            </w:tcBorders>
            <w:vAlign w:val="center"/>
          </w:tcPr>
          <w:p w14:paraId="01216D29">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根据投标人提供的技术支撑服务方案打分，包括技术支持团队、一体化运维支持力度、统一云管服务能力等情况：</w:t>
            </w:r>
          </w:p>
          <w:p w14:paraId="179E7D0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以上每点，描述完整详细且与采购人实际需求完全契合的得2分；</w:t>
            </w:r>
          </w:p>
          <w:p w14:paraId="5CC04C6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描述较详细完整或与采购人实际需求基本符合的得1分；</w:t>
            </w:r>
          </w:p>
          <w:p w14:paraId="3B27274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未提供或完全不符合采购人需求的得0分。</w:t>
            </w:r>
          </w:p>
        </w:tc>
        <w:tc>
          <w:tcPr>
            <w:tcW w:w="945" w:type="dxa"/>
            <w:tcBorders>
              <w:top w:val="single" w:color="auto" w:sz="4" w:space="0"/>
              <w:left w:val="single" w:color="auto" w:sz="4" w:space="0"/>
              <w:right w:val="single" w:color="auto" w:sz="4" w:space="0"/>
            </w:tcBorders>
            <w:vAlign w:val="center"/>
          </w:tcPr>
          <w:p w14:paraId="1D41CF0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6</w:t>
            </w:r>
          </w:p>
        </w:tc>
        <w:tc>
          <w:tcPr>
            <w:tcW w:w="1290" w:type="dxa"/>
            <w:tcBorders>
              <w:top w:val="single" w:color="auto" w:sz="4" w:space="0"/>
              <w:left w:val="single" w:color="auto" w:sz="4" w:space="0"/>
              <w:bottom w:val="single" w:color="auto" w:sz="4" w:space="0"/>
              <w:right w:val="single" w:color="auto" w:sz="4" w:space="0"/>
            </w:tcBorders>
            <w:vAlign w:val="center"/>
          </w:tcPr>
          <w:p w14:paraId="5D499149">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主观分</w:t>
            </w:r>
          </w:p>
        </w:tc>
      </w:tr>
      <w:tr w14:paraId="4333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698" w:type="dxa"/>
            <w:vMerge w:val="continue"/>
            <w:tcBorders>
              <w:left w:val="single" w:color="auto" w:sz="4" w:space="0"/>
              <w:right w:val="single" w:color="auto" w:sz="4" w:space="0"/>
            </w:tcBorders>
            <w:vAlign w:val="center"/>
          </w:tcPr>
          <w:p w14:paraId="500BDA36">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2FEA727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6</w:t>
            </w:r>
          </w:p>
        </w:tc>
        <w:tc>
          <w:tcPr>
            <w:tcW w:w="5888" w:type="dxa"/>
            <w:tcBorders>
              <w:top w:val="single" w:color="auto" w:sz="4" w:space="0"/>
              <w:left w:val="single" w:color="auto" w:sz="4" w:space="0"/>
              <w:bottom w:val="single" w:color="auto" w:sz="4" w:space="0"/>
              <w:right w:val="single" w:color="auto" w:sz="4" w:space="0"/>
            </w:tcBorders>
            <w:vAlign w:val="center"/>
          </w:tcPr>
          <w:p w14:paraId="02A178C4">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仿宋_GB2312" w:eastAsia="仿宋_GB2312" w:cs="仿宋_GB2312"/>
                <w:sz w:val="22"/>
                <w:szCs w:val="22"/>
              </w:rPr>
            </w:pPr>
            <w:r>
              <w:rPr>
                <w:rFonts w:hint="eastAsia" w:ascii="仿宋_GB2312" w:hAnsi="仿宋_GB2312" w:eastAsia="仿宋_GB2312" w:cs="仿宋_GB2312"/>
                <w:sz w:val="22"/>
                <w:szCs w:val="22"/>
              </w:rPr>
              <w:t>根据投标人针对本项目的驻点团队打分</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包括云服务运营经验、综合服务能力等情况</w:t>
            </w:r>
            <w:r>
              <w:rPr>
                <w:rFonts w:hint="eastAsia" w:ascii="仿宋_GB2312" w:hAnsi="仿宋_GB2312" w:eastAsia="仿宋_GB2312" w:cs="仿宋_GB2312"/>
                <w:sz w:val="22"/>
                <w:szCs w:val="22"/>
              </w:rPr>
              <w:t>；</w:t>
            </w:r>
          </w:p>
          <w:p w14:paraId="4D6DB60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以上每点，描述完整详细且与采购人实际需求完全契合的得2分；</w:t>
            </w:r>
          </w:p>
          <w:p w14:paraId="2DF2EE09">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描述较详细完整或与采购人实际需求基本符合的得1分；</w:t>
            </w:r>
          </w:p>
          <w:p w14:paraId="05D1CD31">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b/>
                <w:sz w:val="22"/>
                <w:szCs w:val="22"/>
              </w:rPr>
            </w:pPr>
            <w:r>
              <w:rPr>
                <w:rFonts w:hint="eastAsia" w:ascii="仿宋_GB2312" w:hAnsi="仿宋_GB2312" w:eastAsia="仿宋_GB2312" w:cs="仿宋_GB2312"/>
                <w:sz w:val="22"/>
                <w:szCs w:val="22"/>
              </w:rPr>
              <w:t>未提供或完全不符合采购人需求的得0分。</w:t>
            </w:r>
          </w:p>
        </w:tc>
        <w:tc>
          <w:tcPr>
            <w:tcW w:w="945" w:type="dxa"/>
            <w:tcBorders>
              <w:top w:val="single" w:color="auto" w:sz="4" w:space="0"/>
              <w:left w:val="single" w:color="auto" w:sz="4" w:space="0"/>
              <w:bottom w:val="single" w:color="auto" w:sz="4" w:space="0"/>
              <w:right w:val="single" w:color="auto" w:sz="4" w:space="0"/>
            </w:tcBorders>
            <w:vAlign w:val="center"/>
          </w:tcPr>
          <w:p w14:paraId="705DC1E9">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default" w:ascii="仿宋_GB2312" w:eastAsia="仿宋_GB2312"/>
                <w:sz w:val="22"/>
                <w:szCs w:val="22"/>
              </w:rPr>
              <w:t>4</w:t>
            </w:r>
          </w:p>
        </w:tc>
        <w:tc>
          <w:tcPr>
            <w:tcW w:w="1290" w:type="dxa"/>
            <w:tcBorders>
              <w:top w:val="single" w:color="auto" w:sz="4" w:space="0"/>
              <w:left w:val="single" w:color="auto" w:sz="4" w:space="0"/>
              <w:bottom w:val="single" w:color="auto" w:sz="4" w:space="0"/>
              <w:right w:val="single" w:color="auto" w:sz="4" w:space="0"/>
            </w:tcBorders>
            <w:vAlign w:val="center"/>
          </w:tcPr>
          <w:p w14:paraId="2509F4BF">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主观分</w:t>
            </w:r>
          </w:p>
        </w:tc>
      </w:tr>
      <w:tr w14:paraId="1A2B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698" w:type="dxa"/>
            <w:vMerge w:val="continue"/>
            <w:tcBorders>
              <w:left w:val="single" w:color="auto" w:sz="4" w:space="0"/>
              <w:right w:val="single" w:color="auto" w:sz="4" w:space="0"/>
            </w:tcBorders>
            <w:vAlign w:val="center"/>
          </w:tcPr>
          <w:p w14:paraId="5754FFA6">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4215248F">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7</w:t>
            </w:r>
          </w:p>
        </w:tc>
        <w:tc>
          <w:tcPr>
            <w:tcW w:w="5888" w:type="dxa"/>
            <w:tcBorders>
              <w:top w:val="single" w:color="auto" w:sz="4" w:space="0"/>
              <w:left w:val="single" w:color="auto" w:sz="4" w:space="0"/>
              <w:bottom w:val="single" w:color="auto" w:sz="4" w:space="0"/>
              <w:right w:val="single" w:color="auto" w:sz="4" w:space="0"/>
            </w:tcBorders>
            <w:vAlign w:val="center"/>
          </w:tcPr>
          <w:p w14:paraId="23FCC07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根据投标人提供的培训方案，包括培训课程安排、师资力量配备、培训地点等情况打分：</w:t>
            </w:r>
          </w:p>
          <w:p w14:paraId="3A022C2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以上每点，描述完整详细且与采购人实际需求完全契合的得</w:t>
            </w:r>
            <w:r>
              <w:rPr>
                <w:rFonts w:hint="eastAsia" w:ascii="仿宋_GB2312" w:hAnsi="宋体" w:eastAsia="仿宋_GB2312" w:cs="宋体"/>
                <w:sz w:val="22"/>
                <w:szCs w:val="22"/>
                <w:highlight w:val="none"/>
                <w:lang w:val="en-US" w:eastAsia="zh-CN"/>
              </w:rPr>
              <w:t>1</w:t>
            </w:r>
            <w:r>
              <w:rPr>
                <w:rFonts w:hint="eastAsia" w:ascii="仿宋_GB2312" w:hAnsi="宋体" w:eastAsia="仿宋_GB2312" w:cs="宋体"/>
                <w:sz w:val="22"/>
                <w:szCs w:val="22"/>
                <w:highlight w:val="none"/>
              </w:rPr>
              <w:t>分；</w:t>
            </w:r>
          </w:p>
          <w:p w14:paraId="7C0A571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描述较详细完整或与采购人实际需求基本符合的得</w:t>
            </w:r>
            <w:r>
              <w:rPr>
                <w:rFonts w:hint="eastAsia" w:ascii="仿宋_GB2312" w:hAnsi="宋体" w:eastAsia="仿宋_GB2312" w:cs="宋体"/>
                <w:sz w:val="22"/>
                <w:szCs w:val="22"/>
                <w:highlight w:val="none"/>
                <w:lang w:val="en-US" w:eastAsia="zh-CN"/>
              </w:rPr>
              <w:t>0.5</w:t>
            </w:r>
            <w:r>
              <w:rPr>
                <w:rFonts w:hint="eastAsia" w:ascii="仿宋_GB2312" w:hAnsi="宋体" w:eastAsia="仿宋_GB2312" w:cs="宋体"/>
                <w:sz w:val="22"/>
                <w:szCs w:val="22"/>
                <w:highlight w:val="none"/>
              </w:rPr>
              <w:t>分；</w:t>
            </w:r>
          </w:p>
          <w:p w14:paraId="6448F05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b/>
                <w:sz w:val="22"/>
                <w:szCs w:val="22"/>
                <w:highlight w:val="none"/>
              </w:rPr>
            </w:pPr>
            <w:r>
              <w:rPr>
                <w:rFonts w:hint="eastAsia" w:ascii="仿宋_GB2312" w:hAnsi="宋体" w:eastAsia="仿宋_GB2312" w:cs="宋体"/>
                <w:sz w:val="22"/>
                <w:szCs w:val="22"/>
                <w:highlight w:val="none"/>
              </w:rPr>
              <w:t>未提供或完全不符合采购人需求的得0分。</w:t>
            </w:r>
          </w:p>
        </w:tc>
        <w:tc>
          <w:tcPr>
            <w:tcW w:w="945" w:type="dxa"/>
            <w:tcBorders>
              <w:top w:val="single" w:color="auto" w:sz="4" w:space="0"/>
              <w:left w:val="single" w:color="auto" w:sz="4" w:space="0"/>
              <w:bottom w:val="single" w:color="auto" w:sz="4" w:space="0"/>
              <w:right w:val="single" w:color="auto" w:sz="4" w:space="0"/>
            </w:tcBorders>
            <w:vAlign w:val="center"/>
          </w:tcPr>
          <w:p w14:paraId="5A13413E">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eastAsia="仿宋_GB2312"/>
                <w:sz w:val="22"/>
                <w:szCs w:val="22"/>
                <w:highlight w:val="none"/>
                <w:lang w:eastAsia="zh-CN"/>
              </w:rPr>
            </w:pPr>
            <w:r>
              <w:rPr>
                <w:rFonts w:hint="eastAsia" w:ascii="仿宋_GB2312" w:eastAsia="仿宋_GB2312"/>
                <w:sz w:val="22"/>
                <w:szCs w:val="22"/>
                <w:highlight w:val="none"/>
                <w:lang w:val="en-US" w:eastAsia="zh-CN"/>
              </w:rPr>
              <w:t>3</w:t>
            </w:r>
          </w:p>
        </w:tc>
        <w:tc>
          <w:tcPr>
            <w:tcW w:w="1290" w:type="dxa"/>
            <w:tcBorders>
              <w:top w:val="single" w:color="auto" w:sz="4" w:space="0"/>
              <w:left w:val="single" w:color="auto" w:sz="4" w:space="0"/>
              <w:bottom w:val="single" w:color="auto" w:sz="4" w:space="0"/>
              <w:right w:val="single" w:color="auto" w:sz="4" w:space="0"/>
            </w:tcBorders>
            <w:vAlign w:val="center"/>
          </w:tcPr>
          <w:p w14:paraId="01F5E3B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highlight w:val="none"/>
              </w:rPr>
            </w:pPr>
            <w:r>
              <w:rPr>
                <w:rFonts w:hint="eastAsia" w:ascii="仿宋_GB2312" w:hAnsi="宋体" w:eastAsia="仿宋_GB2312" w:cs="宋体"/>
                <w:b/>
                <w:spacing w:val="4"/>
                <w:sz w:val="20"/>
                <w:szCs w:val="20"/>
                <w:highlight w:val="none"/>
              </w:rPr>
              <w:t>主观分</w:t>
            </w:r>
          </w:p>
        </w:tc>
      </w:tr>
      <w:tr w14:paraId="53C6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698" w:type="dxa"/>
            <w:vMerge w:val="restart"/>
            <w:tcBorders>
              <w:top w:val="single" w:color="auto" w:sz="4" w:space="0"/>
              <w:left w:val="single" w:color="auto" w:sz="4" w:space="0"/>
              <w:right w:val="single" w:color="auto" w:sz="4" w:space="0"/>
            </w:tcBorders>
            <w:vAlign w:val="center"/>
          </w:tcPr>
          <w:p w14:paraId="20B86C69">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技术</w:t>
            </w:r>
          </w:p>
          <w:p w14:paraId="3D67EAC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部分</w:t>
            </w:r>
          </w:p>
          <w:p w14:paraId="63CD390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(6</w:t>
            </w:r>
            <w:r>
              <w:rPr>
                <w:rFonts w:hint="eastAsia" w:ascii="仿宋_GB2312" w:eastAsia="仿宋_GB2312"/>
                <w:sz w:val="22"/>
                <w:szCs w:val="22"/>
                <w:lang w:val="en-US" w:eastAsia="zh-CN"/>
              </w:rPr>
              <w:t>6</w:t>
            </w:r>
            <w:r>
              <w:rPr>
                <w:rFonts w:hint="eastAsia" w:ascii="仿宋_GB2312" w:eastAsia="仿宋_GB2312"/>
                <w:sz w:val="22"/>
                <w:szCs w:val="22"/>
              </w:rPr>
              <w:t>分）</w:t>
            </w:r>
          </w:p>
        </w:tc>
        <w:tc>
          <w:tcPr>
            <w:tcW w:w="458" w:type="dxa"/>
            <w:tcBorders>
              <w:top w:val="single" w:color="auto" w:sz="4" w:space="0"/>
              <w:left w:val="single" w:color="auto" w:sz="4" w:space="0"/>
              <w:bottom w:val="single" w:color="auto" w:sz="4" w:space="0"/>
              <w:right w:val="single" w:color="auto" w:sz="4" w:space="0"/>
            </w:tcBorders>
            <w:vAlign w:val="center"/>
          </w:tcPr>
          <w:p w14:paraId="1641B936">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8</w:t>
            </w:r>
          </w:p>
        </w:tc>
        <w:tc>
          <w:tcPr>
            <w:tcW w:w="5888" w:type="dxa"/>
            <w:tcBorders>
              <w:top w:val="single" w:color="auto" w:sz="4" w:space="0"/>
              <w:left w:val="single" w:color="auto" w:sz="4" w:space="0"/>
              <w:bottom w:val="single" w:color="auto" w:sz="4" w:space="0"/>
              <w:right w:val="single" w:color="auto" w:sz="4" w:space="0"/>
            </w:tcBorders>
            <w:vAlign w:val="center"/>
          </w:tcPr>
          <w:p w14:paraId="58C6FB9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根据投标人提供的机房管理方案打分</w:t>
            </w:r>
            <w:r>
              <w:rPr>
                <w:rFonts w:hint="eastAsia" w:ascii="仿宋_GB2312" w:eastAsia="仿宋_GB2312"/>
                <w:sz w:val="22"/>
                <w:szCs w:val="22"/>
                <w:lang w:eastAsia="zh-CN"/>
              </w:rPr>
              <w:t>，</w:t>
            </w:r>
            <w:r>
              <w:rPr>
                <w:rFonts w:hint="eastAsia" w:ascii="仿宋_GB2312" w:eastAsia="仿宋_GB2312"/>
                <w:sz w:val="22"/>
                <w:szCs w:val="22"/>
                <w:lang w:val="en-US" w:eastAsia="zh-CN"/>
              </w:rPr>
              <w:t>包括</w:t>
            </w:r>
            <w:r>
              <w:rPr>
                <w:rFonts w:hint="eastAsia" w:ascii="仿宋_GB2312" w:eastAsia="仿宋_GB2312"/>
                <w:sz w:val="22"/>
                <w:szCs w:val="22"/>
              </w:rPr>
              <w:t>机房环境</w:t>
            </w:r>
            <w:r>
              <w:rPr>
                <w:rFonts w:hint="eastAsia" w:ascii="仿宋_GB2312" w:eastAsia="仿宋_GB2312"/>
                <w:sz w:val="22"/>
                <w:szCs w:val="22"/>
                <w:lang w:eastAsia="zh-CN"/>
              </w:rPr>
              <w:t>、</w:t>
            </w:r>
            <w:r>
              <w:rPr>
                <w:rFonts w:hint="eastAsia" w:ascii="仿宋_GB2312" w:eastAsia="仿宋_GB2312"/>
                <w:sz w:val="22"/>
                <w:szCs w:val="22"/>
              </w:rPr>
              <w:t>物理硬件</w:t>
            </w:r>
            <w:r>
              <w:rPr>
                <w:rFonts w:hint="eastAsia" w:ascii="仿宋_GB2312" w:eastAsia="仿宋_GB2312"/>
                <w:sz w:val="22"/>
                <w:szCs w:val="22"/>
                <w:lang w:val="en-US" w:eastAsia="zh-CN"/>
              </w:rPr>
              <w:t>配置</w:t>
            </w:r>
            <w:r>
              <w:rPr>
                <w:rFonts w:hint="eastAsia" w:ascii="仿宋_GB2312" w:eastAsia="仿宋_GB2312"/>
                <w:sz w:val="22"/>
                <w:szCs w:val="22"/>
                <w:lang w:eastAsia="zh-CN"/>
              </w:rPr>
              <w:t>、</w:t>
            </w:r>
            <w:r>
              <w:rPr>
                <w:rFonts w:hint="eastAsia" w:ascii="仿宋_GB2312" w:eastAsia="仿宋_GB2312"/>
                <w:sz w:val="22"/>
                <w:szCs w:val="22"/>
              </w:rPr>
              <w:t>管理制度</w:t>
            </w:r>
            <w:r>
              <w:rPr>
                <w:rFonts w:hint="eastAsia" w:ascii="仿宋_GB2312" w:eastAsia="仿宋_GB2312"/>
                <w:sz w:val="22"/>
                <w:szCs w:val="22"/>
                <w:lang w:eastAsia="zh-CN"/>
              </w:rPr>
              <w:t>、</w:t>
            </w:r>
            <w:r>
              <w:rPr>
                <w:rFonts w:hint="eastAsia" w:ascii="仿宋_GB2312" w:eastAsia="仿宋_GB2312"/>
                <w:sz w:val="22"/>
                <w:szCs w:val="22"/>
              </w:rPr>
              <w:t>机房地理位置</w:t>
            </w:r>
            <w:r>
              <w:rPr>
                <w:rFonts w:hint="eastAsia" w:ascii="仿宋_GB2312" w:eastAsia="仿宋_GB2312"/>
                <w:sz w:val="22"/>
                <w:szCs w:val="22"/>
                <w:lang w:val="en-US" w:eastAsia="zh-CN"/>
              </w:rPr>
              <w:t>等情况</w:t>
            </w:r>
            <w:r>
              <w:rPr>
                <w:rFonts w:hint="eastAsia" w:ascii="仿宋_GB2312" w:eastAsia="仿宋_GB2312"/>
                <w:sz w:val="22"/>
                <w:szCs w:val="22"/>
              </w:rPr>
              <w:t>：</w:t>
            </w:r>
          </w:p>
          <w:p w14:paraId="33B2D0A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以上每点，描述完整详细且与采购人实际需求完全契合的得</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rPr>
              <w:t>分；</w:t>
            </w:r>
          </w:p>
          <w:p w14:paraId="37DD535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描述较详细完整或与采购人实际需求基本符合的得</w:t>
            </w:r>
            <w:r>
              <w:rPr>
                <w:rFonts w:hint="eastAsia" w:ascii="仿宋_GB2312" w:hAnsi="仿宋_GB2312" w:eastAsia="仿宋_GB2312" w:cs="仿宋_GB2312"/>
                <w:sz w:val="22"/>
                <w:szCs w:val="22"/>
                <w:lang w:val="en-US" w:eastAsia="zh-CN"/>
              </w:rPr>
              <w:t>0.5</w:t>
            </w:r>
            <w:r>
              <w:rPr>
                <w:rFonts w:hint="eastAsia" w:ascii="仿宋_GB2312" w:hAnsi="仿宋_GB2312" w:eastAsia="仿宋_GB2312" w:cs="仿宋_GB2312"/>
                <w:sz w:val="22"/>
                <w:szCs w:val="22"/>
              </w:rPr>
              <w:t>分；</w:t>
            </w:r>
          </w:p>
          <w:p w14:paraId="57A80FFF">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仿宋_GB2312" w:eastAsia="仿宋_GB2312" w:cs="仿宋_GB2312"/>
                <w:sz w:val="22"/>
                <w:szCs w:val="22"/>
              </w:rPr>
              <w:t>未提供或完全不符合采购人需求的得0分。</w:t>
            </w:r>
          </w:p>
        </w:tc>
        <w:tc>
          <w:tcPr>
            <w:tcW w:w="945" w:type="dxa"/>
            <w:tcBorders>
              <w:top w:val="single" w:color="auto" w:sz="4" w:space="0"/>
              <w:left w:val="single" w:color="auto" w:sz="4" w:space="0"/>
              <w:bottom w:val="single" w:color="auto" w:sz="4" w:space="0"/>
              <w:right w:val="single" w:color="auto" w:sz="4" w:space="0"/>
            </w:tcBorders>
            <w:vAlign w:val="center"/>
          </w:tcPr>
          <w:p w14:paraId="33F773A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eastAsia="仿宋_GB2312"/>
                <w:sz w:val="22"/>
                <w:szCs w:val="22"/>
                <w:lang w:eastAsia="zh-CN"/>
              </w:rPr>
            </w:pPr>
            <w:r>
              <w:rPr>
                <w:rFonts w:hint="eastAsia" w:ascii="仿宋_GB2312" w:eastAsia="仿宋_GB2312"/>
                <w:sz w:val="22"/>
                <w:szCs w:val="22"/>
                <w:lang w:val="en-US" w:eastAsia="zh-CN"/>
              </w:rPr>
              <w:t>4</w:t>
            </w:r>
          </w:p>
        </w:tc>
        <w:tc>
          <w:tcPr>
            <w:tcW w:w="1290" w:type="dxa"/>
            <w:tcBorders>
              <w:top w:val="single" w:color="auto" w:sz="4" w:space="0"/>
              <w:left w:val="single" w:color="auto" w:sz="4" w:space="0"/>
              <w:bottom w:val="single" w:color="auto" w:sz="4" w:space="0"/>
              <w:right w:val="single" w:color="auto" w:sz="4" w:space="0"/>
            </w:tcBorders>
            <w:vAlign w:val="center"/>
          </w:tcPr>
          <w:p w14:paraId="0783D6AC">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主观分</w:t>
            </w:r>
          </w:p>
        </w:tc>
      </w:tr>
      <w:tr w14:paraId="42C4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698" w:type="dxa"/>
            <w:vMerge w:val="continue"/>
            <w:tcBorders>
              <w:top w:val="nil"/>
              <w:left w:val="single" w:color="auto" w:sz="4" w:space="0"/>
              <w:right w:val="single" w:color="auto" w:sz="4" w:space="0"/>
            </w:tcBorders>
            <w:vAlign w:val="center"/>
          </w:tcPr>
          <w:p w14:paraId="7BFD521E">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37F63764">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9</w:t>
            </w:r>
          </w:p>
        </w:tc>
        <w:tc>
          <w:tcPr>
            <w:tcW w:w="5888" w:type="dxa"/>
            <w:tcBorders>
              <w:top w:val="single" w:color="auto" w:sz="4" w:space="0"/>
              <w:left w:val="single" w:color="auto" w:sz="4" w:space="0"/>
              <w:bottom w:val="single" w:color="auto" w:sz="4" w:space="0"/>
              <w:right w:val="single" w:color="auto" w:sz="4" w:space="0"/>
            </w:tcBorders>
            <w:vAlign w:val="center"/>
          </w:tcPr>
          <w:p w14:paraId="7B5FD65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根据投标人的投标文件是否满足本次招标文件第三部分采购需求中标注“△”的技术参数要求打分，符合要求的每项得1分，一共20分。</w:t>
            </w:r>
          </w:p>
          <w:p w14:paraId="041625D6">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b/>
                <w:bCs/>
                <w:sz w:val="22"/>
                <w:szCs w:val="22"/>
              </w:rPr>
              <w:t>注：投标人未按要求提供相关证明的，视作不符合要求，该项不得分。</w:t>
            </w:r>
          </w:p>
        </w:tc>
        <w:tc>
          <w:tcPr>
            <w:tcW w:w="945" w:type="dxa"/>
            <w:tcBorders>
              <w:top w:val="single" w:color="auto" w:sz="4" w:space="0"/>
              <w:left w:val="single" w:color="auto" w:sz="4" w:space="0"/>
              <w:bottom w:val="single" w:color="auto" w:sz="4" w:space="0"/>
              <w:right w:val="single" w:color="auto" w:sz="4" w:space="0"/>
            </w:tcBorders>
            <w:vAlign w:val="center"/>
          </w:tcPr>
          <w:p w14:paraId="4E4B780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20</w:t>
            </w:r>
          </w:p>
        </w:tc>
        <w:tc>
          <w:tcPr>
            <w:tcW w:w="1290" w:type="dxa"/>
            <w:tcBorders>
              <w:top w:val="single" w:color="auto" w:sz="4" w:space="0"/>
              <w:left w:val="single" w:color="auto" w:sz="4" w:space="0"/>
              <w:bottom w:val="single" w:color="auto" w:sz="4" w:space="0"/>
              <w:right w:val="single" w:color="auto" w:sz="4" w:space="0"/>
            </w:tcBorders>
            <w:vAlign w:val="center"/>
          </w:tcPr>
          <w:p w14:paraId="0E2A813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客观分</w:t>
            </w:r>
          </w:p>
        </w:tc>
      </w:tr>
      <w:tr w14:paraId="1290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98" w:type="dxa"/>
            <w:vMerge w:val="continue"/>
            <w:tcBorders>
              <w:top w:val="nil"/>
              <w:left w:val="single" w:color="auto" w:sz="4" w:space="0"/>
              <w:right w:val="single" w:color="auto" w:sz="4" w:space="0"/>
            </w:tcBorders>
            <w:vAlign w:val="center"/>
          </w:tcPr>
          <w:p w14:paraId="05DBB3B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3AE52D8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10</w:t>
            </w:r>
          </w:p>
        </w:tc>
        <w:tc>
          <w:tcPr>
            <w:tcW w:w="5888" w:type="dxa"/>
            <w:tcBorders>
              <w:top w:val="single" w:color="auto" w:sz="4" w:space="0"/>
              <w:left w:val="single" w:color="auto" w:sz="4" w:space="0"/>
              <w:bottom w:val="single" w:color="auto" w:sz="4" w:space="0"/>
              <w:right w:val="single" w:color="auto" w:sz="4" w:space="0"/>
            </w:tcBorders>
            <w:vAlign w:val="center"/>
          </w:tcPr>
          <w:p w14:paraId="6EDE374C">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投标人提供主机完整性检测系统由中华人民共和国国家出版局出具的软件著作权登记证书的，且所有权为投标人的，得1分，未提供或不符合要求的不得分。</w:t>
            </w:r>
          </w:p>
        </w:tc>
        <w:tc>
          <w:tcPr>
            <w:tcW w:w="945" w:type="dxa"/>
            <w:tcBorders>
              <w:top w:val="single" w:color="auto" w:sz="4" w:space="0"/>
              <w:left w:val="single" w:color="auto" w:sz="4" w:space="0"/>
              <w:bottom w:val="single" w:color="auto" w:sz="4" w:space="0"/>
              <w:right w:val="single" w:color="auto" w:sz="4" w:space="0"/>
            </w:tcBorders>
            <w:vAlign w:val="center"/>
          </w:tcPr>
          <w:p w14:paraId="27547DC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w:t>
            </w:r>
          </w:p>
        </w:tc>
        <w:tc>
          <w:tcPr>
            <w:tcW w:w="1290" w:type="dxa"/>
            <w:tcBorders>
              <w:top w:val="single" w:color="auto" w:sz="4" w:space="0"/>
              <w:left w:val="single" w:color="auto" w:sz="4" w:space="0"/>
              <w:bottom w:val="single" w:color="auto" w:sz="4" w:space="0"/>
              <w:right w:val="single" w:color="auto" w:sz="4" w:space="0"/>
            </w:tcBorders>
            <w:vAlign w:val="center"/>
          </w:tcPr>
          <w:p w14:paraId="1E6DE2B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客观分</w:t>
            </w:r>
          </w:p>
        </w:tc>
      </w:tr>
      <w:tr w14:paraId="276D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98" w:type="dxa"/>
            <w:vMerge w:val="continue"/>
            <w:tcBorders>
              <w:top w:val="nil"/>
              <w:left w:val="single" w:color="auto" w:sz="4" w:space="0"/>
              <w:right w:val="single" w:color="auto" w:sz="4" w:space="0"/>
            </w:tcBorders>
            <w:vAlign w:val="center"/>
          </w:tcPr>
          <w:p w14:paraId="17C3CEA8">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7AD1274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11</w:t>
            </w:r>
          </w:p>
        </w:tc>
        <w:tc>
          <w:tcPr>
            <w:tcW w:w="5888" w:type="dxa"/>
            <w:tcBorders>
              <w:top w:val="single" w:color="auto" w:sz="4" w:space="0"/>
              <w:left w:val="single" w:color="auto" w:sz="4" w:space="0"/>
              <w:bottom w:val="single" w:color="auto" w:sz="4" w:space="0"/>
              <w:right w:val="single" w:color="auto" w:sz="4" w:space="0"/>
            </w:tcBorders>
            <w:vAlign w:val="center"/>
          </w:tcPr>
          <w:p w14:paraId="1B11A0C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投标人具有自主产品，可为所投云平台提供分布式的近源网络安全防护能力，投标人自主产品的防护能力需要提供首页具有CNAS及CMA标识的第三方检测报告。符合要求的得1分，未提供或不符合要求的不得分。</w:t>
            </w:r>
          </w:p>
        </w:tc>
        <w:tc>
          <w:tcPr>
            <w:tcW w:w="945" w:type="dxa"/>
            <w:tcBorders>
              <w:top w:val="single" w:color="auto" w:sz="4" w:space="0"/>
              <w:left w:val="single" w:color="auto" w:sz="4" w:space="0"/>
              <w:bottom w:val="single" w:color="auto" w:sz="4" w:space="0"/>
              <w:right w:val="single" w:color="auto" w:sz="4" w:space="0"/>
            </w:tcBorders>
            <w:vAlign w:val="center"/>
          </w:tcPr>
          <w:p w14:paraId="395FEE7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w:t>
            </w:r>
          </w:p>
        </w:tc>
        <w:tc>
          <w:tcPr>
            <w:tcW w:w="1290" w:type="dxa"/>
            <w:tcBorders>
              <w:top w:val="single" w:color="auto" w:sz="4" w:space="0"/>
              <w:left w:val="single" w:color="auto" w:sz="4" w:space="0"/>
              <w:bottom w:val="single" w:color="auto" w:sz="4" w:space="0"/>
              <w:right w:val="single" w:color="auto" w:sz="4" w:space="0"/>
            </w:tcBorders>
            <w:vAlign w:val="center"/>
          </w:tcPr>
          <w:p w14:paraId="68E81081">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客观分</w:t>
            </w:r>
          </w:p>
        </w:tc>
      </w:tr>
      <w:tr w14:paraId="5C60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698" w:type="dxa"/>
            <w:vMerge w:val="continue"/>
            <w:tcBorders>
              <w:top w:val="nil"/>
              <w:left w:val="single" w:color="auto" w:sz="4" w:space="0"/>
              <w:right w:val="single" w:color="auto" w:sz="4" w:space="0"/>
            </w:tcBorders>
            <w:vAlign w:val="center"/>
          </w:tcPr>
          <w:p w14:paraId="16142B1A">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61A6A723">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12</w:t>
            </w:r>
          </w:p>
        </w:tc>
        <w:tc>
          <w:tcPr>
            <w:tcW w:w="5888" w:type="dxa"/>
            <w:tcBorders>
              <w:top w:val="single" w:color="auto" w:sz="4" w:space="0"/>
              <w:left w:val="single" w:color="auto" w:sz="4" w:space="0"/>
              <w:bottom w:val="single" w:color="auto" w:sz="4" w:space="0"/>
              <w:right w:val="single" w:color="auto" w:sz="4" w:space="0"/>
            </w:tcBorders>
            <w:vAlign w:val="center"/>
          </w:tcPr>
          <w:p w14:paraId="15F3E013">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根据投标人对项目背景、舟山市政务云现有体系情况以及与现有政务云体系的对接方案打分</w:t>
            </w:r>
            <w:r>
              <w:rPr>
                <w:rFonts w:hint="eastAsia" w:ascii="仿宋_GB2312" w:eastAsia="仿宋_GB2312"/>
                <w:sz w:val="22"/>
                <w:szCs w:val="22"/>
                <w:lang w:eastAsia="zh-CN"/>
              </w:rPr>
              <w:t>，</w:t>
            </w:r>
            <w:r>
              <w:rPr>
                <w:rFonts w:hint="eastAsia" w:ascii="仿宋_GB2312" w:eastAsia="仿宋_GB2312"/>
                <w:sz w:val="22"/>
                <w:szCs w:val="22"/>
                <w:lang w:val="en-US" w:eastAsia="zh-CN"/>
              </w:rPr>
              <w:t>包括政务云认知情况、现有体系摸排情况、对接方案、云服务迁移方案等：</w:t>
            </w:r>
          </w:p>
          <w:p w14:paraId="2423BAF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以上每点，描述完整详细且与采购人实际需求完全契合的得</w:t>
            </w:r>
            <w:r>
              <w:rPr>
                <w:rFonts w:hint="eastAsia" w:ascii="仿宋_GB2312" w:hAnsi="宋体" w:eastAsia="仿宋_GB2312" w:cs="宋体"/>
                <w:sz w:val="22"/>
                <w:szCs w:val="22"/>
                <w:highlight w:val="none"/>
                <w:lang w:val="en-US" w:eastAsia="zh-CN"/>
              </w:rPr>
              <w:t>2.5</w:t>
            </w:r>
            <w:r>
              <w:rPr>
                <w:rFonts w:hint="eastAsia" w:ascii="仿宋_GB2312" w:hAnsi="宋体" w:eastAsia="仿宋_GB2312" w:cs="宋体"/>
                <w:sz w:val="22"/>
                <w:szCs w:val="22"/>
                <w:highlight w:val="none"/>
              </w:rPr>
              <w:t>分；</w:t>
            </w:r>
          </w:p>
          <w:p w14:paraId="0E5E0E9C">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描述较详细完整或与采购人实际需求基本符合的得</w:t>
            </w:r>
            <w:r>
              <w:rPr>
                <w:rFonts w:hint="eastAsia" w:ascii="仿宋_GB2312" w:hAnsi="宋体" w:eastAsia="仿宋_GB2312" w:cs="宋体"/>
                <w:sz w:val="22"/>
                <w:szCs w:val="22"/>
                <w:highlight w:val="none"/>
                <w:lang w:val="en-US" w:eastAsia="zh-CN"/>
              </w:rPr>
              <w:t>1.5</w:t>
            </w:r>
            <w:r>
              <w:rPr>
                <w:rFonts w:hint="eastAsia" w:ascii="仿宋_GB2312" w:hAnsi="宋体" w:eastAsia="仿宋_GB2312" w:cs="宋体"/>
                <w:sz w:val="22"/>
                <w:szCs w:val="22"/>
                <w:highlight w:val="none"/>
              </w:rPr>
              <w:t>分；</w:t>
            </w:r>
          </w:p>
          <w:p w14:paraId="7827131E">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highlight w:val="none"/>
              </w:rPr>
              <w:t>未提供或完全不符合采购人需求的得0分。</w:t>
            </w:r>
          </w:p>
        </w:tc>
        <w:tc>
          <w:tcPr>
            <w:tcW w:w="945" w:type="dxa"/>
            <w:tcBorders>
              <w:top w:val="single" w:color="auto" w:sz="4" w:space="0"/>
              <w:left w:val="single" w:color="auto" w:sz="4" w:space="0"/>
              <w:bottom w:val="single" w:color="auto" w:sz="4" w:space="0"/>
              <w:right w:val="single" w:color="auto" w:sz="4" w:space="0"/>
            </w:tcBorders>
            <w:vAlign w:val="center"/>
          </w:tcPr>
          <w:p w14:paraId="2BEB896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default" w:ascii="仿宋_GB2312" w:eastAsia="仿宋_GB2312"/>
                <w:sz w:val="22"/>
                <w:szCs w:val="22"/>
              </w:rPr>
              <w:t>10</w:t>
            </w:r>
          </w:p>
        </w:tc>
        <w:tc>
          <w:tcPr>
            <w:tcW w:w="1290" w:type="dxa"/>
            <w:tcBorders>
              <w:top w:val="single" w:color="auto" w:sz="4" w:space="0"/>
              <w:left w:val="single" w:color="auto" w:sz="4" w:space="0"/>
              <w:bottom w:val="single" w:color="auto" w:sz="4" w:space="0"/>
              <w:right w:val="single" w:color="auto" w:sz="4" w:space="0"/>
            </w:tcBorders>
            <w:vAlign w:val="center"/>
          </w:tcPr>
          <w:p w14:paraId="3B602FBE">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主观分</w:t>
            </w:r>
          </w:p>
        </w:tc>
      </w:tr>
      <w:tr w14:paraId="2A3A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98" w:type="dxa"/>
            <w:vMerge w:val="continue"/>
            <w:tcBorders>
              <w:top w:val="nil"/>
              <w:left w:val="single" w:color="auto" w:sz="4" w:space="0"/>
              <w:right w:val="single" w:color="auto" w:sz="4" w:space="0"/>
            </w:tcBorders>
            <w:vAlign w:val="center"/>
          </w:tcPr>
          <w:p w14:paraId="62504B88">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24BBB10F">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13</w:t>
            </w:r>
          </w:p>
        </w:tc>
        <w:tc>
          <w:tcPr>
            <w:tcW w:w="5888" w:type="dxa"/>
            <w:tcBorders>
              <w:top w:val="single" w:color="auto" w:sz="4" w:space="0"/>
              <w:left w:val="single" w:color="auto" w:sz="4" w:space="0"/>
              <w:bottom w:val="single" w:color="auto" w:sz="4" w:space="0"/>
              <w:right w:val="single" w:color="auto" w:sz="4" w:space="0"/>
            </w:tcBorders>
            <w:vAlign w:val="center"/>
          </w:tcPr>
          <w:p w14:paraId="340A6D64">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根据投标人所投的政务云平台是否可提供基于国产CPU的云服务器的情况评分，投标人需要提供证明材料，符合要求的得2分。未提供或不符合要求的不得分。</w:t>
            </w:r>
          </w:p>
        </w:tc>
        <w:tc>
          <w:tcPr>
            <w:tcW w:w="945" w:type="dxa"/>
            <w:tcBorders>
              <w:top w:val="single" w:color="auto" w:sz="4" w:space="0"/>
              <w:left w:val="single" w:color="auto" w:sz="4" w:space="0"/>
              <w:bottom w:val="single" w:color="auto" w:sz="4" w:space="0"/>
              <w:right w:val="single" w:color="auto" w:sz="4" w:space="0"/>
            </w:tcBorders>
            <w:vAlign w:val="center"/>
          </w:tcPr>
          <w:p w14:paraId="709D602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2</w:t>
            </w:r>
          </w:p>
        </w:tc>
        <w:tc>
          <w:tcPr>
            <w:tcW w:w="1290" w:type="dxa"/>
            <w:tcBorders>
              <w:top w:val="single" w:color="auto" w:sz="4" w:space="0"/>
              <w:left w:val="single" w:color="auto" w:sz="4" w:space="0"/>
              <w:bottom w:val="single" w:color="auto" w:sz="4" w:space="0"/>
              <w:right w:val="single" w:color="auto" w:sz="4" w:space="0"/>
            </w:tcBorders>
            <w:vAlign w:val="center"/>
          </w:tcPr>
          <w:p w14:paraId="6E883904">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客观分</w:t>
            </w:r>
          </w:p>
        </w:tc>
      </w:tr>
      <w:tr w14:paraId="4E1B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98" w:type="dxa"/>
            <w:vMerge w:val="continue"/>
            <w:tcBorders>
              <w:top w:val="nil"/>
              <w:left w:val="single" w:color="auto" w:sz="4" w:space="0"/>
              <w:right w:val="single" w:color="auto" w:sz="4" w:space="0"/>
            </w:tcBorders>
            <w:vAlign w:val="center"/>
          </w:tcPr>
          <w:p w14:paraId="3C53B14F">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bottom w:val="single" w:color="auto" w:sz="4" w:space="0"/>
              <w:right w:val="single" w:color="auto" w:sz="4" w:space="0"/>
            </w:tcBorders>
            <w:vAlign w:val="center"/>
          </w:tcPr>
          <w:p w14:paraId="6595A0DA">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14</w:t>
            </w:r>
          </w:p>
        </w:tc>
        <w:tc>
          <w:tcPr>
            <w:tcW w:w="5888" w:type="dxa"/>
            <w:tcBorders>
              <w:top w:val="single" w:color="auto" w:sz="4" w:space="0"/>
              <w:left w:val="single" w:color="auto" w:sz="4" w:space="0"/>
              <w:bottom w:val="single" w:color="auto" w:sz="4" w:space="0"/>
              <w:right w:val="single" w:color="auto" w:sz="4" w:space="0"/>
            </w:tcBorders>
            <w:vAlign w:val="center"/>
          </w:tcPr>
          <w:p w14:paraId="750ED89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lang w:val="en-US" w:eastAsia="zh-CN"/>
              </w:rPr>
            </w:pPr>
            <w:r>
              <w:rPr>
                <w:rFonts w:hint="eastAsia" w:ascii="仿宋_GB2312" w:hAnsi="宋体" w:eastAsia="仿宋_GB2312" w:cs="宋体"/>
                <w:sz w:val="22"/>
                <w:szCs w:val="22"/>
              </w:rPr>
              <w:t>根据投标人方案中针对本项目重难点问题拟采用解决及优化方案打分</w:t>
            </w:r>
            <w:r>
              <w:rPr>
                <w:rFonts w:hint="eastAsia" w:ascii="仿宋_GB2312" w:hAnsi="宋体" w:eastAsia="仿宋_GB2312" w:cs="宋体"/>
                <w:sz w:val="22"/>
                <w:szCs w:val="22"/>
                <w:lang w:eastAsia="zh-CN"/>
              </w:rPr>
              <w:t>，</w:t>
            </w:r>
            <w:r>
              <w:rPr>
                <w:rFonts w:hint="eastAsia" w:ascii="仿宋_GB2312" w:hAnsi="宋体" w:eastAsia="仿宋_GB2312" w:cs="宋体"/>
                <w:sz w:val="22"/>
                <w:szCs w:val="22"/>
                <w:lang w:val="en-US" w:eastAsia="zh-CN"/>
              </w:rPr>
              <w:t>包括重难点理解程度、解决及优化方案等：</w:t>
            </w:r>
          </w:p>
          <w:p w14:paraId="24D05096">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以上每点，描述完整详细且与采购人实际需求完全契合的得</w:t>
            </w:r>
            <w:r>
              <w:rPr>
                <w:rFonts w:hint="eastAsia" w:ascii="仿宋_GB2312" w:hAnsi="宋体" w:eastAsia="仿宋_GB2312" w:cs="宋体"/>
                <w:sz w:val="22"/>
                <w:szCs w:val="22"/>
                <w:highlight w:val="none"/>
                <w:lang w:val="en-US" w:eastAsia="zh-CN"/>
              </w:rPr>
              <w:t>1</w:t>
            </w:r>
            <w:r>
              <w:rPr>
                <w:rFonts w:hint="eastAsia" w:ascii="仿宋_GB2312" w:hAnsi="宋体" w:eastAsia="仿宋_GB2312" w:cs="宋体"/>
                <w:sz w:val="22"/>
                <w:szCs w:val="22"/>
                <w:highlight w:val="none"/>
              </w:rPr>
              <w:t>分；</w:t>
            </w:r>
          </w:p>
          <w:p w14:paraId="11E9040C">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描述较详细完整或与采购人实际需求基本符合的得</w:t>
            </w:r>
            <w:r>
              <w:rPr>
                <w:rFonts w:hint="eastAsia" w:ascii="仿宋_GB2312" w:hAnsi="宋体" w:eastAsia="仿宋_GB2312" w:cs="宋体"/>
                <w:sz w:val="22"/>
                <w:szCs w:val="22"/>
                <w:highlight w:val="none"/>
                <w:lang w:val="en-US" w:eastAsia="zh-CN"/>
              </w:rPr>
              <w:t>0.5</w:t>
            </w:r>
            <w:r>
              <w:rPr>
                <w:rFonts w:hint="eastAsia" w:ascii="仿宋_GB2312" w:hAnsi="宋体" w:eastAsia="仿宋_GB2312" w:cs="宋体"/>
                <w:sz w:val="22"/>
                <w:szCs w:val="22"/>
                <w:highlight w:val="none"/>
              </w:rPr>
              <w:t>分；</w:t>
            </w:r>
          </w:p>
          <w:p w14:paraId="694897C3">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420" w:lineRule="exact"/>
              <w:ind w:right="0" w:rightChars="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highlight w:val="none"/>
              </w:rPr>
              <w:t>未提供或完全不符合采购人需求的得0分。</w:t>
            </w:r>
          </w:p>
        </w:tc>
        <w:tc>
          <w:tcPr>
            <w:tcW w:w="945" w:type="dxa"/>
            <w:tcBorders>
              <w:top w:val="single" w:color="auto" w:sz="4" w:space="0"/>
              <w:left w:val="single" w:color="auto" w:sz="4" w:space="0"/>
              <w:bottom w:val="single" w:color="auto" w:sz="4" w:space="0"/>
              <w:right w:val="single" w:color="auto" w:sz="4" w:space="0"/>
            </w:tcBorders>
            <w:vAlign w:val="center"/>
          </w:tcPr>
          <w:p w14:paraId="3A9305EC">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2</w:t>
            </w:r>
          </w:p>
        </w:tc>
        <w:tc>
          <w:tcPr>
            <w:tcW w:w="1290" w:type="dxa"/>
            <w:tcBorders>
              <w:top w:val="single" w:color="auto" w:sz="4" w:space="0"/>
              <w:left w:val="single" w:color="auto" w:sz="4" w:space="0"/>
              <w:bottom w:val="single" w:color="auto" w:sz="4" w:space="0"/>
              <w:right w:val="single" w:color="auto" w:sz="4" w:space="0"/>
            </w:tcBorders>
            <w:vAlign w:val="center"/>
          </w:tcPr>
          <w:p w14:paraId="6921224F">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主观分</w:t>
            </w:r>
          </w:p>
        </w:tc>
      </w:tr>
      <w:tr w14:paraId="7868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698" w:type="dxa"/>
            <w:vMerge w:val="continue"/>
            <w:tcBorders>
              <w:top w:val="nil"/>
              <w:left w:val="single" w:color="auto" w:sz="4" w:space="0"/>
              <w:right w:val="single" w:color="auto" w:sz="4" w:space="0"/>
            </w:tcBorders>
            <w:vAlign w:val="center"/>
          </w:tcPr>
          <w:p w14:paraId="377BC9EC">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right w:val="single" w:color="auto" w:sz="4" w:space="0"/>
            </w:tcBorders>
            <w:vAlign w:val="center"/>
          </w:tcPr>
          <w:p w14:paraId="5C97AD2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15</w:t>
            </w:r>
          </w:p>
        </w:tc>
        <w:tc>
          <w:tcPr>
            <w:tcW w:w="5888" w:type="dxa"/>
            <w:tcBorders>
              <w:top w:val="single" w:color="auto" w:sz="4" w:space="0"/>
              <w:left w:val="single" w:color="auto" w:sz="4" w:space="0"/>
              <w:right w:val="single" w:color="auto" w:sz="4" w:space="0"/>
            </w:tcBorders>
            <w:vAlign w:val="center"/>
          </w:tcPr>
          <w:p w14:paraId="46ABF21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rPr>
              <w:t>根据投标人提供的云平台整体设计方案打分</w:t>
            </w:r>
            <w:r>
              <w:rPr>
                <w:rFonts w:hint="eastAsia" w:ascii="仿宋_GB2312" w:hAnsi="宋体" w:eastAsia="仿宋_GB2312" w:cs="宋体"/>
                <w:sz w:val="22"/>
                <w:szCs w:val="22"/>
                <w:lang w:eastAsia="zh-CN"/>
              </w:rPr>
              <w:t>，</w:t>
            </w:r>
            <w:r>
              <w:rPr>
                <w:rFonts w:hint="eastAsia" w:ascii="仿宋_GB2312" w:hAnsi="宋体" w:eastAsia="仿宋_GB2312" w:cs="宋体"/>
                <w:sz w:val="22"/>
                <w:szCs w:val="22"/>
                <w:lang w:val="en-US" w:eastAsia="zh-CN"/>
              </w:rPr>
              <w:t>包括整体设计方案、总体技术架构、关键技术、功能延展性等：</w:t>
            </w:r>
          </w:p>
          <w:p w14:paraId="4727A023">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以上每点，描述完整详细且与采购人实际需求完全契合的得</w:t>
            </w:r>
            <w:r>
              <w:rPr>
                <w:rFonts w:hint="eastAsia" w:ascii="仿宋_GB2312" w:hAnsi="宋体" w:eastAsia="仿宋_GB2312" w:cs="宋体"/>
                <w:sz w:val="22"/>
                <w:szCs w:val="22"/>
                <w:highlight w:val="none"/>
                <w:lang w:val="en-US" w:eastAsia="zh-CN"/>
              </w:rPr>
              <w:t>2.5</w:t>
            </w:r>
            <w:r>
              <w:rPr>
                <w:rFonts w:hint="eastAsia" w:ascii="仿宋_GB2312" w:hAnsi="宋体" w:eastAsia="仿宋_GB2312" w:cs="宋体"/>
                <w:sz w:val="22"/>
                <w:szCs w:val="22"/>
                <w:highlight w:val="none"/>
              </w:rPr>
              <w:t>分；</w:t>
            </w:r>
          </w:p>
          <w:p w14:paraId="7AC59EB1">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描述较详细完整或与采购人实际需求基本符合的得</w:t>
            </w:r>
            <w:r>
              <w:rPr>
                <w:rFonts w:hint="eastAsia" w:ascii="仿宋_GB2312" w:hAnsi="宋体" w:eastAsia="仿宋_GB2312" w:cs="宋体"/>
                <w:sz w:val="22"/>
                <w:szCs w:val="22"/>
                <w:highlight w:val="none"/>
                <w:lang w:val="en-US" w:eastAsia="zh-CN"/>
              </w:rPr>
              <w:t>1.5</w:t>
            </w:r>
            <w:r>
              <w:rPr>
                <w:rFonts w:hint="eastAsia" w:ascii="仿宋_GB2312" w:hAnsi="宋体" w:eastAsia="仿宋_GB2312" w:cs="宋体"/>
                <w:sz w:val="22"/>
                <w:szCs w:val="22"/>
                <w:highlight w:val="none"/>
              </w:rPr>
              <w:t>分；</w:t>
            </w:r>
          </w:p>
          <w:p w14:paraId="2BE5234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highlight w:val="none"/>
              </w:rPr>
              <w:t>未提供或完全不符合采购人需求的得0分。</w:t>
            </w:r>
          </w:p>
        </w:tc>
        <w:tc>
          <w:tcPr>
            <w:tcW w:w="945" w:type="dxa"/>
            <w:tcBorders>
              <w:top w:val="single" w:color="auto" w:sz="4" w:space="0"/>
              <w:left w:val="single" w:color="auto" w:sz="4" w:space="0"/>
              <w:right w:val="single" w:color="auto" w:sz="4" w:space="0"/>
            </w:tcBorders>
            <w:vAlign w:val="center"/>
          </w:tcPr>
          <w:p w14:paraId="3E8629D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10</w:t>
            </w:r>
          </w:p>
        </w:tc>
        <w:tc>
          <w:tcPr>
            <w:tcW w:w="1290" w:type="dxa"/>
            <w:tcBorders>
              <w:top w:val="single" w:color="auto" w:sz="4" w:space="0"/>
              <w:left w:val="single" w:color="auto" w:sz="4" w:space="0"/>
              <w:right w:val="single" w:color="auto" w:sz="4" w:space="0"/>
            </w:tcBorders>
            <w:vAlign w:val="center"/>
          </w:tcPr>
          <w:p w14:paraId="395132A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主观分</w:t>
            </w:r>
          </w:p>
        </w:tc>
      </w:tr>
      <w:tr w14:paraId="4F20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tcBorders>
              <w:left w:val="single" w:color="auto" w:sz="4" w:space="0"/>
              <w:right w:val="single" w:color="auto" w:sz="4" w:space="0"/>
            </w:tcBorders>
            <w:vAlign w:val="center"/>
          </w:tcPr>
          <w:p w14:paraId="26F095A8">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right w:val="single" w:color="auto" w:sz="4" w:space="0"/>
            </w:tcBorders>
            <w:vAlign w:val="center"/>
          </w:tcPr>
          <w:p w14:paraId="1AE9CA58">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16</w:t>
            </w:r>
          </w:p>
        </w:tc>
        <w:tc>
          <w:tcPr>
            <w:tcW w:w="5888" w:type="dxa"/>
            <w:tcBorders>
              <w:top w:val="single" w:color="auto" w:sz="4" w:space="0"/>
              <w:left w:val="single" w:color="auto" w:sz="4" w:space="0"/>
              <w:right w:val="single" w:color="auto" w:sz="4" w:space="0"/>
            </w:tcBorders>
            <w:vAlign w:val="center"/>
          </w:tcPr>
          <w:p w14:paraId="38FBC6F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rPr>
              <w:t>根据投标人提供的云平台安全保障技术方案打分</w:t>
            </w:r>
            <w:r>
              <w:rPr>
                <w:rFonts w:hint="eastAsia" w:ascii="仿宋_GB2312" w:hAnsi="宋体" w:eastAsia="仿宋_GB2312" w:cs="宋体"/>
                <w:sz w:val="22"/>
                <w:szCs w:val="22"/>
                <w:lang w:eastAsia="zh-CN"/>
              </w:rPr>
              <w:t>，</w:t>
            </w:r>
            <w:r>
              <w:rPr>
                <w:rFonts w:hint="eastAsia" w:ascii="仿宋_GB2312" w:hAnsi="宋体" w:eastAsia="仿宋_GB2312" w:cs="宋体"/>
                <w:sz w:val="22"/>
                <w:szCs w:val="22"/>
                <w:lang w:val="en-US" w:eastAsia="zh-CN"/>
              </w:rPr>
              <w:t>包括安全保障方案完整性、技术可操作性、保障全面性、安全保障措施等</w:t>
            </w:r>
            <w:r>
              <w:rPr>
                <w:rFonts w:hint="eastAsia" w:ascii="仿宋_GB2312" w:hAnsi="宋体" w:eastAsia="仿宋_GB2312" w:cs="宋体"/>
                <w:sz w:val="22"/>
                <w:szCs w:val="22"/>
              </w:rPr>
              <w:t>。</w:t>
            </w:r>
          </w:p>
          <w:p w14:paraId="4355CC08">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以上每点，描述完整详细且与采购人实际需求完全契合的得</w:t>
            </w:r>
            <w:r>
              <w:rPr>
                <w:rFonts w:hint="eastAsia" w:ascii="仿宋_GB2312" w:hAnsi="宋体" w:eastAsia="仿宋_GB2312" w:cs="宋体"/>
                <w:sz w:val="22"/>
                <w:szCs w:val="22"/>
                <w:highlight w:val="none"/>
                <w:lang w:val="en-US" w:eastAsia="zh-CN"/>
              </w:rPr>
              <w:t>1</w:t>
            </w:r>
            <w:r>
              <w:rPr>
                <w:rFonts w:hint="eastAsia" w:ascii="仿宋_GB2312" w:hAnsi="宋体" w:eastAsia="仿宋_GB2312" w:cs="宋体"/>
                <w:sz w:val="22"/>
                <w:szCs w:val="22"/>
                <w:highlight w:val="none"/>
              </w:rPr>
              <w:t>分；</w:t>
            </w:r>
          </w:p>
          <w:p w14:paraId="0EB2EC8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hAnsi="宋体" w:eastAsia="仿宋_GB2312" w:cs="宋体"/>
                <w:sz w:val="22"/>
                <w:szCs w:val="22"/>
                <w:highlight w:val="none"/>
              </w:rPr>
            </w:pPr>
            <w:r>
              <w:rPr>
                <w:rFonts w:hint="eastAsia" w:ascii="仿宋_GB2312" w:hAnsi="宋体" w:eastAsia="仿宋_GB2312" w:cs="宋体"/>
                <w:sz w:val="22"/>
                <w:szCs w:val="22"/>
                <w:highlight w:val="none"/>
              </w:rPr>
              <w:t>描述较详细完整或与采购人实际需求基本符合的得</w:t>
            </w:r>
            <w:r>
              <w:rPr>
                <w:rFonts w:hint="eastAsia" w:ascii="仿宋_GB2312" w:hAnsi="宋体" w:eastAsia="仿宋_GB2312" w:cs="宋体"/>
                <w:sz w:val="22"/>
                <w:szCs w:val="22"/>
                <w:highlight w:val="none"/>
                <w:lang w:val="en-US" w:eastAsia="zh-CN"/>
              </w:rPr>
              <w:t>0.5</w:t>
            </w:r>
            <w:r>
              <w:rPr>
                <w:rFonts w:hint="eastAsia" w:ascii="仿宋_GB2312" w:hAnsi="宋体" w:eastAsia="仿宋_GB2312" w:cs="宋体"/>
                <w:sz w:val="22"/>
                <w:szCs w:val="22"/>
                <w:highlight w:val="none"/>
              </w:rPr>
              <w:t>分；</w:t>
            </w:r>
          </w:p>
          <w:p w14:paraId="15D4887B">
            <w:pPr>
              <w:keepNext w:val="0"/>
              <w:keepLines w:val="0"/>
              <w:pageBreakBefore w:val="0"/>
              <w:widowControl w:val="0"/>
              <w:numPr>
                <w:ilvl w:val="0"/>
                <w:numId w:val="0"/>
              </w:numPr>
              <w:suppressLineNumbers w:val="0"/>
              <w:kinsoku/>
              <w:wordWrap/>
              <w:overflowPunct/>
              <w:topLinePunct/>
              <w:autoSpaceDE/>
              <w:autoSpaceDN/>
              <w:bidi w:val="0"/>
              <w:spacing w:before="0" w:beforeAutospacing="0" w:after="0" w:afterAutospacing="0" w:line="420" w:lineRule="exact"/>
              <w:ind w:right="0" w:rightChars="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highlight w:val="none"/>
              </w:rPr>
              <w:t>未提供或完全不符合采购人需求的得0分。</w:t>
            </w:r>
          </w:p>
        </w:tc>
        <w:tc>
          <w:tcPr>
            <w:tcW w:w="945" w:type="dxa"/>
            <w:tcBorders>
              <w:top w:val="single" w:color="auto" w:sz="4" w:space="0"/>
              <w:left w:val="single" w:color="auto" w:sz="4" w:space="0"/>
              <w:right w:val="single" w:color="auto" w:sz="4" w:space="0"/>
            </w:tcBorders>
            <w:vAlign w:val="center"/>
          </w:tcPr>
          <w:p w14:paraId="5D12B03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eastAsia" w:ascii="仿宋_GB2312" w:eastAsia="仿宋_GB2312"/>
                <w:sz w:val="22"/>
                <w:szCs w:val="22"/>
                <w:lang w:eastAsia="zh-CN"/>
              </w:rPr>
            </w:pPr>
            <w:r>
              <w:rPr>
                <w:rFonts w:hint="eastAsia" w:ascii="仿宋_GB2312" w:eastAsia="仿宋_GB2312"/>
                <w:sz w:val="22"/>
                <w:szCs w:val="22"/>
                <w:lang w:val="en-US" w:eastAsia="zh-CN"/>
              </w:rPr>
              <w:t>4</w:t>
            </w:r>
          </w:p>
        </w:tc>
        <w:tc>
          <w:tcPr>
            <w:tcW w:w="1290" w:type="dxa"/>
            <w:tcBorders>
              <w:top w:val="single" w:color="auto" w:sz="4" w:space="0"/>
              <w:left w:val="single" w:color="auto" w:sz="4" w:space="0"/>
              <w:right w:val="single" w:color="auto" w:sz="4" w:space="0"/>
            </w:tcBorders>
            <w:vAlign w:val="center"/>
          </w:tcPr>
          <w:p w14:paraId="5970566B">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主观分</w:t>
            </w:r>
          </w:p>
        </w:tc>
      </w:tr>
      <w:tr w14:paraId="301F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0" w:hRule="atLeast"/>
        </w:trPr>
        <w:tc>
          <w:tcPr>
            <w:tcW w:w="698" w:type="dxa"/>
            <w:vMerge w:val="continue"/>
            <w:tcBorders>
              <w:left w:val="single" w:color="auto" w:sz="4" w:space="0"/>
              <w:right w:val="single" w:color="auto" w:sz="4" w:space="0"/>
            </w:tcBorders>
            <w:vAlign w:val="center"/>
          </w:tcPr>
          <w:p w14:paraId="0F3AC3A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p>
        </w:tc>
        <w:tc>
          <w:tcPr>
            <w:tcW w:w="458" w:type="dxa"/>
            <w:tcBorders>
              <w:top w:val="single" w:color="auto" w:sz="4" w:space="0"/>
              <w:left w:val="single" w:color="auto" w:sz="4" w:space="0"/>
              <w:right w:val="single" w:color="auto" w:sz="4" w:space="0"/>
            </w:tcBorders>
            <w:vAlign w:val="center"/>
          </w:tcPr>
          <w:p w14:paraId="66C7ED2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default" w:ascii="仿宋_GB2312" w:eastAsia="仿宋_GB2312"/>
                <w:sz w:val="22"/>
                <w:szCs w:val="22"/>
              </w:rPr>
              <w:t>1</w:t>
            </w:r>
            <w:r>
              <w:rPr>
                <w:rFonts w:hint="eastAsia" w:ascii="仿宋_GB2312" w:eastAsia="仿宋_GB2312"/>
                <w:sz w:val="22"/>
                <w:szCs w:val="22"/>
              </w:rPr>
              <w:t>7</w:t>
            </w:r>
          </w:p>
        </w:tc>
        <w:tc>
          <w:tcPr>
            <w:tcW w:w="5888" w:type="dxa"/>
            <w:tcBorders>
              <w:top w:val="single" w:color="auto" w:sz="4" w:space="0"/>
              <w:left w:val="single" w:color="auto" w:sz="4" w:space="0"/>
              <w:right w:val="single" w:color="auto" w:sz="4" w:space="0"/>
            </w:tcBorders>
            <w:vAlign w:val="center"/>
          </w:tcPr>
          <w:p w14:paraId="75BED6CC">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rPr>
              <w:t>本项目演示采用政采云平台在线讲解的方式，通过“政采云视频讲标系统”进行，供应商登录政采云系统-----进入开标大厅---进入本项目进行操作。政采云视频讲标系统在线上视频协商时需要供应商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政采云视频讲标系统”评审小组可以看见和听见供应商的画面和声音，供应商只能听见评审小组声音，看不见评审小组的画面。政采云视频讲标系统目前不支持手机端。</w:t>
            </w:r>
          </w:p>
          <w:p w14:paraId="25ACEC6A">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rPr>
              <w:t>演示顺序按政采云平台系统自动生成的顺序进行演示，演示时长不超过</w:t>
            </w:r>
            <w:r>
              <w:rPr>
                <w:rFonts w:hint="eastAsia" w:ascii="仿宋_GB2312" w:hAnsi="宋体" w:eastAsia="仿宋_GB2312" w:cs="宋体"/>
                <w:sz w:val="22"/>
                <w:szCs w:val="22"/>
                <w:u w:val="single"/>
              </w:rPr>
              <w:t xml:space="preserve"> </w:t>
            </w:r>
            <w:r>
              <w:rPr>
                <w:rFonts w:hint="eastAsia" w:ascii="仿宋_GB2312" w:hAnsi="宋体" w:eastAsia="仿宋_GB2312" w:cs="宋体"/>
                <w:sz w:val="22"/>
                <w:szCs w:val="22"/>
                <w:u w:val="single"/>
                <w:lang w:val="en-US" w:eastAsia="zh-CN"/>
              </w:rPr>
              <w:t>30</w:t>
            </w:r>
            <w:r>
              <w:rPr>
                <w:rFonts w:hint="eastAsia" w:ascii="仿宋_GB2312" w:hAnsi="宋体" w:eastAsia="仿宋_GB2312" w:cs="宋体"/>
                <w:sz w:val="22"/>
                <w:szCs w:val="22"/>
                <w:u w:val="single"/>
              </w:rPr>
              <w:t xml:space="preserve"> </w:t>
            </w:r>
            <w:r>
              <w:rPr>
                <w:rFonts w:hint="eastAsia" w:ascii="仿宋_GB2312" w:hAnsi="宋体" w:eastAsia="仿宋_GB2312" w:cs="宋体"/>
                <w:sz w:val="22"/>
                <w:szCs w:val="22"/>
              </w:rPr>
              <w:t>分钟，因系统调试或网络问题造成演示无法正常进行的，可适当延长演示时长：</w:t>
            </w:r>
          </w:p>
          <w:p w14:paraId="0D6BC796">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hAnsi="宋体" w:eastAsia="仿宋_GB2312" w:cs="宋体"/>
                <w:sz w:val="22"/>
                <w:szCs w:val="22"/>
              </w:rPr>
              <w:t>1、云平台四大件产品可用性演示：</w:t>
            </w:r>
          </w:p>
          <w:p w14:paraId="045A1AF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sz w:val="22"/>
                <w:szCs w:val="22"/>
              </w:rPr>
              <w:t>（1）云服务器可用性演示，登录到具体提供云服务的云管平台，完成云服务器的开设、修改、删除等操作，开设中可选择多种主流操作系统、规格配置种类丰富，开设完成后需要演示快照制作与回滚，功能演示全部实现的得2分，使用PPT或demo演示功</w:t>
            </w:r>
            <w:r>
              <w:rPr>
                <w:rFonts w:hint="eastAsia" w:ascii="仿宋_GB2312" w:eastAsia="仿宋_GB2312"/>
                <w:sz w:val="22"/>
                <w:szCs w:val="22"/>
              </w:rPr>
              <w:t>能全部实现的得1分，未提供或提供的演示功能不全的不得分。</w:t>
            </w:r>
          </w:p>
          <w:p w14:paraId="331C121C">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2）云数据库可用性演示，登录到具体提供云服务的云管平台，完成Mysql主流关系型数据库的开设、修改、删除等操作，规格配置多样，数据库可主备实时切换，功能演示全部实现的得2分，使用PPT或demo演示功能全部实现的得1分，未提供或提供的演示功能不全的不得分。</w:t>
            </w:r>
          </w:p>
          <w:p w14:paraId="6B97007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3）云存储可用性演示，登录到具体提供云服务的云管平台，完成云存储的开设、修改、删除等操作，展示图片、文本等对象的上传、下载、删除等功能，能够实现权限认证，服务器端和客户端加密，功能演示全部实现的得2分，使用PPT或demo演示功能全部实现的得1分，未提供或提供的演示功能不全的不得分。</w:t>
            </w:r>
          </w:p>
          <w:p w14:paraId="6FF554CA">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color w:val="000000" w:themeColor="text1"/>
                <w:sz w:val="22"/>
                <w:szCs w:val="22"/>
                <w14:textFill>
                  <w14:solidFill>
                    <w14:schemeClr w14:val="tx1"/>
                  </w14:solidFill>
                </w14:textFill>
              </w:rPr>
            </w:pPr>
            <w:r>
              <w:rPr>
                <w:rFonts w:hint="eastAsia" w:ascii="仿宋_GB2312" w:eastAsia="仿宋_GB2312"/>
                <w:sz w:val="22"/>
                <w:szCs w:val="22"/>
              </w:rPr>
              <w:t>（4）负载均衡可用性演示，登录到具体提供云服务的云管平台，完成负载均衡的开设、修改、删除等操作，实现四层(TCP协议和UDP协议)和七层(HTTP和HTTPS协议)的负载均衡服务功能，功能演示全部实现的得2分</w:t>
            </w:r>
            <w:r>
              <w:rPr>
                <w:rFonts w:hint="eastAsia" w:ascii="仿宋_GB2312" w:eastAsia="仿宋_GB2312"/>
                <w:color w:val="000000" w:themeColor="text1"/>
                <w:sz w:val="22"/>
                <w:szCs w:val="22"/>
                <w14:textFill>
                  <w14:solidFill>
                    <w14:schemeClr w14:val="tx1"/>
                  </w14:solidFill>
                </w14:textFill>
              </w:rPr>
              <w:t>，使用PPT或demo演示功能全部实现的得1分，未提供或提供的演示功能不全的不得分。</w:t>
            </w:r>
          </w:p>
          <w:p w14:paraId="1ED1CDE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2、基于I</w:t>
            </w:r>
            <w:r>
              <w:rPr>
                <w:rFonts w:hint="default" w:ascii="仿宋_GB2312" w:eastAsia="仿宋_GB2312"/>
                <w:color w:val="000000" w:themeColor="text1"/>
                <w:sz w:val="22"/>
                <w:szCs w:val="22"/>
                <w14:textFill>
                  <w14:solidFill>
                    <w14:schemeClr w14:val="tx1"/>
                  </w14:solidFill>
                </w14:textFill>
              </w:rPr>
              <w:t>RS</w:t>
            </w:r>
            <w:r>
              <w:rPr>
                <w:rFonts w:hint="eastAsia" w:ascii="仿宋_GB2312" w:eastAsia="仿宋_GB2312"/>
                <w:color w:val="000000" w:themeColor="text1"/>
                <w:sz w:val="22"/>
                <w:szCs w:val="22"/>
                <w14:textFill>
                  <w14:solidFill>
                    <w14:schemeClr w14:val="tx1"/>
                  </w14:solidFill>
                </w14:textFill>
              </w:rPr>
              <w:t>的云资源自动开通功能演示：</w:t>
            </w:r>
          </w:p>
          <w:p w14:paraId="582B966C">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（1）实现</w:t>
            </w:r>
            <w:r>
              <w:rPr>
                <w:rFonts w:hint="default" w:ascii="仿宋_GB2312" w:eastAsia="仿宋_GB2312"/>
                <w:color w:val="000000" w:themeColor="text1"/>
                <w:sz w:val="22"/>
                <w:szCs w:val="22"/>
                <w14:textFill>
                  <w14:solidFill>
                    <w14:schemeClr w14:val="tx1"/>
                  </w14:solidFill>
                </w14:textFill>
              </w:rPr>
              <w:t>ECS</w:t>
            </w:r>
            <w:r>
              <w:rPr>
                <w:rFonts w:hint="eastAsia" w:ascii="仿宋_GB2312" w:eastAsia="仿宋_GB2312"/>
                <w:color w:val="000000" w:themeColor="text1"/>
                <w:sz w:val="22"/>
                <w:szCs w:val="22"/>
                <w14:textFill>
                  <w14:solidFill>
                    <w14:schemeClr w14:val="tx1"/>
                  </w14:solidFill>
                </w14:textFill>
              </w:rPr>
              <w:t>资源自动开通功能的，得</w:t>
            </w:r>
            <w:r>
              <w:rPr>
                <w:rFonts w:hint="default" w:ascii="仿宋_GB2312" w:eastAsia="仿宋_GB2312"/>
                <w:color w:val="000000" w:themeColor="text1"/>
                <w:sz w:val="22"/>
                <w:szCs w:val="22"/>
                <w14:textFill>
                  <w14:solidFill>
                    <w14:schemeClr w14:val="tx1"/>
                  </w14:solidFill>
                </w14:textFill>
              </w:rPr>
              <w:t>1</w:t>
            </w:r>
            <w:r>
              <w:rPr>
                <w:rFonts w:hint="eastAsia" w:ascii="仿宋_GB2312" w:eastAsia="仿宋_GB2312"/>
                <w:color w:val="000000" w:themeColor="text1"/>
                <w:sz w:val="22"/>
                <w:szCs w:val="22"/>
                <w14:textFill>
                  <w14:solidFill>
                    <w14:schemeClr w14:val="tx1"/>
                  </w14:solidFill>
                </w14:textFill>
              </w:rPr>
              <w:t>分，使用PPT或demo演示的得</w:t>
            </w:r>
            <w:r>
              <w:rPr>
                <w:rFonts w:hint="default" w:ascii="仿宋_GB2312" w:eastAsia="仿宋_GB2312"/>
                <w:color w:val="000000" w:themeColor="text1"/>
                <w:sz w:val="22"/>
                <w:szCs w:val="22"/>
                <w14:textFill>
                  <w14:solidFill>
                    <w14:schemeClr w14:val="tx1"/>
                  </w14:solidFill>
                </w14:textFill>
              </w:rPr>
              <w:t>0</w:t>
            </w:r>
            <w:r>
              <w:rPr>
                <w:rFonts w:hint="eastAsia" w:ascii="仿宋_GB2312" w:eastAsia="仿宋_GB2312"/>
                <w:color w:val="000000" w:themeColor="text1"/>
                <w:sz w:val="22"/>
                <w:szCs w:val="22"/>
                <w14:textFill>
                  <w14:solidFill>
                    <w14:schemeClr w14:val="tx1"/>
                  </w14:solidFill>
                </w14:textFill>
              </w:rPr>
              <w:t>.</w:t>
            </w:r>
            <w:r>
              <w:rPr>
                <w:rFonts w:hint="default" w:ascii="仿宋_GB2312" w:eastAsia="仿宋_GB2312"/>
                <w:color w:val="000000" w:themeColor="text1"/>
                <w:sz w:val="22"/>
                <w:szCs w:val="22"/>
                <w14:textFill>
                  <w14:solidFill>
                    <w14:schemeClr w14:val="tx1"/>
                  </w14:solidFill>
                </w14:textFill>
              </w:rPr>
              <w:t>5</w:t>
            </w:r>
            <w:r>
              <w:rPr>
                <w:rFonts w:hint="eastAsia" w:ascii="仿宋_GB2312" w:eastAsia="仿宋_GB2312"/>
                <w:color w:val="000000" w:themeColor="text1"/>
                <w:sz w:val="22"/>
                <w:szCs w:val="22"/>
                <w14:textFill>
                  <w14:solidFill>
                    <w14:schemeClr w14:val="tx1"/>
                  </w14:solidFill>
                </w14:textFill>
              </w:rPr>
              <w:t>分，未演示或者所演示内容无法实现该功能的不得分。</w:t>
            </w:r>
          </w:p>
          <w:p w14:paraId="04C28B35">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（2）实现</w:t>
            </w:r>
            <w:r>
              <w:rPr>
                <w:rFonts w:hint="default" w:ascii="仿宋_GB2312" w:eastAsia="仿宋_GB2312"/>
                <w:color w:val="000000" w:themeColor="text1"/>
                <w:sz w:val="22"/>
                <w:szCs w:val="22"/>
                <w14:textFill>
                  <w14:solidFill>
                    <w14:schemeClr w14:val="tx1"/>
                  </w14:solidFill>
                </w14:textFill>
              </w:rPr>
              <w:t>RDS</w:t>
            </w:r>
            <w:r>
              <w:rPr>
                <w:rFonts w:hint="eastAsia" w:ascii="仿宋_GB2312" w:eastAsia="仿宋_GB2312"/>
                <w:color w:val="000000" w:themeColor="text1"/>
                <w:sz w:val="22"/>
                <w:szCs w:val="22"/>
                <w14:textFill>
                  <w14:solidFill>
                    <w14:schemeClr w14:val="tx1"/>
                  </w14:solidFill>
                </w14:textFill>
              </w:rPr>
              <w:t>资源自动开通功能的，得</w:t>
            </w:r>
            <w:r>
              <w:rPr>
                <w:rFonts w:hint="default" w:ascii="仿宋_GB2312" w:eastAsia="仿宋_GB2312"/>
                <w:color w:val="000000" w:themeColor="text1"/>
                <w:sz w:val="22"/>
                <w:szCs w:val="22"/>
                <w14:textFill>
                  <w14:solidFill>
                    <w14:schemeClr w14:val="tx1"/>
                  </w14:solidFill>
                </w14:textFill>
              </w:rPr>
              <w:t>1</w:t>
            </w:r>
            <w:r>
              <w:rPr>
                <w:rFonts w:hint="eastAsia" w:ascii="仿宋_GB2312" w:eastAsia="仿宋_GB2312"/>
                <w:color w:val="000000" w:themeColor="text1"/>
                <w:sz w:val="22"/>
                <w:szCs w:val="22"/>
                <w14:textFill>
                  <w14:solidFill>
                    <w14:schemeClr w14:val="tx1"/>
                  </w14:solidFill>
                </w14:textFill>
              </w:rPr>
              <w:t>分，使用PPT或demo演示的得</w:t>
            </w:r>
            <w:r>
              <w:rPr>
                <w:rFonts w:hint="default" w:ascii="仿宋_GB2312" w:eastAsia="仿宋_GB2312"/>
                <w:color w:val="000000" w:themeColor="text1"/>
                <w:sz w:val="22"/>
                <w:szCs w:val="22"/>
                <w14:textFill>
                  <w14:solidFill>
                    <w14:schemeClr w14:val="tx1"/>
                  </w14:solidFill>
                </w14:textFill>
              </w:rPr>
              <w:t>0</w:t>
            </w:r>
            <w:r>
              <w:rPr>
                <w:rFonts w:hint="eastAsia" w:ascii="仿宋_GB2312" w:eastAsia="仿宋_GB2312"/>
                <w:color w:val="000000" w:themeColor="text1"/>
                <w:sz w:val="22"/>
                <w:szCs w:val="22"/>
                <w14:textFill>
                  <w14:solidFill>
                    <w14:schemeClr w14:val="tx1"/>
                  </w14:solidFill>
                </w14:textFill>
              </w:rPr>
              <w:t>.</w:t>
            </w:r>
            <w:r>
              <w:rPr>
                <w:rFonts w:hint="default" w:ascii="仿宋_GB2312" w:eastAsia="仿宋_GB2312"/>
                <w:color w:val="000000" w:themeColor="text1"/>
                <w:sz w:val="22"/>
                <w:szCs w:val="22"/>
                <w14:textFill>
                  <w14:solidFill>
                    <w14:schemeClr w14:val="tx1"/>
                  </w14:solidFill>
                </w14:textFill>
              </w:rPr>
              <w:t>5</w:t>
            </w:r>
            <w:r>
              <w:rPr>
                <w:rFonts w:hint="eastAsia" w:ascii="仿宋_GB2312" w:eastAsia="仿宋_GB2312"/>
                <w:color w:val="000000" w:themeColor="text1"/>
                <w:sz w:val="22"/>
                <w:szCs w:val="22"/>
                <w14:textFill>
                  <w14:solidFill>
                    <w14:schemeClr w14:val="tx1"/>
                  </w14:solidFill>
                </w14:textFill>
              </w:rPr>
              <w:t>分，未演示或者所演示内容无法实现该功能的不得分。</w:t>
            </w:r>
          </w:p>
          <w:p w14:paraId="48F66E3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hAnsi="宋体" w:eastAsia="仿宋_GB2312" w:cs="宋体"/>
                <w:sz w:val="22"/>
                <w:szCs w:val="22"/>
              </w:rPr>
            </w:pPr>
            <w:r>
              <w:rPr>
                <w:rFonts w:hint="eastAsia" w:ascii="仿宋_GB2312" w:eastAsia="仿宋_GB2312"/>
                <w:color w:val="000000" w:themeColor="text1"/>
                <w:sz w:val="22"/>
                <w:szCs w:val="22"/>
                <w14:textFill>
                  <w14:solidFill>
                    <w14:schemeClr w14:val="tx1"/>
                  </w14:solidFill>
                </w14:textFill>
              </w:rPr>
              <w:t>（3）实现</w:t>
            </w:r>
            <w:r>
              <w:rPr>
                <w:rFonts w:hint="default" w:ascii="仿宋_GB2312" w:eastAsia="仿宋_GB2312"/>
                <w:color w:val="000000" w:themeColor="text1"/>
                <w:sz w:val="22"/>
                <w:szCs w:val="22"/>
                <w14:textFill>
                  <w14:solidFill>
                    <w14:schemeClr w14:val="tx1"/>
                  </w14:solidFill>
                </w14:textFill>
              </w:rPr>
              <w:t>OSS</w:t>
            </w:r>
            <w:r>
              <w:rPr>
                <w:rFonts w:hint="eastAsia" w:ascii="仿宋_GB2312" w:eastAsia="仿宋_GB2312"/>
                <w:color w:val="000000" w:themeColor="text1"/>
                <w:sz w:val="22"/>
                <w:szCs w:val="22"/>
                <w14:textFill>
                  <w14:solidFill>
                    <w14:schemeClr w14:val="tx1"/>
                  </w14:solidFill>
                </w14:textFill>
              </w:rPr>
              <w:t>资源自动开通功能的，得2分，使用PPT或demo演示的得1分，未演示或者所演示内容无法实现该功能的不得分。</w:t>
            </w:r>
          </w:p>
        </w:tc>
        <w:tc>
          <w:tcPr>
            <w:tcW w:w="945" w:type="dxa"/>
            <w:tcBorders>
              <w:top w:val="single" w:color="auto" w:sz="4" w:space="0"/>
              <w:left w:val="single" w:color="auto" w:sz="4" w:space="0"/>
              <w:right w:val="single" w:color="auto" w:sz="4" w:space="0"/>
            </w:tcBorders>
            <w:vAlign w:val="center"/>
          </w:tcPr>
          <w:p w14:paraId="3DBCC36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w:t>
            </w:r>
            <w:r>
              <w:rPr>
                <w:rFonts w:hint="default" w:ascii="仿宋_GB2312" w:eastAsia="仿宋_GB2312"/>
                <w:sz w:val="22"/>
                <w:szCs w:val="22"/>
              </w:rPr>
              <w:t>2</w:t>
            </w:r>
          </w:p>
        </w:tc>
        <w:tc>
          <w:tcPr>
            <w:tcW w:w="1290" w:type="dxa"/>
            <w:tcBorders>
              <w:top w:val="single" w:color="auto" w:sz="4" w:space="0"/>
              <w:left w:val="single" w:color="auto" w:sz="4" w:space="0"/>
              <w:right w:val="single" w:color="auto" w:sz="4" w:space="0"/>
            </w:tcBorders>
            <w:vAlign w:val="center"/>
          </w:tcPr>
          <w:p w14:paraId="43FF1292">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hAnsi="宋体" w:eastAsia="仿宋_GB2312" w:cs="宋体"/>
                <w:b/>
                <w:spacing w:val="4"/>
                <w:sz w:val="20"/>
                <w:szCs w:val="20"/>
              </w:rPr>
              <w:t>客观分</w:t>
            </w:r>
          </w:p>
        </w:tc>
      </w:tr>
      <w:tr w14:paraId="6B05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8" w:type="dxa"/>
            <w:tcBorders>
              <w:top w:val="single" w:color="auto" w:sz="4" w:space="0"/>
              <w:left w:val="single" w:color="auto" w:sz="4" w:space="0"/>
              <w:bottom w:val="single" w:color="auto" w:sz="4" w:space="0"/>
              <w:right w:val="single" w:color="auto" w:sz="4" w:space="0"/>
            </w:tcBorders>
            <w:vAlign w:val="center"/>
          </w:tcPr>
          <w:p w14:paraId="5A1D111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报价</w:t>
            </w:r>
          </w:p>
          <w:p w14:paraId="1943149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（10分）</w:t>
            </w:r>
          </w:p>
        </w:tc>
        <w:tc>
          <w:tcPr>
            <w:tcW w:w="458" w:type="dxa"/>
            <w:tcBorders>
              <w:top w:val="single" w:color="auto" w:sz="4" w:space="0"/>
              <w:left w:val="single" w:color="auto" w:sz="4" w:space="0"/>
              <w:bottom w:val="single" w:color="auto" w:sz="4" w:space="0"/>
              <w:right w:val="single" w:color="auto" w:sz="4" w:space="0"/>
            </w:tcBorders>
            <w:vAlign w:val="center"/>
          </w:tcPr>
          <w:p w14:paraId="7B9130A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18</w:t>
            </w:r>
          </w:p>
        </w:tc>
        <w:tc>
          <w:tcPr>
            <w:tcW w:w="5888" w:type="dxa"/>
            <w:tcBorders>
              <w:top w:val="single" w:color="auto" w:sz="4" w:space="0"/>
              <w:left w:val="single" w:color="auto" w:sz="4" w:space="0"/>
              <w:bottom w:val="single" w:color="auto" w:sz="4" w:space="0"/>
              <w:right w:val="single" w:color="auto" w:sz="4" w:space="0"/>
            </w:tcBorders>
          </w:tcPr>
          <w:p w14:paraId="47AE6A6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w:t>
            </w:r>
            <w:r>
              <w:rPr>
                <w:rFonts w:hint="eastAsia" w:ascii="仿宋_GB2312" w:eastAsia="仿宋_GB2312"/>
                <w:b/>
                <w:sz w:val="22"/>
                <w:szCs w:val="22"/>
              </w:rPr>
              <w:t>投标报价为折扣率的形式</w:t>
            </w:r>
            <w:r>
              <w:rPr>
                <w:rFonts w:hint="eastAsia" w:ascii="仿宋_GB2312" w:eastAsia="仿宋_GB2312"/>
                <w:sz w:val="22"/>
                <w:szCs w:val="22"/>
              </w:rPr>
              <w:t>：根据第三部分采购需求中三、采购清单中每项服务的最高限价的统一折扣比例(</w:t>
            </w:r>
            <w:r>
              <w:rPr>
                <w:rFonts w:hint="eastAsia" w:ascii="仿宋_GB2312" w:eastAsia="仿宋_GB2312"/>
                <w:b/>
                <w:sz w:val="22"/>
                <w:szCs w:val="22"/>
              </w:rPr>
              <w:t>用百分比表述，按百分号整数报价，小数点后不予考虑</w:t>
            </w:r>
            <w:r>
              <w:rPr>
                <w:rFonts w:hint="eastAsia" w:ascii="仿宋_GB2312" w:eastAsia="仿宋_GB2312"/>
                <w:sz w:val="22"/>
                <w:szCs w:val="22"/>
              </w:rPr>
              <w:t>）。</w:t>
            </w:r>
          </w:p>
          <w:p w14:paraId="418E8B94">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2、在所有有效报价中，以最低折扣率作为评标基准价，其价格分为满分；按［投标报价得分=（评标基准价/投标报价）*10］的计算公式计算。</w:t>
            </w:r>
          </w:p>
          <w:p w14:paraId="2BC781B0">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评标过程中，不得去掉报价中的最高报价和最低报价。因落实政府采购政策需要进行价格调整的，以调整后的价格计算评标基准价和投标报价。</w:t>
            </w:r>
          </w:p>
        </w:tc>
        <w:tc>
          <w:tcPr>
            <w:tcW w:w="945" w:type="dxa"/>
            <w:tcBorders>
              <w:top w:val="single" w:color="auto" w:sz="4" w:space="0"/>
              <w:left w:val="single" w:color="auto" w:sz="4" w:space="0"/>
              <w:bottom w:val="single" w:color="auto" w:sz="4" w:space="0"/>
              <w:right w:val="single" w:color="auto" w:sz="4" w:space="0"/>
            </w:tcBorders>
            <w:vAlign w:val="center"/>
          </w:tcPr>
          <w:p w14:paraId="022082C7">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10</w:t>
            </w:r>
          </w:p>
        </w:tc>
        <w:tc>
          <w:tcPr>
            <w:tcW w:w="1290" w:type="dxa"/>
            <w:tcBorders>
              <w:top w:val="single" w:color="auto" w:sz="4" w:space="0"/>
              <w:left w:val="single" w:color="auto" w:sz="4" w:space="0"/>
              <w:bottom w:val="single" w:color="auto" w:sz="4" w:space="0"/>
              <w:right w:val="single" w:color="auto" w:sz="4" w:space="0"/>
            </w:tcBorders>
            <w:vAlign w:val="center"/>
          </w:tcPr>
          <w:p w14:paraId="1E77FC5D">
            <w:pPr>
              <w:keepNext w:val="0"/>
              <w:keepLines w:val="0"/>
              <w:pageBreakBefore w:val="0"/>
              <w:widowControl w:val="0"/>
              <w:suppressLineNumbers w:val="0"/>
              <w:kinsoku/>
              <w:wordWrap/>
              <w:overflowPunct/>
              <w:topLinePunct/>
              <w:autoSpaceDE/>
              <w:autoSpaceDN/>
              <w:bidi w:val="0"/>
              <w:spacing w:before="0" w:beforeAutospacing="0" w:after="0" w:afterAutospacing="0" w:line="420" w:lineRule="exact"/>
              <w:ind w:left="0" w:right="0"/>
              <w:contextualSpacing/>
              <w:jc w:val="left"/>
              <w:textAlignment w:val="auto"/>
              <w:rPr>
                <w:rFonts w:hint="default" w:ascii="仿宋_GB2312" w:eastAsia="仿宋_GB2312"/>
                <w:sz w:val="22"/>
                <w:szCs w:val="22"/>
              </w:rPr>
            </w:pPr>
            <w:r>
              <w:rPr>
                <w:rFonts w:hint="eastAsia" w:ascii="仿宋_GB2312" w:eastAsia="仿宋_GB2312"/>
                <w:sz w:val="22"/>
                <w:szCs w:val="22"/>
              </w:rPr>
              <w:t>/</w:t>
            </w:r>
          </w:p>
        </w:tc>
      </w:tr>
    </w:tbl>
    <w:p w14:paraId="3579D4AC">
      <w:pPr>
        <w:pStyle w:val="2"/>
      </w:pPr>
    </w:p>
    <w:p w14:paraId="31F0DAAC">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jc w:val="left"/>
        <w:textAlignment w:val="auto"/>
        <w:rPr>
          <w:rFonts w:hint="eastAsia" w:ascii="仿宋" w:hAnsi="仿宋" w:eastAsia="仿宋" w:cs="仿宋"/>
          <w:b/>
          <w:sz w:val="24"/>
          <w:szCs w:val="24"/>
        </w:rPr>
      </w:pPr>
      <w:r>
        <w:rPr>
          <w:rFonts w:hint="eastAsia" w:ascii="仿宋" w:hAnsi="仿宋" w:eastAsia="仿宋" w:cs="仿宋"/>
          <w:b/>
          <w:sz w:val="24"/>
          <w:szCs w:val="24"/>
        </w:rPr>
        <w:t>*备注：投标人编制投标文件（商务技术文件部分）时，建议按此目录（序号和内容）提供评标标准相应的商务技术资料。 </w:t>
      </w:r>
    </w:p>
    <w:p w14:paraId="311B5227">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jc w:val="left"/>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375FF9F">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5A42F18E">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jc w:val="left"/>
        <w:textAlignment w:val="auto"/>
        <w:rPr>
          <w:rFonts w:hint="eastAsia" w:ascii="仿宋" w:hAnsi="仿宋" w:eastAsia="仿宋" w:cs="仿宋"/>
          <w:b/>
          <w:sz w:val="24"/>
          <w:szCs w:val="24"/>
        </w:rPr>
      </w:pPr>
      <w:r>
        <w:rPr>
          <w:rFonts w:hint="eastAsia" w:ascii="仿宋" w:hAnsi="仿宋" w:eastAsia="仿宋" w:cs="仿宋"/>
          <w:b/>
          <w:sz w:val="24"/>
          <w:szCs w:val="24"/>
        </w:rPr>
        <w:t>二、评标标准</w:t>
      </w:r>
    </w:p>
    <w:p w14:paraId="181706E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2.评标标准：见评标办法前附表。</w:t>
      </w:r>
    </w:p>
    <w:p w14:paraId="1345402B">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jc w:val="left"/>
        <w:textAlignment w:val="auto"/>
        <w:rPr>
          <w:rFonts w:hint="eastAsia" w:ascii="仿宋" w:hAnsi="仿宋" w:eastAsia="仿宋" w:cs="仿宋"/>
          <w:b/>
          <w:sz w:val="24"/>
          <w:szCs w:val="24"/>
        </w:rPr>
      </w:pPr>
      <w:r>
        <w:rPr>
          <w:rFonts w:hint="eastAsia" w:ascii="仿宋" w:hAnsi="仿宋" w:eastAsia="仿宋" w:cs="仿宋"/>
          <w:b/>
          <w:sz w:val="24"/>
          <w:szCs w:val="24"/>
        </w:rPr>
        <w:t>三、评标程序</w:t>
      </w:r>
    </w:p>
    <w:p w14:paraId="5725394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3.1符合性审查。评标委员会应当对符合资格的投标人的投标文件进行符合性审查，以确定其是否满足招标文件的实质性要求。不满足招标文件的实质性要求的，投标无效。</w:t>
      </w:r>
    </w:p>
    <w:p w14:paraId="5DC6949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3.2比较与评价。评标委员会应当按照招标文件中规定的评标方法和标准，对符合性审查合格的投标文件进行商务和技术评估，综合比较与评价。</w:t>
      </w:r>
    </w:p>
    <w:p w14:paraId="7A5C3B7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3.3汇总商务技术得分。评标委员会各成员应当独立对每个投标人的商务和技术文件进行评价，并汇总商务技术得分情况。</w:t>
      </w:r>
    </w:p>
    <w:p w14:paraId="15A2DF3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3.4报价评审。</w:t>
      </w:r>
    </w:p>
    <w:p w14:paraId="7BA91C27">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3.4.1投标文件报价出现前后不一致的，按照下列规定修正：</w:t>
      </w:r>
    </w:p>
    <w:p w14:paraId="631BFA5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3.4.1.1投标文件中开标一览表(报价表)内容与投标文件中相应内容不一致的，以开标一览表(报价表)为准;</w:t>
      </w:r>
    </w:p>
    <w:p w14:paraId="31E8409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3.4.1.2大写金额和小写金额不一致的，以大写金额为准;</w:t>
      </w:r>
    </w:p>
    <w:p w14:paraId="51F11DE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3.4.1.3单价金额小数点或者百分比有明显错位的，以开标一览表的总价为准，并修改单价;</w:t>
      </w:r>
    </w:p>
    <w:p w14:paraId="4EA7F7D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3.4.1.4总价金额与按单价汇总金额不一致的，以单价金额计算结果为准。</w:t>
      </w:r>
    </w:p>
    <w:p w14:paraId="2F1FB40D">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489EC73B">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3.4.2投标文件出现不是唯一的、有选择性投标报价的，投标无效。</w:t>
      </w:r>
    </w:p>
    <w:p w14:paraId="4BB3CDE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3.4.3投标报价超过招标文件中规定的预算金额或者最高限价的，投标无效。</w:t>
      </w:r>
    </w:p>
    <w:p w14:paraId="48699E2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63B5A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68BF47">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DA6F29">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431C5945">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jc w:val="left"/>
        <w:textAlignment w:val="auto"/>
        <w:rPr>
          <w:rFonts w:hint="eastAsia" w:ascii="仿宋" w:hAnsi="仿宋" w:eastAsia="仿宋" w:cs="仿宋"/>
          <w:b/>
          <w:sz w:val="24"/>
          <w:szCs w:val="24"/>
        </w:rPr>
      </w:pPr>
      <w:r>
        <w:rPr>
          <w:rFonts w:hint="eastAsia" w:ascii="仿宋" w:hAnsi="仿宋" w:eastAsia="仿宋" w:cs="仿宋"/>
          <w:b/>
          <w:sz w:val="24"/>
          <w:szCs w:val="24"/>
        </w:rPr>
        <w:t>四、评标中的其他事项</w:t>
      </w:r>
    </w:p>
    <w:p w14:paraId="34807A8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5C3147">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4.2投标无效。有下列情况之一的，投标无效：</w:t>
      </w:r>
    </w:p>
    <w:p w14:paraId="4C7DF4E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4.2.1单位负责人为同一人或者存在直接控股、管理关系的不同供应商参加同一合同项下的政府采购活动的（均无效）；</w:t>
      </w:r>
    </w:p>
    <w:p w14:paraId="23B4867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4.2.2为采购项目提供整体设计、规范编制或者项目管理、监理、检测等服务的供应商再参加该采购项目的其他采购活动的； </w:t>
      </w:r>
    </w:p>
    <w:p w14:paraId="31E5D4C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4.2.3投标人不具备招标文件中规定的资格要求的（投标人未提供有效的资格证明文件的，视为投标人不具备招标文件中规定的资格要求）；</w:t>
      </w:r>
    </w:p>
    <w:p w14:paraId="7E478F7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4.2.4如以联合体形式参加政府采购活动的，联合体协议不符合招标文件规定的联合体协议要求的；</w:t>
      </w:r>
    </w:p>
    <w:p w14:paraId="23029DE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4.2.5投标文件未按招标文件的澄清、修改的内容编制，又不符合实质性要求的；</w:t>
      </w:r>
    </w:p>
    <w:p w14:paraId="1B4A7EF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4.2.6投标文件组成不全或内容字迹模糊辨认不清的而导致评标无法正常进行（经评标委员会认定并允许其当场更正的笔误除外的）；</w:t>
      </w:r>
    </w:p>
    <w:p w14:paraId="1A309ED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4.2.7投标文件中法人授权书所载内容与本项目内容有异的；</w:t>
      </w:r>
    </w:p>
    <w:p w14:paraId="2E27574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4.2.8投标文件未按照招标文件要求签署、盖章的；</w:t>
      </w:r>
    </w:p>
    <w:p w14:paraId="087BDD3D">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4.2.9采购人拟采购的产品属于政府强制采购的节能产品品目清单范围的，投标人未按招标文件要求提供国家确定的认证机构出具的、处于有效期之内的节能产品认证证书的；</w:t>
      </w:r>
    </w:p>
    <w:p w14:paraId="39B5A31F">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4.2.10投标文件含有采购人不能接受的附加条件的；</w:t>
      </w:r>
    </w:p>
    <w:p w14:paraId="0E39CDD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4.2.11投标文件中承诺的投标有效期少于招标文件中载明的投标有效期的；</w:t>
      </w:r>
    </w:p>
    <w:p w14:paraId="62EFB2AF">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4.2.12投标人所投内容不符合招标文件中实质性要求的；</w:t>
      </w:r>
    </w:p>
    <w:p w14:paraId="2344DB0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4.2.13投标文件出现不是唯一的、有选择性投标报价的;</w:t>
      </w:r>
    </w:p>
    <w:p w14:paraId="7AF5548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4.2.14投标报价高于本项目采购预算或者最高限价的;</w:t>
      </w:r>
    </w:p>
    <w:p w14:paraId="6F7D9CA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4.2.15报价明显低于其他通过符合性审查投标人的报价，有可能影响产品质量或者不能诚信履约的，未能按要求提供书面说明或者提交相关证明材料，不能证明其报价合理性的;</w:t>
      </w:r>
    </w:p>
    <w:p w14:paraId="61E20D8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4.2.16《投标（开标）一览表》填写不完整或字迹不能辨认或有漏项的；</w:t>
      </w:r>
    </w:p>
    <w:p w14:paraId="1D974A9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4.2.17投标人对根据修正原则修正后的报价不确认的；</w:t>
      </w:r>
    </w:p>
    <w:p w14:paraId="1D74C539">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4.2.18投标人提供虚假材料投标的（包括但不限于以下情节）；</w:t>
      </w:r>
    </w:p>
    <w:p w14:paraId="47C496DB">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4.2.18.1使用伪造、变造的许可证件；</w:t>
      </w:r>
    </w:p>
    <w:p w14:paraId="1B164B7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4.2.18.2提供虚假的财务状况或者业绩；</w:t>
      </w:r>
    </w:p>
    <w:p w14:paraId="6008492F">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4.2.18.3提供虚假的项目负责人或者主要技术人员简历、劳动关系证明；</w:t>
      </w:r>
    </w:p>
    <w:p w14:paraId="261FC81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4.2.18.4提供虚假的信用状况；</w:t>
      </w:r>
    </w:p>
    <w:p w14:paraId="3BC56EC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4.2.18.5其他弄虚作假的行为。</w:t>
      </w:r>
    </w:p>
    <w:p w14:paraId="39E0F618">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4.2.19投标人有恶意串通、妨碍其他投标人的竞争行为、损害采购人或者其他投标人的合法权益情形的；有下列情形之一的，属于或视为恶意串通，其投标无效：</w:t>
      </w:r>
    </w:p>
    <w:p w14:paraId="68CEF3C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4.2.19.1供应商直接或者间接从采购人或者采购代理机构处获得其他供应商的相关情况并修改其投标文件或者响应文件；</w:t>
      </w:r>
    </w:p>
    <w:p w14:paraId="7C74B73E">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4.2.19.2供应商按照采购人或者采购代理机构的授意撤换、修改投标文件或者响应文件；</w:t>
      </w:r>
    </w:p>
    <w:p w14:paraId="7310B0C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4.2.19.3供应商之间协商报价、技术方案等投标文件或者响应文件的实质性内容；</w:t>
      </w:r>
    </w:p>
    <w:p w14:paraId="369C0A8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4.2.19.4属于同一集团、协会、商会等组织成员的供应商按照该组织要求协同参加政府采购活动；</w:t>
      </w:r>
    </w:p>
    <w:p w14:paraId="1A34FA4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4.2.19.5供应商之间事先约定由某一特定供应商中标、成交；</w:t>
      </w:r>
    </w:p>
    <w:p w14:paraId="6283784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4.2.19.6供应商之间商定部分供应商放弃参加政府采购活动或者放弃中标、成交；</w:t>
      </w:r>
    </w:p>
    <w:p w14:paraId="1A10194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4.2.19.7供应商与采购人或者采购代理机构之间、供应商相互之间，为谋求特定供应商中标、成交或者排斥其他供应商的其他串通行为。</w:t>
      </w:r>
    </w:p>
    <w:p w14:paraId="263F7A9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4.2.19.8不同投标人的投标文件由同一单位或者个人编制；</w:t>
      </w:r>
    </w:p>
    <w:p w14:paraId="5459CDF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4.2.19.9不同投标人委托同一单位或者个人办理投标事宜；</w:t>
      </w:r>
    </w:p>
    <w:p w14:paraId="10C2E25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4.2.19.10不同投标人的投标文件载明的项目管理成员或者联系人员为同一人；</w:t>
      </w:r>
    </w:p>
    <w:p w14:paraId="2F30B30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4.2.19.11不同投标人的投标文件异常一致或者投标报价呈规律性差异；</w:t>
      </w:r>
    </w:p>
    <w:p w14:paraId="00A08E1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4.2.19.12不同投标人的投标文件相互混装；</w:t>
      </w:r>
    </w:p>
    <w:p w14:paraId="1792E9ED">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4.2.20投标人仅提交备份投标文件，没有在电子交易平台传输递交投标文件的，投标无效；</w:t>
      </w:r>
    </w:p>
    <w:p w14:paraId="7A20AC79">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4.2.21以联合体形式投标的，在资格文件和商务技术文件中均未提供联合协议的，投标无效；</w:t>
      </w:r>
    </w:p>
    <w:p w14:paraId="08FF36E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4.2.22以分包方式履行合同的，在资格文件和商务技术文件中均未提供分包意向协议的，投标无效；</w:t>
      </w:r>
    </w:p>
    <w:p w14:paraId="5C66A79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4.2.23专门面向中小企业采购的，在资格文件和商务技术文件中均未提供中小企业声明函的，投标无效；</w:t>
      </w:r>
    </w:p>
    <w:p w14:paraId="40F367EB">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4.2.24法律、法规、规章（适用本市的）及省级以上规范性文件（适用本市的）规定的其他无效情形；</w:t>
      </w:r>
    </w:p>
    <w:p w14:paraId="0DB56105">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4.2.25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C3A1B9E">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4.2.26投标文件不满足招标文件的其它实质性要求的。</w:t>
      </w:r>
    </w:p>
    <w:p w14:paraId="43694303">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5.废标。根据《中华人民共和国政府采购法》第三十六条之规定，在采购中，出现下列情形之一的，应予废标：</w:t>
      </w:r>
    </w:p>
    <w:p w14:paraId="54FF452C">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5.1符合专业条件的供应商或者对招标文件作实质响应的供应商不足3家的；</w:t>
      </w:r>
    </w:p>
    <w:p w14:paraId="6801C46D">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5.2出现影响采购公正的违法、违规行为的；</w:t>
      </w:r>
    </w:p>
    <w:p w14:paraId="625AD8BA">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5.3投标人的报价均超过了采购预算，采购人不能支付的；</w:t>
      </w:r>
    </w:p>
    <w:p w14:paraId="29A26529">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5.4因重大变故，采购任务取消的。</w:t>
      </w:r>
    </w:p>
    <w:p w14:paraId="1D3B341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6776B2C2">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2B6E47">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7.重新开展采购。有政府采购法第七十一条、第七十二条规定的违法行为之一，影响或者可能影响中标、成交结果的，依照下列规定处理：</w:t>
      </w:r>
    </w:p>
    <w:p w14:paraId="1E16797E">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7.1未确定中标或者中标人的，终止本次政府采购活动，重新开展政府采购活动。</w:t>
      </w:r>
    </w:p>
    <w:p w14:paraId="0F4E0314">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15FB486E">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7.3政府采购合同已签订但尚未履行的，撤销合同，从合格的中标或者成交候选人中另行确定中标或者中标人；没有合格的中标或者成交候选人的，重新开展政府采购活动。</w:t>
      </w:r>
    </w:p>
    <w:p w14:paraId="614D0488">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7.4政府采购合同已经履行，给采购人、供应商造成损失的，由责任人承担赔偿责任。</w:t>
      </w:r>
    </w:p>
    <w:p w14:paraId="694F1A97">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03498B91">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8.评审过程的保密与录像</w:t>
      </w:r>
    </w:p>
    <w:p w14:paraId="2981B510">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4A002AD6">
      <w:pPr>
        <w:keepNext w:val="0"/>
        <w:keepLines w:val="0"/>
        <w:pageBreakBefore w:val="0"/>
        <w:widowControl w:val="0"/>
        <w:kinsoku/>
        <w:wordWrap/>
        <w:overflowPunct/>
        <w:topLinePunct w:val="0"/>
        <w:autoSpaceDE/>
        <w:autoSpaceDN/>
        <w:bidi w:val="0"/>
        <w:adjustRightInd/>
        <w:snapToGrid/>
        <w:spacing w:line="420" w:lineRule="exact"/>
        <w:ind w:firstLine="480" w:firstLineChars="200"/>
        <w:contextualSpacing/>
        <w:jc w:val="left"/>
        <w:textAlignment w:val="auto"/>
      </w:pPr>
      <w:r>
        <w:rPr>
          <w:rFonts w:hint="eastAsia" w:ascii="仿宋" w:hAnsi="仿宋" w:eastAsia="仿宋" w:cs="仿宋"/>
          <w:sz w:val="24"/>
          <w:szCs w:val="24"/>
        </w:rPr>
        <w:t>9.录音录像。采购代理机构对评审工作现场进行全过程录音录像，录音录像资料作为采购项目文件随其他文件一并存档。</w:t>
      </w:r>
      <w:r>
        <w:br w:type="page"/>
      </w:r>
    </w:p>
    <w:p w14:paraId="2D2CFB8F">
      <w:pPr>
        <w:pStyle w:val="2"/>
        <w:snapToGrid w:val="0"/>
        <w:spacing w:line="360" w:lineRule="auto"/>
        <w:ind w:right="-512" w:firstLine="0" w:firstLineChars="0"/>
        <w:jc w:val="center"/>
        <w:rPr>
          <w:rFonts w:hint="eastAsia" w:ascii="仿宋" w:hAnsi="仿宋" w:eastAsia="仿宋" w:cs="仿宋"/>
          <w:b/>
          <w:color w:val="000000" w:themeColor="text1"/>
          <w:sz w:val="30"/>
          <w:szCs w:val="30"/>
          <w14:textFill>
            <w14:solidFill>
              <w14:schemeClr w14:val="tx1"/>
            </w14:solidFill>
          </w14:textFill>
        </w:rPr>
      </w:pPr>
      <w:r>
        <w:rPr>
          <w:rFonts w:hint="eastAsia" w:ascii="仿宋_GB2312" w:hAnsi="仿宋_GB2312" w:eastAsia="仿宋_GB2312" w:cs="仿宋_GB2312"/>
          <w:b/>
          <w:sz w:val="32"/>
          <w:szCs w:val="32"/>
        </w:rPr>
        <w:t>第五部分</w:t>
      </w:r>
      <w:r>
        <w:rPr>
          <w:rFonts w:hint="eastAsia" w:ascii="仿宋" w:hAnsi="仿宋" w:eastAsia="仿宋" w:cs="仿宋"/>
          <w:b/>
          <w:color w:val="000000" w:themeColor="text1"/>
          <w:sz w:val="30"/>
          <w:szCs w:val="30"/>
          <w14:textFill>
            <w14:solidFill>
              <w14:schemeClr w14:val="tx1"/>
            </w14:solidFill>
          </w14:textFill>
        </w:rPr>
        <w:t>拟签订的合同文本</w:t>
      </w:r>
    </w:p>
    <w:p w14:paraId="32137A80">
      <w:pPr>
        <w:spacing w:line="540" w:lineRule="exact"/>
        <w:contextualSpacing/>
        <w:rPr>
          <w:rFonts w:ascii="仿宋_GB2312" w:eastAsia="仿宋_GB2312"/>
          <w:sz w:val="28"/>
          <w:szCs w:val="28"/>
        </w:rPr>
      </w:pPr>
    </w:p>
    <w:p w14:paraId="120BD90E">
      <w:pPr>
        <w:spacing w:line="360" w:lineRule="auto"/>
        <w:ind w:firstLine="960" w:firstLineChars="400"/>
        <w:rPr>
          <w:rFonts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14:paraId="50856409">
      <w:pPr>
        <w:pStyle w:val="22"/>
        <w:rPr>
          <w:rFonts w:ascii="仿宋_GB2312" w:hAnsi="楷体" w:eastAsia="仿宋_GB2312"/>
          <w:szCs w:val="24"/>
          <w:lang w:eastAsia="zh-CN"/>
        </w:rPr>
      </w:pPr>
    </w:p>
    <w:p w14:paraId="2586C160">
      <w:pPr>
        <w:pStyle w:val="22"/>
        <w:rPr>
          <w:rFonts w:ascii="仿宋_GB2312" w:hAnsi="楷体" w:eastAsia="仿宋_GB2312"/>
          <w:szCs w:val="24"/>
          <w:lang w:eastAsia="zh-CN"/>
        </w:rPr>
      </w:pPr>
    </w:p>
    <w:p w14:paraId="4301F8FC">
      <w:pPr>
        <w:spacing w:before="120" w:line="360" w:lineRule="auto"/>
        <w:rPr>
          <w:rFonts w:ascii="仿宋_GB2312" w:hAnsi="楷体" w:eastAsia="仿宋_GB2312"/>
          <w:sz w:val="24"/>
        </w:rPr>
      </w:pPr>
    </w:p>
    <w:p w14:paraId="4E1F7C58">
      <w:pPr>
        <w:spacing w:before="120" w:line="360" w:lineRule="auto"/>
        <w:ind w:left="960"/>
        <w:rPr>
          <w:rFonts w:ascii="仿宋_GB2312" w:hAnsi="楷体" w:eastAsia="仿宋_GB2312"/>
          <w:sz w:val="24"/>
        </w:rPr>
      </w:pPr>
      <w:r>
        <w:rPr>
          <w:rFonts w:hint="eastAsia" w:ascii="仿宋_GB2312" w:hAnsi="楷体" w:eastAsia="仿宋_GB2312"/>
          <w:sz w:val="24"/>
        </w:rPr>
        <w:t>项目名称：</w:t>
      </w:r>
      <w:r>
        <w:rPr>
          <w:rFonts w:hint="eastAsia" w:ascii="仿宋_GB2312" w:hAnsi="楷体" w:eastAsia="仿宋_GB2312"/>
          <w:sz w:val="24"/>
          <w:u w:val="single"/>
        </w:rPr>
        <w:t xml:space="preserve">  舟山市政务云统一购买服务项目（</w:t>
      </w:r>
      <w:r>
        <w:rPr>
          <w:rFonts w:hint="eastAsia" w:ascii="仿宋_GB2312" w:hAnsi="楷体" w:eastAsia="仿宋_GB2312"/>
          <w:sz w:val="24"/>
          <w:u w:val="single"/>
          <w:lang w:val="en-US" w:eastAsia="zh-CN"/>
        </w:rPr>
        <w:t>2025-2026</w:t>
      </w:r>
      <w:r>
        <w:rPr>
          <w:rFonts w:hint="eastAsia" w:ascii="仿宋_GB2312" w:hAnsi="楷体" w:eastAsia="仿宋_GB2312"/>
          <w:sz w:val="24"/>
          <w:u w:val="single"/>
        </w:rPr>
        <w:t xml:space="preserve">）                                       </w:t>
      </w:r>
    </w:p>
    <w:p w14:paraId="20634846">
      <w:pPr>
        <w:pStyle w:val="23"/>
        <w:spacing w:before="120"/>
        <w:rPr>
          <w:rFonts w:hAnsi="楷体"/>
          <w:szCs w:val="24"/>
          <w:lang w:eastAsia="zh-CN"/>
        </w:rPr>
      </w:pPr>
    </w:p>
    <w:p w14:paraId="178C7905">
      <w:pPr>
        <w:pStyle w:val="23"/>
        <w:spacing w:before="120"/>
        <w:rPr>
          <w:rFonts w:hAnsi="楷体"/>
          <w:szCs w:val="24"/>
          <w:lang w:eastAsia="zh-CN"/>
        </w:rPr>
      </w:pPr>
    </w:p>
    <w:p w14:paraId="7127B6CD">
      <w:pPr>
        <w:spacing w:line="360" w:lineRule="auto"/>
        <w:rPr>
          <w:rFonts w:ascii="仿宋_GB2312" w:eastAsia="仿宋_GB2312"/>
          <w:sz w:val="24"/>
        </w:rPr>
      </w:pPr>
    </w:p>
    <w:p w14:paraId="34D831D5">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舟山市</w:t>
      </w:r>
      <w:r>
        <w:rPr>
          <w:rFonts w:hint="eastAsia" w:ascii="仿宋_GB2312" w:hAnsi="楷体" w:eastAsia="仿宋_GB2312"/>
          <w:sz w:val="24"/>
          <w:u w:val="single"/>
          <w:lang w:val="en-US" w:eastAsia="zh-CN"/>
        </w:rPr>
        <w:t>数据服务</w:t>
      </w:r>
      <w:r>
        <w:rPr>
          <w:rFonts w:hint="eastAsia" w:ascii="仿宋_GB2312" w:hAnsi="楷体" w:eastAsia="仿宋_GB2312"/>
          <w:sz w:val="24"/>
          <w:u w:val="single"/>
        </w:rPr>
        <w:t xml:space="preserve">中心                                    </w:t>
      </w:r>
    </w:p>
    <w:p w14:paraId="40D9A292">
      <w:pPr>
        <w:spacing w:before="120" w:line="360" w:lineRule="auto"/>
        <w:rPr>
          <w:rFonts w:ascii="仿宋_GB2312" w:hAnsi="楷体" w:eastAsia="仿宋_GB2312"/>
          <w:sz w:val="24"/>
        </w:rPr>
      </w:pPr>
    </w:p>
    <w:p w14:paraId="67448068">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14:paraId="734EEC91">
      <w:pPr>
        <w:spacing w:before="120" w:line="360" w:lineRule="auto"/>
        <w:rPr>
          <w:rFonts w:ascii="仿宋_GB2312" w:hAnsi="楷体" w:eastAsia="仿宋_GB2312"/>
          <w:sz w:val="24"/>
        </w:rPr>
      </w:pPr>
    </w:p>
    <w:p w14:paraId="3BD05EFA">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14:paraId="29C1F26A">
      <w:pPr>
        <w:spacing w:before="120" w:line="360" w:lineRule="auto"/>
        <w:rPr>
          <w:rFonts w:ascii="仿宋_GB2312" w:hAnsi="楷体" w:eastAsia="仿宋_GB2312"/>
          <w:sz w:val="24"/>
        </w:rPr>
      </w:pPr>
    </w:p>
    <w:p w14:paraId="33076D4B">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14:paraId="673ED7B5">
      <w:pPr>
        <w:autoSpaceDE w:val="0"/>
        <w:autoSpaceDN w:val="0"/>
        <w:spacing w:line="360" w:lineRule="auto"/>
        <w:ind w:firstLine="640"/>
        <w:jc w:val="center"/>
        <w:rPr>
          <w:rFonts w:ascii="仿宋_GB2312" w:hAnsi="宋体" w:eastAsia="仿宋_GB2312"/>
          <w:sz w:val="24"/>
        </w:rPr>
        <w:sectPr>
          <w:headerReference r:id="rId7" w:type="default"/>
          <w:footerReference r:id="rId8" w:type="default"/>
          <w:pgSz w:w="11907" w:h="16840"/>
          <w:pgMar w:top="1474" w:right="1814" w:bottom="1474" w:left="1814" w:header="851" w:footer="851" w:gutter="0"/>
          <w:cols w:space="720" w:num="1"/>
          <w:docGrid w:linePitch="462" w:charSpace="0"/>
        </w:sectPr>
      </w:pPr>
    </w:p>
    <w:p w14:paraId="5F9BF7B8">
      <w:pPr>
        <w:keepNext w:val="0"/>
        <w:keepLines w:val="0"/>
        <w:pageBreakBefore w:val="0"/>
        <w:widowControl w:val="0"/>
        <w:tabs>
          <w:tab w:val="left" w:pos="2977"/>
        </w:tabs>
        <w:kinsoku/>
        <w:wordWrap/>
        <w:overflowPunct/>
        <w:topLinePunct w:val="0"/>
        <w:autoSpaceDE/>
        <w:autoSpaceDN/>
        <w:bidi w:val="0"/>
        <w:adjustRightInd/>
        <w:snapToGrid w:val="0"/>
        <w:spacing w:line="400" w:lineRule="exact"/>
        <w:ind w:firstLine="0" w:firstLineChars="0"/>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合同主要条款</w:t>
      </w:r>
    </w:p>
    <w:p w14:paraId="3E5A8ED5">
      <w:pPr>
        <w:spacing w:line="360" w:lineRule="auto"/>
        <w:ind w:right="6" w:firstLine="496" w:firstLineChars="200"/>
        <w:rPr>
          <w:rFonts w:ascii="仿宋_GB2312" w:hAnsi="仿宋_GB2312" w:eastAsia="仿宋_GB2312" w:cs="仿宋_GB2312"/>
          <w:spacing w:val="4"/>
          <w:sz w:val="24"/>
        </w:rPr>
      </w:pPr>
    </w:p>
    <w:p w14:paraId="08518DED">
      <w:pPr>
        <w:keepNext w:val="0"/>
        <w:keepLines w:val="0"/>
        <w:pageBreakBefore w:val="0"/>
        <w:kinsoku/>
        <w:wordWrap/>
        <w:overflowPunct/>
        <w:topLinePunct w:val="0"/>
        <w:autoSpaceDE/>
        <w:autoSpaceDN/>
        <w:bidi w:val="0"/>
        <w:adjustRightInd/>
        <w:spacing w:line="420" w:lineRule="exact"/>
        <w:ind w:right="6" w:firstLine="496" w:firstLineChars="200"/>
        <w:jc w:val="left"/>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甲方对</w:t>
      </w:r>
      <w:r>
        <w:rPr>
          <w:rFonts w:hint="eastAsia" w:ascii="仿宋_GB2312" w:hAnsi="仿宋_GB2312" w:eastAsia="仿宋_GB2312" w:cs="仿宋_GB2312"/>
          <w:spacing w:val="4"/>
          <w:sz w:val="24"/>
          <w:szCs w:val="24"/>
          <w:u w:val="single"/>
        </w:rPr>
        <w:t>舟山市政务云统一购买服务项目（</w:t>
      </w:r>
      <w:r>
        <w:rPr>
          <w:rFonts w:hint="eastAsia" w:ascii="仿宋_GB2312" w:hAnsi="仿宋_GB2312" w:eastAsia="仿宋_GB2312" w:cs="仿宋_GB2312"/>
          <w:spacing w:val="4"/>
          <w:sz w:val="24"/>
          <w:szCs w:val="24"/>
          <w:u w:val="single"/>
          <w:lang w:val="en-US" w:eastAsia="zh-CN"/>
        </w:rPr>
        <w:t>2025-2026</w:t>
      </w:r>
      <w:r>
        <w:rPr>
          <w:rFonts w:hint="eastAsia" w:ascii="仿宋_GB2312" w:hAnsi="仿宋_GB2312" w:eastAsia="仿宋_GB2312" w:cs="仿宋_GB2312"/>
          <w:spacing w:val="4"/>
          <w:sz w:val="24"/>
          <w:szCs w:val="24"/>
          <w:u w:val="single"/>
        </w:rPr>
        <w:t>）</w:t>
      </w:r>
      <w:r>
        <w:rPr>
          <w:rFonts w:hint="eastAsia" w:ascii="仿宋_GB2312" w:hAnsi="仿宋_GB2312" w:eastAsia="仿宋_GB2312" w:cs="仿宋_GB2312"/>
          <w:spacing w:val="4"/>
          <w:sz w:val="24"/>
          <w:szCs w:val="24"/>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366C8BA2">
      <w:pPr>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一、总则</w:t>
      </w:r>
    </w:p>
    <w:p w14:paraId="73F4DA40">
      <w:pPr>
        <w:keepNext w:val="0"/>
        <w:keepLines w:val="0"/>
        <w:pageBreakBefore w:val="0"/>
        <w:kinsoku/>
        <w:wordWrap/>
        <w:overflowPunct/>
        <w:topLinePunct w:val="0"/>
        <w:autoSpaceDE/>
        <w:autoSpaceDN/>
        <w:bidi w:val="0"/>
        <w:adjustRightInd/>
        <w:spacing w:line="420" w:lineRule="exact"/>
        <w:ind w:firstLine="480" w:firstLineChars="200"/>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1、“甲方”系指通过采购接受合同及服务的采购人：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2CFD968">
      <w:pPr>
        <w:keepNext w:val="0"/>
        <w:keepLines w:val="0"/>
        <w:pageBreakBefore w:val="0"/>
        <w:kinsoku/>
        <w:wordWrap/>
        <w:overflowPunct/>
        <w:topLinePunct w:val="0"/>
        <w:autoSpaceDE/>
        <w:autoSpaceDN/>
        <w:bidi w:val="0"/>
        <w:adjustRightInd/>
        <w:spacing w:line="420" w:lineRule="exact"/>
        <w:ind w:firstLine="480" w:firstLineChars="200"/>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2、“乙方”系指经评审最终确定的中标人：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189FF952">
      <w:pPr>
        <w:keepNext w:val="0"/>
        <w:keepLines w:val="0"/>
        <w:pageBreakBefore w:val="0"/>
        <w:kinsoku/>
        <w:wordWrap/>
        <w:overflowPunct/>
        <w:topLinePunct w:val="0"/>
        <w:autoSpaceDE/>
        <w:autoSpaceDN/>
        <w:bidi w:val="0"/>
        <w:adjustRightInd/>
        <w:spacing w:line="420" w:lineRule="exact"/>
        <w:ind w:firstLine="480" w:firstLineChars="200"/>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3、乙方按照本协议的规定及不定期发布的操作规则向用户 (甲方)提供系云产品及云业务服务 (以下简称“本服务”)。</w:t>
      </w:r>
    </w:p>
    <w:p w14:paraId="3AF7F3B6">
      <w:pPr>
        <w:keepNext w:val="0"/>
        <w:keepLines w:val="0"/>
        <w:pageBreakBefore w:val="0"/>
        <w:kinsoku/>
        <w:wordWrap/>
        <w:overflowPunct/>
        <w:topLinePunct w:val="0"/>
        <w:autoSpaceDE/>
        <w:autoSpaceDN/>
        <w:bidi w:val="0"/>
        <w:adjustRightInd/>
        <w:spacing w:line="420" w:lineRule="exact"/>
        <w:ind w:firstLine="480" w:firstLineChars="200"/>
        <w:jc w:val="left"/>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4、甲方在使用乙方提供的各项服务之前，应仔细阅读本服务协议，双方共同遵守本协议的各项条款。</w:t>
      </w:r>
    </w:p>
    <w:p w14:paraId="067CAB0D">
      <w:pPr>
        <w:keepNext w:val="0"/>
        <w:keepLines w:val="0"/>
        <w:pageBreakBefore w:val="0"/>
        <w:kinsoku/>
        <w:wordWrap/>
        <w:overflowPunct/>
        <w:topLinePunct w:val="0"/>
        <w:autoSpaceDE/>
        <w:autoSpaceDN/>
        <w:bidi w:val="0"/>
        <w:adjustRightInd/>
        <w:spacing w:line="420" w:lineRule="exact"/>
        <w:ind w:firstLine="422" w:firstLineChars="200"/>
        <w:jc w:val="left"/>
        <w:textAlignment w:val="baseline"/>
        <w:rPr>
          <w:rFonts w:ascii="仿宋_GB2312" w:hAnsi="仿宋_GB2312" w:eastAsia="仿宋_GB2312" w:cs="仿宋_GB2312"/>
          <w:b/>
          <w:szCs w:val="21"/>
        </w:rPr>
      </w:pPr>
      <w:r>
        <w:rPr>
          <w:rFonts w:hint="eastAsia" w:ascii="仿宋_GB2312" w:hAnsi="仿宋_GB2312" w:eastAsia="仿宋_GB2312" w:cs="仿宋_GB2312"/>
          <w:b/>
          <w:szCs w:val="21"/>
        </w:rPr>
        <w:t xml:space="preserve">二、服务内容 </w:t>
      </w:r>
    </w:p>
    <w:p w14:paraId="0A080B02">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eastAsia="zh-CN"/>
        </w:rPr>
        <w:t>1、本服务主要包括基础云服务、计算服务、云平台基础服务、</w:t>
      </w:r>
      <w:r>
        <w:rPr>
          <w:rFonts w:hint="eastAsia" w:ascii="仿宋_GB2312" w:hAnsi="仿宋_GB2312" w:eastAsia="仿宋_GB2312" w:cs="仿宋_GB2312"/>
          <w:lang w:val="en-US" w:eastAsia="zh-CN"/>
        </w:rPr>
        <w:t>智算及大模型服务、</w:t>
      </w:r>
      <w:r>
        <w:rPr>
          <w:rFonts w:hint="eastAsia" w:ascii="仿宋_GB2312" w:hAnsi="仿宋_GB2312" w:eastAsia="仿宋_GB2312" w:cs="仿宋_GB2312"/>
          <w:lang w:eastAsia="zh-CN"/>
        </w:rPr>
        <w:t>云安全服务、云主机迁移等服务内容。合同</w:t>
      </w:r>
      <w:r>
        <w:rPr>
          <w:rFonts w:hint="eastAsia" w:ascii="仿宋_GB2312" w:hAnsi="仿宋_GB2312" w:eastAsia="仿宋_GB2312" w:cs="仿宋_GB2312"/>
          <w:lang w:val="en-US" w:eastAsia="zh-CN"/>
        </w:rPr>
        <w:t>内</w:t>
      </w:r>
      <w:r>
        <w:rPr>
          <w:rFonts w:hint="eastAsia" w:ascii="仿宋_GB2312" w:hAnsi="仿宋_GB2312" w:eastAsia="仿宋_GB2312" w:cs="仿宋_GB2312"/>
          <w:lang w:eastAsia="zh-CN"/>
        </w:rPr>
        <w:t>本服务的具体内容，以使用单位申请，并经甲方确认由乙方实际向其提供的服务为准。</w:t>
      </w:r>
    </w:p>
    <w:p w14:paraId="14BC0D5C">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、乙方派驻不少于</w:t>
      </w:r>
      <w:r>
        <w:rPr>
          <w:rFonts w:hint="eastAsia" w:cs="仿宋_GB2312"/>
          <w:lang w:val="en-US" w:eastAsia="zh-CN"/>
        </w:rPr>
        <w:t xml:space="preserve">  </w:t>
      </w:r>
      <w:r>
        <w:rPr>
          <w:rFonts w:hint="eastAsia" w:ascii="仿宋_GB2312" w:hAnsi="仿宋_GB2312" w:eastAsia="仿宋_GB2312" w:cs="仿宋_GB2312"/>
          <w:lang w:eastAsia="zh-CN"/>
        </w:rPr>
        <w:t>人专职负责政务云工作，负责协调处理市本级相关业务；通过浙政钉、微信、现场等多种方式为甲方及相关使用单位提供7天*8小时的服务支持；乙方通过服务电话的方式为甲方及相关使用单位提供7天*24小时技术</w:t>
      </w:r>
      <w:r>
        <w:rPr>
          <w:rFonts w:hint="eastAsia" w:ascii="仿宋_GB2312" w:hAnsi="仿宋_GB2312" w:eastAsia="仿宋_GB2312" w:cs="仿宋_GB2312"/>
          <w:lang w:val="en-US" w:eastAsia="zh-CN"/>
        </w:rPr>
        <w:t>支撑</w:t>
      </w:r>
      <w:r>
        <w:rPr>
          <w:rFonts w:hint="eastAsia" w:ascii="仿宋_GB2312" w:hAnsi="仿宋_GB2312" w:eastAsia="仿宋_GB2312" w:cs="仿宋_GB2312"/>
          <w:lang w:eastAsia="zh-CN"/>
        </w:rPr>
        <w:t>服务。（服务人员资质符合甲方要求，乙方更换人员的必须经甲方同意，且不得因更换人员延误项目期限）</w:t>
      </w:r>
    </w:p>
    <w:p w14:paraId="58B152FC">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乙方定期（按月）向甲方提供云服务使用量报表、使用率和政务云平台运维日志（包含各类云服务总体的运维工作日志，云平台、云安全服务的管理、升级与配置记录，做好与IRS系统对接和信息交互以及甲方认为需要掌握的其他信息）。</w:t>
      </w:r>
    </w:p>
    <w:p w14:paraId="2019AA7F">
      <w:pPr>
        <w:keepNext w:val="0"/>
        <w:keepLines w:val="0"/>
        <w:pageBreakBefore w:val="0"/>
        <w:kinsoku/>
        <w:wordWrap/>
        <w:overflowPunct/>
        <w:topLinePunct w:val="0"/>
        <w:autoSpaceDE/>
        <w:autoSpaceDN/>
        <w:bidi w:val="0"/>
        <w:adjustRightInd/>
        <w:spacing w:line="420" w:lineRule="exact"/>
        <w:ind w:firstLine="482" w:firstLineChars="200"/>
        <w:jc w:val="left"/>
        <w:rPr>
          <w:rFonts w:hint="eastAsia" w:ascii="仿宋_GB2312" w:hAnsi="仿宋_GB2312" w:eastAsia="仿宋_GB2312" w:cs="仿宋_GB2312"/>
          <w:b/>
          <w:bCs/>
          <w:kern w:val="0"/>
          <w:sz w:val="24"/>
          <w:szCs w:val="24"/>
          <w:lang w:val="en-US" w:eastAsia="zh-CN" w:bidi="en-US"/>
        </w:rPr>
      </w:pPr>
      <w:r>
        <w:rPr>
          <w:rFonts w:hint="eastAsia" w:ascii="仿宋_GB2312" w:hAnsi="仿宋_GB2312" w:eastAsia="仿宋_GB2312" w:cs="仿宋_GB2312"/>
          <w:b/>
          <w:bCs/>
          <w:kern w:val="0"/>
          <w:sz w:val="24"/>
          <w:szCs w:val="24"/>
          <w:lang w:val="en-US" w:eastAsia="zh-CN" w:bidi="en-US"/>
        </w:rPr>
        <w:t>三、技术要求</w:t>
      </w:r>
    </w:p>
    <w:p w14:paraId="0A338798">
      <w:pPr>
        <w:keepNext w:val="0"/>
        <w:keepLines w:val="0"/>
        <w:pageBreakBefore w:val="0"/>
        <w:kinsoku/>
        <w:wordWrap/>
        <w:overflowPunct/>
        <w:topLinePunct w:val="0"/>
        <w:autoSpaceDE/>
        <w:autoSpaceDN/>
        <w:bidi w:val="0"/>
        <w:adjustRightInd/>
        <w:spacing w:line="420" w:lineRule="exact"/>
        <w:ind w:firstLine="480" w:firstLineChars="200"/>
        <w:jc w:val="left"/>
        <w:rPr>
          <w:rFonts w:hint="eastAsia" w:ascii="仿宋_GB2312" w:hAnsi="仿宋_GB2312" w:eastAsia="仿宋_GB2312" w:cs="仿宋_GB2312"/>
          <w:kern w:val="0"/>
          <w:sz w:val="24"/>
          <w:szCs w:val="24"/>
          <w:lang w:val="en-US" w:eastAsia="zh-CN" w:bidi="en-US"/>
        </w:rPr>
      </w:pPr>
      <w:r>
        <w:rPr>
          <w:rFonts w:hint="eastAsia" w:ascii="仿宋_GB2312" w:hAnsi="仿宋_GB2312" w:eastAsia="仿宋_GB2312" w:cs="仿宋_GB2312"/>
          <w:kern w:val="0"/>
          <w:sz w:val="24"/>
          <w:szCs w:val="24"/>
          <w:lang w:val="en-US" w:eastAsia="zh-CN" w:bidi="en-US"/>
        </w:rPr>
        <w:t>本服务的技术要求同招标文件项目招标需求相同。</w:t>
      </w:r>
    </w:p>
    <w:p w14:paraId="4314C20B">
      <w:pPr>
        <w:pStyle w:val="14"/>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b/>
          <w:bCs/>
          <w:lang w:eastAsia="zh-CN"/>
        </w:rPr>
      </w:pPr>
      <w:r>
        <w:rPr>
          <w:rFonts w:hint="eastAsia" w:ascii="仿宋_GB2312" w:hAnsi="仿宋_GB2312" w:eastAsia="仿宋_GB2312" w:cs="仿宋_GB2312"/>
          <w:b/>
          <w:bCs/>
          <w:lang w:eastAsia="zh-CN"/>
        </w:rPr>
        <w:t>四、合同金额</w:t>
      </w:r>
    </w:p>
    <w:p w14:paraId="148C782D">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eastAsia="zh-CN"/>
        </w:rPr>
        <w:t>该项目采购最高合同总价为：</w:t>
      </w:r>
      <w:r>
        <w:rPr>
          <w:rFonts w:hint="eastAsia" w:cs="仿宋_GB2312"/>
          <w:lang w:val="en-US" w:eastAsia="zh-CN"/>
        </w:rPr>
        <w:t xml:space="preserve">     </w:t>
      </w:r>
      <w:r>
        <w:rPr>
          <w:rFonts w:hint="eastAsia" w:ascii="仿宋_GB2312" w:hAnsi="仿宋_GB2312" w:eastAsia="仿宋_GB2312" w:cs="仿宋_GB2312"/>
          <w:lang w:eastAsia="zh-CN"/>
        </w:rPr>
        <w:t>元，采购清单中云资源价格折扣率为：      。</w:t>
      </w:r>
    </w:p>
    <w:p w14:paraId="2A6EE4B6">
      <w:pPr>
        <w:pStyle w:val="14"/>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b/>
          <w:bCs/>
          <w:lang w:eastAsia="zh-CN"/>
        </w:rPr>
      </w:pPr>
      <w:r>
        <w:rPr>
          <w:rFonts w:hint="eastAsia" w:ascii="仿宋_GB2312" w:hAnsi="仿宋_GB2312" w:eastAsia="仿宋_GB2312" w:cs="仿宋_GB2312"/>
          <w:b/>
          <w:bCs/>
          <w:lang w:eastAsia="zh-CN"/>
        </w:rPr>
        <w:t>五、服务期限及费用支付</w:t>
      </w:r>
    </w:p>
    <w:p w14:paraId="1718BD4E">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1、服务期自202</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年</w:t>
      </w:r>
      <w:r>
        <w:rPr>
          <w:rFonts w:hint="eastAsia" w:ascii="仿宋_GB2312" w:hAnsi="仿宋_GB2312" w:eastAsia="仿宋_GB2312" w:cs="仿宋_GB2312"/>
          <w:lang w:val="en-US" w:eastAsia="zh-CN"/>
        </w:rPr>
        <w:t>7</w:t>
      </w:r>
      <w:r>
        <w:rPr>
          <w:rFonts w:hint="eastAsia" w:ascii="仿宋_GB2312" w:hAnsi="仿宋_GB2312" w:eastAsia="仿宋_GB2312" w:cs="仿宋_GB2312"/>
          <w:lang w:eastAsia="zh-CN"/>
        </w:rPr>
        <w:t>月1日-202</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年6月30日。</w:t>
      </w:r>
    </w:p>
    <w:p w14:paraId="0BD58499">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eastAsia="zh-CN"/>
        </w:rPr>
        <w:t>2、甲方使用本服务，应当按照实际使用的服务项目（产品类型）、数量和约定的单价计算服务费。乙方提供的详细云服务内容和价格（附件）。</w:t>
      </w:r>
    </w:p>
    <w:p w14:paraId="2BE18385">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eastAsia="zh-CN"/>
        </w:rPr>
        <w:t>3、付款方式：在202</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年8月30日之前支付首付款</w:t>
      </w:r>
      <w:r>
        <w:rPr>
          <w:rFonts w:hint="eastAsia" w:cs="仿宋_GB2312"/>
          <w:lang w:val="en-US" w:eastAsia="zh-CN"/>
        </w:rPr>
        <w:t xml:space="preserve">  </w:t>
      </w:r>
      <w:r>
        <w:rPr>
          <w:rFonts w:hint="eastAsia" w:ascii="仿宋_GB2312" w:hAnsi="仿宋_GB2312" w:eastAsia="仿宋_GB2312" w:cs="仿宋_GB2312"/>
          <w:lang w:eastAsia="zh-CN"/>
        </w:rPr>
        <w:t>万元人民币。服务期满后根据项目结算结果支付尾款。如中标人为中小企业，将根据浙财采监〔2022〕3号《浙江省财政厅关于进一步发挥政府采购政策功能全力推动经济稳进提质的通知》的要求，将在合同签订后7个工作日内预付</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0%的款项于中标人。</w:t>
      </w:r>
    </w:p>
    <w:p w14:paraId="485F719D">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eastAsia="zh-CN"/>
        </w:rPr>
        <w:t>4、履约保证金：无</w:t>
      </w:r>
    </w:p>
    <w:p w14:paraId="69047020">
      <w:pPr>
        <w:pStyle w:val="14"/>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b/>
          <w:bCs/>
          <w:lang w:eastAsia="zh-CN"/>
        </w:rPr>
      </w:pPr>
      <w:r>
        <w:rPr>
          <w:rFonts w:hint="eastAsia" w:ascii="仿宋_GB2312" w:hAnsi="仿宋_GB2312" w:eastAsia="仿宋_GB2312" w:cs="仿宋_GB2312"/>
          <w:b/>
          <w:bCs/>
          <w:lang w:eastAsia="zh-CN"/>
        </w:rPr>
        <w:t>六、税费</w:t>
      </w:r>
    </w:p>
    <w:p w14:paraId="572A4DF4">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eastAsia="zh-CN"/>
        </w:rPr>
        <w:t>1、本合同一切税费均由乙方承担。</w:t>
      </w:r>
    </w:p>
    <w:p w14:paraId="50112E87">
      <w:pPr>
        <w:pStyle w:val="14"/>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b/>
          <w:bCs/>
          <w:lang w:eastAsia="zh-CN"/>
        </w:rPr>
      </w:pPr>
      <w:r>
        <w:rPr>
          <w:rFonts w:hint="eastAsia" w:ascii="仿宋_GB2312" w:hAnsi="仿宋_GB2312" w:eastAsia="仿宋_GB2312" w:cs="仿宋_GB2312"/>
          <w:b/>
          <w:bCs/>
          <w:lang w:eastAsia="zh-CN"/>
        </w:rPr>
        <w:t>七、网络和数据安全保密</w:t>
      </w:r>
    </w:p>
    <w:p w14:paraId="1E024AFA">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szCs w:val="21"/>
          <w:lang w:eastAsia="zh-CN"/>
        </w:rPr>
        <w:t>1、乙方需在提供服务期间确保网络安全。</w:t>
      </w:r>
    </w:p>
    <w:p w14:paraId="55DDFACA">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eastAsia="zh-CN"/>
        </w:rPr>
        <w:t>2、保密信息：乙方在本项目实施、运维中以任何方式和渠道所接触到的相关数据和资料，包括但不限于：文件、数据、源代码、图表、技术文档、管理办法、指标体系、数据采集目录、预警规则、运维记录。</w:t>
      </w:r>
    </w:p>
    <w:p w14:paraId="4218D62B">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eastAsia="zh-CN"/>
        </w:rPr>
        <w:t>3、乙方</w:t>
      </w:r>
      <w:r>
        <w:rPr>
          <w:rFonts w:hint="eastAsia" w:ascii="仿宋_GB2312" w:hAnsi="仿宋_GB2312" w:eastAsia="仿宋_GB2312" w:cs="仿宋_GB2312"/>
          <w:lang w:val="en-US" w:eastAsia="zh-CN"/>
        </w:rPr>
        <w:t>不得</w:t>
      </w:r>
      <w:r>
        <w:rPr>
          <w:rFonts w:hint="eastAsia" w:ascii="仿宋_GB2312" w:hAnsi="仿宋_GB2312" w:eastAsia="仿宋_GB2312" w:cs="仿宋_GB2312"/>
          <w:lang w:eastAsia="zh-CN"/>
        </w:rPr>
        <w:t>直接、间接、书面或口头等形式向任何第三方提供涉及保密信息的</w:t>
      </w:r>
      <w:r>
        <w:rPr>
          <w:rFonts w:hint="eastAsia" w:ascii="仿宋_GB2312" w:hAnsi="仿宋_GB2312" w:eastAsia="仿宋_GB2312" w:cs="仿宋_GB2312"/>
          <w:lang w:val="en-US" w:eastAsia="zh-CN"/>
        </w:rPr>
        <w:t>内容。</w:t>
      </w:r>
    </w:p>
    <w:p w14:paraId="06713DFF">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lang w:eastAsia="zh-CN"/>
        </w:rPr>
      </w:pPr>
      <w:r>
        <w:rPr>
          <w:rFonts w:hint="eastAsia" w:ascii="仿宋_GB2312" w:hAnsi="仿宋_GB2312" w:eastAsia="仿宋_GB2312" w:cs="仿宋_GB2312"/>
          <w:lang w:eastAsia="zh-CN"/>
        </w:rPr>
        <w:t>4、 乙方应严格保守甲方的</w:t>
      </w:r>
      <w:r>
        <w:rPr>
          <w:rFonts w:hint="eastAsia" w:ascii="仿宋_GB2312" w:hAnsi="仿宋_GB2312" w:eastAsia="仿宋_GB2312" w:cs="仿宋_GB2312"/>
          <w:lang w:val="en-US" w:eastAsia="zh-CN"/>
        </w:rPr>
        <w:t>相关</w:t>
      </w:r>
      <w:r>
        <w:rPr>
          <w:rFonts w:hint="eastAsia" w:ascii="仿宋_GB2312" w:hAnsi="仿宋_GB2312" w:eastAsia="仿宋_GB2312" w:cs="仿宋_GB2312"/>
          <w:lang w:eastAsia="zh-CN"/>
        </w:rPr>
        <w:t>信息，承担对有关人员进行保密教育、管理的责任，严格控制知悉保密信息的人员范围，不得以任何手段、形式利用该数据资料谋取私利，损害甲方利益。</w:t>
      </w:r>
    </w:p>
    <w:p w14:paraId="53081215">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Cs w:val="21"/>
          <w:lang w:eastAsia="zh-CN"/>
        </w:rPr>
      </w:pPr>
      <w:r>
        <w:rPr>
          <w:rFonts w:hint="eastAsia" w:ascii="仿宋_GB2312" w:hAnsi="仿宋_GB2312" w:eastAsia="仿宋_GB2312" w:cs="仿宋_GB2312"/>
          <w:lang w:eastAsia="zh-CN"/>
        </w:rPr>
        <w:t>5、乙方不得以任何名义、形式向不承担保密义务的乙方人员或任何第三方泄密、展示甲方的保密信息，不得许可任何第三方使用甲方的保密信息，也不得在本项目之外使用甲方的保密信息，乙方不得对甲方数据、信息进行截留、复制、传播，不得擅自使用侵犯他人的合法权益的</w:t>
      </w:r>
      <w:r>
        <w:rPr>
          <w:rFonts w:hint="eastAsia" w:ascii="仿宋_GB2312" w:hAnsi="仿宋_GB2312" w:eastAsia="仿宋_GB2312" w:cs="仿宋_GB2312"/>
          <w:szCs w:val="21"/>
          <w:lang w:eastAsia="zh-CN"/>
        </w:rPr>
        <w:t>保密信息或其他智力成果。</w:t>
      </w:r>
    </w:p>
    <w:p w14:paraId="52525099">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6、乙方的保密义务不因甲乙双方合作的终止而免除，乙方应履行保密义务直到甲方的保密信息已合法成为公开的信息为止。</w:t>
      </w:r>
    </w:p>
    <w:p w14:paraId="0EC52964">
      <w:pPr>
        <w:pStyle w:val="14"/>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b/>
          <w:bCs/>
          <w:lang w:eastAsia="zh-CN"/>
        </w:rPr>
      </w:pPr>
      <w:r>
        <w:rPr>
          <w:rFonts w:hint="eastAsia" w:ascii="仿宋_GB2312" w:hAnsi="仿宋_GB2312" w:eastAsia="仿宋_GB2312" w:cs="仿宋_GB2312"/>
          <w:b/>
          <w:bCs/>
          <w:lang w:eastAsia="zh-CN"/>
        </w:rPr>
        <w:t>八、知识产权</w:t>
      </w:r>
    </w:p>
    <w:p w14:paraId="2D77F598">
      <w:pPr>
        <w:keepNext w:val="0"/>
        <w:keepLines w:val="0"/>
        <w:pageBreakBefore w:val="0"/>
        <w:kinsoku/>
        <w:wordWrap/>
        <w:overflowPunct/>
        <w:topLinePunct w:val="0"/>
        <w:autoSpaceDE/>
        <w:autoSpaceDN/>
        <w:bidi w:val="0"/>
        <w:adjustRightInd/>
        <w:spacing w:line="42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 w:val="24"/>
          <w:szCs w:val="21"/>
          <w:lang w:val="en-US" w:eastAsia="zh-CN" w:bidi="en-US"/>
        </w:rPr>
        <w:t>乙方保证所提供的云服务涉及的软件产品均为正版或合法授权且不侵犯任何第三方的知识产权。</w:t>
      </w:r>
    </w:p>
    <w:p w14:paraId="0D5626FB">
      <w:pPr>
        <w:pStyle w:val="14"/>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  2、如本合同项下服务、软件或其任何部分被依法认定为侵犯第三人的合法权益，乙方负责消除影响和承担由此产生的责任，如无法取得相关授权的，在得到甲方认可后，用相同功能且非侵权的服务、软件进行替换，以使甲方能够继续享有本合同所规定的各项权利。</w:t>
      </w:r>
    </w:p>
    <w:p w14:paraId="448A3AD0">
      <w:pPr>
        <w:keepNext w:val="0"/>
        <w:keepLines w:val="0"/>
        <w:pageBreakBefore w:val="0"/>
        <w:tabs>
          <w:tab w:val="left" w:pos="207"/>
        </w:tabs>
        <w:kinsoku/>
        <w:wordWrap/>
        <w:overflowPunct/>
        <w:topLinePunct w:val="0"/>
        <w:autoSpaceDE/>
        <w:autoSpaceDN/>
        <w:bidi w:val="0"/>
        <w:adjustRightInd/>
        <w:spacing w:line="420" w:lineRule="exact"/>
        <w:ind w:firstLine="480" w:firstLineChars="200"/>
        <w:jc w:val="left"/>
        <w:rPr>
          <w:rFonts w:hint="eastAsia" w:ascii="仿宋_GB2312" w:hAnsi="仿宋_GB2312" w:eastAsia="仿宋_GB2312" w:cs="仿宋_GB2312"/>
          <w:color w:val="000000" w:themeColor="text1"/>
          <w:kern w:val="0"/>
          <w:sz w:val="24"/>
          <w:szCs w:val="21"/>
          <w:lang w:val="en-US" w:eastAsia="zh-CN" w:bidi="en-US"/>
          <w14:textFill>
            <w14:solidFill>
              <w14:schemeClr w14:val="tx1"/>
            </w14:solidFill>
          </w14:textFill>
        </w:rPr>
      </w:pPr>
      <w:r>
        <w:rPr>
          <w:rFonts w:hint="eastAsia" w:ascii="仿宋_GB2312" w:hAnsi="仿宋_GB2312" w:eastAsia="仿宋_GB2312" w:cs="仿宋_GB2312"/>
          <w:color w:val="000000" w:themeColor="text1"/>
          <w:kern w:val="0"/>
          <w:sz w:val="24"/>
          <w:szCs w:val="21"/>
          <w:lang w:val="en-US" w:eastAsia="zh-CN" w:bidi="en-US"/>
          <w14:textFill>
            <w14:solidFill>
              <w14:schemeClr w14:val="tx1"/>
            </w14:solidFill>
          </w14:textFill>
        </w:rPr>
        <w:t>3、由使用单位安装并使用的软件，其软件版权、许可、使用权由使用单位自行解决。</w:t>
      </w:r>
    </w:p>
    <w:p w14:paraId="25C950FD">
      <w:pPr>
        <w:pStyle w:val="14"/>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b/>
          <w:bCs/>
          <w:lang w:eastAsia="zh-CN"/>
        </w:rPr>
      </w:pPr>
      <w:r>
        <w:rPr>
          <w:rFonts w:hint="eastAsia" w:ascii="仿宋_GB2312" w:hAnsi="仿宋_GB2312" w:eastAsia="仿宋_GB2312" w:cs="仿宋_GB2312"/>
          <w:b/>
          <w:bCs/>
          <w:lang w:eastAsia="zh-CN"/>
        </w:rPr>
        <w:t>九、甲、乙双方的权利和义务</w:t>
      </w:r>
    </w:p>
    <w:p w14:paraId="3EDEADA8">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甲方使用本协议项下云业务服务的，必须遵守《中华人民共和国电信条例》、《中华人民共和国计算机信息网络国际联网管理暂行规定》和其他有关法律、法规的相关规定，不得存在任何违法违规行为，不得侵犯乙方以及任何第三方的合法权益。</w:t>
      </w:r>
    </w:p>
    <w:p w14:paraId="73FF2AB0">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、对于甲方使用政务云业务服务过程中所涉自身信息和资料、数据（包括但不限于商业机密等）、最终用户及其他相关主体的信息和资料、数据等，甲方负责保密，并自行承担因其过错产生的后果和责任。</w:t>
      </w:r>
    </w:p>
    <w:p w14:paraId="56564E58">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、乙方负责按照本协议约定的条件提供政务云业务服务及相关的支撑服务。</w:t>
      </w:r>
    </w:p>
    <w:p w14:paraId="672FABA4">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、乙方将消除甲方非人为操作所出现的云计算资源、云存储资源、互联网接入故障，但因甲方原因和/或不可抗力以及非乙方控制范围之内的事项除外。</w:t>
      </w:r>
    </w:p>
    <w:p w14:paraId="1C3B4FDE">
      <w:pPr>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十、争议的解决：</w:t>
      </w:r>
    </w:p>
    <w:p w14:paraId="70EF20F4">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1、甲乙双方应通过友好协商，解决在执行本合同中所发生的或与本合同有关的一切争端，如果协商得不到解决，任何一方均可按《中华人民共和国民法典》规定提交诉讼，诉讼应在甲方所在地进行。</w:t>
      </w:r>
    </w:p>
    <w:p w14:paraId="22C6216A">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2、诉讼费应由败诉方负担。</w:t>
      </w:r>
    </w:p>
    <w:p w14:paraId="39D93E03">
      <w:pPr>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十一、合同修改</w:t>
      </w:r>
    </w:p>
    <w:p w14:paraId="58D46534">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合同条款的任何改动，均须由合同签署双方签署合同修改书或合同补充协议。该合同修改或补充被视为本合同的组成部分，具有与本合同同等法律效力。</w:t>
      </w:r>
    </w:p>
    <w:p w14:paraId="7FBF594D">
      <w:pPr>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十二 、不可抗力的处理</w:t>
      </w:r>
    </w:p>
    <w:p w14:paraId="41EEDF99">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1、在合同有效期内，任何一方因不可抗力事件导致不能履行合同，则合同履行期可延长，其延长期与不可抗力影响期相同。</w:t>
      </w:r>
    </w:p>
    <w:p w14:paraId="6A4F147E">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2、不可抗力的事故发生后尽快通知另一方，将有关部门出具的证明文件用挂号信邮寄或派人送达另一方。</w:t>
      </w:r>
    </w:p>
    <w:p w14:paraId="0E56617C">
      <w:pPr>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十三、适用法律</w:t>
      </w:r>
    </w:p>
    <w:p w14:paraId="6BB21F07">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甲乙双方所订立的合同应按照中华人民共和国的法律进行解释。</w:t>
      </w:r>
    </w:p>
    <w:p w14:paraId="1C991E02">
      <w:pPr>
        <w:keepNext w:val="0"/>
        <w:keepLines w:val="0"/>
        <w:pageBreakBefore w:val="0"/>
        <w:kinsoku/>
        <w:wordWrap/>
        <w:overflowPunct/>
        <w:topLinePunct w:val="0"/>
        <w:autoSpaceDE/>
        <w:autoSpaceDN/>
        <w:bidi w:val="0"/>
        <w:adjustRightInd/>
        <w:spacing w:line="420" w:lineRule="exact"/>
        <w:ind w:firstLine="482" w:firstLineChars="200"/>
        <w:jc w:val="left"/>
        <w:rPr>
          <w:rFonts w:ascii="仿宋_GB2312" w:hAnsi="仿宋_GB2312" w:eastAsia="仿宋_GB2312" w:cs="仿宋_GB2312"/>
          <w:sz w:val="24"/>
          <w:szCs w:val="24"/>
        </w:rPr>
      </w:pPr>
      <w:r>
        <w:rPr>
          <w:rFonts w:hint="eastAsia" w:ascii="仿宋_GB2312" w:hAnsi="仿宋_GB2312" w:eastAsia="仿宋_GB2312" w:cs="仿宋_GB2312"/>
          <w:b/>
          <w:sz w:val="24"/>
          <w:szCs w:val="24"/>
        </w:rPr>
        <w:t>十四、合同生效及其它</w:t>
      </w:r>
    </w:p>
    <w:p w14:paraId="6CA12C68">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1、合同经双方法定代表人或授权委托代理人签字并加盖单位公章后生效。</w:t>
      </w:r>
    </w:p>
    <w:p w14:paraId="48537384">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2、合同执行中涉及采购资金和采购内容修改或补充的，须经财政部门审批，并签书面补充协议报舟山市政府采购监督管理部门备案，方可作为主合同不可分割的一部分。</w:t>
      </w:r>
    </w:p>
    <w:p w14:paraId="5D480FC9">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3、本合同未尽事宜，遵照《中华人民共和国民法典》有关条文执行。</w:t>
      </w:r>
    </w:p>
    <w:p w14:paraId="130D9E99">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4、本合同正本一式</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份，具有同等法律效力，甲乙双方各执两份。</w:t>
      </w:r>
    </w:p>
    <w:p w14:paraId="5F3282D2">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p>
    <w:p w14:paraId="18DFEE80">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                              乙方：（盖章） </w:t>
      </w:r>
    </w:p>
    <w:p w14:paraId="5040D6A2">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地址：舟山市地址： 舟山市</w:t>
      </w:r>
    </w:p>
    <w:p w14:paraId="419C805E">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法定代表人或授权签字代表：                 法定代表人或授权签字代表：</w:t>
      </w:r>
    </w:p>
    <w:p w14:paraId="605530F9">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                    签订日期：   年  月  日</w:t>
      </w:r>
    </w:p>
    <w:p w14:paraId="31DCEA75">
      <w:pPr>
        <w:keepNext w:val="0"/>
        <w:keepLines w:val="0"/>
        <w:pageBreakBefore w:val="0"/>
        <w:tabs>
          <w:tab w:val="left" w:pos="2472"/>
        </w:tabs>
        <w:kinsoku/>
        <w:wordWrap/>
        <w:overflowPunct/>
        <w:topLinePunct w:val="0"/>
        <w:autoSpaceDE/>
        <w:autoSpaceDN/>
        <w:bidi w:val="0"/>
        <w:adjustRightInd/>
        <w:snapToGrid w:val="0"/>
        <w:spacing w:before="120" w:after="120" w:line="420" w:lineRule="exact"/>
        <w:ind w:firstLine="482" w:firstLineChars="200"/>
        <w:jc w:val="left"/>
        <w:rPr>
          <w:rFonts w:ascii="仿宋_GB2312" w:hAnsi="仿宋_GB2312" w:eastAsia="仿宋_GB2312" w:cs="仿宋_GB2312"/>
          <w:b/>
          <w:sz w:val="24"/>
          <w:szCs w:val="24"/>
        </w:rPr>
      </w:pPr>
    </w:p>
    <w:p w14:paraId="1798BDD6">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甲方收款银行：                             乙方收款银行：</w:t>
      </w:r>
    </w:p>
    <w:p w14:paraId="1719A860">
      <w:pPr>
        <w:keepNext w:val="0"/>
        <w:keepLines w:val="0"/>
        <w:pageBreakBefore w:val="0"/>
        <w:kinsoku/>
        <w:wordWrap/>
        <w:overflowPunct/>
        <w:topLinePunct w:val="0"/>
        <w:autoSpaceDE/>
        <w:autoSpaceDN/>
        <w:bidi w:val="0"/>
        <w:adjustRightInd/>
        <w:spacing w:line="42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甲方收款开户账号：                         乙方收款开户账号：</w:t>
      </w:r>
    </w:p>
    <w:p w14:paraId="2E65487C">
      <w:pPr>
        <w:rPr>
          <w:rFonts w:ascii="仿宋_GB2312" w:eastAsia="仿宋_GB2312"/>
          <w:sz w:val="28"/>
          <w:szCs w:val="28"/>
        </w:rPr>
      </w:pPr>
      <w:r>
        <w:rPr>
          <w:rFonts w:ascii="仿宋_GB2312" w:eastAsia="仿宋_GB2312"/>
          <w:sz w:val="28"/>
          <w:szCs w:val="28"/>
        </w:rPr>
        <w:br w:type="page"/>
      </w:r>
    </w:p>
    <w:p w14:paraId="47CA4A1A">
      <w:pPr>
        <w:pStyle w:val="21"/>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合同附件1</w:t>
      </w:r>
    </w:p>
    <w:p w14:paraId="201F5BCD">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舟山市</w:t>
      </w:r>
      <w:r>
        <w:rPr>
          <w:rFonts w:hint="eastAsia" w:ascii="仿宋_GB2312" w:hAnsi="仿宋_GB2312" w:eastAsia="仿宋_GB2312" w:cs="仿宋_GB2312"/>
          <w:b/>
          <w:bCs/>
          <w:sz w:val="24"/>
          <w:szCs w:val="24"/>
          <w:lang w:val="en-US" w:eastAsia="zh-CN"/>
        </w:rPr>
        <w:t>数据</w:t>
      </w:r>
      <w:r>
        <w:rPr>
          <w:rFonts w:hint="eastAsia" w:ascii="仿宋_GB2312" w:hAnsi="仿宋_GB2312" w:eastAsia="仿宋_GB2312" w:cs="仿宋_GB2312"/>
          <w:b/>
          <w:bCs/>
          <w:sz w:val="24"/>
          <w:szCs w:val="24"/>
        </w:rPr>
        <w:t>局</w:t>
      </w:r>
    </w:p>
    <w:p w14:paraId="642A3BF8">
      <w:pPr>
        <w:jc w:val="center"/>
        <w:rPr>
          <w:rFonts w:ascii="仿宋_GB2312" w:hAnsi="仿宋_GB2312" w:eastAsia="仿宋_GB2312" w:cs="仿宋_GB2312"/>
          <w:b/>
          <w:sz w:val="24"/>
          <w:szCs w:val="24"/>
        </w:rPr>
      </w:pPr>
      <w:r>
        <w:rPr>
          <w:rFonts w:hint="eastAsia" w:ascii="仿宋_GB2312" w:hAnsi="仿宋_GB2312" w:eastAsia="仿宋_GB2312" w:cs="仿宋_GB2312"/>
          <w:b/>
          <w:bCs/>
          <w:sz w:val="24"/>
          <w:szCs w:val="24"/>
        </w:rPr>
        <w:t>第三方人员管理规定</w:t>
      </w:r>
    </w:p>
    <w:p w14:paraId="59589B03">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14:paraId="3C1848AA">
      <w:pPr>
        <w:rPr>
          <w:rFonts w:ascii="仿宋_GB2312" w:hAnsi="仿宋_GB2312" w:eastAsia="仿宋_GB2312" w:cs="仿宋_GB2312"/>
          <w:sz w:val="24"/>
          <w:szCs w:val="24"/>
        </w:rPr>
      </w:pPr>
    </w:p>
    <w:p w14:paraId="417E6630">
      <w:pPr>
        <w:pStyle w:val="11"/>
        <w:tabs>
          <w:tab w:val="left" w:pos="960"/>
          <w:tab w:val="right" w:leader="dot" w:pos="9060"/>
        </w:tabs>
        <w:rPr>
          <w:rFonts w:ascii="仿宋_GB2312" w:hAnsi="仿宋_GB2312" w:eastAsia="仿宋_GB2312" w:cs="仿宋_GB2312"/>
          <w:b w:val="0"/>
          <w:bCs w:val="0"/>
          <w:caps w:val="0"/>
          <w:sz w:val="24"/>
          <w:szCs w:val="24"/>
        </w:rPr>
      </w:pPr>
      <w:r>
        <w:rPr>
          <w:rFonts w:hint="eastAsia" w:ascii="仿宋_GB2312" w:hAnsi="仿宋_GB2312" w:eastAsia="仿宋_GB2312" w:cs="仿宋_GB2312"/>
          <w:b w:val="0"/>
          <w:bCs w:val="0"/>
          <w:caps w:val="0"/>
          <w:sz w:val="24"/>
          <w:szCs w:val="24"/>
        </w:rPr>
        <w:fldChar w:fldCharType="begin"/>
      </w:r>
      <w:r>
        <w:rPr>
          <w:rFonts w:hint="eastAsia" w:ascii="仿宋_GB2312" w:hAnsi="仿宋_GB2312" w:eastAsia="仿宋_GB2312" w:cs="仿宋_GB2312"/>
          <w:b w:val="0"/>
          <w:bCs w:val="0"/>
          <w:caps w:val="0"/>
          <w:sz w:val="24"/>
          <w:szCs w:val="24"/>
        </w:rPr>
        <w:instrText xml:space="preserve"> TOC \o "1-1" \h \z \u </w:instrText>
      </w:r>
      <w:r>
        <w:rPr>
          <w:rFonts w:hint="eastAsia" w:ascii="仿宋_GB2312" w:hAnsi="仿宋_GB2312" w:eastAsia="仿宋_GB2312" w:cs="仿宋_GB2312"/>
          <w:b w:val="0"/>
          <w:bCs w:val="0"/>
          <w:caps w:val="0"/>
          <w:sz w:val="24"/>
          <w:szCs w:val="24"/>
        </w:rPr>
        <w:fldChar w:fldCharType="separate"/>
      </w:r>
      <w:r>
        <w:rPr>
          <w:sz w:val="24"/>
          <w:szCs w:val="24"/>
        </w:rPr>
        <w:fldChar w:fldCharType="begin"/>
      </w:r>
      <w:r>
        <w:rPr>
          <w:sz w:val="24"/>
          <w:szCs w:val="24"/>
        </w:rPr>
        <w:instrText xml:space="preserve"> HYPERLINK \l "_Toc517876735" </w:instrText>
      </w:r>
      <w:r>
        <w:rPr>
          <w:sz w:val="24"/>
          <w:szCs w:val="24"/>
        </w:rPr>
        <w:fldChar w:fldCharType="separate"/>
      </w:r>
      <w:r>
        <w:rPr>
          <w:rStyle w:val="18"/>
          <w:rFonts w:hint="eastAsia" w:ascii="仿宋_GB2312" w:hAnsi="仿宋_GB2312" w:eastAsia="仿宋_GB2312" w:cs="仿宋_GB2312"/>
          <w:sz w:val="24"/>
          <w:szCs w:val="24"/>
        </w:rPr>
        <w:t>第一章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总则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_Toc517876735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66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F30E35D">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"_Toc517876736" </w:instrText>
      </w:r>
      <w:r>
        <w:rPr>
          <w:sz w:val="24"/>
          <w:szCs w:val="24"/>
        </w:rPr>
        <w:fldChar w:fldCharType="separate"/>
      </w:r>
      <w:r>
        <w:rPr>
          <w:rStyle w:val="18"/>
          <w:rFonts w:hint="eastAsia" w:ascii="仿宋_GB2312" w:hAnsi="仿宋_GB2312" w:eastAsia="仿宋_GB2312" w:cs="仿宋_GB2312"/>
          <w:sz w:val="24"/>
          <w:szCs w:val="24"/>
        </w:rPr>
        <w:t>第二章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适用范围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_Toc517876736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66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4CD1A5E">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"_Toc517876737" </w:instrText>
      </w:r>
      <w:r>
        <w:rPr>
          <w:sz w:val="24"/>
          <w:szCs w:val="24"/>
        </w:rPr>
        <w:fldChar w:fldCharType="separate"/>
      </w:r>
      <w:r>
        <w:rPr>
          <w:rStyle w:val="18"/>
          <w:rFonts w:hint="eastAsia" w:ascii="仿宋_GB2312" w:hAnsi="仿宋_GB2312" w:eastAsia="仿宋_GB2312" w:cs="仿宋_GB2312"/>
          <w:sz w:val="24"/>
          <w:szCs w:val="24"/>
        </w:rPr>
        <w:t>第三章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术语定义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_Toc517876737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66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60D9417">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"_Toc517876738" </w:instrText>
      </w:r>
      <w:r>
        <w:rPr>
          <w:sz w:val="24"/>
          <w:szCs w:val="24"/>
        </w:rPr>
        <w:fldChar w:fldCharType="separate"/>
      </w:r>
      <w:r>
        <w:rPr>
          <w:rStyle w:val="18"/>
          <w:rFonts w:hint="eastAsia" w:ascii="仿宋_GB2312" w:hAnsi="仿宋_GB2312" w:eastAsia="仿宋_GB2312" w:cs="仿宋_GB2312"/>
          <w:sz w:val="24"/>
          <w:szCs w:val="24"/>
        </w:rPr>
        <w:t>第四章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组织职责</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_Toc517876738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66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9D1B5BA">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"_Toc517876739" </w:instrText>
      </w:r>
      <w:r>
        <w:rPr>
          <w:sz w:val="24"/>
          <w:szCs w:val="24"/>
        </w:rPr>
        <w:fldChar w:fldCharType="separate"/>
      </w:r>
      <w:r>
        <w:rPr>
          <w:rStyle w:val="18"/>
          <w:rFonts w:hint="eastAsia" w:ascii="仿宋_GB2312" w:hAnsi="仿宋_GB2312" w:eastAsia="仿宋_GB2312" w:cs="仿宋_GB2312"/>
          <w:sz w:val="24"/>
          <w:szCs w:val="24"/>
        </w:rPr>
        <w:t>第五章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第三方选择要求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_Toc517876739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67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0F23330">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"_Toc517876740" </w:instrText>
      </w:r>
      <w:r>
        <w:rPr>
          <w:sz w:val="24"/>
          <w:szCs w:val="24"/>
        </w:rPr>
        <w:fldChar w:fldCharType="separate"/>
      </w:r>
      <w:r>
        <w:rPr>
          <w:rStyle w:val="18"/>
          <w:rFonts w:hint="eastAsia" w:ascii="仿宋_GB2312" w:hAnsi="仿宋_GB2312" w:eastAsia="仿宋_GB2312" w:cs="仿宋_GB2312"/>
          <w:sz w:val="24"/>
          <w:szCs w:val="24"/>
        </w:rPr>
        <w:t>第六章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第三方合同要求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_Toc517876740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68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108C8E0">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"_Toc517876741" </w:instrText>
      </w:r>
      <w:r>
        <w:rPr>
          <w:sz w:val="24"/>
          <w:szCs w:val="24"/>
        </w:rPr>
        <w:fldChar w:fldCharType="separate"/>
      </w:r>
      <w:r>
        <w:rPr>
          <w:rStyle w:val="18"/>
          <w:rFonts w:hint="eastAsia" w:ascii="仿宋_GB2312" w:hAnsi="仿宋_GB2312" w:eastAsia="仿宋_GB2312" w:cs="仿宋_GB2312"/>
          <w:sz w:val="24"/>
          <w:szCs w:val="24"/>
        </w:rPr>
        <w:t>第七章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第三方服务交付管理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_Toc517876741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69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442E98A">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"_Toc517876742" </w:instrText>
      </w:r>
      <w:r>
        <w:rPr>
          <w:sz w:val="24"/>
          <w:szCs w:val="24"/>
        </w:rPr>
        <w:fldChar w:fldCharType="separate"/>
      </w:r>
      <w:r>
        <w:rPr>
          <w:rStyle w:val="18"/>
          <w:rFonts w:hint="eastAsia" w:ascii="仿宋_GB2312" w:hAnsi="仿宋_GB2312" w:eastAsia="仿宋_GB2312" w:cs="仿宋_GB2312"/>
          <w:sz w:val="24"/>
          <w:szCs w:val="24"/>
        </w:rPr>
        <w:t>第八章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第三方信息传输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_Toc517876742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FC5B730">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"_Toc517876743" </w:instrText>
      </w:r>
      <w:r>
        <w:rPr>
          <w:sz w:val="24"/>
          <w:szCs w:val="24"/>
        </w:rPr>
        <w:fldChar w:fldCharType="separate"/>
      </w:r>
      <w:r>
        <w:rPr>
          <w:rStyle w:val="18"/>
          <w:rFonts w:hint="eastAsia" w:ascii="仿宋_GB2312" w:hAnsi="仿宋_GB2312" w:eastAsia="仿宋_GB2312" w:cs="仿宋_GB2312"/>
          <w:sz w:val="24"/>
          <w:szCs w:val="24"/>
        </w:rPr>
        <w:t>第九章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第三方变更管理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_Toc517876743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BBB46DC">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"_Toc517876744" </w:instrText>
      </w:r>
      <w:r>
        <w:rPr>
          <w:sz w:val="24"/>
          <w:szCs w:val="24"/>
        </w:rPr>
        <w:fldChar w:fldCharType="separate"/>
      </w:r>
      <w:r>
        <w:rPr>
          <w:rStyle w:val="18"/>
          <w:rFonts w:hint="eastAsia" w:ascii="仿宋_GB2312" w:hAnsi="仿宋_GB2312" w:eastAsia="仿宋_GB2312" w:cs="仿宋_GB2312"/>
          <w:sz w:val="24"/>
          <w:szCs w:val="24"/>
        </w:rPr>
        <w:t>第十章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第三方出入管理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_Toc517876744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2248DF0">
      <w:pPr>
        <w:pStyle w:val="11"/>
        <w:tabs>
          <w:tab w:val="left" w:pos="120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"_Toc517876745" </w:instrText>
      </w:r>
      <w:r>
        <w:rPr>
          <w:sz w:val="24"/>
          <w:szCs w:val="24"/>
        </w:rPr>
        <w:fldChar w:fldCharType="separate"/>
      </w:r>
      <w:r>
        <w:rPr>
          <w:rStyle w:val="18"/>
          <w:rFonts w:hint="eastAsia" w:ascii="仿宋_GB2312" w:hAnsi="仿宋_GB2312" w:eastAsia="仿宋_GB2312" w:cs="仿宋_GB2312"/>
          <w:sz w:val="24"/>
          <w:szCs w:val="24"/>
        </w:rPr>
        <w:t>第十一章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信息系统使用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_Toc517876745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36CA723">
      <w:pPr>
        <w:pStyle w:val="11"/>
        <w:tabs>
          <w:tab w:val="left" w:pos="120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"_Toc517876746" </w:instrText>
      </w:r>
      <w:r>
        <w:rPr>
          <w:sz w:val="24"/>
          <w:szCs w:val="24"/>
        </w:rPr>
        <w:fldChar w:fldCharType="separate"/>
      </w:r>
      <w:r>
        <w:rPr>
          <w:rStyle w:val="18"/>
          <w:rFonts w:hint="eastAsia" w:ascii="仿宋_GB2312" w:hAnsi="仿宋_GB2312" w:eastAsia="仿宋_GB2312" w:cs="仿宋_GB2312"/>
          <w:sz w:val="24"/>
          <w:szCs w:val="24"/>
        </w:rPr>
        <w:t>第十二章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持续改进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_Toc517876746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537878F">
      <w:pPr>
        <w:pStyle w:val="11"/>
        <w:tabs>
          <w:tab w:val="left" w:pos="120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"_Toc517876747" </w:instrText>
      </w:r>
      <w:r>
        <w:rPr>
          <w:sz w:val="24"/>
          <w:szCs w:val="24"/>
        </w:rPr>
        <w:fldChar w:fldCharType="separate"/>
      </w:r>
      <w:r>
        <w:rPr>
          <w:rStyle w:val="18"/>
          <w:rFonts w:hint="eastAsia" w:ascii="仿宋_GB2312" w:hAnsi="仿宋_GB2312" w:eastAsia="仿宋_GB2312" w:cs="仿宋_GB2312"/>
          <w:sz w:val="24"/>
          <w:szCs w:val="24"/>
        </w:rPr>
        <w:t>第十三章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附则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_Toc517876747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570ADA5">
      <w:pPr>
        <w:pStyle w:val="11"/>
        <w:tabs>
          <w:tab w:val="left" w:pos="120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"_Toc517876748" </w:instrText>
      </w:r>
      <w:r>
        <w:rPr>
          <w:sz w:val="24"/>
          <w:szCs w:val="24"/>
        </w:rPr>
        <w:fldChar w:fldCharType="separate"/>
      </w:r>
      <w:r>
        <w:rPr>
          <w:rStyle w:val="18"/>
          <w:rFonts w:hint="eastAsia" w:ascii="仿宋_GB2312" w:hAnsi="仿宋_GB2312" w:eastAsia="仿宋_GB2312" w:cs="仿宋_GB2312"/>
          <w:sz w:val="24"/>
          <w:szCs w:val="24"/>
        </w:rPr>
        <w:t>第十四章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附录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_Toc517876748 \h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DC2A244">
      <w:pPr>
        <w:pStyle w:val="11"/>
        <w:tabs>
          <w:tab w:val="left" w:pos="1050"/>
          <w:tab w:val="right" w:leader="dot" w:pos="9060"/>
        </w:tabs>
        <w:rPr>
          <w:rFonts w:ascii="仿宋_GB2312" w:hAnsi="仿宋_GB2312" w:eastAsia="仿宋_GB2312" w:cs="仿宋_GB2312"/>
          <w:sz w:val="24"/>
          <w:szCs w:val="24"/>
        </w:rPr>
      </w:pPr>
      <w:r>
        <w:rPr>
          <w:rFonts w:hint="eastAsia" w:ascii="仿宋_GB2312" w:hAnsi="仿宋_GB2312" w:eastAsia="仿宋_GB2312" w:cs="仿宋_GB2312"/>
          <w:bCs w:val="0"/>
          <w:caps w:val="0"/>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TOC \o "1-1" \h \z \u </w:instrText>
      </w:r>
      <w:r>
        <w:rPr>
          <w:rFonts w:hint="eastAsia" w:ascii="仿宋_GB2312" w:hAnsi="仿宋_GB2312" w:eastAsia="仿宋_GB2312" w:cs="仿宋_GB2312"/>
          <w:sz w:val="24"/>
          <w:szCs w:val="24"/>
        </w:rPr>
        <w:fldChar w:fldCharType="separate"/>
      </w:r>
    </w:p>
    <w:p w14:paraId="64FE14F6">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"_Toc517876662" </w:instrText>
      </w:r>
      <w:r>
        <w:rPr>
          <w:sz w:val="24"/>
          <w:szCs w:val="24"/>
        </w:rPr>
        <w:fldChar w:fldCharType="separate"/>
      </w:r>
      <w:r>
        <w:rPr>
          <w:rStyle w:val="18"/>
          <w:rFonts w:hint="eastAsia" w:ascii="仿宋_GB2312" w:hAnsi="仿宋_GB2312" w:eastAsia="仿宋_GB2312" w:cs="仿宋_GB2312"/>
          <w:sz w:val="24"/>
          <w:szCs w:val="24"/>
        </w:rPr>
        <w:t>第一章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总则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_Toc517876662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1883AD2">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"_Toc517876663" </w:instrText>
      </w:r>
      <w:r>
        <w:rPr>
          <w:sz w:val="24"/>
          <w:szCs w:val="24"/>
        </w:rPr>
        <w:fldChar w:fldCharType="separate"/>
      </w:r>
      <w:r>
        <w:rPr>
          <w:rStyle w:val="18"/>
          <w:rFonts w:hint="eastAsia" w:ascii="仿宋_GB2312" w:hAnsi="仿宋_GB2312" w:eastAsia="仿宋_GB2312" w:cs="仿宋_GB2312"/>
          <w:sz w:val="24"/>
          <w:szCs w:val="24"/>
        </w:rPr>
        <w:t>第二章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适用范围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_Toc517876663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FD2F445">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"_Toc517876664" </w:instrText>
      </w:r>
      <w:r>
        <w:rPr>
          <w:sz w:val="24"/>
          <w:szCs w:val="24"/>
        </w:rPr>
        <w:fldChar w:fldCharType="separate"/>
      </w:r>
      <w:r>
        <w:rPr>
          <w:rStyle w:val="18"/>
          <w:rFonts w:hint="eastAsia" w:ascii="仿宋_GB2312" w:hAnsi="仿宋_GB2312" w:eastAsia="仿宋_GB2312" w:cs="仿宋_GB2312"/>
          <w:sz w:val="24"/>
          <w:szCs w:val="24"/>
        </w:rPr>
        <w:t>第三章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术语定义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_Toc517876664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46EBDF1">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"_Toc517876665" </w:instrText>
      </w:r>
      <w:r>
        <w:rPr>
          <w:sz w:val="24"/>
          <w:szCs w:val="24"/>
        </w:rPr>
        <w:fldChar w:fldCharType="separate"/>
      </w:r>
      <w:r>
        <w:rPr>
          <w:rStyle w:val="18"/>
          <w:rFonts w:hint="eastAsia" w:ascii="仿宋_GB2312" w:hAnsi="仿宋_GB2312" w:eastAsia="仿宋_GB2312" w:cs="仿宋_GB2312"/>
          <w:sz w:val="24"/>
          <w:szCs w:val="24"/>
        </w:rPr>
        <w:t>第四章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组织职责</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_Toc517876665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463780B">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"_Toc517876666" </w:instrText>
      </w:r>
      <w:r>
        <w:rPr>
          <w:sz w:val="24"/>
          <w:szCs w:val="24"/>
        </w:rPr>
        <w:fldChar w:fldCharType="separate"/>
      </w:r>
      <w:r>
        <w:rPr>
          <w:rStyle w:val="18"/>
          <w:rFonts w:hint="eastAsia" w:ascii="仿宋_GB2312" w:hAnsi="仿宋_GB2312" w:eastAsia="仿宋_GB2312" w:cs="仿宋_GB2312"/>
          <w:sz w:val="24"/>
          <w:szCs w:val="24"/>
        </w:rPr>
        <w:t>第五章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第三方选择要求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_Toc517876666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416B93C">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"_Toc517876667" </w:instrText>
      </w:r>
      <w:r>
        <w:rPr>
          <w:sz w:val="24"/>
          <w:szCs w:val="24"/>
        </w:rPr>
        <w:fldChar w:fldCharType="separate"/>
      </w:r>
      <w:r>
        <w:rPr>
          <w:rStyle w:val="18"/>
          <w:rFonts w:hint="eastAsia" w:ascii="仿宋_GB2312" w:hAnsi="仿宋_GB2312" w:eastAsia="仿宋_GB2312" w:cs="仿宋_GB2312"/>
          <w:sz w:val="24"/>
          <w:szCs w:val="24"/>
        </w:rPr>
        <w:t>第六章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第三方合同要求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_Toc517876667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F28A95D">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"_Toc517876668" </w:instrText>
      </w:r>
      <w:r>
        <w:rPr>
          <w:sz w:val="24"/>
          <w:szCs w:val="24"/>
        </w:rPr>
        <w:fldChar w:fldCharType="separate"/>
      </w:r>
      <w:r>
        <w:rPr>
          <w:rStyle w:val="18"/>
          <w:rFonts w:hint="eastAsia" w:ascii="仿宋_GB2312" w:hAnsi="仿宋_GB2312" w:eastAsia="仿宋_GB2312" w:cs="仿宋_GB2312"/>
          <w:sz w:val="24"/>
          <w:szCs w:val="24"/>
        </w:rPr>
        <w:t>第七章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第三方服务交付管理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_Toc517876668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65910D8">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"_Toc517876669" </w:instrText>
      </w:r>
      <w:r>
        <w:rPr>
          <w:sz w:val="24"/>
          <w:szCs w:val="24"/>
        </w:rPr>
        <w:fldChar w:fldCharType="separate"/>
      </w:r>
      <w:r>
        <w:rPr>
          <w:rStyle w:val="18"/>
          <w:rFonts w:hint="eastAsia" w:ascii="仿宋_GB2312" w:hAnsi="仿宋_GB2312" w:eastAsia="仿宋_GB2312" w:cs="仿宋_GB2312"/>
          <w:sz w:val="24"/>
          <w:szCs w:val="24"/>
        </w:rPr>
        <w:t>第八章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第三方信息传输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_Toc517876669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5A12046">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"_Toc517876670" </w:instrText>
      </w:r>
      <w:r>
        <w:rPr>
          <w:sz w:val="24"/>
          <w:szCs w:val="24"/>
        </w:rPr>
        <w:fldChar w:fldCharType="separate"/>
      </w:r>
      <w:r>
        <w:rPr>
          <w:rStyle w:val="18"/>
          <w:rFonts w:hint="eastAsia" w:ascii="仿宋_GB2312" w:hAnsi="仿宋_GB2312" w:eastAsia="仿宋_GB2312" w:cs="仿宋_GB2312"/>
          <w:sz w:val="24"/>
          <w:szCs w:val="24"/>
        </w:rPr>
        <w:t>第九章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第三方变更管理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_Toc517876670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8FDA25C">
      <w:pPr>
        <w:pStyle w:val="11"/>
        <w:tabs>
          <w:tab w:val="left" w:pos="96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"_Toc517876671" </w:instrText>
      </w:r>
      <w:r>
        <w:rPr>
          <w:sz w:val="24"/>
          <w:szCs w:val="24"/>
        </w:rPr>
        <w:fldChar w:fldCharType="separate"/>
      </w:r>
      <w:r>
        <w:rPr>
          <w:rStyle w:val="18"/>
          <w:rFonts w:hint="eastAsia" w:ascii="仿宋_GB2312" w:hAnsi="仿宋_GB2312" w:eastAsia="仿宋_GB2312" w:cs="仿宋_GB2312"/>
          <w:sz w:val="24"/>
          <w:szCs w:val="24"/>
        </w:rPr>
        <w:t>第十章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第三方出入管理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_Toc517876671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96B2EE7">
      <w:pPr>
        <w:pStyle w:val="11"/>
        <w:tabs>
          <w:tab w:val="left" w:pos="120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"_Toc517876672" </w:instrText>
      </w:r>
      <w:r>
        <w:rPr>
          <w:sz w:val="24"/>
          <w:szCs w:val="24"/>
        </w:rPr>
        <w:fldChar w:fldCharType="separate"/>
      </w:r>
      <w:r>
        <w:rPr>
          <w:rStyle w:val="18"/>
          <w:rFonts w:hint="eastAsia" w:ascii="仿宋_GB2312" w:hAnsi="仿宋_GB2312" w:eastAsia="仿宋_GB2312" w:cs="仿宋_GB2312"/>
          <w:sz w:val="24"/>
          <w:szCs w:val="24"/>
        </w:rPr>
        <w:t>第十一章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信息系统使用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_Toc517876672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90D4B9B">
      <w:pPr>
        <w:pStyle w:val="11"/>
        <w:tabs>
          <w:tab w:val="left" w:pos="120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"_Toc517876673" </w:instrText>
      </w:r>
      <w:r>
        <w:rPr>
          <w:sz w:val="24"/>
          <w:szCs w:val="24"/>
        </w:rPr>
        <w:fldChar w:fldCharType="separate"/>
      </w:r>
      <w:r>
        <w:rPr>
          <w:rStyle w:val="18"/>
          <w:rFonts w:hint="eastAsia" w:ascii="仿宋_GB2312" w:hAnsi="仿宋_GB2312" w:eastAsia="仿宋_GB2312" w:cs="仿宋_GB2312"/>
          <w:sz w:val="24"/>
          <w:szCs w:val="24"/>
        </w:rPr>
        <w:t>第十二章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持续改进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_Toc517876673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8482F78">
      <w:pPr>
        <w:pStyle w:val="11"/>
        <w:tabs>
          <w:tab w:val="left" w:pos="120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"_Toc517876674" </w:instrText>
      </w:r>
      <w:r>
        <w:rPr>
          <w:sz w:val="24"/>
          <w:szCs w:val="24"/>
        </w:rPr>
        <w:fldChar w:fldCharType="separate"/>
      </w:r>
      <w:r>
        <w:rPr>
          <w:rStyle w:val="18"/>
          <w:rFonts w:hint="eastAsia" w:ascii="仿宋_GB2312" w:hAnsi="仿宋_GB2312" w:eastAsia="仿宋_GB2312" w:cs="仿宋_GB2312"/>
          <w:sz w:val="24"/>
          <w:szCs w:val="24"/>
        </w:rPr>
        <w:t>第十三章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附则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_Toc517876674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1BC5E75">
      <w:pPr>
        <w:pStyle w:val="11"/>
        <w:tabs>
          <w:tab w:val="left" w:pos="1200"/>
          <w:tab w:val="right" w:leader="dot" w:pos="9060"/>
        </w:tabs>
        <w:rPr>
          <w:rFonts w:ascii="仿宋_GB2312" w:hAnsi="仿宋_GB2312" w:eastAsia="仿宋_GB2312" w:cs="仿宋_GB2312"/>
          <w:b w:val="0"/>
          <w:bCs w:val="0"/>
          <w:caps w:val="0"/>
          <w:sz w:val="24"/>
          <w:szCs w:val="24"/>
        </w:rPr>
      </w:pPr>
      <w:r>
        <w:rPr>
          <w:sz w:val="24"/>
          <w:szCs w:val="24"/>
        </w:rPr>
        <w:fldChar w:fldCharType="begin"/>
      </w:r>
      <w:r>
        <w:rPr>
          <w:sz w:val="24"/>
          <w:szCs w:val="24"/>
        </w:rPr>
        <w:instrText xml:space="preserve"> HYPERLINK \l "_Toc517876675" </w:instrText>
      </w:r>
      <w:r>
        <w:rPr>
          <w:sz w:val="24"/>
          <w:szCs w:val="24"/>
        </w:rPr>
        <w:fldChar w:fldCharType="separate"/>
      </w:r>
      <w:r>
        <w:rPr>
          <w:rStyle w:val="18"/>
          <w:rFonts w:hint="eastAsia" w:ascii="仿宋_GB2312" w:hAnsi="仿宋_GB2312" w:eastAsia="仿宋_GB2312" w:cs="仿宋_GB2312"/>
          <w:sz w:val="24"/>
          <w:szCs w:val="24"/>
        </w:rPr>
        <w:t>第十四章</w:t>
      </w:r>
      <w:r>
        <w:rPr>
          <w:rFonts w:hint="eastAsia" w:ascii="仿宋_GB2312" w:hAnsi="仿宋_GB2312" w:eastAsia="仿宋_GB2312" w:cs="仿宋_GB2312"/>
          <w:b w:val="0"/>
          <w:bCs w:val="0"/>
          <w:caps w:val="0"/>
          <w:sz w:val="24"/>
          <w:szCs w:val="24"/>
        </w:rPr>
        <w:tab/>
      </w:r>
      <w:r>
        <w:rPr>
          <w:rStyle w:val="18"/>
          <w:rFonts w:hint="eastAsia" w:ascii="仿宋_GB2312" w:hAnsi="仿宋_GB2312" w:eastAsia="仿宋_GB2312" w:cs="仿宋_GB2312"/>
          <w:sz w:val="24"/>
          <w:szCs w:val="24"/>
        </w:rPr>
        <w:t>附录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_Toc517876675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A908D5B">
      <w:pPr>
        <w:rPr>
          <w:rFonts w:ascii="仿宋_GB2312" w:hAnsi="仿宋_GB2312" w:eastAsia="仿宋_GB2312" w:cs="仿宋_GB2312"/>
          <w:sz w:val="24"/>
          <w:szCs w:val="24"/>
        </w:rPr>
        <w:sectPr>
          <w:footerReference r:id="rId9" w:type="first"/>
          <w:pgSz w:w="11906" w:h="16838"/>
          <w:pgMar w:top="1418" w:right="1418" w:bottom="1247" w:left="1418" w:header="851" w:footer="567" w:gutter="0"/>
          <w:cols w:space="720" w:num="1"/>
          <w:titlePg/>
          <w:docGrid w:type="lines" w:linePitch="312" w:charSpace="0"/>
        </w:sectPr>
      </w:pPr>
      <w:r>
        <w:rPr>
          <w:rFonts w:hint="eastAsia" w:ascii="仿宋_GB2312" w:hAnsi="仿宋_GB2312" w:eastAsia="仿宋_GB2312" w:cs="仿宋_GB2312"/>
          <w:sz w:val="24"/>
          <w:szCs w:val="24"/>
        </w:rPr>
        <w:fldChar w:fldCharType="end"/>
      </w:r>
    </w:p>
    <w:p w14:paraId="52E10BEA">
      <w:pPr>
        <w:pStyle w:val="3"/>
        <w:spacing w:line="360" w:lineRule="auto"/>
        <w:jc w:val="center"/>
        <w:rPr>
          <w:rFonts w:ascii="仿宋_GB2312" w:hAnsi="仿宋_GB2312" w:eastAsia="仿宋_GB2312" w:cs="仿宋_GB2312"/>
          <w:sz w:val="24"/>
          <w:szCs w:val="24"/>
        </w:rPr>
      </w:pPr>
      <w:bookmarkStart w:id="392" w:name="_Toc257192976"/>
      <w:bookmarkStart w:id="393" w:name="_Toc517876662"/>
      <w:bookmarkStart w:id="394" w:name="_Toc517876735"/>
      <w:r>
        <w:rPr>
          <w:rFonts w:hint="eastAsia" w:ascii="仿宋_GB2312" w:hAnsi="仿宋_GB2312" w:eastAsia="仿宋_GB2312" w:cs="仿宋_GB2312"/>
          <w:sz w:val="24"/>
          <w:szCs w:val="24"/>
        </w:rPr>
        <w:t>第一章 总则</w:t>
      </w:r>
      <w:bookmarkEnd w:id="392"/>
      <w:bookmarkEnd w:id="393"/>
      <w:bookmarkEnd w:id="394"/>
    </w:p>
    <w:p w14:paraId="5B43DDBD">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第一条 </w:t>
      </w:r>
      <w:r>
        <w:rPr>
          <w:rFonts w:hint="eastAsia" w:ascii="仿宋_GB2312" w:hAnsi="仿宋_GB2312" w:eastAsia="仿宋_GB2312" w:cs="仿宋_GB2312"/>
          <w:b w:val="0"/>
          <w:sz w:val="24"/>
          <w:szCs w:val="24"/>
        </w:rPr>
        <w:t>为了加强对第三方的安全管理，明确定义第三方必须遵守的安全管理规定以及服务交付的安全要求等，特制定本文件。</w:t>
      </w:r>
    </w:p>
    <w:p w14:paraId="6109D033">
      <w:pPr>
        <w:pStyle w:val="3"/>
        <w:spacing w:line="360" w:lineRule="auto"/>
        <w:jc w:val="center"/>
        <w:rPr>
          <w:rFonts w:ascii="仿宋_GB2312" w:hAnsi="仿宋_GB2312" w:eastAsia="仿宋_GB2312" w:cs="仿宋_GB2312"/>
          <w:sz w:val="24"/>
          <w:szCs w:val="24"/>
        </w:rPr>
      </w:pPr>
      <w:bookmarkStart w:id="395" w:name="_Toc257192977"/>
      <w:bookmarkStart w:id="396" w:name="_Toc517876736"/>
      <w:bookmarkStart w:id="397" w:name="_Toc517876663"/>
      <w:r>
        <w:rPr>
          <w:rFonts w:hint="eastAsia" w:ascii="仿宋_GB2312" w:hAnsi="仿宋_GB2312" w:eastAsia="仿宋_GB2312" w:cs="仿宋_GB2312"/>
          <w:sz w:val="24"/>
          <w:szCs w:val="24"/>
        </w:rPr>
        <w:t>第二章 适用范围</w:t>
      </w:r>
      <w:bookmarkEnd w:id="395"/>
      <w:bookmarkEnd w:id="396"/>
      <w:bookmarkEnd w:id="397"/>
    </w:p>
    <w:p w14:paraId="6BE96B54">
      <w:pPr>
        <w:pStyle w:val="4"/>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sz w:val="24"/>
          <w:szCs w:val="24"/>
        </w:rPr>
      </w:pPr>
      <w:r>
        <w:rPr>
          <w:rFonts w:hint="eastAsia" w:ascii="仿宋_GB2312" w:hAnsi="仿宋_GB2312" w:eastAsia="仿宋_GB2312" w:cs="仿宋_GB2312"/>
          <w:b/>
          <w:bCs/>
          <w:sz w:val="24"/>
          <w:szCs w:val="24"/>
        </w:rPr>
        <w:t>第二条</w:t>
      </w:r>
      <w:r>
        <w:rPr>
          <w:rFonts w:hint="eastAsia" w:ascii="仿宋_GB2312" w:hAnsi="仿宋_GB2312" w:eastAsia="仿宋_GB2312" w:cs="仿宋_GB2312"/>
          <w:b w:val="0"/>
          <w:sz w:val="24"/>
          <w:szCs w:val="24"/>
        </w:rPr>
        <w:t xml:space="preserve"> 本文件适用于舟山市大数据管理局对第三方以及外包服务的安全管理。</w:t>
      </w:r>
    </w:p>
    <w:p w14:paraId="023B0CB9">
      <w:pPr>
        <w:pStyle w:val="3"/>
        <w:spacing w:line="360" w:lineRule="auto"/>
        <w:jc w:val="center"/>
        <w:rPr>
          <w:rFonts w:ascii="仿宋_GB2312" w:hAnsi="仿宋_GB2312" w:eastAsia="仿宋_GB2312" w:cs="仿宋_GB2312"/>
          <w:sz w:val="24"/>
          <w:szCs w:val="24"/>
        </w:rPr>
      </w:pPr>
      <w:bookmarkStart w:id="398" w:name="_Toc517876737"/>
      <w:bookmarkStart w:id="399" w:name="_Toc257192978"/>
      <w:bookmarkStart w:id="400" w:name="_Toc517876664"/>
      <w:r>
        <w:rPr>
          <w:rFonts w:hint="eastAsia" w:ascii="仿宋_GB2312" w:hAnsi="仿宋_GB2312" w:eastAsia="仿宋_GB2312" w:cs="仿宋_GB2312"/>
          <w:sz w:val="24"/>
          <w:szCs w:val="24"/>
        </w:rPr>
        <w:t>第三章 术语定义</w:t>
      </w:r>
      <w:bookmarkEnd w:id="398"/>
      <w:bookmarkEnd w:id="399"/>
      <w:bookmarkEnd w:id="400"/>
    </w:p>
    <w:p w14:paraId="0C8F344E">
      <w:pPr>
        <w:pStyle w:val="4"/>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sz w:val="24"/>
          <w:szCs w:val="24"/>
        </w:rPr>
      </w:pPr>
      <w:r>
        <w:rPr>
          <w:rFonts w:hint="eastAsia" w:ascii="仿宋_GB2312" w:hAnsi="仿宋_GB2312" w:eastAsia="仿宋_GB2312" w:cs="仿宋_GB2312"/>
          <w:b/>
          <w:bCs/>
          <w:sz w:val="24"/>
          <w:szCs w:val="24"/>
        </w:rPr>
        <w:t>第三条</w:t>
      </w:r>
      <w:r>
        <w:rPr>
          <w:rFonts w:hint="eastAsia" w:ascii="仿宋_GB2312" w:hAnsi="仿宋_GB2312" w:eastAsia="仿宋_GB2312" w:cs="仿宋_GB2312"/>
          <w:b w:val="0"/>
          <w:sz w:val="24"/>
          <w:szCs w:val="24"/>
        </w:rPr>
        <w:t xml:space="preserve"> 本文件中第三方是指所有进入舟山市大数据管理局内部提供相关技术服务的非舟山市大数据管理局人员（包括但不限于供应商、合作厂商、服务商）。</w:t>
      </w:r>
    </w:p>
    <w:p w14:paraId="1D3FFCC2">
      <w:pPr>
        <w:pStyle w:val="3"/>
        <w:spacing w:line="360" w:lineRule="auto"/>
        <w:jc w:val="center"/>
        <w:rPr>
          <w:rFonts w:ascii="仿宋_GB2312" w:hAnsi="仿宋_GB2312" w:eastAsia="仿宋_GB2312" w:cs="仿宋_GB2312"/>
          <w:sz w:val="24"/>
          <w:szCs w:val="24"/>
        </w:rPr>
      </w:pPr>
      <w:bookmarkStart w:id="401" w:name="_Toc257192979"/>
      <w:bookmarkStart w:id="402" w:name="_Toc517876738"/>
      <w:bookmarkStart w:id="403" w:name="_Toc517876665"/>
      <w:r>
        <w:rPr>
          <w:rFonts w:hint="eastAsia" w:ascii="仿宋_GB2312" w:hAnsi="仿宋_GB2312" w:eastAsia="仿宋_GB2312" w:cs="仿宋_GB2312"/>
          <w:sz w:val="24"/>
          <w:szCs w:val="24"/>
        </w:rPr>
        <w:t>第四章 组织职责</w:t>
      </w:r>
      <w:bookmarkEnd w:id="401"/>
      <w:bookmarkEnd w:id="402"/>
      <w:bookmarkEnd w:id="403"/>
    </w:p>
    <w:p w14:paraId="4A7B0794">
      <w:pPr>
        <w:pStyle w:val="4"/>
        <w:pageBreakBefore w:val="0"/>
        <w:kinsoku/>
        <w:wordWrap/>
        <w:overflowPunct/>
        <w:topLinePunct w:val="0"/>
        <w:autoSpaceDE/>
        <w:autoSpaceDN/>
        <w:bidi w:val="0"/>
        <w:adjustRightInd/>
        <w:snapToGrid/>
        <w:spacing w:line="42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第四条 </w:t>
      </w:r>
      <w:r>
        <w:rPr>
          <w:rFonts w:hint="eastAsia" w:ascii="仿宋_GB2312" w:hAnsi="仿宋_GB2312" w:eastAsia="仿宋_GB2312" w:cs="仿宋_GB2312"/>
          <w:b w:val="0"/>
          <w:sz w:val="24"/>
          <w:szCs w:val="24"/>
        </w:rPr>
        <w:t>第三方管理部门或人员一般为信息系统相关外包服务项目管理部门或人员，职责：</w:t>
      </w:r>
    </w:p>
    <w:p w14:paraId="6B918EB7">
      <w:pPr>
        <w:pageBreakBefore w:val="0"/>
        <w:widowControl/>
        <w:numPr>
          <w:ilvl w:val="0"/>
          <w:numId w:val="3"/>
        </w:numPr>
        <w:kinsoku/>
        <w:wordWrap/>
        <w:overflowPunct/>
        <w:topLinePunct w:val="0"/>
        <w:autoSpaceDE/>
        <w:autoSpaceDN/>
        <w:bidi w:val="0"/>
        <w:adjustRightInd/>
        <w:snapToGrid/>
        <w:spacing w:line="420" w:lineRule="exact"/>
        <w:ind w:left="1259"/>
        <w:jc w:val="left"/>
        <w:textAlignment w:val="auto"/>
        <w:outlineLvl w:val="2"/>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按照权限最小的原则，负责第三方权限的申请工作。</w:t>
      </w:r>
    </w:p>
    <w:p w14:paraId="24ACFB6D">
      <w:pPr>
        <w:pageBreakBefore w:val="0"/>
        <w:widowControl/>
        <w:numPr>
          <w:ilvl w:val="0"/>
          <w:numId w:val="3"/>
        </w:numPr>
        <w:kinsoku/>
        <w:wordWrap/>
        <w:overflowPunct/>
        <w:topLinePunct w:val="0"/>
        <w:autoSpaceDE/>
        <w:autoSpaceDN/>
        <w:bidi w:val="0"/>
        <w:adjustRightInd/>
        <w:snapToGrid/>
        <w:spacing w:line="420" w:lineRule="exact"/>
        <w:ind w:left="1259"/>
        <w:jc w:val="left"/>
        <w:textAlignment w:val="auto"/>
        <w:outlineLvl w:val="2"/>
        <w:rPr>
          <w:rFonts w:ascii="仿宋_GB2312" w:hAnsi="仿宋_GB2312" w:eastAsia="仿宋_GB2312" w:cs="仿宋_GB2312"/>
          <w:kern w:val="0"/>
          <w:sz w:val="24"/>
          <w:szCs w:val="24"/>
        </w:rPr>
      </w:pPr>
      <w:bookmarkStart w:id="404" w:name="_Toc165196025"/>
      <w:bookmarkStart w:id="405" w:name="_Toc165438945"/>
      <w:bookmarkStart w:id="406" w:name="_Toc165193889"/>
      <w:bookmarkStart w:id="407" w:name="_Toc165438872"/>
      <w:r>
        <w:rPr>
          <w:rFonts w:hint="eastAsia" w:ascii="仿宋_GB2312" w:hAnsi="仿宋_GB2312" w:eastAsia="仿宋_GB2312" w:cs="仿宋_GB2312"/>
          <w:kern w:val="0"/>
          <w:sz w:val="24"/>
          <w:szCs w:val="24"/>
        </w:rPr>
        <w:t>按照</w:t>
      </w:r>
      <w:bookmarkEnd w:id="404"/>
      <w:bookmarkEnd w:id="405"/>
      <w:bookmarkEnd w:id="406"/>
      <w:bookmarkEnd w:id="407"/>
      <w:bookmarkStart w:id="408" w:name="_Toc162846312"/>
      <w:bookmarkStart w:id="409" w:name="_Toc165438946"/>
      <w:bookmarkStart w:id="410" w:name="_Toc162846107"/>
      <w:bookmarkStart w:id="411" w:name="_Toc165196026"/>
      <w:bookmarkStart w:id="412" w:name="_Toc165438873"/>
      <w:bookmarkStart w:id="413" w:name="_Toc165193890"/>
      <w:r>
        <w:rPr>
          <w:rFonts w:hint="eastAsia" w:ascii="仿宋_GB2312" w:hAnsi="仿宋_GB2312" w:eastAsia="仿宋_GB2312" w:cs="仿宋_GB2312"/>
          <w:kern w:val="0"/>
          <w:sz w:val="24"/>
          <w:szCs w:val="24"/>
        </w:rPr>
        <w:t>单位的相关规定选择声誉良好，值得信赖的第三方服务商。</w:t>
      </w:r>
    </w:p>
    <w:bookmarkEnd w:id="408"/>
    <w:bookmarkEnd w:id="409"/>
    <w:bookmarkEnd w:id="410"/>
    <w:bookmarkEnd w:id="411"/>
    <w:bookmarkEnd w:id="412"/>
    <w:bookmarkEnd w:id="413"/>
    <w:p w14:paraId="59031E78">
      <w:pPr>
        <w:pageBreakBefore w:val="0"/>
        <w:widowControl/>
        <w:numPr>
          <w:ilvl w:val="0"/>
          <w:numId w:val="3"/>
        </w:numPr>
        <w:kinsoku/>
        <w:wordWrap/>
        <w:overflowPunct/>
        <w:topLinePunct w:val="0"/>
        <w:autoSpaceDE/>
        <w:autoSpaceDN/>
        <w:bidi w:val="0"/>
        <w:adjustRightInd/>
        <w:snapToGrid/>
        <w:spacing w:line="420" w:lineRule="exact"/>
        <w:ind w:left="1259"/>
        <w:jc w:val="left"/>
        <w:textAlignment w:val="auto"/>
        <w:outlineLvl w:val="2"/>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负责对第三方的信息安全培训以及第三方人员现场工作的管理。</w:t>
      </w:r>
    </w:p>
    <w:p w14:paraId="171BE587">
      <w:pPr>
        <w:pageBreakBefore w:val="0"/>
        <w:widowControl/>
        <w:numPr>
          <w:ilvl w:val="0"/>
          <w:numId w:val="3"/>
        </w:numPr>
        <w:kinsoku/>
        <w:wordWrap/>
        <w:overflowPunct/>
        <w:topLinePunct w:val="0"/>
        <w:autoSpaceDE/>
        <w:autoSpaceDN/>
        <w:bidi w:val="0"/>
        <w:adjustRightInd/>
        <w:snapToGrid/>
        <w:spacing w:line="420" w:lineRule="exact"/>
        <w:ind w:left="1259"/>
        <w:jc w:val="left"/>
        <w:textAlignment w:val="auto"/>
        <w:outlineLvl w:val="2"/>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负责在协议或合同谈判阶段，与第三方签订保密协议以及确定服务安全的要求。</w:t>
      </w:r>
    </w:p>
    <w:p w14:paraId="74E440E8">
      <w:pPr>
        <w:pageBreakBefore w:val="0"/>
        <w:widowControl/>
        <w:numPr>
          <w:ilvl w:val="0"/>
          <w:numId w:val="3"/>
        </w:numPr>
        <w:kinsoku/>
        <w:wordWrap/>
        <w:overflowPunct/>
        <w:topLinePunct w:val="0"/>
        <w:autoSpaceDE/>
        <w:autoSpaceDN/>
        <w:bidi w:val="0"/>
        <w:adjustRightInd/>
        <w:snapToGrid/>
        <w:spacing w:line="420" w:lineRule="exact"/>
        <w:ind w:left="1259"/>
        <w:jc w:val="left"/>
        <w:textAlignment w:val="auto"/>
        <w:outlineLvl w:val="2"/>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根据合同或服务协议对第三方服务交付进行管理，保证服务交付质量。</w:t>
      </w:r>
    </w:p>
    <w:p w14:paraId="6825BDD4">
      <w:pPr>
        <w:pStyle w:val="3"/>
        <w:spacing w:line="360" w:lineRule="auto"/>
        <w:jc w:val="center"/>
        <w:rPr>
          <w:rFonts w:ascii="仿宋_GB2312" w:hAnsi="仿宋_GB2312" w:eastAsia="仿宋_GB2312" w:cs="仿宋_GB2312"/>
          <w:b w:val="0"/>
          <w:kern w:val="0"/>
          <w:sz w:val="24"/>
          <w:szCs w:val="24"/>
        </w:rPr>
      </w:pPr>
      <w:bookmarkStart w:id="414" w:name="_Toc517876739"/>
      <w:bookmarkStart w:id="415" w:name="_Toc257192980"/>
      <w:bookmarkStart w:id="416" w:name="_Toc517876666"/>
      <w:r>
        <w:rPr>
          <w:rFonts w:hint="eastAsia" w:ascii="仿宋_GB2312" w:hAnsi="仿宋_GB2312" w:eastAsia="仿宋_GB2312" w:cs="仿宋_GB2312"/>
          <w:sz w:val="24"/>
          <w:szCs w:val="24"/>
        </w:rPr>
        <w:t>第五章 第三方选择要求</w:t>
      </w:r>
      <w:bookmarkEnd w:id="414"/>
      <w:bookmarkEnd w:id="415"/>
      <w:bookmarkEnd w:id="416"/>
    </w:p>
    <w:p w14:paraId="5D26E49D">
      <w:pPr>
        <w:pStyle w:val="4"/>
        <w:spacing w:line="360" w:lineRule="auto"/>
        <w:rPr>
          <w:rFonts w:hint="eastAsia" w:ascii="仿宋_GB2312" w:hAnsi="仿宋_GB2312" w:eastAsia="仿宋_GB2312" w:cs="仿宋_GB2312"/>
          <w:b w:val="0"/>
          <w:kern w:val="0"/>
          <w:sz w:val="24"/>
          <w:szCs w:val="24"/>
          <w:lang w:val="en-US" w:eastAsia="zh-CN" w:bidi="ar-SA"/>
        </w:rPr>
      </w:pPr>
      <w:bookmarkStart w:id="417" w:name="_Toc165448791"/>
      <w:r>
        <w:rPr>
          <w:rFonts w:hint="eastAsia" w:ascii="仿宋_GB2312" w:hAnsi="仿宋_GB2312" w:eastAsia="仿宋_GB2312" w:cs="仿宋_GB2312"/>
          <w:sz w:val="24"/>
          <w:szCs w:val="24"/>
        </w:rPr>
        <w:t>第五条</w:t>
      </w:r>
      <w:r>
        <w:rPr>
          <w:rFonts w:hint="eastAsia" w:ascii="仿宋_GB2312" w:hAnsi="仿宋_GB2312" w:eastAsia="仿宋_GB2312" w:cs="仿宋_GB2312"/>
          <w:b w:val="0"/>
          <w:sz w:val="24"/>
          <w:szCs w:val="24"/>
        </w:rPr>
        <w:t xml:space="preserve"> </w:t>
      </w:r>
      <w:r>
        <w:rPr>
          <w:rFonts w:hint="eastAsia" w:ascii="仿宋_GB2312" w:hAnsi="仿宋_GB2312" w:eastAsia="仿宋_GB2312" w:cs="仿宋_GB2312"/>
          <w:b w:val="0"/>
          <w:kern w:val="0"/>
          <w:sz w:val="24"/>
          <w:szCs w:val="24"/>
          <w:lang w:val="en-US" w:eastAsia="zh-CN" w:bidi="ar-SA"/>
        </w:rPr>
        <w:t>第三方选择基本要求</w:t>
      </w:r>
      <w:bookmarkEnd w:id="417"/>
      <w:r>
        <w:rPr>
          <w:rFonts w:hint="eastAsia" w:ascii="仿宋_GB2312" w:hAnsi="仿宋_GB2312" w:eastAsia="仿宋_GB2312" w:cs="仿宋_GB2312"/>
          <w:b w:val="0"/>
          <w:kern w:val="0"/>
          <w:sz w:val="24"/>
          <w:szCs w:val="24"/>
          <w:lang w:val="en-US" w:eastAsia="zh-CN" w:bidi="ar-SA"/>
        </w:rPr>
        <w:t>：</w:t>
      </w:r>
    </w:p>
    <w:p w14:paraId="063FF5DB">
      <w:pPr>
        <w:widowControl/>
        <w:numPr>
          <w:ilvl w:val="0"/>
          <w:numId w:val="4"/>
        </w:numPr>
        <w:spacing w:line="360" w:lineRule="auto"/>
        <w:ind w:left="1259"/>
        <w:jc w:val="left"/>
        <w:outlineLvl w:val="2"/>
        <w:rPr>
          <w:rFonts w:hint="eastAsia" w:ascii="仿宋_GB2312" w:hAnsi="仿宋_GB2312" w:eastAsia="仿宋_GB2312" w:cs="仿宋_GB2312"/>
          <w:b w:val="0"/>
          <w:kern w:val="0"/>
          <w:sz w:val="24"/>
          <w:szCs w:val="24"/>
          <w:lang w:val="en-US" w:eastAsia="zh-CN" w:bidi="ar-SA"/>
        </w:rPr>
      </w:pPr>
      <w:bookmarkStart w:id="418" w:name="_Toc143074871"/>
      <w:bookmarkStart w:id="419" w:name="_Toc143075328"/>
      <w:bookmarkStart w:id="420" w:name="_Toc143075493"/>
      <w:r>
        <w:rPr>
          <w:rFonts w:hint="eastAsia" w:ascii="仿宋_GB2312" w:hAnsi="仿宋_GB2312" w:eastAsia="仿宋_GB2312" w:cs="仿宋_GB2312"/>
          <w:b w:val="0"/>
          <w:kern w:val="0"/>
          <w:sz w:val="24"/>
          <w:szCs w:val="24"/>
          <w:lang w:val="en-US" w:eastAsia="zh-CN" w:bidi="ar-SA"/>
        </w:rPr>
        <w:t>准确理解需求原则：第三方必须对舟山市大数据管理局信息系统外包服务的需求有深刻的理解，凡不能准确理解需求或与需求相背者不予选择。</w:t>
      </w:r>
    </w:p>
    <w:p w14:paraId="09591EDA">
      <w:pPr>
        <w:widowControl/>
        <w:numPr>
          <w:ilvl w:val="0"/>
          <w:numId w:val="4"/>
        </w:numPr>
        <w:spacing w:line="360" w:lineRule="auto"/>
        <w:ind w:left="1259"/>
        <w:jc w:val="left"/>
        <w:outlineLvl w:val="2"/>
        <w:rPr>
          <w:rFonts w:hint="eastAsia" w:ascii="仿宋_GB2312" w:hAnsi="仿宋_GB2312" w:eastAsia="仿宋_GB2312" w:cs="仿宋_GB2312"/>
          <w:b w:val="0"/>
          <w:kern w:val="0"/>
          <w:sz w:val="24"/>
          <w:szCs w:val="24"/>
          <w:lang w:val="en-US" w:eastAsia="zh-CN" w:bidi="ar-SA"/>
        </w:rPr>
      </w:pPr>
      <w:r>
        <w:rPr>
          <w:rFonts w:hint="eastAsia" w:ascii="仿宋_GB2312" w:hAnsi="仿宋_GB2312" w:eastAsia="仿宋_GB2312" w:cs="仿宋_GB2312"/>
          <w:b w:val="0"/>
          <w:kern w:val="0"/>
          <w:sz w:val="24"/>
          <w:szCs w:val="24"/>
          <w:lang w:val="en-US" w:eastAsia="zh-CN" w:bidi="ar-SA"/>
        </w:rPr>
        <w:t>技术能力：要求第三方具备所需的技术能力、工作经验和专业知识，或者能够合理地预期第三方最终会得到这些技术能力、工作经验和专业知识。</w:t>
      </w:r>
    </w:p>
    <w:p w14:paraId="3CE8A4D8">
      <w:pPr>
        <w:widowControl/>
        <w:numPr>
          <w:ilvl w:val="0"/>
          <w:numId w:val="4"/>
        </w:numPr>
        <w:spacing w:line="360" w:lineRule="auto"/>
        <w:ind w:left="1259"/>
        <w:jc w:val="left"/>
        <w:outlineLvl w:val="2"/>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管理水平：第三方是否已经具备，或者能够合理地预期第三方最终能够开发出项目所需资源的管理能力。、</w:t>
      </w:r>
    </w:p>
    <w:p w14:paraId="704433B3">
      <w:pPr>
        <w:widowControl/>
        <w:numPr>
          <w:ilvl w:val="0"/>
          <w:numId w:val="4"/>
        </w:numPr>
        <w:spacing w:line="360" w:lineRule="auto"/>
        <w:ind w:left="1259"/>
        <w:jc w:val="left"/>
        <w:outlineLvl w:val="2"/>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财务能力：第三方是否已经具备，或能否合理地预期第三方能够具备项目所需的财力资源和财务能力。</w:t>
      </w:r>
    </w:p>
    <w:p w14:paraId="53D21BB1">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第六条</w:t>
      </w:r>
      <w:r>
        <w:rPr>
          <w:rFonts w:hint="eastAsia" w:ascii="仿宋_GB2312" w:hAnsi="仿宋_GB2312" w:eastAsia="仿宋_GB2312" w:cs="仿宋_GB2312"/>
          <w:b w:val="0"/>
          <w:sz w:val="24"/>
          <w:szCs w:val="24"/>
        </w:rPr>
        <w:t xml:space="preserve"> 资质要求：</w:t>
      </w:r>
    </w:p>
    <w:p w14:paraId="5B3E13BD">
      <w:pPr>
        <w:widowControl/>
        <w:numPr>
          <w:ilvl w:val="0"/>
          <w:numId w:val="5"/>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按国家、行业、单位明确规定的服务资质要求考查第三方，如规定缺失，则根据项目实际要求确定第三方资质要求。</w:t>
      </w:r>
    </w:p>
    <w:p w14:paraId="32E3D81A">
      <w:pPr>
        <w:widowControl/>
        <w:numPr>
          <w:ilvl w:val="0"/>
          <w:numId w:val="5"/>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按服务项目专业要求设定关键技术人员和管理人员的资质要求和具备相应资质的人员数量要求。</w:t>
      </w:r>
    </w:p>
    <w:p w14:paraId="647607CB">
      <w:pPr>
        <w:pStyle w:val="3"/>
        <w:spacing w:line="360" w:lineRule="auto"/>
        <w:jc w:val="center"/>
        <w:rPr>
          <w:rFonts w:ascii="仿宋_GB2312" w:hAnsi="仿宋_GB2312" w:eastAsia="仿宋_GB2312" w:cs="仿宋_GB2312"/>
          <w:sz w:val="24"/>
          <w:szCs w:val="24"/>
        </w:rPr>
      </w:pPr>
      <w:bookmarkStart w:id="421" w:name="_Toc517876740"/>
      <w:bookmarkStart w:id="422" w:name="_Toc257192981"/>
      <w:bookmarkStart w:id="423" w:name="_Toc517876667"/>
      <w:r>
        <w:rPr>
          <w:rFonts w:hint="eastAsia" w:ascii="仿宋_GB2312" w:hAnsi="仿宋_GB2312" w:eastAsia="仿宋_GB2312" w:cs="仿宋_GB2312"/>
          <w:sz w:val="24"/>
          <w:szCs w:val="24"/>
        </w:rPr>
        <w:t>第六章 第三方合同要求</w:t>
      </w:r>
      <w:bookmarkEnd w:id="421"/>
      <w:bookmarkEnd w:id="422"/>
      <w:bookmarkEnd w:id="423"/>
    </w:p>
    <w:bookmarkEnd w:id="418"/>
    <w:bookmarkEnd w:id="419"/>
    <w:bookmarkEnd w:id="420"/>
    <w:p w14:paraId="65FB5CC8">
      <w:pPr>
        <w:pStyle w:val="4"/>
        <w:spacing w:line="360" w:lineRule="auto"/>
        <w:rPr>
          <w:rFonts w:ascii="仿宋_GB2312" w:hAnsi="仿宋_GB2312" w:eastAsia="仿宋_GB2312" w:cs="仿宋_GB2312"/>
          <w:b w:val="0"/>
          <w:sz w:val="24"/>
          <w:szCs w:val="24"/>
        </w:rPr>
      </w:pPr>
      <w:r>
        <w:rPr>
          <w:rFonts w:hint="eastAsia" w:ascii="仿宋_GB2312" w:hAnsi="仿宋_GB2312" w:eastAsia="仿宋_GB2312" w:cs="仿宋_GB2312"/>
          <w:sz w:val="24"/>
          <w:szCs w:val="24"/>
        </w:rPr>
        <w:t>第七条</w:t>
      </w:r>
      <w:r>
        <w:rPr>
          <w:rFonts w:hint="eastAsia" w:ascii="仿宋_GB2312" w:hAnsi="仿宋_GB2312" w:eastAsia="仿宋_GB2312" w:cs="仿宋_GB2312"/>
          <w:b w:val="0"/>
          <w:sz w:val="24"/>
          <w:szCs w:val="24"/>
        </w:rPr>
        <w:t xml:space="preserve"> 第三方需要对敏感的信息资产进行访问时，要签订保密协议或正式的合同，合同中有关的安全要求符合舟山市大数据管理局信息系统总体安全策略。</w:t>
      </w:r>
    </w:p>
    <w:p w14:paraId="76394151">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第八条</w:t>
      </w:r>
      <w:r>
        <w:rPr>
          <w:rFonts w:hint="eastAsia" w:ascii="仿宋_GB2312" w:hAnsi="仿宋_GB2312" w:eastAsia="仿宋_GB2312" w:cs="仿宋_GB2312"/>
          <w:b w:val="0"/>
          <w:sz w:val="24"/>
          <w:szCs w:val="24"/>
        </w:rPr>
        <w:t xml:space="preserve"> 与第三方签署的合同中要考虑如下因素：</w:t>
      </w:r>
    </w:p>
    <w:p w14:paraId="22890765">
      <w:pPr>
        <w:widowControl/>
        <w:numPr>
          <w:ilvl w:val="0"/>
          <w:numId w:val="6"/>
        </w:numPr>
        <w:spacing w:line="360" w:lineRule="auto"/>
        <w:ind w:left="1259"/>
        <w:jc w:val="left"/>
        <w:outlineLvl w:val="2"/>
        <w:rPr>
          <w:rFonts w:ascii="仿宋_GB2312" w:hAnsi="仿宋_GB2312" w:eastAsia="仿宋_GB2312" w:cs="仿宋_GB2312"/>
          <w:bCs/>
          <w:sz w:val="24"/>
          <w:szCs w:val="24"/>
        </w:rPr>
      </w:pPr>
      <w:bookmarkStart w:id="424" w:name="_Toc143075494"/>
      <w:bookmarkStart w:id="425" w:name="_Toc143075329"/>
      <w:bookmarkStart w:id="426" w:name="_Toc143074872"/>
      <w:r>
        <w:rPr>
          <w:rFonts w:hint="eastAsia" w:ascii="仿宋_GB2312" w:hAnsi="仿宋_GB2312" w:eastAsia="仿宋_GB2312" w:cs="仿宋_GB2312"/>
          <w:bCs/>
          <w:sz w:val="24"/>
          <w:szCs w:val="24"/>
        </w:rPr>
        <w:t>合同双方各自的相关责任；</w:t>
      </w:r>
    </w:p>
    <w:p w14:paraId="52DF3550">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明确对第三方的保密要求；</w:t>
      </w:r>
    </w:p>
    <w:p w14:paraId="687A0839">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明确保护信息资产的内容和要求；</w:t>
      </w:r>
    </w:p>
    <w:p w14:paraId="3C1DF9A9">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明确描述服务内容和服务标准；</w:t>
      </w:r>
    </w:p>
    <w:p w14:paraId="49503F90">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人员的安全要求；</w:t>
      </w:r>
    </w:p>
    <w:p w14:paraId="18791A6C">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符合相关国家和地区的法律、法规要求；</w:t>
      </w:r>
    </w:p>
    <w:p w14:paraId="1E1275D3">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明确对知识产权的归属及保护；</w:t>
      </w:r>
    </w:p>
    <w:p w14:paraId="7D89E342">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必须声明</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bCs/>
          <w:sz w:val="24"/>
          <w:szCs w:val="24"/>
        </w:rPr>
        <w:t>所拥有的权力，包括：监督、限制第三方活动的权力；对合同权责进行监理或指定第三方监理的权力；</w:t>
      </w:r>
    </w:p>
    <w:p w14:paraId="08E16CD6">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软、硬件安装和维护方面的责任；</w:t>
      </w:r>
    </w:p>
    <w:p w14:paraId="31664E06">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清晰具体的变更控制流程；</w:t>
      </w:r>
    </w:p>
    <w:p w14:paraId="2510DC22">
      <w:pPr>
        <w:widowControl/>
        <w:numPr>
          <w:ilvl w:val="0"/>
          <w:numId w:val="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用于安全事故和安全违规事件的报告、通知和调查程序。</w:t>
      </w:r>
    </w:p>
    <w:p w14:paraId="5E6AF7CC">
      <w:pPr>
        <w:pStyle w:val="3"/>
        <w:spacing w:line="360" w:lineRule="auto"/>
        <w:jc w:val="center"/>
        <w:rPr>
          <w:rFonts w:ascii="仿宋_GB2312" w:hAnsi="仿宋_GB2312" w:eastAsia="仿宋_GB2312" w:cs="仿宋_GB2312"/>
          <w:sz w:val="24"/>
          <w:szCs w:val="24"/>
        </w:rPr>
      </w:pPr>
      <w:bookmarkStart w:id="427" w:name="_Toc257192982"/>
      <w:bookmarkStart w:id="428" w:name="_Toc517876668"/>
      <w:bookmarkStart w:id="429" w:name="_Toc517876741"/>
      <w:r>
        <w:rPr>
          <w:rFonts w:hint="eastAsia" w:ascii="仿宋_GB2312" w:hAnsi="仿宋_GB2312" w:eastAsia="仿宋_GB2312" w:cs="仿宋_GB2312"/>
          <w:sz w:val="24"/>
          <w:szCs w:val="24"/>
        </w:rPr>
        <w:t>第七章 第三方服务交付管理</w:t>
      </w:r>
      <w:bookmarkEnd w:id="427"/>
      <w:bookmarkEnd w:id="428"/>
      <w:bookmarkEnd w:id="429"/>
    </w:p>
    <w:p w14:paraId="11C85EC1">
      <w:pPr>
        <w:pStyle w:val="4"/>
        <w:spacing w:line="360" w:lineRule="auto"/>
        <w:rPr>
          <w:rFonts w:ascii="仿宋_GB2312" w:hAnsi="仿宋_GB2312" w:eastAsia="仿宋_GB2312" w:cs="仿宋_GB2312"/>
          <w:sz w:val="24"/>
          <w:szCs w:val="24"/>
        </w:rPr>
      </w:pPr>
      <w:bookmarkStart w:id="430" w:name="_Toc165448799"/>
      <w:r>
        <w:rPr>
          <w:rFonts w:hint="eastAsia" w:ascii="仿宋_GB2312" w:hAnsi="仿宋_GB2312" w:eastAsia="仿宋_GB2312" w:cs="仿宋_GB2312"/>
          <w:sz w:val="24"/>
          <w:szCs w:val="24"/>
        </w:rPr>
        <w:t>第九条</w:t>
      </w:r>
      <w:r>
        <w:rPr>
          <w:rFonts w:hint="eastAsia" w:ascii="仿宋_GB2312" w:hAnsi="仿宋_GB2312" w:eastAsia="仿宋_GB2312" w:cs="仿宋_GB2312"/>
          <w:b w:val="0"/>
          <w:sz w:val="24"/>
          <w:szCs w:val="24"/>
        </w:rPr>
        <w:t xml:space="preserve"> 服务质量要求</w:t>
      </w:r>
      <w:bookmarkEnd w:id="430"/>
      <w:r>
        <w:rPr>
          <w:rFonts w:hint="eastAsia" w:ascii="仿宋_GB2312" w:hAnsi="仿宋_GB2312" w:eastAsia="仿宋_GB2312" w:cs="仿宋_GB2312"/>
          <w:b w:val="0"/>
          <w:sz w:val="24"/>
          <w:szCs w:val="24"/>
        </w:rPr>
        <w:t>：</w:t>
      </w:r>
    </w:p>
    <w:p w14:paraId="60FC5BD3">
      <w:pPr>
        <w:widowControl/>
        <w:numPr>
          <w:ilvl w:val="0"/>
          <w:numId w:val="7"/>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第三方必须依据合同或独立的服务协议中的关键指标提供服务；</w:t>
      </w:r>
    </w:p>
    <w:p w14:paraId="6B339D83">
      <w:pPr>
        <w:widowControl/>
        <w:numPr>
          <w:ilvl w:val="0"/>
          <w:numId w:val="7"/>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在服务提供期间，</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bCs/>
          <w:sz w:val="24"/>
          <w:szCs w:val="24"/>
        </w:rPr>
        <w:t>信息系统项目管理部门或人员应该经常对第三方的人员资质进行确认，保证服务期间服务人员的稳定性；</w:t>
      </w:r>
    </w:p>
    <w:p w14:paraId="6DAF4D11">
      <w:pPr>
        <w:widowControl/>
        <w:numPr>
          <w:ilvl w:val="0"/>
          <w:numId w:val="7"/>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制定对第三方服务的评价指标和测量体系，以确保第三方服务提供的质量。</w:t>
      </w:r>
    </w:p>
    <w:p w14:paraId="20379498">
      <w:pPr>
        <w:pStyle w:val="4"/>
        <w:spacing w:line="360" w:lineRule="auto"/>
        <w:rPr>
          <w:rFonts w:ascii="仿宋_GB2312" w:hAnsi="仿宋_GB2312" w:eastAsia="仿宋_GB2312" w:cs="仿宋_GB2312"/>
          <w:sz w:val="24"/>
          <w:szCs w:val="24"/>
        </w:rPr>
      </w:pPr>
      <w:bookmarkStart w:id="431" w:name="_Toc165448800"/>
      <w:r>
        <w:rPr>
          <w:rFonts w:hint="eastAsia" w:ascii="仿宋_GB2312" w:hAnsi="仿宋_GB2312" w:eastAsia="仿宋_GB2312" w:cs="仿宋_GB2312"/>
          <w:sz w:val="24"/>
          <w:szCs w:val="24"/>
        </w:rPr>
        <w:t>第十条</w:t>
      </w:r>
      <w:r>
        <w:rPr>
          <w:rFonts w:hint="eastAsia" w:ascii="仿宋_GB2312" w:hAnsi="仿宋_GB2312" w:eastAsia="仿宋_GB2312" w:cs="仿宋_GB2312"/>
          <w:b w:val="0"/>
          <w:sz w:val="24"/>
          <w:szCs w:val="24"/>
        </w:rPr>
        <w:t xml:space="preserve"> 服务的改进</w:t>
      </w:r>
      <w:bookmarkEnd w:id="431"/>
      <w:r>
        <w:rPr>
          <w:rFonts w:hint="eastAsia" w:ascii="仿宋_GB2312" w:hAnsi="仿宋_GB2312" w:eastAsia="仿宋_GB2312" w:cs="仿宋_GB2312"/>
          <w:b w:val="0"/>
          <w:sz w:val="24"/>
          <w:szCs w:val="24"/>
        </w:rPr>
        <w:t>：</w:t>
      </w:r>
    </w:p>
    <w:p w14:paraId="556A6AAB">
      <w:pPr>
        <w:widowControl/>
        <w:numPr>
          <w:ilvl w:val="0"/>
          <w:numId w:val="8"/>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第三方在服务提供过程中，发现与服务的需求有较大差距时，双方必须对服务进行评估，如果是未达到服务合同或服务协议的要求，则责成第三方对服务进行改进；</w:t>
      </w:r>
    </w:p>
    <w:p w14:paraId="0F8071B1">
      <w:pPr>
        <w:widowControl/>
        <w:numPr>
          <w:ilvl w:val="0"/>
          <w:numId w:val="8"/>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如果第三方服务达到合同或服务协议的要求，但是还是不能满足服务的实际需求，则双方可以协商对合同或服务协议进行变更，提高关键指标以适应服务的实际需求。</w:t>
      </w:r>
    </w:p>
    <w:p w14:paraId="330D473C">
      <w:pPr>
        <w:pStyle w:val="3"/>
        <w:spacing w:line="360" w:lineRule="auto"/>
        <w:jc w:val="center"/>
        <w:rPr>
          <w:rFonts w:ascii="仿宋_GB2312" w:hAnsi="仿宋_GB2312" w:eastAsia="仿宋_GB2312" w:cs="仿宋_GB2312"/>
          <w:sz w:val="24"/>
          <w:szCs w:val="24"/>
        </w:rPr>
      </w:pPr>
      <w:bookmarkStart w:id="432" w:name="_Toc257192983"/>
      <w:bookmarkStart w:id="433" w:name="_Toc517876669"/>
      <w:bookmarkStart w:id="434" w:name="_Toc517876742"/>
      <w:r>
        <w:rPr>
          <w:rFonts w:hint="eastAsia" w:ascii="仿宋_GB2312" w:hAnsi="仿宋_GB2312" w:eastAsia="仿宋_GB2312" w:cs="仿宋_GB2312"/>
          <w:sz w:val="24"/>
          <w:szCs w:val="24"/>
        </w:rPr>
        <w:t>第八章 第三方信息传输</w:t>
      </w:r>
      <w:bookmarkEnd w:id="432"/>
      <w:bookmarkEnd w:id="433"/>
      <w:bookmarkEnd w:id="434"/>
    </w:p>
    <w:p w14:paraId="40E61B58">
      <w:pPr>
        <w:pStyle w:val="4"/>
        <w:spacing w:line="360" w:lineRule="auto"/>
        <w:rPr>
          <w:rFonts w:ascii="仿宋_GB2312" w:hAnsi="仿宋_GB2312" w:eastAsia="仿宋_GB2312" w:cs="仿宋_GB2312"/>
          <w:b w:val="0"/>
          <w:sz w:val="24"/>
          <w:szCs w:val="24"/>
        </w:rPr>
      </w:pPr>
      <w:r>
        <w:rPr>
          <w:rFonts w:hint="eastAsia" w:ascii="仿宋_GB2312" w:hAnsi="仿宋_GB2312" w:eastAsia="仿宋_GB2312" w:cs="仿宋_GB2312"/>
          <w:sz w:val="24"/>
          <w:szCs w:val="24"/>
        </w:rPr>
        <w:t>第十一条</w:t>
      </w:r>
      <w:r>
        <w:rPr>
          <w:rFonts w:hint="eastAsia" w:ascii="仿宋_GB2312" w:hAnsi="仿宋_GB2312" w:eastAsia="仿宋_GB2312" w:cs="仿宋_GB2312"/>
          <w:b w:val="0"/>
          <w:sz w:val="24"/>
          <w:szCs w:val="24"/>
        </w:rPr>
        <w:t xml:space="preserve"> 第三方必须按合同中规定的保密条款对服务过程中接触到的任何信息和数据进行保密。</w:t>
      </w:r>
    </w:p>
    <w:p w14:paraId="039B163D">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第十二条</w:t>
      </w:r>
      <w:r>
        <w:rPr>
          <w:rFonts w:hint="eastAsia" w:ascii="仿宋_GB2312" w:hAnsi="仿宋_GB2312" w:eastAsia="仿宋_GB2312" w:cs="仿宋_GB2312"/>
          <w:b w:val="0"/>
          <w:sz w:val="24"/>
          <w:szCs w:val="24"/>
        </w:rPr>
        <w:t xml:space="preserve"> 第三方在服务过程中必须保证数据的完整性和可用性，如果对数据的完整性和可用性会造成影响，必须事先申明，并取得相关部门的批准，才可以实施相关的操作。</w:t>
      </w:r>
    </w:p>
    <w:p w14:paraId="54C9E7E2">
      <w:pPr>
        <w:pStyle w:val="4"/>
        <w:spacing w:line="360" w:lineRule="auto"/>
        <w:rPr>
          <w:rFonts w:ascii="仿宋_GB2312" w:hAnsi="仿宋_GB2312" w:eastAsia="仿宋_GB2312" w:cs="仿宋_GB2312"/>
          <w:b w:val="0"/>
          <w:sz w:val="24"/>
          <w:szCs w:val="24"/>
        </w:rPr>
      </w:pPr>
      <w:r>
        <w:rPr>
          <w:rFonts w:hint="eastAsia" w:ascii="仿宋_GB2312" w:hAnsi="仿宋_GB2312" w:eastAsia="仿宋_GB2312" w:cs="仿宋_GB2312"/>
          <w:sz w:val="24"/>
          <w:szCs w:val="24"/>
        </w:rPr>
        <w:t>第十三条</w:t>
      </w:r>
      <w:r>
        <w:rPr>
          <w:rFonts w:hint="eastAsia" w:ascii="仿宋_GB2312" w:hAnsi="仿宋_GB2312" w:eastAsia="仿宋_GB2312" w:cs="仿宋_GB2312"/>
          <w:b w:val="0"/>
          <w:sz w:val="24"/>
          <w:szCs w:val="24"/>
        </w:rPr>
        <w:t xml:space="preserve"> 如因业务需要向第三方提供含有舟山市大数据管理局保密信息的文件、资料或实物时，接待人应当获得相应的批准或授权，并与第三方签订保密协议后提供，提供时应开具清单请第三方签收。</w:t>
      </w:r>
    </w:p>
    <w:p w14:paraId="27A539A1">
      <w:pPr>
        <w:pStyle w:val="4"/>
        <w:spacing w:line="360" w:lineRule="auto"/>
        <w:rPr>
          <w:rFonts w:ascii="仿宋_GB2312" w:hAnsi="仿宋_GB2312" w:eastAsia="仿宋_GB2312" w:cs="仿宋_GB2312"/>
          <w:b w:val="0"/>
          <w:sz w:val="24"/>
          <w:szCs w:val="24"/>
        </w:rPr>
      </w:pPr>
      <w:r>
        <w:rPr>
          <w:rFonts w:hint="eastAsia" w:ascii="仿宋_GB2312" w:hAnsi="仿宋_GB2312" w:eastAsia="仿宋_GB2312" w:cs="仿宋_GB2312"/>
          <w:sz w:val="24"/>
          <w:szCs w:val="24"/>
        </w:rPr>
        <w:t>第十四条</w:t>
      </w:r>
      <w:r>
        <w:rPr>
          <w:rFonts w:hint="eastAsia" w:ascii="仿宋_GB2312" w:hAnsi="仿宋_GB2312" w:eastAsia="仿宋_GB2312" w:cs="仿宋_GB2312"/>
          <w:b w:val="0"/>
          <w:sz w:val="24"/>
          <w:szCs w:val="24"/>
        </w:rPr>
        <w:t xml:space="preserve"> 对第三方的工作人员因业务需要须在舟山市大数据管理局进行工作时，应与其签订个人保密协议，明确保密制度,如需接触或查阅内部文件的，必须经过相关部门负责人签字批准，并由其本人填写查阅记录。</w:t>
      </w:r>
    </w:p>
    <w:p w14:paraId="18E718DE">
      <w:pPr>
        <w:pStyle w:val="3"/>
        <w:spacing w:line="360" w:lineRule="auto"/>
        <w:jc w:val="center"/>
        <w:rPr>
          <w:rFonts w:ascii="仿宋_GB2312" w:hAnsi="仿宋_GB2312" w:eastAsia="仿宋_GB2312" w:cs="仿宋_GB2312"/>
          <w:sz w:val="24"/>
          <w:szCs w:val="24"/>
        </w:rPr>
      </w:pPr>
      <w:bookmarkStart w:id="435" w:name="_Toc257192984"/>
      <w:bookmarkStart w:id="436" w:name="_Toc517876743"/>
      <w:bookmarkStart w:id="437" w:name="_Toc517876670"/>
      <w:r>
        <w:rPr>
          <w:rFonts w:hint="eastAsia" w:ascii="仿宋_GB2312" w:hAnsi="仿宋_GB2312" w:eastAsia="仿宋_GB2312" w:cs="仿宋_GB2312"/>
          <w:sz w:val="24"/>
          <w:szCs w:val="24"/>
        </w:rPr>
        <w:t>第九章 第三方变更管理</w:t>
      </w:r>
      <w:bookmarkEnd w:id="435"/>
      <w:bookmarkEnd w:id="436"/>
      <w:bookmarkEnd w:id="437"/>
    </w:p>
    <w:p w14:paraId="2D047546">
      <w:pPr>
        <w:pStyle w:val="4"/>
        <w:spacing w:line="360" w:lineRule="auto"/>
        <w:rPr>
          <w:rFonts w:ascii="仿宋_GB2312" w:hAnsi="仿宋_GB2312" w:eastAsia="仿宋_GB2312" w:cs="仿宋_GB2312"/>
          <w:sz w:val="24"/>
          <w:szCs w:val="24"/>
        </w:rPr>
      </w:pPr>
      <w:bookmarkStart w:id="438" w:name="_Toc165448804"/>
      <w:r>
        <w:rPr>
          <w:rFonts w:hint="eastAsia" w:ascii="仿宋_GB2312" w:hAnsi="仿宋_GB2312" w:eastAsia="仿宋_GB2312" w:cs="仿宋_GB2312"/>
          <w:sz w:val="24"/>
          <w:szCs w:val="24"/>
        </w:rPr>
        <w:t>第十五条</w:t>
      </w:r>
      <w:r>
        <w:rPr>
          <w:rFonts w:hint="eastAsia" w:ascii="仿宋_GB2312" w:hAnsi="仿宋_GB2312" w:eastAsia="仿宋_GB2312" w:cs="仿宋_GB2312"/>
          <w:b w:val="0"/>
          <w:sz w:val="24"/>
          <w:szCs w:val="24"/>
        </w:rPr>
        <w:t xml:space="preserve"> 服务项目范围变更</w:t>
      </w:r>
      <w:bookmarkEnd w:id="438"/>
      <w:r>
        <w:rPr>
          <w:rFonts w:hint="eastAsia" w:ascii="仿宋_GB2312" w:hAnsi="仿宋_GB2312" w:eastAsia="仿宋_GB2312" w:cs="仿宋_GB2312"/>
          <w:b w:val="0"/>
          <w:sz w:val="24"/>
          <w:szCs w:val="24"/>
        </w:rPr>
        <w:t>：</w:t>
      </w:r>
    </w:p>
    <w:p w14:paraId="132E13E3">
      <w:pPr>
        <w:widowControl/>
        <w:numPr>
          <w:ilvl w:val="0"/>
          <w:numId w:val="9"/>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如果合同执行中，发现第三方的服务能力不能满足服务外包的需求，经双方协商，一般要求更换服务提供商。</w:t>
      </w:r>
    </w:p>
    <w:p w14:paraId="15446A49">
      <w:pPr>
        <w:widowControl/>
        <w:numPr>
          <w:ilvl w:val="0"/>
          <w:numId w:val="9"/>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如果合同执行中，发现服务需求的范围超过了合同里所约定的服务范围，而这些需求与合同所规定的服务范围是相同的系统或设备，并且正好是第三方的服务能力范围之内，可以通过协商变更服务合同，增加服务范围。</w:t>
      </w:r>
    </w:p>
    <w:p w14:paraId="7A7B8FD0">
      <w:pPr>
        <w:widowControl/>
        <w:numPr>
          <w:ilvl w:val="0"/>
          <w:numId w:val="9"/>
        </w:numPr>
        <w:spacing w:line="360" w:lineRule="auto"/>
        <w:ind w:left="1259"/>
        <w:jc w:val="left"/>
        <w:outlineLvl w:val="2"/>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服务项目变更必须经过所属项目管理部门的审批。</w:t>
      </w:r>
      <w:bookmarkStart w:id="439" w:name="_Toc165448805"/>
    </w:p>
    <w:p w14:paraId="12ECDD99">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第十六条</w:t>
      </w:r>
      <w:r>
        <w:rPr>
          <w:rFonts w:hint="eastAsia" w:ascii="仿宋_GB2312" w:hAnsi="仿宋_GB2312" w:eastAsia="仿宋_GB2312" w:cs="仿宋_GB2312"/>
          <w:b w:val="0"/>
          <w:sz w:val="24"/>
          <w:szCs w:val="24"/>
        </w:rPr>
        <w:t xml:space="preserve"> 服务提供商变更</w:t>
      </w:r>
      <w:bookmarkEnd w:id="439"/>
      <w:r>
        <w:rPr>
          <w:rFonts w:hint="eastAsia" w:ascii="仿宋_GB2312" w:hAnsi="仿宋_GB2312" w:eastAsia="仿宋_GB2312" w:cs="仿宋_GB2312"/>
          <w:b w:val="0"/>
          <w:sz w:val="24"/>
          <w:szCs w:val="24"/>
        </w:rPr>
        <w:t>：</w:t>
      </w:r>
    </w:p>
    <w:p w14:paraId="068C4482">
      <w:pPr>
        <w:widowControl/>
        <w:numPr>
          <w:ilvl w:val="0"/>
          <w:numId w:val="10"/>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在对第三方考评不合格时，给以书面的形式要求第三方提高服务质量，并明确指出服务质量存在的具体问题和改进办法；</w:t>
      </w:r>
    </w:p>
    <w:p w14:paraId="4E4129BB">
      <w:pPr>
        <w:widowControl/>
        <w:numPr>
          <w:ilvl w:val="0"/>
          <w:numId w:val="10"/>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如果第三方服务能力不能满足服务要求，并造成系统运行不良影响时，可以考虑对服务提供商进行变更，以信息系统的正常稳定运行。</w:t>
      </w:r>
    </w:p>
    <w:p w14:paraId="6D8C476C">
      <w:pPr>
        <w:pStyle w:val="3"/>
        <w:spacing w:line="360" w:lineRule="auto"/>
        <w:jc w:val="center"/>
        <w:rPr>
          <w:rFonts w:ascii="仿宋_GB2312" w:hAnsi="仿宋_GB2312" w:eastAsia="仿宋_GB2312" w:cs="仿宋_GB2312"/>
          <w:sz w:val="24"/>
          <w:szCs w:val="24"/>
        </w:rPr>
      </w:pPr>
      <w:bookmarkStart w:id="440" w:name="_Toc257192985"/>
      <w:bookmarkStart w:id="441" w:name="_Toc517876744"/>
      <w:bookmarkStart w:id="442" w:name="_Toc517876671"/>
      <w:r>
        <w:rPr>
          <w:rFonts w:hint="eastAsia" w:ascii="仿宋_GB2312" w:hAnsi="仿宋_GB2312" w:eastAsia="仿宋_GB2312" w:cs="仿宋_GB2312"/>
          <w:sz w:val="24"/>
          <w:szCs w:val="24"/>
        </w:rPr>
        <w:t>第十章 第三方出入管理</w:t>
      </w:r>
      <w:bookmarkEnd w:id="440"/>
      <w:bookmarkEnd w:id="441"/>
      <w:bookmarkEnd w:id="442"/>
    </w:p>
    <w:p w14:paraId="44004C1C">
      <w:pPr>
        <w:pStyle w:val="4"/>
        <w:spacing w:line="360" w:lineRule="auto"/>
        <w:rPr>
          <w:rFonts w:ascii="仿宋_GB2312" w:hAnsi="仿宋_GB2312" w:eastAsia="仿宋_GB2312" w:cs="仿宋_GB2312"/>
          <w:sz w:val="24"/>
          <w:szCs w:val="24"/>
        </w:rPr>
      </w:pPr>
      <w:bookmarkStart w:id="443" w:name="_Toc165448807"/>
      <w:r>
        <w:rPr>
          <w:rFonts w:hint="eastAsia" w:ascii="仿宋_GB2312" w:hAnsi="仿宋_GB2312" w:eastAsia="仿宋_GB2312" w:cs="仿宋_GB2312"/>
          <w:sz w:val="24"/>
          <w:szCs w:val="24"/>
        </w:rPr>
        <w:t>第十七条</w:t>
      </w:r>
      <w:r>
        <w:rPr>
          <w:rFonts w:hint="eastAsia" w:ascii="仿宋_GB2312" w:hAnsi="仿宋_GB2312" w:eastAsia="仿宋_GB2312" w:cs="仿宋_GB2312"/>
          <w:b w:val="0"/>
          <w:sz w:val="24"/>
          <w:szCs w:val="24"/>
        </w:rPr>
        <w:t xml:space="preserve"> 人员出入</w:t>
      </w:r>
      <w:bookmarkEnd w:id="443"/>
      <w:r>
        <w:rPr>
          <w:rFonts w:hint="eastAsia" w:ascii="仿宋_GB2312" w:hAnsi="仿宋_GB2312" w:eastAsia="仿宋_GB2312" w:cs="仿宋_GB2312"/>
          <w:b w:val="0"/>
          <w:sz w:val="24"/>
          <w:szCs w:val="24"/>
        </w:rPr>
        <w:t>：</w:t>
      </w:r>
    </w:p>
    <w:p w14:paraId="2B0BE9E0">
      <w:pPr>
        <w:widowControl/>
        <w:numPr>
          <w:ilvl w:val="0"/>
          <w:numId w:val="11"/>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第三方人员进入</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bCs/>
          <w:sz w:val="24"/>
          <w:szCs w:val="24"/>
        </w:rPr>
        <w:t>各种场合禁止携带易燃、易爆物品，并在门卫处接受检查；</w:t>
      </w:r>
    </w:p>
    <w:p w14:paraId="689759A6">
      <w:pPr>
        <w:widowControl/>
        <w:numPr>
          <w:ilvl w:val="0"/>
          <w:numId w:val="11"/>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第三方人员进入</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bCs/>
          <w:sz w:val="24"/>
          <w:szCs w:val="24"/>
        </w:rPr>
        <w:t>时，必须在门卫处出示有效证件，按门卫或接待处的要求登记相关信息；</w:t>
      </w:r>
    </w:p>
    <w:p w14:paraId="15444E82">
      <w:pPr>
        <w:widowControl/>
        <w:numPr>
          <w:ilvl w:val="0"/>
          <w:numId w:val="11"/>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临时来访第三方必须由接待人全程陪同，告知有关安全管理规定，不得任其自行走动和未经允许使用</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bCs/>
          <w:sz w:val="24"/>
          <w:szCs w:val="24"/>
        </w:rPr>
        <w:t>计算机设备；</w:t>
      </w:r>
    </w:p>
    <w:p w14:paraId="70510F2B">
      <w:pPr>
        <w:widowControl/>
        <w:numPr>
          <w:ilvl w:val="0"/>
          <w:numId w:val="11"/>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第三方人员进出机房等重要区域时，必须遵守该区域的进出管理规定；</w:t>
      </w:r>
    </w:p>
    <w:p w14:paraId="0B1C9339">
      <w:pPr>
        <w:widowControl/>
        <w:numPr>
          <w:ilvl w:val="0"/>
          <w:numId w:val="11"/>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临时第三方人员离开</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bCs/>
          <w:sz w:val="24"/>
          <w:szCs w:val="24"/>
        </w:rPr>
        <w:t>时应由接待人陪送，接待人应在登记表上签名，并签署确认离开时间及相关权限、物品、交接时间；接待人在无法陪送的情况下应委托本部门其他人陪送；</w:t>
      </w:r>
    </w:p>
    <w:p w14:paraId="55EA27E5">
      <w:pPr>
        <w:widowControl/>
        <w:numPr>
          <w:ilvl w:val="0"/>
          <w:numId w:val="11"/>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非临时第三方人人员作完成后，由所属项目管理部门或人员对第三方人员的工作进行安全检查和安全评估后方可离场。</w:t>
      </w:r>
    </w:p>
    <w:p w14:paraId="73456A9C">
      <w:pPr>
        <w:pStyle w:val="4"/>
        <w:spacing w:line="360" w:lineRule="auto"/>
        <w:rPr>
          <w:rFonts w:ascii="仿宋_GB2312" w:hAnsi="仿宋_GB2312" w:eastAsia="仿宋_GB2312" w:cs="仿宋_GB2312"/>
          <w:sz w:val="24"/>
          <w:szCs w:val="24"/>
        </w:rPr>
      </w:pPr>
      <w:bookmarkStart w:id="444" w:name="_Toc165448808"/>
      <w:r>
        <w:rPr>
          <w:rFonts w:hint="eastAsia" w:ascii="仿宋_GB2312" w:hAnsi="仿宋_GB2312" w:eastAsia="仿宋_GB2312" w:cs="仿宋_GB2312"/>
          <w:sz w:val="24"/>
          <w:szCs w:val="24"/>
        </w:rPr>
        <w:t>第十八条</w:t>
      </w:r>
      <w:r>
        <w:rPr>
          <w:rFonts w:hint="eastAsia" w:ascii="仿宋_GB2312" w:hAnsi="仿宋_GB2312" w:eastAsia="仿宋_GB2312" w:cs="仿宋_GB2312"/>
          <w:b w:val="0"/>
          <w:sz w:val="24"/>
          <w:szCs w:val="24"/>
        </w:rPr>
        <w:t xml:space="preserve"> 设备携入携出</w:t>
      </w:r>
      <w:bookmarkEnd w:id="444"/>
      <w:r>
        <w:rPr>
          <w:rFonts w:hint="eastAsia" w:ascii="仿宋_GB2312" w:hAnsi="仿宋_GB2312" w:eastAsia="仿宋_GB2312" w:cs="仿宋_GB2312"/>
          <w:b w:val="0"/>
          <w:sz w:val="24"/>
          <w:szCs w:val="24"/>
        </w:rPr>
        <w:t>：</w:t>
      </w:r>
    </w:p>
    <w:p w14:paraId="06CD4F36">
      <w:pPr>
        <w:widowControl/>
        <w:numPr>
          <w:ilvl w:val="0"/>
          <w:numId w:val="12"/>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第三方人员携带设备（如笔记本电脑、计算机及配件、网络设备等）进入，必须进行登记；携带设备离开，必须经过按照事先登记的内容进行检查；</w:t>
      </w:r>
    </w:p>
    <w:p w14:paraId="3FC75736">
      <w:pPr>
        <w:widowControl/>
        <w:numPr>
          <w:ilvl w:val="0"/>
          <w:numId w:val="12"/>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第三方人员携带的维修配件必须在进入维修区域前向接待人员出示，并登记；</w:t>
      </w:r>
    </w:p>
    <w:p w14:paraId="1A566C93">
      <w:pPr>
        <w:widowControl/>
        <w:numPr>
          <w:ilvl w:val="0"/>
          <w:numId w:val="12"/>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第三方人员将维修设备的损坏配件携出</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bCs/>
          <w:sz w:val="24"/>
          <w:szCs w:val="24"/>
        </w:rPr>
        <w:t>信息系统的运行场所时，必须在</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bCs/>
          <w:sz w:val="24"/>
          <w:szCs w:val="24"/>
        </w:rPr>
        <w:t>信息系统设备的管理人员说明情况并在维护记录中登记；</w:t>
      </w:r>
    </w:p>
    <w:p w14:paraId="1327E1FF">
      <w:pPr>
        <w:widowControl/>
        <w:numPr>
          <w:ilvl w:val="0"/>
          <w:numId w:val="12"/>
        </w:numPr>
        <w:spacing w:line="360" w:lineRule="auto"/>
        <w:ind w:left="1259"/>
        <w:jc w:val="left"/>
        <w:outlineLvl w:val="2"/>
        <w:rPr>
          <w:rFonts w:ascii="仿宋_GB2312" w:hAnsi="仿宋_GB2312" w:eastAsia="仿宋_GB2312" w:cs="仿宋_GB2312"/>
          <w:kern w:val="0"/>
          <w:sz w:val="24"/>
          <w:szCs w:val="24"/>
          <w:lang w:val="en-GB"/>
        </w:rPr>
      </w:pPr>
      <w:r>
        <w:rPr>
          <w:rFonts w:hint="eastAsia" w:ascii="仿宋_GB2312" w:hAnsi="仿宋_GB2312" w:eastAsia="仿宋_GB2312" w:cs="仿宋_GB2312"/>
          <w:kern w:val="0"/>
          <w:sz w:val="24"/>
          <w:szCs w:val="24"/>
          <w:lang w:val="en-GB"/>
        </w:rPr>
        <w:t>第三方人员将好的配件换入维修设备时，必须向</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kern w:val="0"/>
          <w:sz w:val="24"/>
          <w:szCs w:val="24"/>
          <w:lang w:val="en-GB"/>
        </w:rPr>
        <w:t>信息系统设备的管理人员说明情况，并在维修记录中记录。</w:t>
      </w:r>
      <w:bookmarkStart w:id="445" w:name="_Toc165448809"/>
    </w:p>
    <w:p w14:paraId="296FCC93">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第十九条</w:t>
      </w:r>
      <w:r>
        <w:rPr>
          <w:rFonts w:hint="eastAsia" w:ascii="仿宋_GB2312" w:hAnsi="仿宋_GB2312" w:eastAsia="仿宋_GB2312" w:cs="仿宋_GB2312"/>
          <w:b w:val="0"/>
          <w:sz w:val="24"/>
          <w:szCs w:val="24"/>
        </w:rPr>
        <w:t xml:space="preserve"> 办公场所</w:t>
      </w:r>
      <w:bookmarkEnd w:id="445"/>
      <w:r>
        <w:rPr>
          <w:rFonts w:hint="eastAsia" w:ascii="仿宋_GB2312" w:hAnsi="仿宋_GB2312" w:eastAsia="仿宋_GB2312" w:cs="仿宋_GB2312"/>
          <w:b w:val="0"/>
          <w:sz w:val="24"/>
          <w:szCs w:val="24"/>
        </w:rPr>
        <w:t>：</w:t>
      </w:r>
    </w:p>
    <w:p w14:paraId="27A69258">
      <w:pPr>
        <w:widowControl/>
        <w:numPr>
          <w:ilvl w:val="0"/>
          <w:numId w:val="13"/>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业务洽谈和技术交流应当在接待室、会议室或培训教室内进行，招标、谈判等正式洽谈和重大项目的会谈应当在专门的会议室进行，不得在办公室内进行；</w:t>
      </w:r>
    </w:p>
    <w:p w14:paraId="40F8D012">
      <w:pPr>
        <w:widowControl/>
        <w:numPr>
          <w:ilvl w:val="0"/>
          <w:numId w:val="13"/>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必须指定非临时第三方人员的办公区域，只允许第三方人员在指定区域范围内进行业务活动。</w:t>
      </w:r>
    </w:p>
    <w:p w14:paraId="1C0F36F5">
      <w:pPr>
        <w:pStyle w:val="3"/>
        <w:spacing w:line="360" w:lineRule="auto"/>
        <w:jc w:val="center"/>
        <w:rPr>
          <w:rFonts w:ascii="仿宋_GB2312" w:hAnsi="仿宋_GB2312" w:eastAsia="仿宋_GB2312" w:cs="仿宋_GB2312"/>
          <w:sz w:val="24"/>
          <w:szCs w:val="24"/>
        </w:rPr>
      </w:pPr>
      <w:bookmarkStart w:id="446" w:name="_Toc517876745"/>
      <w:bookmarkStart w:id="447" w:name="_Toc517876672"/>
      <w:bookmarkStart w:id="448" w:name="_Toc257192986"/>
      <w:r>
        <w:rPr>
          <w:rFonts w:hint="eastAsia" w:ascii="仿宋_GB2312" w:hAnsi="仿宋_GB2312" w:eastAsia="仿宋_GB2312" w:cs="仿宋_GB2312"/>
          <w:sz w:val="24"/>
          <w:szCs w:val="24"/>
        </w:rPr>
        <w:t>第十一章 信息系统使用</w:t>
      </w:r>
      <w:bookmarkEnd w:id="446"/>
      <w:bookmarkEnd w:id="447"/>
      <w:bookmarkEnd w:id="448"/>
    </w:p>
    <w:p w14:paraId="54261A4B">
      <w:pPr>
        <w:pStyle w:val="4"/>
        <w:spacing w:line="360" w:lineRule="auto"/>
        <w:rPr>
          <w:rFonts w:ascii="仿宋_GB2312" w:hAnsi="仿宋_GB2312" w:eastAsia="仿宋_GB2312" w:cs="仿宋_GB2312"/>
          <w:sz w:val="24"/>
          <w:szCs w:val="24"/>
        </w:rPr>
      </w:pPr>
      <w:bookmarkStart w:id="449" w:name="_Toc165448811"/>
      <w:bookmarkStart w:id="450" w:name="_Toc164794930"/>
      <w:r>
        <w:rPr>
          <w:rFonts w:hint="eastAsia" w:ascii="仿宋_GB2312" w:hAnsi="仿宋_GB2312" w:eastAsia="仿宋_GB2312" w:cs="仿宋_GB2312"/>
          <w:sz w:val="24"/>
          <w:szCs w:val="24"/>
        </w:rPr>
        <w:t>第二十条</w:t>
      </w:r>
      <w:r>
        <w:rPr>
          <w:rFonts w:hint="eastAsia" w:ascii="仿宋_GB2312" w:hAnsi="仿宋_GB2312" w:eastAsia="仿宋_GB2312" w:cs="仿宋_GB2312"/>
          <w:b w:val="0"/>
          <w:sz w:val="24"/>
          <w:szCs w:val="24"/>
        </w:rPr>
        <w:t xml:space="preserve"> 一般规定</w:t>
      </w:r>
      <w:bookmarkEnd w:id="449"/>
      <w:r>
        <w:rPr>
          <w:rFonts w:hint="eastAsia" w:ascii="仿宋_GB2312" w:hAnsi="仿宋_GB2312" w:eastAsia="仿宋_GB2312" w:cs="仿宋_GB2312"/>
          <w:b w:val="0"/>
          <w:sz w:val="24"/>
          <w:szCs w:val="24"/>
        </w:rPr>
        <w:t>：</w:t>
      </w:r>
    </w:p>
    <w:p w14:paraId="47094048">
      <w:pPr>
        <w:widowControl/>
        <w:numPr>
          <w:ilvl w:val="0"/>
          <w:numId w:val="14"/>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第三方人员不得越权使用信息系统的任何功能；</w:t>
      </w:r>
    </w:p>
    <w:p w14:paraId="00114094">
      <w:pPr>
        <w:widowControl/>
        <w:numPr>
          <w:ilvl w:val="0"/>
          <w:numId w:val="14"/>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第三方人员不得私自拷贝信息系统中的任何数据和程序；</w:t>
      </w:r>
    </w:p>
    <w:p w14:paraId="29B1D942">
      <w:pPr>
        <w:widowControl/>
        <w:numPr>
          <w:ilvl w:val="0"/>
          <w:numId w:val="14"/>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第三方人员将信息系统的软硬件携入与携出信息系统的运行场所必须遵守相关的管理规定；</w:t>
      </w:r>
    </w:p>
    <w:p w14:paraId="6B3FC0C9">
      <w:pPr>
        <w:widowControl/>
        <w:numPr>
          <w:ilvl w:val="0"/>
          <w:numId w:val="14"/>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第三方人员不得私自将含有密钥的设备（或配件）携出信息系统的运行场所；</w:t>
      </w:r>
    </w:p>
    <w:p w14:paraId="6EFAD622">
      <w:pPr>
        <w:widowControl/>
        <w:numPr>
          <w:ilvl w:val="0"/>
          <w:numId w:val="14"/>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第三方人员使用信息系统的操作记录应进行登记（附录一、第三方人员操作记录表）；</w:t>
      </w:r>
    </w:p>
    <w:p w14:paraId="5237FC71">
      <w:pPr>
        <w:widowControl/>
        <w:numPr>
          <w:ilvl w:val="0"/>
          <w:numId w:val="14"/>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未经允许，第三方不得使用信息系统。</w:t>
      </w:r>
    </w:p>
    <w:p w14:paraId="5BD3C163">
      <w:pPr>
        <w:pStyle w:val="4"/>
        <w:spacing w:line="360" w:lineRule="auto"/>
        <w:rPr>
          <w:rFonts w:ascii="仿宋_GB2312" w:hAnsi="仿宋_GB2312" w:eastAsia="仿宋_GB2312" w:cs="仿宋_GB2312"/>
          <w:sz w:val="24"/>
          <w:szCs w:val="24"/>
        </w:rPr>
      </w:pPr>
      <w:bookmarkStart w:id="451" w:name="_Toc165448812"/>
      <w:r>
        <w:rPr>
          <w:rFonts w:hint="eastAsia" w:ascii="仿宋_GB2312" w:hAnsi="仿宋_GB2312" w:eastAsia="仿宋_GB2312" w:cs="仿宋_GB2312"/>
          <w:sz w:val="24"/>
          <w:szCs w:val="24"/>
        </w:rPr>
        <w:t>第二十一条</w:t>
      </w:r>
      <w:r>
        <w:rPr>
          <w:rFonts w:hint="eastAsia" w:ascii="仿宋_GB2312" w:hAnsi="仿宋_GB2312" w:eastAsia="仿宋_GB2312" w:cs="仿宋_GB2312"/>
          <w:b w:val="0"/>
          <w:sz w:val="24"/>
          <w:szCs w:val="24"/>
        </w:rPr>
        <w:t xml:space="preserve"> 账号控制</w:t>
      </w:r>
      <w:bookmarkEnd w:id="450"/>
      <w:bookmarkEnd w:id="451"/>
      <w:r>
        <w:rPr>
          <w:rFonts w:hint="eastAsia" w:ascii="仿宋_GB2312" w:hAnsi="仿宋_GB2312" w:eastAsia="仿宋_GB2312" w:cs="仿宋_GB2312"/>
          <w:b w:val="0"/>
          <w:sz w:val="24"/>
          <w:szCs w:val="24"/>
        </w:rPr>
        <w:t>：</w:t>
      </w:r>
    </w:p>
    <w:p w14:paraId="0349780D">
      <w:pPr>
        <w:widowControl/>
        <w:numPr>
          <w:ilvl w:val="0"/>
          <w:numId w:val="15"/>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第三方人员使用信息系统必须遵守信息系统使用的账号管理规定；</w:t>
      </w:r>
    </w:p>
    <w:p w14:paraId="4CC894F8">
      <w:pPr>
        <w:widowControl/>
        <w:numPr>
          <w:ilvl w:val="0"/>
          <w:numId w:val="15"/>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第三方人员必须保证信息系统账号的安全，不能泄露给无关的第三方；</w:t>
      </w:r>
    </w:p>
    <w:p w14:paraId="5D2E611E">
      <w:pPr>
        <w:widowControl/>
        <w:numPr>
          <w:ilvl w:val="0"/>
          <w:numId w:val="15"/>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第三方人员在工作人员变动时，必须向项目管理部门或人员报告，由安全管理员对账号进行安全处理。</w:t>
      </w:r>
    </w:p>
    <w:p w14:paraId="5EC4DCC1">
      <w:pPr>
        <w:pStyle w:val="4"/>
        <w:spacing w:line="360" w:lineRule="auto"/>
        <w:rPr>
          <w:rFonts w:ascii="仿宋_GB2312" w:hAnsi="仿宋_GB2312" w:eastAsia="仿宋_GB2312" w:cs="仿宋_GB2312"/>
          <w:sz w:val="24"/>
          <w:szCs w:val="24"/>
        </w:rPr>
      </w:pPr>
      <w:bookmarkStart w:id="452" w:name="_Toc164794931"/>
      <w:bookmarkStart w:id="453" w:name="_Toc165448813"/>
      <w:r>
        <w:rPr>
          <w:rFonts w:hint="eastAsia" w:ascii="仿宋_GB2312" w:hAnsi="仿宋_GB2312" w:eastAsia="仿宋_GB2312" w:cs="仿宋_GB2312"/>
          <w:sz w:val="24"/>
          <w:szCs w:val="24"/>
        </w:rPr>
        <w:t>第二十二条</w:t>
      </w:r>
      <w:r>
        <w:rPr>
          <w:rFonts w:hint="eastAsia" w:ascii="仿宋_GB2312" w:hAnsi="仿宋_GB2312" w:eastAsia="仿宋_GB2312" w:cs="仿宋_GB2312"/>
          <w:b w:val="0"/>
          <w:sz w:val="24"/>
          <w:szCs w:val="24"/>
        </w:rPr>
        <w:t xml:space="preserve"> 密码控制</w:t>
      </w:r>
      <w:bookmarkEnd w:id="452"/>
      <w:bookmarkEnd w:id="453"/>
      <w:r>
        <w:rPr>
          <w:rFonts w:hint="eastAsia" w:ascii="仿宋_GB2312" w:hAnsi="仿宋_GB2312" w:eastAsia="仿宋_GB2312" w:cs="仿宋_GB2312"/>
          <w:b w:val="0"/>
          <w:sz w:val="24"/>
          <w:szCs w:val="24"/>
        </w:rPr>
        <w:t>：</w:t>
      </w:r>
    </w:p>
    <w:p w14:paraId="6303DF63">
      <w:pPr>
        <w:widowControl/>
        <w:numPr>
          <w:ilvl w:val="0"/>
          <w:numId w:val="1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第三方人员必须保证密码不泄露，当不慎泄露密码时，应立即通知</w:t>
      </w:r>
      <w:r>
        <w:rPr>
          <w:rFonts w:hint="eastAsia" w:ascii="仿宋_GB2312" w:hAnsi="仿宋_GB2312" w:eastAsia="仿宋_GB2312" w:cs="仿宋_GB2312"/>
          <w:sz w:val="24"/>
          <w:szCs w:val="24"/>
        </w:rPr>
        <w:t>舟山市大数据管理局</w:t>
      </w:r>
      <w:r>
        <w:rPr>
          <w:rFonts w:hint="eastAsia" w:ascii="仿宋_GB2312" w:hAnsi="仿宋_GB2312" w:eastAsia="仿宋_GB2312" w:cs="仿宋_GB2312"/>
          <w:bCs/>
          <w:sz w:val="24"/>
          <w:szCs w:val="24"/>
        </w:rPr>
        <w:t>信息系统相关管理人员；</w:t>
      </w:r>
    </w:p>
    <w:p w14:paraId="735594CF">
      <w:pPr>
        <w:widowControl/>
        <w:numPr>
          <w:ilvl w:val="0"/>
          <w:numId w:val="16"/>
        </w:numPr>
        <w:spacing w:line="360" w:lineRule="auto"/>
        <w:ind w:left="1259"/>
        <w:jc w:val="left"/>
        <w:outlineLvl w:val="2"/>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服务提供的密码由信息系统相关管理员定期更换，更换后信息系统相关管理人员向第三方人员通知密码。</w:t>
      </w:r>
      <w:bookmarkEnd w:id="424"/>
      <w:bookmarkEnd w:id="425"/>
      <w:bookmarkEnd w:id="426"/>
    </w:p>
    <w:p w14:paraId="1AD8143E">
      <w:pPr>
        <w:pStyle w:val="3"/>
        <w:spacing w:line="360" w:lineRule="auto"/>
        <w:jc w:val="center"/>
        <w:rPr>
          <w:rFonts w:ascii="仿宋_GB2312" w:hAnsi="仿宋_GB2312" w:eastAsia="仿宋_GB2312" w:cs="仿宋_GB2312"/>
          <w:sz w:val="24"/>
          <w:szCs w:val="24"/>
        </w:rPr>
      </w:pPr>
      <w:bookmarkStart w:id="454" w:name="_Toc517876746"/>
      <w:bookmarkStart w:id="455" w:name="_Toc517876673"/>
      <w:bookmarkStart w:id="456" w:name="_Toc257192987"/>
      <w:r>
        <w:rPr>
          <w:rFonts w:hint="eastAsia" w:ascii="仿宋_GB2312" w:hAnsi="仿宋_GB2312" w:eastAsia="仿宋_GB2312" w:cs="仿宋_GB2312"/>
          <w:sz w:val="24"/>
          <w:szCs w:val="24"/>
        </w:rPr>
        <w:t>第十二章 持续改进</w:t>
      </w:r>
      <w:bookmarkEnd w:id="454"/>
      <w:bookmarkEnd w:id="455"/>
      <w:bookmarkEnd w:id="456"/>
    </w:p>
    <w:p w14:paraId="5F267E75">
      <w:pPr>
        <w:pStyle w:val="4"/>
        <w:spacing w:line="360" w:lineRule="auto"/>
        <w:rPr>
          <w:rFonts w:ascii="仿宋_GB2312" w:hAnsi="仿宋_GB2312" w:eastAsia="仿宋_GB2312" w:cs="仿宋_GB2312"/>
          <w:b w:val="0"/>
          <w:sz w:val="24"/>
          <w:szCs w:val="24"/>
        </w:rPr>
      </w:pPr>
      <w:r>
        <w:rPr>
          <w:rFonts w:hint="eastAsia" w:ascii="仿宋_GB2312" w:hAnsi="仿宋_GB2312" w:eastAsia="仿宋_GB2312" w:cs="仿宋_GB2312"/>
          <w:sz w:val="24"/>
          <w:szCs w:val="24"/>
        </w:rPr>
        <w:t>第二十三条</w:t>
      </w:r>
      <w:r>
        <w:rPr>
          <w:rFonts w:hint="eastAsia" w:ascii="仿宋_GB2312" w:hAnsi="仿宋_GB2312" w:eastAsia="仿宋_GB2312" w:cs="仿宋_GB2312"/>
          <w:b w:val="0"/>
          <w:sz w:val="24"/>
          <w:szCs w:val="24"/>
        </w:rPr>
        <w:t xml:space="preserve"> 为了保证本文件的时效性、可行性，必须根据相关审核规定进行评审和修订，修订后重新发布。</w:t>
      </w:r>
    </w:p>
    <w:p w14:paraId="3FAD6BED">
      <w:pPr>
        <w:pStyle w:val="3"/>
        <w:spacing w:line="360" w:lineRule="auto"/>
        <w:jc w:val="center"/>
        <w:rPr>
          <w:rFonts w:ascii="仿宋_GB2312" w:hAnsi="仿宋_GB2312" w:eastAsia="仿宋_GB2312" w:cs="仿宋_GB2312"/>
          <w:sz w:val="24"/>
          <w:szCs w:val="24"/>
        </w:rPr>
      </w:pPr>
      <w:bookmarkStart w:id="457" w:name="_Toc517876674"/>
      <w:bookmarkStart w:id="458" w:name="_Toc517876747"/>
      <w:bookmarkStart w:id="459" w:name="_Toc257192988"/>
      <w:r>
        <w:rPr>
          <w:rFonts w:hint="eastAsia" w:ascii="仿宋_GB2312" w:hAnsi="仿宋_GB2312" w:eastAsia="仿宋_GB2312" w:cs="仿宋_GB2312"/>
          <w:sz w:val="24"/>
          <w:szCs w:val="24"/>
        </w:rPr>
        <w:t>第十三章 附则</w:t>
      </w:r>
      <w:bookmarkEnd w:id="457"/>
      <w:bookmarkEnd w:id="458"/>
      <w:bookmarkEnd w:id="459"/>
    </w:p>
    <w:p w14:paraId="4D9AE3C8">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第二十四条</w:t>
      </w:r>
      <w:r>
        <w:rPr>
          <w:rFonts w:hint="eastAsia" w:ascii="仿宋_GB2312" w:hAnsi="仿宋_GB2312" w:eastAsia="仿宋_GB2312" w:cs="仿宋_GB2312"/>
          <w:b w:val="0"/>
          <w:sz w:val="24"/>
          <w:szCs w:val="24"/>
        </w:rPr>
        <w:t xml:space="preserve"> 本文件由舟山市大数据管理局负责制定、解释和修改。</w:t>
      </w:r>
    </w:p>
    <w:p w14:paraId="590584EC">
      <w:pPr>
        <w:pStyle w:val="4"/>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第二十五条</w:t>
      </w:r>
      <w:r>
        <w:rPr>
          <w:rFonts w:hint="eastAsia" w:ascii="仿宋_GB2312" w:hAnsi="仿宋_GB2312" w:eastAsia="仿宋_GB2312" w:cs="仿宋_GB2312"/>
          <w:b w:val="0"/>
          <w:sz w:val="24"/>
          <w:szCs w:val="24"/>
        </w:rPr>
        <w:t xml:space="preserve"> 本文件自发布之日起执行。</w:t>
      </w:r>
    </w:p>
    <w:p w14:paraId="119F43EE">
      <w:pPr>
        <w:pStyle w:val="3"/>
        <w:spacing w:line="360" w:lineRule="auto"/>
        <w:jc w:val="center"/>
        <w:rPr>
          <w:rFonts w:ascii="仿宋_GB2312" w:hAnsi="仿宋_GB2312" w:eastAsia="仿宋_GB2312" w:cs="仿宋_GB2312"/>
          <w:sz w:val="24"/>
          <w:szCs w:val="24"/>
          <w:lang w:val="en-GB"/>
        </w:rPr>
      </w:pPr>
      <w:bookmarkStart w:id="460" w:name="_Toc517876748"/>
      <w:bookmarkStart w:id="461" w:name="_Toc517876675"/>
      <w:r>
        <w:rPr>
          <w:rFonts w:hint="eastAsia" w:ascii="仿宋_GB2312" w:hAnsi="仿宋_GB2312" w:eastAsia="仿宋_GB2312" w:cs="仿宋_GB2312"/>
          <w:sz w:val="24"/>
          <w:szCs w:val="24"/>
        </w:rPr>
        <w:t>第十四章 附录</w:t>
      </w:r>
      <w:bookmarkEnd w:id="460"/>
      <w:bookmarkEnd w:id="461"/>
    </w:p>
    <w:p w14:paraId="00D67865">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附录一、第三方人员操作记录</w:t>
      </w:r>
    </w:p>
    <w:p w14:paraId="2ABB9C26">
      <w:pPr>
        <w:spacing w:line="360" w:lineRule="auto"/>
        <w:rPr>
          <w:rFonts w:ascii="仿宋_GB2312" w:hAnsi="仿宋_GB2312" w:eastAsia="仿宋_GB2312" w:cs="仿宋_GB2312"/>
          <w:sz w:val="28"/>
          <w:szCs w:val="28"/>
        </w:rPr>
      </w:pPr>
    </w:p>
    <w:p w14:paraId="09A2EC2D">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第三方人员操作记录表</w:t>
      </w:r>
    </w:p>
    <w:tbl>
      <w:tblPr>
        <w:tblStyle w:val="15"/>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1770"/>
        <w:gridCol w:w="1601"/>
        <w:gridCol w:w="1203"/>
        <w:gridCol w:w="1457"/>
      </w:tblGrid>
      <w:tr w14:paraId="15B5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vAlign w:val="center"/>
          </w:tcPr>
          <w:p w14:paraId="7B4126BF">
            <w:pPr>
              <w:pStyle w:val="24"/>
              <w:keepNext w:val="0"/>
              <w:keepLines w:val="0"/>
              <w:suppressLineNumbers w:val="0"/>
              <w:spacing w:before="120" w:beforeAutospacing="0" w:after="0" w:afterAutospacing="0" w:line="360" w:lineRule="auto"/>
              <w:ind w:left="0" w:leftChars="0" w:right="0" w:firstLine="0" w:firstLineChars="0"/>
              <w:jc w:val="center"/>
              <w:rPr>
                <w:rFonts w:hint="default"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操作人员</w:t>
            </w:r>
          </w:p>
        </w:tc>
        <w:tc>
          <w:tcPr>
            <w:tcW w:w="1329" w:type="dxa"/>
            <w:vAlign w:val="center"/>
          </w:tcPr>
          <w:p w14:paraId="4D1492D9">
            <w:pPr>
              <w:pStyle w:val="24"/>
              <w:keepNext w:val="0"/>
              <w:keepLines w:val="0"/>
              <w:suppressLineNumbers w:val="0"/>
              <w:spacing w:before="120" w:beforeAutospacing="0" w:after="0" w:afterAutospacing="0" w:line="360" w:lineRule="auto"/>
              <w:ind w:left="0" w:leftChars="0" w:right="0" w:firstLine="0" w:firstLineChars="0"/>
              <w:jc w:val="center"/>
              <w:rPr>
                <w:rFonts w:hint="default"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所属单位</w:t>
            </w:r>
          </w:p>
        </w:tc>
        <w:tc>
          <w:tcPr>
            <w:tcW w:w="1770" w:type="dxa"/>
            <w:vAlign w:val="center"/>
          </w:tcPr>
          <w:p w14:paraId="6F3FF6DC">
            <w:pPr>
              <w:pStyle w:val="24"/>
              <w:keepNext w:val="0"/>
              <w:keepLines w:val="0"/>
              <w:suppressLineNumbers w:val="0"/>
              <w:spacing w:before="120" w:beforeAutospacing="0" w:after="0" w:afterAutospacing="0" w:line="360" w:lineRule="auto"/>
              <w:ind w:left="0" w:leftChars="0" w:right="0" w:firstLine="0" w:firstLineChars="0"/>
              <w:jc w:val="center"/>
              <w:rPr>
                <w:rFonts w:hint="default"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操作事由</w:t>
            </w:r>
          </w:p>
        </w:tc>
        <w:tc>
          <w:tcPr>
            <w:tcW w:w="1601" w:type="dxa"/>
            <w:vAlign w:val="center"/>
          </w:tcPr>
          <w:p w14:paraId="6B4C0576">
            <w:pPr>
              <w:pStyle w:val="24"/>
              <w:keepNext w:val="0"/>
              <w:keepLines w:val="0"/>
              <w:suppressLineNumbers w:val="0"/>
              <w:spacing w:before="120" w:beforeAutospacing="0" w:after="0" w:afterAutospacing="0" w:line="360" w:lineRule="auto"/>
              <w:ind w:left="0" w:leftChars="0" w:right="0" w:firstLine="0" w:firstLineChars="0"/>
              <w:jc w:val="center"/>
              <w:rPr>
                <w:rFonts w:hint="default"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操作设备名</w:t>
            </w:r>
          </w:p>
        </w:tc>
        <w:tc>
          <w:tcPr>
            <w:tcW w:w="1203" w:type="dxa"/>
            <w:vAlign w:val="center"/>
          </w:tcPr>
          <w:p w14:paraId="2A6C529B">
            <w:pPr>
              <w:pStyle w:val="24"/>
              <w:keepNext w:val="0"/>
              <w:keepLines w:val="0"/>
              <w:suppressLineNumbers w:val="0"/>
              <w:spacing w:before="120" w:beforeAutospacing="0" w:after="0" w:afterAutospacing="0" w:line="360" w:lineRule="auto"/>
              <w:ind w:left="0" w:leftChars="0" w:right="0" w:firstLine="0" w:firstLineChars="0"/>
              <w:jc w:val="center"/>
              <w:rPr>
                <w:rFonts w:hint="default"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操作内容</w:t>
            </w:r>
          </w:p>
        </w:tc>
        <w:tc>
          <w:tcPr>
            <w:tcW w:w="1457" w:type="dxa"/>
            <w:vAlign w:val="center"/>
          </w:tcPr>
          <w:p w14:paraId="74F5976A">
            <w:pPr>
              <w:pStyle w:val="24"/>
              <w:keepNext w:val="0"/>
              <w:keepLines w:val="0"/>
              <w:suppressLineNumbers w:val="0"/>
              <w:spacing w:before="120" w:beforeAutospacing="0" w:after="0" w:afterAutospacing="0" w:line="360" w:lineRule="auto"/>
              <w:ind w:left="0" w:leftChars="0" w:right="0" w:firstLine="0" w:firstLineChars="0"/>
              <w:jc w:val="center"/>
              <w:rPr>
                <w:rFonts w:hint="default"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陪同人员</w:t>
            </w:r>
          </w:p>
        </w:tc>
      </w:tr>
      <w:tr w14:paraId="7E7E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tcPr>
          <w:p w14:paraId="4E5B11D9">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329" w:type="dxa"/>
          </w:tcPr>
          <w:p w14:paraId="7DDA6F5A">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770" w:type="dxa"/>
          </w:tcPr>
          <w:p w14:paraId="16BB62DA">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601" w:type="dxa"/>
          </w:tcPr>
          <w:p w14:paraId="581582D5">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203" w:type="dxa"/>
          </w:tcPr>
          <w:p w14:paraId="46BFBAE9">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457" w:type="dxa"/>
          </w:tcPr>
          <w:p w14:paraId="28C621F9">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r>
      <w:tr w14:paraId="5567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tcPr>
          <w:p w14:paraId="41BC2AA0">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329" w:type="dxa"/>
          </w:tcPr>
          <w:p w14:paraId="70BFA978">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770" w:type="dxa"/>
          </w:tcPr>
          <w:p w14:paraId="5B6DBA1C">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601" w:type="dxa"/>
          </w:tcPr>
          <w:p w14:paraId="2EA83FE3">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203" w:type="dxa"/>
          </w:tcPr>
          <w:p w14:paraId="01A7EF45">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457" w:type="dxa"/>
          </w:tcPr>
          <w:p w14:paraId="02FC6D70">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r>
      <w:tr w14:paraId="1EEB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tcPr>
          <w:p w14:paraId="6AC1E717">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329" w:type="dxa"/>
          </w:tcPr>
          <w:p w14:paraId="4A7901D6">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770" w:type="dxa"/>
          </w:tcPr>
          <w:p w14:paraId="5A5D2A23">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601" w:type="dxa"/>
          </w:tcPr>
          <w:p w14:paraId="4D55AF8C">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203" w:type="dxa"/>
          </w:tcPr>
          <w:p w14:paraId="11FE2982">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457" w:type="dxa"/>
          </w:tcPr>
          <w:p w14:paraId="7B3E6B10">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r>
      <w:tr w14:paraId="3BA7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tcPr>
          <w:p w14:paraId="04EFB5EF">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329" w:type="dxa"/>
          </w:tcPr>
          <w:p w14:paraId="74EA5769">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770" w:type="dxa"/>
          </w:tcPr>
          <w:p w14:paraId="76424C38">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601" w:type="dxa"/>
          </w:tcPr>
          <w:p w14:paraId="53913E4A">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203" w:type="dxa"/>
          </w:tcPr>
          <w:p w14:paraId="36FE0A06">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457" w:type="dxa"/>
          </w:tcPr>
          <w:p w14:paraId="1155D85D">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r>
      <w:tr w14:paraId="28CE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tcPr>
          <w:p w14:paraId="6D84057B">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329" w:type="dxa"/>
          </w:tcPr>
          <w:p w14:paraId="4F76BD4A">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770" w:type="dxa"/>
          </w:tcPr>
          <w:p w14:paraId="146599CE">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601" w:type="dxa"/>
          </w:tcPr>
          <w:p w14:paraId="74B255B7">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203" w:type="dxa"/>
          </w:tcPr>
          <w:p w14:paraId="0678E863">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457" w:type="dxa"/>
          </w:tcPr>
          <w:p w14:paraId="50A53597">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r>
      <w:tr w14:paraId="1C0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tcPr>
          <w:p w14:paraId="69CC5396">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329" w:type="dxa"/>
          </w:tcPr>
          <w:p w14:paraId="264CB975">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770" w:type="dxa"/>
          </w:tcPr>
          <w:p w14:paraId="43056B1F">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601" w:type="dxa"/>
          </w:tcPr>
          <w:p w14:paraId="0563F8C0">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203" w:type="dxa"/>
          </w:tcPr>
          <w:p w14:paraId="5DD9EDF0">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457" w:type="dxa"/>
          </w:tcPr>
          <w:p w14:paraId="60A90928">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r>
      <w:tr w14:paraId="2E94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tcPr>
          <w:p w14:paraId="5755A1E0">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329" w:type="dxa"/>
          </w:tcPr>
          <w:p w14:paraId="3E4FCED9">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770" w:type="dxa"/>
          </w:tcPr>
          <w:p w14:paraId="7D102DFC">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601" w:type="dxa"/>
          </w:tcPr>
          <w:p w14:paraId="09A075E4">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203" w:type="dxa"/>
          </w:tcPr>
          <w:p w14:paraId="0ADF5E0C">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c>
          <w:tcPr>
            <w:tcW w:w="1457" w:type="dxa"/>
          </w:tcPr>
          <w:p w14:paraId="018D2071">
            <w:pPr>
              <w:pStyle w:val="24"/>
              <w:keepNext w:val="0"/>
              <w:keepLines w:val="0"/>
              <w:suppressLineNumbers w:val="0"/>
              <w:spacing w:before="120" w:beforeAutospacing="0" w:after="0" w:afterAutospacing="0" w:line="360" w:lineRule="auto"/>
              <w:ind w:left="0" w:leftChars="0" w:right="0" w:firstLine="0" w:firstLineChars="0"/>
              <w:rPr>
                <w:rFonts w:hint="default" w:ascii="仿宋_GB2312" w:hAnsi="仿宋_GB2312" w:eastAsia="仿宋_GB2312" w:cs="仿宋_GB2312"/>
                <w:color w:val="000000"/>
                <w:sz w:val="28"/>
                <w:szCs w:val="28"/>
              </w:rPr>
            </w:pPr>
          </w:p>
        </w:tc>
      </w:tr>
    </w:tbl>
    <w:p w14:paraId="68BD584C">
      <w:pPr>
        <w:spacing w:line="360" w:lineRule="auto"/>
        <w:rPr>
          <w:rFonts w:ascii="仿宋_GB2312" w:hAnsi="仿宋_GB2312" w:eastAsia="仿宋_GB2312" w:cs="仿宋_GB2312"/>
          <w:sz w:val="28"/>
          <w:szCs w:val="28"/>
          <w:lang w:val="en-GB"/>
        </w:rPr>
        <w:sectPr>
          <w:footerReference r:id="rId10" w:type="default"/>
          <w:pgSz w:w="11906" w:h="16838"/>
          <w:pgMar w:top="1418" w:right="1418" w:bottom="1247" w:left="1418" w:header="851" w:footer="567" w:gutter="0"/>
          <w:cols w:space="720" w:num="1"/>
          <w:docGrid w:type="lines" w:linePitch="312" w:charSpace="0"/>
        </w:sectPr>
      </w:pPr>
    </w:p>
    <w:p w14:paraId="741DD48F">
      <w:pPr>
        <w:pStyle w:val="21"/>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合同附件2</w:t>
      </w:r>
    </w:p>
    <w:p w14:paraId="00102E6D">
      <w:pPr>
        <w:rPr>
          <w:rFonts w:ascii="仿宋_GB2312" w:hAnsi="仿宋_GB2312" w:eastAsia="仿宋_GB2312" w:cs="仿宋_GB2312"/>
          <w:sz w:val="28"/>
          <w:szCs w:val="28"/>
        </w:rPr>
      </w:pPr>
    </w:p>
    <w:p w14:paraId="752CD68A">
      <w:pPr>
        <w:spacing w:line="36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舟山市公共数据安全风险发现与处置工作细则</w:t>
      </w:r>
    </w:p>
    <w:p w14:paraId="0D3B9633">
      <w:pPr>
        <w:pStyle w:val="4"/>
        <w:tabs>
          <w:tab w:val="left" w:pos="1259"/>
        </w:tabs>
        <w:spacing w:line="360" w:lineRule="auto"/>
        <w:ind w:right="323"/>
        <w:jc w:val="center"/>
        <w:rPr>
          <w:rFonts w:ascii="仿宋_GB2312" w:hAnsi="仿宋_GB2312" w:eastAsia="仿宋_GB2312" w:cs="仿宋_GB2312"/>
          <w:sz w:val="28"/>
        </w:rPr>
      </w:pPr>
      <w:r>
        <w:rPr>
          <w:rFonts w:hint="eastAsia" w:ascii="仿宋_GB2312" w:hAnsi="仿宋_GB2312" w:eastAsia="仿宋_GB2312" w:cs="仿宋_GB2312"/>
          <w:sz w:val="28"/>
        </w:rPr>
        <w:t>第一章</w:t>
      </w:r>
      <w:r>
        <w:rPr>
          <w:rFonts w:hint="eastAsia" w:ascii="仿宋_GB2312" w:hAnsi="仿宋_GB2312" w:eastAsia="仿宋_GB2312" w:cs="仿宋_GB2312"/>
          <w:sz w:val="28"/>
        </w:rPr>
        <w:tab/>
      </w:r>
      <w:r>
        <w:rPr>
          <w:rFonts w:hint="eastAsia" w:ascii="仿宋_GB2312" w:hAnsi="仿宋_GB2312" w:eastAsia="仿宋_GB2312" w:cs="仿宋_GB2312"/>
          <w:sz w:val="28"/>
        </w:rPr>
        <w:t>总则</w:t>
      </w:r>
    </w:p>
    <w:p w14:paraId="5807D6AF">
      <w:pPr>
        <w:spacing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第一条</w:t>
      </w:r>
      <w:r>
        <w:rPr>
          <w:rFonts w:hint="eastAsia" w:ascii="仿宋_GB2312" w:hAnsi="仿宋_GB2312" w:eastAsia="仿宋_GB2312" w:cs="仿宋_GB2312"/>
          <w:sz w:val="24"/>
          <w:szCs w:val="24"/>
        </w:rPr>
        <w:t xml:space="preserve"> 为加强公共数据安全管理，建立健全公共数据安全</w:t>
      </w:r>
      <w:r>
        <w:rPr>
          <w:rFonts w:hint="eastAsia" w:ascii="仿宋_GB2312" w:hAnsi="仿宋_GB2312" w:eastAsia="仿宋_GB2312" w:cs="仿宋_GB2312"/>
          <w:w w:val="95"/>
          <w:sz w:val="24"/>
          <w:szCs w:val="24"/>
        </w:rPr>
        <w:t>保障体系</w:t>
      </w:r>
      <w:r>
        <w:rPr>
          <w:rFonts w:hint="eastAsia" w:ascii="仿宋_GB2312" w:hAnsi="仿宋_GB2312" w:eastAsia="仿宋_GB2312" w:cs="仿宋_GB2312"/>
          <w:spacing w:val="-27"/>
          <w:w w:val="95"/>
          <w:sz w:val="24"/>
          <w:szCs w:val="24"/>
        </w:rPr>
        <w:t>，</w:t>
      </w:r>
      <w:r>
        <w:rPr>
          <w:rFonts w:hint="eastAsia" w:ascii="仿宋_GB2312" w:hAnsi="仿宋_GB2312" w:eastAsia="仿宋_GB2312" w:cs="仿宋_GB2312"/>
          <w:w w:val="95"/>
          <w:sz w:val="24"/>
          <w:szCs w:val="24"/>
        </w:rPr>
        <w:t>完善公共数据风险发现和处置机制</w:t>
      </w:r>
      <w:r>
        <w:rPr>
          <w:rFonts w:hint="eastAsia" w:ascii="仿宋_GB2312" w:hAnsi="仿宋_GB2312" w:eastAsia="仿宋_GB2312" w:cs="仿宋_GB2312"/>
          <w:spacing w:val="-27"/>
          <w:w w:val="95"/>
          <w:sz w:val="24"/>
          <w:szCs w:val="24"/>
        </w:rPr>
        <w:t>，</w:t>
      </w:r>
      <w:r>
        <w:rPr>
          <w:rFonts w:hint="eastAsia" w:ascii="仿宋_GB2312" w:hAnsi="仿宋_GB2312" w:eastAsia="仿宋_GB2312" w:cs="仿宋_GB2312"/>
          <w:w w:val="95"/>
          <w:sz w:val="24"/>
          <w:szCs w:val="24"/>
        </w:rPr>
        <w:t>防患于未然，</w:t>
      </w:r>
      <w:r>
        <w:rPr>
          <w:rFonts w:hint="eastAsia" w:ascii="仿宋_GB2312" w:hAnsi="仿宋_GB2312" w:eastAsia="仿宋_GB2312" w:cs="仿宋_GB2312"/>
          <w:spacing w:val="5"/>
          <w:sz w:val="24"/>
          <w:szCs w:val="24"/>
        </w:rPr>
        <w:t>依据《中华人民共</w:t>
      </w:r>
      <w:r>
        <w:rPr>
          <w:rFonts w:hint="eastAsia" w:ascii="仿宋_GB2312" w:hAnsi="仿宋_GB2312" w:eastAsia="仿宋_GB2312" w:cs="仿宋_GB2312"/>
          <w:sz w:val="24"/>
          <w:szCs w:val="24"/>
        </w:rPr>
        <w:t>和</w:t>
      </w:r>
      <w:r>
        <w:rPr>
          <w:rFonts w:hint="eastAsia" w:ascii="仿宋_GB2312" w:hAnsi="仿宋_GB2312" w:eastAsia="仿宋_GB2312" w:cs="仿宋_GB2312"/>
          <w:spacing w:val="5"/>
          <w:sz w:val="24"/>
          <w:szCs w:val="24"/>
        </w:rPr>
        <w:t>国网络安全法》《中华人民共和</w:t>
      </w:r>
      <w:r>
        <w:rPr>
          <w:rFonts w:hint="eastAsia" w:ascii="仿宋_GB2312" w:hAnsi="仿宋_GB2312" w:eastAsia="仿宋_GB2312" w:cs="仿宋_GB2312"/>
          <w:sz w:val="24"/>
          <w:szCs w:val="24"/>
        </w:rPr>
        <w:t>国</w:t>
      </w:r>
      <w:r>
        <w:rPr>
          <w:rFonts w:hint="eastAsia" w:ascii="仿宋_GB2312" w:hAnsi="仿宋_GB2312" w:eastAsia="仿宋_GB2312" w:cs="仿宋_GB2312"/>
          <w:spacing w:val="5"/>
          <w:sz w:val="24"/>
          <w:szCs w:val="24"/>
        </w:rPr>
        <w:t>数据安</w:t>
      </w:r>
      <w:r>
        <w:rPr>
          <w:rFonts w:hint="eastAsia" w:ascii="仿宋_GB2312" w:hAnsi="仿宋_GB2312" w:eastAsia="仿宋_GB2312" w:cs="仿宋_GB2312"/>
          <w:sz w:val="24"/>
          <w:szCs w:val="24"/>
        </w:rPr>
        <w:t>全</w:t>
      </w:r>
      <w:r>
        <w:rPr>
          <w:rFonts w:hint="eastAsia" w:ascii="仿宋_GB2312" w:hAnsi="仿宋_GB2312" w:eastAsia="仿宋_GB2312" w:cs="仿宋_GB2312"/>
          <w:spacing w:val="5"/>
          <w:sz w:val="24"/>
          <w:szCs w:val="24"/>
        </w:rPr>
        <w:t>法》《浙江省公共</w:t>
      </w:r>
      <w:r>
        <w:rPr>
          <w:rFonts w:hint="eastAsia" w:ascii="仿宋_GB2312" w:hAnsi="仿宋_GB2312" w:eastAsia="仿宋_GB2312" w:cs="仿宋_GB2312"/>
          <w:sz w:val="24"/>
          <w:szCs w:val="24"/>
        </w:rPr>
        <w:t>数</w:t>
      </w:r>
      <w:r>
        <w:rPr>
          <w:rFonts w:hint="eastAsia" w:ascii="仿宋_GB2312" w:hAnsi="仿宋_GB2312" w:eastAsia="仿宋_GB2312" w:cs="仿宋_GB2312"/>
          <w:spacing w:val="5"/>
          <w:sz w:val="24"/>
          <w:szCs w:val="24"/>
        </w:rPr>
        <w:t>据和电子政务管理办法》《浙江省</w:t>
      </w:r>
      <w:r>
        <w:rPr>
          <w:rFonts w:hint="eastAsia" w:ascii="仿宋_GB2312" w:hAnsi="仿宋_GB2312" w:eastAsia="仿宋_GB2312" w:cs="仿宋_GB2312"/>
          <w:sz w:val="24"/>
          <w:szCs w:val="24"/>
        </w:rPr>
        <w:t>公</w:t>
      </w:r>
      <w:r>
        <w:rPr>
          <w:rFonts w:hint="eastAsia" w:ascii="仿宋_GB2312" w:hAnsi="仿宋_GB2312" w:eastAsia="仿宋_GB2312" w:cs="仿宋_GB2312"/>
          <w:spacing w:val="5"/>
          <w:sz w:val="24"/>
          <w:szCs w:val="24"/>
        </w:rPr>
        <w:t>共数</w:t>
      </w:r>
      <w:r>
        <w:rPr>
          <w:rFonts w:hint="eastAsia" w:ascii="仿宋_GB2312" w:hAnsi="仿宋_GB2312" w:eastAsia="仿宋_GB2312" w:cs="仿宋_GB2312"/>
          <w:sz w:val="24"/>
          <w:szCs w:val="24"/>
        </w:rPr>
        <w:t>据</w:t>
      </w:r>
      <w:r>
        <w:rPr>
          <w:rFonts w:hint="eastAsia" w:ascii="仿宋_GB2312" w:hAnsi="仿宋_GB2312" w:eastAsia="仿宋_GB2312" w:cs="仿宋_GB2312"/>
          <w:spacing w:val="5"/>
          <w:sz w:val="24"/>
          <w:szCs w:val="24"/>
        </w:rPr>
        <w:t>开放与安全管理暂</w:t>
      </w:r>
      <w:r>
        <w:rPr>
          <w:rFonts w:hint="eastAsia" w:ascii="仿宋_GB2312" w:hAnsi="仿宋_GB2312" w:eastAsia="仿宋_GB2312" w:cs="仿宋_GB2312"/>
          <w:sz w:val="24"/>
          <w:szCs w:val="24"/>
        </w:rPr>
        <w:t>行</w:t>
      </w:r>
      <w:r>
        <w:rPr>
          <w:rFonts w:hint="eastAsia" w:ascii="仿宋_GB2312" w:hAnsi="仿宋_GB2312" w:eastAsia="仿宋_GB2312" w:cs="仿宋_GB2312"/>
          <w:spacing w:val="5"/>
          <w:sz w:val="24"/>
          <w:szCs w:val="24"/>
        </w:rPr>
        <w:t>办法》《浙江省公共数据</w:t>
      </w:r>
      <w:r>
        <w:rPr>
          <w:rFonts w:hint="eastAsia" w:ascii="仿宋_GB2312" w:hAnsi="仿宋_GB2312" w:eastAsia="仿宋_GB2312" w:cs="仿宋_GB2312"/>
          <w:sz w:val="24"/>
          <w:szCs w:val="24"/>
        </w:rPr>
        <w:t>安</w:t>
      </w:r>
      <w:r>
        <w:rPr>
          <w:rFonts w:hint="eastAsia" w:ascii="仿宋_GB2312" w:hAnsi="仿宋_GB2312" w:eastAsia="仿宋_GB2312" w:cs="仿宋_GB2312"/>
          <w:spacing w:val="5"/>
          <w:sz w:val="24"/>
          <w:szCs w:val="24"/>
        </w:rPr>
        <w:t>全管理总则（</w:t>
      </w:r>
      <w:r>
        <w:rPr>
          <w:rFonts w:hint="eastAsia" w:ascii="仿宋_GB2312" w:hAnsi="仿宋_GB2312" w:eastAsia="仿宋_GB2312" w:cs="仿宋_GB2312"/>
          <w:sz w:val="24"/>
          <w:szCs w:val="24"/>
        </w:rPr>
        <w:t>试行）》《浙江省公共数据条例》等有关法律法规的规定，结合舟山实际，制定本细则。</w:t>
      </w:r>
    </w:p>
    <w:p w14:paraId="290439C9">
      <w:pPr>
        <w:pStyle w:val="7"/>
        <w:tabs>
          <w:tab w:val="left" w:pos="2107"/>
        </w:tabs>
        <w:spacing w:line="360" w:lineRule="auto"/>
        <w:ind w:left="747"/>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第二条 数据安全事件定义</w:t>
      </w:r>
    </w:p>
    <w:p w14:paraId="3D0AEEC8">
      <w:pPr>
        <w:pStyle w:val="7"/>
        <w:spacing w:before="139" w:line="360" w:lineRule="auto"/>
        <w:ind w:right="429" w:firstLine="638"/>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（一）网络突然发生中断导致数据库故障，如停电、线路故 障、网络通信设备损坏等。</w:t>
      </w:r>
    </w:p>
    <w:p w14:paraId="6A47A10F">
      <w:pPr>
        <w:pStyle w:val="7"/>
        <w:spacing w:line="360" w:lineRule="auto"/>
        <w:ind w:right="195" w:firstLine="638"/>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（二）本系统网络受到黑客攻击，数据被恶意篡改、交互式栏目里发表有煽动分裂国家、破坏国家统一和民族团结、推翻社会主义制度；煽动抗拒、破坏宪法和国家法律、行政法规的实施； 捏造或者歪曲事实，故意散布谣言，扰乱秩序；破坏社会稳定的信息及损害国家声誉和稳定的谣言等。</w:t>
      </w:r>
    </w:p>
    <w:p w14:paraId="485CDFBA">
      <w:pPr>
        <w:pStyle w:val="7"/>
        <w:spacing w:before="185" w:line="360" w:lineRule="auto"/>
        <w:ind w:firstLine="500" w:firstLineChars="200"/>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（三）由于不可抗力对政务系统造成物理破坏而导致的公共数据安全事件。包括水灾、台风、地震、雷击、坍塌、火灾、恐怖袭击、战争等导致的公共数据安全事件。</w:t>
      </w:r>
    </w:p>
    <w:p w14:paraId="3B2BC57B">
      <w:pPr>
        <w:pStyle w:val="7"/>
        <w:spacing w:before="185" w:line="360" w:lineRule="auto"/>
        <w:ind w:firstLine="500" w:firstLineChars="200"/>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四）由于信息系统自身故障或外围保障设施故障而导致的数据安全事件，以及人为的使用非技术手段有意或无意的造成政务系统破坏而导致的数据安全事件。包括软硬件自身故障、外围保障设施故障、人为破坏事故和其它设备设施故障。</w:t>
      </w:r>
    </w:p>
    <w:p w14:paraId="2050DC08">
      <w:pPr>
        <w:pStyle w:val="7"/>
        <w:spacing w:before="185" w:line="360" w:lineRule="auto"/>
        <w:ind w:firstLine="500" w:firstLineChars="200"/>
        <w:rPr>
          <w:rFonts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（五）其他不能归为以上基本分类的数据安全事件。</w:t>
      </w:r>
    </w:p>
    <w:p w14:paraId="0BB6A67B">
      <w:pPr>
        <w:pStyle w:val="7"/>
        <w:tabs>
          <w:tab w:val="left" w:pos="1360"/>
        </w:tabs>
        <w:spacing w:before="152" w:line="360" w:lineRule="auto"/>
        <w:ind w:right="3650" w:firstLine="753" w:firstLineChars="300"/>
        <w:rPr>
          <w:rFonts w:ascii="仿宋_GB2312" w:hAnsi="仿宋_GB2312" w:eastAsia="仿宋_GB2312" w:cs="仿宋_GB2312"/>
          <w:sz w:val="24"/>
          <w:szCs w:val="24"/>
        </w:rPr>
      </w:pPr>
      <w:r>
        <w:rPr>
          <w:rFonts w:hint="eastAsia" w:ascii="仿宋_GB2312" w:hAnsi="仿宋_GB2312" w:eastAsia="仿宋_GB2312" w:cs="仿宋_GB2312"/>
          <w:b/>
          <w:bCs/>
          <w:spacing w:val="5"/>
          <w:sz w:val="24"/>
          <w:szCs w:val="24"/>
        </w:rPr>
        <w:t xml:space="preserve">第三条 </w:t>
      </w:r>
      <w:r>
        <w:rPr>
          <w:rFonts w:hint="eastAsia" w:ascii="仿宋_GB2312" w:hAnsi="仿宋_GB2312" w:eastAsia="仿宋_GB2312" w:cs="仿宋_GB2312"/>
          <w:w w:val="95"/>
          <w:sz w:val="24"/>
          <w:szCs w:val="24"/>
        </w:rPr>
        <w:t>编制依据及规范性引用文件</w:t>
      </w:r>
    </w:p>
    <w:p w14:paraId="08977154">
      <w:pPr>
        <w:pStyle w:val="7"/>
        <w:spacing w:before="149" w:line="360" w:lineRule="auto"/>
        <w:ind w:right="427" w:firstLine="638"/>
        <w:rPr>
          <w:rFonts w:ascii="仿宋_GB2312" w:hAnsi="仿宋_GB2312" w:eastAsia="仿宋_GB2312" w:cs="仿宋_GB2312"/>
          <w:sz w:val="24"/>
          <w:szCs w:val="24"/>
        </w:rPr>
      </w:pPr>
      <w:r>
        <w:rPr>
          <w:rFonts w:hint="eastAsia" w:ascii="仿宋_GB2312" w:hAnsi="仿宋_GB2312" w:eastAsia="仿宋_GB2312" w:cs="仿宋_GB2312"/>
          <w:w w:val="95"/>
          <w:sz w:val="24"/>
          <w:szCs w:val="24"/>
        </w:rPr>
        <w:t>（一）</w:t>
      </w:r>
      <w:r>
        <w:rPr>
          <w:rFonts w:hint="eastAsia" w:ascii="仿宋_GB2312" w:hAnsi="仿宋_GB2312" w:eastAsia="仿宋_GB2312" w:cs="仿宋_GB2312"/>
          <w:spacing w:val="4"/>
          <w:w w:val="95"/>
          <w:sz w:val="24"/>
          <w:szCs w:val="24"/>
        </w:rPr>
        <w:t xml:space="preserve">《浙江省深化“最多跑一次”改革推进政府数字化转 </w:t>
      </w:r>
      <w:r>
        <w:rPr>
          <w:rFonts w:hint="eastAsia" w:ascii="仿宋_GB2312" w:hAnsi="仿宋_GB2312" w:eastAsia="仿宋_GB2312" w:cs="仿宋_GB2312"/>
          <w:sz w:val="24"/>
          <w:szCs w:val="24"/>
        </w:rPr>
        <w:t>型工作总体方案》(浙政发〔2018〕48</w:t>
      </w:r>
      <w:r>
        <w:rPr>
          <w:rFonts w:hint="eastAsia" w:ascii="仿宋_GB2312" w:hAnsi="仿宋_GB2312" w:eastAsia="仿宋_GB2312" w:cs="仿宋_GB2312"/>
          <w:spacing w:val="-1"/>
          <w:sz w:val="24"/>
          <w:szCs w:val="24"/>
        </w:rPr>
        <w:t xml:space="preserve"> 号)</w:t>
      </w:r>
    </w:p>
    <w:p w14:paraId="10CA4791">
      <w:pPr>
        <w:pStyle w:val="7"/>
        <w:spacing w:before="6" w:line="360" w:lineRule="auto"/>
        <w:ind w:right="427" w:firstLine="638"/>
        <w:rPr>
          <w:rFonts w:ascii="仿宋_GB2312" w:hAnsi="仿宋_GB2312" w:eastAsia="仿宋_GB2312" w:cs="仿宋_GB2312"/>
          <w:sz w:val="24"/>
          <w:szCs w:val="24"/>
        </w:rPr>
      </w:pPr>
      <w:r>
        <w:rPr>
          <w:rFonts w:hint="eastAsia" w:ascii="仿宋_GB2312" w:hAnsi="仿宋_GB2312" w:eastAsia="仿宋_GB2312" w:cs="仿宋_GB2312"/>
          <w:w w:val="95"/>
          <w:sz w:val="24"/>
          <w:szCs w:val="24"/>
        </w:rPr>
        <w:t>（二）</w:t>
      </w:r>
      <w:r>
        <w:rPr>
          <w:rFonts w:hint="eastAsia" w:ascii="仿宋_GB2312" w:hAnsi="仿宋_GB2312" w:eastAsia="仿宋_GB2312" w:cs="仿宋_GB2312"/>
          <w:spacing w:val="-3"/>
          <w:w w:val="95"/>
          <w:sz w:val="24"/>
          <w:szCs w:val="24"/>
        </w:rPr>
        <w:t xml:space="preserve">《浙江省公共数据开放与安全管理暂行办法》(省政府 </w:t>
      </w:r>
      <w:r>
        <w:rPr>
          <w:rFonts w:hint="eastAsia" w:ascii="仿宋_GB2312" w:hAnsi="仿宋_GB2312" w:eastAsia="仿宋_GB2312" w:cs="仿宋_GB2312"/>
          <w:spacing w:val="-3"/>
          <w:sz w:val="24"/>
          <w:szCs w:val="24"/>
        </w:rPr>
        <w:t>令第 381</w:t>
      </w:r>
      <w:r>
        <w:rPr>
          <w:rFonts w:hint="eastAsia" w:ascii="仿宋_GB2312" w:hAnsi="仿宋_GB2312" w:eastAsia="仿宋_GB2312" w:cs="仿宋_GB2312"/>
          <w:spacing w:val="-1"/>
          <w:sz w:val="24"/>
          <w:szCs w:val="24"/>
        </w:rPr>
        <w:t xml:space="preserve"> 号)</w:t>
      </w:r>
    </w:p>
    <w:p w14:paraId="57A6F37A">
      <w:pPr>
        <w:pStyle w:val="7"/>
        <w:spacing w:before="3" w:line="360" w:lineRule="auto"/>
        <w:ind w:left="747"/>
        <w:rPr>
          <w:rFonts w:ascii="仿宋_GB2312" w:hAnsi="仿宋_GB2312" w:eastAsia="仿宋_GB2312" w:cs="仿宋_GB2312"/>
          <w:sz w:val="24"/>
          <w:szCs w:val="24"/>
        </w:rPr>
      </w:pPr>
      <w:r>
        <w:rPr>
          <w:rFonts w:hint="eastAsia" w:ascii="仿宋_GB2312" w:hAnsi="仿宋_GB2312" w:eastAsia="仿宋_GB2312" w:cs="仿宋_GB2312"/>
          <w:sz w:val="24"/>
          <w:szCs w:val="24"/>
        </w:rPr>
        <w:t>（三）《信息网络攻击事件管理指南》(GB/Z20985-2007)</w:t>
      </w:r>
    </w:p>
    <w:p w14:paraId="7A8BD17F">
      <w:pPr>
        <w:pStyle w:val="7"/>
        <w:spacing w:before="151" w:line="360" w:lineRule="auto"/>
        <w:ind w:left="747"/>
        <w:rPr>
          <w:rFonts w:ascii="仿宋_GB2312" w:hAnsi="仿宋_GB2312" w:eastAsia="仿宋_GB2312" w:cs="仿宋_GB2312"/>
          <w:sz w:val="24"/>
          <w:szCs w:val="24"/>
        </w:rPr>
      </w:pPr>
      <w:r>
        <w:rPr>
          <w:rFonts w:hint="eastAsia" w:ascii="仿宋_GB2312" w:hAnsi="仿宋_GB2312" w:eastAsia="仿宋_GB2312" w:cs="仿宋_GB2312"/>
          <w:sz w:val="24"/>
          <w:szCs w:val="24"/>
        </w:rPr>
        <w:t>（四）《浙江省公共数据条例》</w:t>
      </w:r>
    </w:p>
    <w:p w14:paraId="35C53214">
      <w:pPr>
        <w:pStyle w:val="7"/>
        <w:spacing w:before="149" w:line="360" w:lineRule="auto"/>
        <w:ind w:left="747"/>
        <w:rPr>
          <w:rFonts w:ascii="仿宋_GB2312" w:hAnsi="仿宋_GB2312" w:eastAsia="仿宋_GB2312" w:cs="仿宋_GB2312"/>
          <w:sz w:val="24"/>
          <w:szCs w:val="24"/>
        </w:rPr>
      </w:pPr>
      <w:r>
        <w:rPr>
          <w:rFonts w:hint="eastAsia" w:ascii="仿宋_GB2312" w:hAnsi="仿宋_GB2312" w:eastAsia="仿宋_GB2312" w:cs="仿宋_GB2312"/>
          <w:sz w:val="24"/>
          <w:szCs w:val="24"/>
        </w:rPr>
        <w:t>（五）《国家网络与信息安全事件应急预案》</w:t>
      </w:r>
    </w:p>
    <w:p w14:paraId="640B50E7">
      <w:pPr>
        <w:pStyle w:val="7"/>
        <w:numPr>
          <w:ilvl w:val="0"/>
          <w:numId w:val="17"/>
        </w:numPr>
        <w:spacing w:before="149" w:line="360" w:lineRule="auto"/>
        <w:ind w:left="74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组织建设</w:t>
      </w:r>
    </w:p>
    <w:p w14:paraId="041F868E">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第五条</w:t>
      </w:r>
      <w:r>
        <w:rPr>
          <w:rFonts w:hint="eastAsia" w:ascii="仿宋_GB2312" w:hAnsi="仿宋_GB2312" w:eastAsia="仿宋_GB2312" w:cs="仿宋_GB2312"/>
          <w:sz w:val="24"/>
          <w:szCs w:val="24"/>
        </w:rPr>
        <w:t xml:space="preserve"> 舟山市大数据发展管理局负责对本市公共数据风险的总体把控，并出具相应的整改意见及建议；负责本市政务系统网络安全突发事件的应急指挥、协调、监督管理、事件处置的具体实施；组织突发事件期间相关设备的准备和调拨，协调紧急资源的调配。</w:t>
      </w:r>
    </w:p>
    <w:p w14:paraId="4B24F675">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第六条</w:t>
      </w:r>
      <w:r>
        <w:rPr>
          <w:rFonts w:hint="eastAsia" w:ascii="仿宋_GB2312" w:hAnsi="仿宋_GB2312" w:eastAsia="仿宋_GB2312" w:cs="仿宋_GB2312"/>
          <w:sz w:val="24"/>
          <w:szCs w:val="24"/>
        </w:rPr>
        <w:t xml:space="preserve"> 各部门（单位）明确数据资产的责任归属，相关分管领导协调解决实际问题，规避、降低公共数据风险，对数据资产的风险把控负责。</w:t>
      </w:r>
    </w:p>
    <w:p w14:paraId="0919EDD5">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第七条</w:t>
      </w:r>
      <w:r>
        <w:rPr>
          <w:rFonts w:hint="eastAsia" w:ascii="仿宋_GB2312" w:hAnsi="仿宋_GB2312" w:eastAsia="仿宋_GB2312" w:cs="仿宋_GB2312"/>
          <w:sz w:val="24"/>
          <w:szCs w:val="24"/>
        </w:rPr>
        <w:t xml:space="preserve"> 各部门（单位）数据安全管理机构实行节假日值班制度，设置值班电话，保证与同级公共数据主管部门和本市公安机关的联系畅通。若发现数据安全异常应立即向有关部门、分管责任领导报告。</w:t>
      </w:r>
    </w:p>
    <w:p w14:paraId="7AA60FD4">
      <w:pPr>
        <w:pStyle w:val="7"/>
        <w:spacing w:before="149" w:line="360" w:lineRule="auto"/>
        <w:ind w:left="74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第三章</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风险评估与监督</w:t>
      </w:r>
    </w:p>
    <w:p w14:paraId="2006EB12">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第八条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各部门（单位）应建立有效的数据安全风险监测预警工作机制，包括数据安全态势感知、数据审计、权限访问、数据脱敏、分类分级、应用审计等安全技术，及时发现风险、处置风险、预防风险、弱化风险。</w:t>
      </w:r>
    </w:p>
    <w:p w14:paraId="5DB42438">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第九条</w:t>
      </w:r>
      <w:r>
        <w:rPr>
          <w:rFonts w:hint="eastAsia" w:ascii="仿宋_GB2312" w:hAnsi="仿宋_GB2312" w:eastAsia="仿宋_GB2312" w:cs="仿宋_GB2312"/>
          <w:sz w:val="24"/>
          <w:szCs w:val="24"/>
        </w:rPr>
        <w:t xml:space="preserve"> 各部门（单位）应加强数据安全审查工作，若发现数据被恶意更改，应立即停止服务并恢复正确内容，同时检查分析被更改的原因，在被更改的原因找到并排除之前，不得重新开放数据服务。</w:t>
      </w:r>
    </w:p>
    <w:p w14:paraId="57D1D80D">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第十条</w:t>
      </w:r>
      <w:r>
        <w:rPr>
          <w:rFonts w:hint="eastAsia" w:ascii="仿宋_GB2312" w:hAnsi="仿宋_GB2312" w:eastAsia="仿宋_GB2312" w:cs="仿宋_GB2312"/>
          <w:sz w:val="24"/>
          <w:szCs w:val="24"/>
        </w:rPr>
        <w:t xml:space="preserve"> 各部门（单位）应积极定期开展公共数据风险自查工作，通过自身或专业检测与监测机构对本部门数据安全情况进行检查，及时发现数据安全风险问题并整改加固。</w:t>
      </w:r>
    </w:p>
    <w:p w14:paraId="06CC7F27">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第十一条</w:t>
      </w:r>
      <w:r>
        <w:rPr>
          <w:rFonts w:hint="eastAsia" w:ascii="仿宋_GB2312" w:hAnsi="仿宋_GB2312" w:eastAsia="仿宋_GB2312" w:cs="仿宋_GB2312"/>
          <w:sz w:val="24"/>
          <w:szCs w:val="24"/>
        </w:rPr>
        <w:t xml:space="preserve"> 对于经由自查发现的数据访问操作异常行为、漏洞等风险，需及时进行处置。对于紧急级、高危级风险需即时反馈到舟山市大数据发展管理局，不得隐瞒、缓报、谎报；如因不上报导致的安全事件后果自负。</w:t>
      </w:r>
    </w:p>
    <w:p w14:paraId="1D522755">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第十二条</w:t>
      </w:r>
      <w:r>
        <w:rPr>
          <w:rFonts w:hint="eastAsia" w:ascii="仿宋_GB2312" w:hAnsi="仿宋_GB2312" w:eastAsia="仿宋_GB2312" w:cs="仿宋_GB2312"/>
          <w:sz w:val="24"/>
          <w:szCs w:val="24"/>
        </w:rPr>
        <w:t xml:space="preserve"> 由舟山市大数据发展管理局与市网信办、市公安及其他专业监测机构等，协同开展公共数据风险监测检查，进一步加强本市数据安全风险把控。</w:t>
      </w:r>
    </w:p>
    <w:p w14:paraId="0F5DB0BC">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第十三条 </w:t>
      </w:r>
      <w:r>
        <w:rPr>
          <w:rFonts w:hint="eastAsia" w:ascii="仿宋_GB2312" w:hAnsi="仿宋_GB2312" w:eastAsia="仿宋_GB2312" w:cs="仿宋_GB2312"/>
          <w:sz w:val="24"/>
          <w:szCs w:val="24"/>
        </w:rPr>
        <w:t>各部门（单位）需明确公共数据风险信息接报电话、传真、电子邮箱等信息，加强宣传培训，做好来自协作单位、机房环境监控管理单位和数据运营使用管理单位的预警信息、事件信息的接收，建立并完善公共数据风险信息的接收机制。</w:t>
      </w:r>
    </w:p>
    <w:p w14:paraId="48B4D592">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第十四条</w:t>
      </w:r>
      <w:r>
        <w:rPr>
          <w:rFonts w:hint="eastAsia" w:ascii="仿宋_GB2312" w:hAnsi="仿宋_GB2312" w:eastAsia="仿宋_GB2312" w:cs="仿宋_GB2312"/>
          <w:sz w:val="24"/>
          <w:szCs w:val="24"/>
        </w:rPr>
        <w:t xml:space="preserve"> 根据数据安全事件对数据库系统的影响程度和范围及恢复所需时间，将事件划分为四个等级：特别重大事件（I 级）、重大事件（II 级）、较大事件（III 级）和一般事件（IV 级）。</w:t>
      </w:r>
    </w:p>
    <w:p w14:paraId="3068B898">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第十五条</w:t>
      </w:r>
      <w:r>
        <w:rPr>
          <w:rFonts w:hint="eastAsia" w:ascii="仿宋_GB2312" w:hAnsi="仿宋_GB2312" w:eastAsia="仿宋_GB2312" w:cs="仿宋_GB2312"/>
          <w:sz w:val="24"/>
          <w:szCs w:val="24"/>
        </w:rPr>
        <w:t xml:space="preserve"> 特别重大事件（I 级）特别重大事件是指能够导致特别严重影响或破坏的数据安全事件，包括以下情况：</w:t>
      </w:r>
    </w:p>
    <w:p w14:paraId="74C66538">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 重要基础设施与信息系统遭受特别严重的系统损失，造成系统全市性大面积瘫痪，丧失业务处理能力，事态发展可能超出本市范围的控制能力的突发事件。</w:t>
      </w:r>
    </w:p>
    <w:p w14:paraId="07010092">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重要敏感信息和关键数据丢失或被窃取、篡改、假冒，造成严重社会影响或巨大经济损失，使特别重要数据库系统遭受特别严重的系统损失；</w:t>
      </w:r>
    </w:p>
    <w:p w14:paraId="3D2BC3AB">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产生特别重大的社会影响。</w:t>
      </w:r>
    </w:p>
    <w:p w14:paraId="7DA00FB2">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第十六条 </w:t>
      </w:r>
      <w:r>
        <w:rPr>
          <w:rFonts w:hint="eastAsia" w:ascii="仿宋_GB2312" w:hAnsi="仿宋_GB2312" w:eastAsia="仿宋_GB2312" w:cs="仿宋_GB2312"/>
          <w:sz w:val="24"/>
          <w:szCs w:val="24"/>
        </w:rPr>
        <w:t>重大事件（II 级）是指能够导致严重影响或破坏的信息安全事件，包括以下情况：</w:t>
      </w:r>
    </w:p>
    <w:p w14:paraId="567E24E9">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重要基础设施与信息系统遭受严重的系统损失，造成系统全市性长时间中断或局部瘫痪，业务处理能力受到极大影响，可能需要区、县（市），跨部门协同处置的突发事件；</w:t>
      </w:r>
    </w:p>
    <w:p w14:paraId="5EB90A14">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重要敏感信息和关键数据丢失或被窃取、篡改、假冒，造成较大社会影响或较大经济损失，使特别重要数据库系统遭受严重的系统损失、或使重要数据库系统遭受特别严重的系统损失；</w:t>
      </w:r>
    </w:p>
    <w:p w14:paraId="31009EA0">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产生重大的社会影响。</w:t>
      </w:r>
    </w:p>
    <w:p w14:paraId="3A4C0616">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第十七条 </w:t>
      </w:r>
      <w:r>
        <w:rPr>
          <w:rFonts w:hint="eastAsia" w:ascii="仿宋_GB2312" w:hAnsi="仿宋_GB2312" w:eastAsia="仿宋_GB2312" w:cs="仿宋_GB2312"/>
          <w:sz w:val="24"/>
          <w:szCs w:val="24"/>
        </w:rPr>
        <w:t>较大事件（III 级）较大事件是指能够导致较严重影响或破坏的信息安全事件，包括以下情况：</w:t>
      </w:r>
    </w:p>
    <w:p w14:paraId="101F8F9D">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某区域重要基础设施与信息系统遭受较大的系统损失，造成系统中断，明显影响系统效率，业务处理能力受到极大影响不需要区、县（市）、跨部门协同处置的突发事件；</w:t>
      </w:r>
    </w:p>
    <w:p w14:paraId="604FBAFE">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重要敏感信息和关键数据丢失或被窃取、篡改、假冒，可能造成社会影响或一定经济损失，会使特别重要数据库系统遭受较大的系统损失、或使重要数据库系统遭受严重的系统损失、一般数据库系统遭受特别严重的系统损失；</w:t>
      </w:r>
    </w:p>
    <w:p w14:paraId="16B1C44A">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产生较大的社会影响。</w:t>
      </w:r>
    </w:p>
    <w:p w14:paraId="041DADC6">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第十八条</w:t>
      </w:r>
      <w:r>
        <w:rPr>
          <w:rFonts w:hint="eastAsia" w:ascii="仿宋_GB2312" w:hAnsi="仿宋_GB2312" w:eastAsia="仿宋_GB2312" w:cs="仿宋_GB2312"/>
          <w:sz w:val="24"/>
          <w:szCs w:val="24"/>
        </w:rPr>
        <w:t xml:space="preserve"> 一般事件（IV 级）一般事件是指不满足以上条件的数据安全事件，包括以下情况：</w:t>
      </w:r>
    </w:p>
    <w:p w14:paraId="5A7B2630">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 重要基础设施与信息系统小范围遭受一定损失，影响系统效率，业务处理能力受到一定影响；</w:t>
      </w:r>
    </w:p>
    <w:p w14:paraId="4D7F5DB6">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 会使特别重要数据库系统遭受较小的系统损失、或使重要数据库系统遭受较大的系统损失、一般数据库系统遭受严重 或严重以下级别的系统损失；</w:t>
      </w:r>
    </w:p>
    <w:p w14:paraId="6FE587AE">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 产生一般的社会影响。</w:t>
      </w:r>
    </w:p>
    <w:p w14:paraId="12039DD2">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第十九条</w:t>
      </w:r>
      <w:r>
        <w:rPr>
          <w:rFonts w:hint="eastAsia" w:ascii="仿宋_GB2312" w:hAnsi="仿宋_GB2312" w:eastAsia="仿宋_GB2312" w:cs="仿宋_GB2312"/>
          <w:sz w:val="24"/>
          <w:szCs w:val="24"/>
        </w:rPr>
        <w:t xml:space="preserve"> 特别重大事件（I 级）和重大事件（II 级）数据安全事件出现时，及时上报舟山市大数据管理中心，由中心数据安全应急协调小组协调启动应急预案并监督执行；较大事件（III 级）和一般事件（IV 级）数据安全事件出现时，由本单位系统恢复小组负责启动应急预案并执行。</w:t>
      </w:r>
    </w:p>
    <w:p w14:paraId="10DAEB5A">
      <w:pPr>
        <w:pStyle w:val="7"/>
        <w:spacing w:before="149"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第四章</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t>整改上报</w:t>
      </w:r>
    </w:p>
    <w:p w14:paraId="5285864D">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第二十条</w:t>
      </w:r>
      <w:r>
        <w:rPr>
          <w:rFonts w:hint="eastAsia" w:ascii="仿宋_GB2312" w:hAnsi="仿宋_GB2312" w:eastAsia="仿宋_GB2312" w:cs="仿宋_GB2312"/>
          <w:sz w:val="24"/>
          <w:szCs w:val="24"/>
        </w:rPr>
        <w:t xml:space="preserve"> 舟山市大数据发展管理局应对适用范围内的所有单位的数据安全风险进行动态监测、评估，及时将风险性质、危害程度、修复整改建议通知到责任单位，并限期七个工作日内完成整改。</w:t>
      </w:r>
    </w:p>
    <w:p w14:paraId="53C36F18">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第二十一条</w:t>
      </w:r>
      <w:r>
        <w:rPr>
          <w:rFonts w:hint="eastAsia" w:ascii="仿宋_GB2312" w:hAnsi="仿宋_GB2312" w:eastAsia="仿宋_GB2312" w:cs="仿宋_GB2312"/>
          <w:sz w:val="24"/>
          <w:szCs w:val="24"/>
        </w:rPr>
        <w:t xml:space="preserve"> 在相关单位处置公共数据安全风险的过程中，任何单位和个人不得保留、贮存、散布、传播所发现的有害信息。</w:t>
      </w:r>
    </w:p>
    <w:p w14:paraId="2BC058BD">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第二十二条</w:t>
      </w:r>
      <w:r>
        <w:rPr>
          <w:rFonts w:hint="eastAsia" w:ascii="仿宋_GB2312" w:hAnsi="仿宋_GB2312" w:eastAsia="仿宋_GB2312" w:cs="仿宋_GB2312"/>
          <w:sz w:val="24"/>
          <w:szCs w:val="24"/>
        </w:rPr>
        <w:t xml:space="preserve"> 各部门（单位）按照突发事件应对有关法律、法规规定，可以要求相关单位提供具有公共属性的数据，并向自然人采集应对突发事件相关的数据。</w:t>
      </w:r>
    </w:p>
    <w:p w14:paraId="46B493DE">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第二十三条</w:t>
      </w:r>
      <w:r>
        <w:rPr>
          <w:rFonts w:hint="eastAsia" w:ascii="仿宋_GB2312" w:hAnsi="仿宋_GB2312" w:eastAsia="仿宋_GB2312" w:cs="仿宋_GB2312"/>
          <w:sz w:val="24"/>
          <w:szCs w:val="24"/>
        </w:rPr>
        <w:t xml:space="preserve"> 突发事件应对结束后，各部门（单位）应当对从其他单位和个人获得的公共数据进行分类评估，将其中涉及国家秘密、商业秘密和个人隐私的公共数据进行封存或者销毁等安全处理，并关停相关数据应用。法律、法规另有规定的，从其规定。</w:t>
      </w:r>
    </w:p>
    <w:p w14:paraId="619E35D8">
      <w:pPr>
        <w:pStyle w:val="7"/>
        <w:spacing w:before="149" w:line="360" w:lineRule="auto"/>
        <w:ind w:firstLine="546" w:firstLineChars="200"/>
        <w:rPr>
          <w:rFonts w:ascii="仿宋_GB2312" w:hAnsi="仿宋_GB2312" w:eastAsia="仿宋_GB2312" w:cs="仿宋_GB2312"/>
          <w:sz w:val="24"/>
          <w:szCs w:val="24"/>
        </w:rPr>
      </w:pPr>
      <w:r>
        <w:rPr>
          <w:rFonts w:hint="eastAsia" w:ascii="仿宋_GB2312" w:hAnsi="仿宋_GB2312" w:eastAsia="仿宋_GB2312" w:cs="仿宋_GB2312"/>
          <w:b/>
          <w:bCs/>
          <w:spacing w:val="16"/>
          <w:sz w:val="24"/>
          <w:szCs w:val="24"/>
        </w:rPr>
        <w:t>第二十四条</w:t>
      </w:r>
      <w:r>
        <w:rPr>
          <w:rFonts w:hint="eastAsia" w:ascii="仿宋_GB2312" w:hAnsi="仿宋_GB2312" w:eastAsia="仿宋_GB2312" w:cs="仿宋_GB2312"/>
          <w:sz w:val="24"/>
          <w:szCs w:val="24"/>
        </w:rPr>
        <w:t xml:space="preserve"> 各部门（单位）有下列情形之一的，舟山市大数据发展管理局将提出整改意见，并暂时关闭其获取该公共数据的权限;对未按照要求进行整改的，舟山市大数据发展管理局应当终止提供该公共数据开放服务:</w:t>
      </w:r>
    </w:p>
    <w:p w14:paraId="7D429FC8">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 未落实本单位数据安全风险评估机制;</w:t>
      </w:r>
    </w:p>
    <w:p w14:paraId="3DB51A9E">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 未对数据安全风险积极响应并整改；</w:t>
      </w:r>
    </w:p>
    <w:p w14:paraId="6DD7586A">
      <w:pPr>
        <w:pStyle w:val="7"/>
        <w:spacing w:before="149"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其他严重违反公共数据共享开放利用规范的情形。</w:t>
      </w:r>
    </w:p>
    <w:p w14:paraId="4DFB8714">
      <w:pPr>
        <w:pStyle w:val="4"/>
        <w:tabs>
          <w:tab w:val="left" w:pos="1259"/>
        </w:tabs>
        <w:spacing w:before="1"/>
        <w:ind w:right="323"/>
        <w:rPr>
          <w:rFonts w:ascii="仿宋_GB2312" w:hAnsi="仿宋_GB2312" w:eastAsia="仿宋_GB2312" w:cs="仿宋_GB2312"/>
          <w:sz w:val="24"/>
          <w:szCs w:val="24"/>
        </w:rPr>
      </w:pPr>
      <w:r>
        <w:rPr>
          <w:rFonts w:hint="eastAsia" w:ascii="仿宋_GB2312" w:hAnsi="仿宋_GB2312" w:eastAsia="仿宋_GB2312" w:cs="仿宋_GB2312"/>
          <w:sz w:val="24"/>
          <w:szCs w:val="24"/>
        </w:rPr>
        <w:t>第六章</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附则</w:t>
      </w:r>
    </w:p>
    <w:p w14:paraId="717D05A5">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第一条</w:t>
      </w:r>
      <w:r>
        <w:rPr>
          <w:rFonts w:hint="eastAsia" w:ascii="仿宋_GB2312" w:hAnsi="仿宋_GB2312" w:eastAsia="仿宋_GB2312" w:cs="仿宋_GB2312"/>
          <w:sz w:val="24"/>
          <w:szCs w:val="24"/>
        </w:rPr>
        <w:t xml:space="preserve"> 本细则由舟山市大数据发展管理局制定。</w:t>
      </w:r>
    </w:p>
    <w:p w14:paraId="177F59A3">
      <w:pPr>
        <w:pStyle w:val="7"/>
        <w:spacing w:before="149" w:line="360" w:lineRule="auto"/>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第二条</w:t>
      </w:r>
      <w:r>
        <w:rPr>
          <w:rFonts w:hint="eastAsia" w:ascii="仿宋_GB2312" w:hAnsi="仿宋_GB2312" w:eastAsia="仿宋_GB2312" w:cs="仿宋_GB2312"/>
          <w:sz w:val="24"/>
          <w:szCs w:val="24"/>
        </w:rPr>
        <w:t xml:space="preserve"> 本细则自发布之日起实施。</w:t>
      </w:r>
    </w:p>
    <w:p w14:paraId="5446E220"/>
    <w:p w14:paraId="55C39D4A">
      <w:pPr>
        <w:rPr>
          <w:rFonts w:hint="eastAsia" w:ascii="宋体" w:hAnsi="宋体" w:eastAsia="宋体" w:cs="宋体"/>
          <w:szCs w:val="21"/>
        </w:rPr>
      </w:pPr>
    </w:p>
    <w:p w14:paraId="424ECECF">
      <w:pPr>
        <w:pStyle w:val="14"/>
      </w:pPr>
    </w:p>
    <w:p w14:paraId="322323FA">
      <w:pPr>
        <w:pStyle w:val="2"/>
        <w:ind w:firstLine="0" w:firstLineChars="0"/>
        <w:rPr>
          <w:rFonts w:hint="eastAsia"/>
        </w:rPr>
      </w:pPr>
    </w:p>
    <w:p w14:paraId="26406046">
      <w:pPr>
        <w:rPr>
          <w:rFonts w:hint="eastAsia" w:ascii="仿宋_GB2312" w:eastAsia="仿宋_GB2312"/>
          <w:b/>
          <w:sz w:val="24"/>
          <w:szCs w:val="24"/>
        </w:rPr>
      </w:pPr>
      <w:r>
        <w:rPr>
          <w:rFonts w:hint="eastAsia" w:ascii="仿宋_GB2312" w:eastAsia="仿宋_GB2312"/>
          <w:b/>
          <w:sz w:val="24"/>
          <w:szCs w:val="24"/>
        </w:rPr>
        <w:br w:type="page"/>
      </w:r>
    </w:p>
    <w:p w14:paraId="03C28AFB">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第六部分应提交的有关格式范例</w:t>
      </w:r>
    </w:p>
    <w:p w14:paraId="443B7B66">
      <w:pPr>
        <w:spacing w:line="540" w:lineRule="exact"/>
        <w:ind w:firstLine="560"/>
        <w:contextualSpacing/>
        <w:rPr>
          <w:rFonts w:ascii="仿宋_GB2312" w:eastAsia="仿宋_GB2312"/>
          <w:sz w:val="24"/>
          <w:szCs w:val="24"/>
        </w:rPr>
      </w:pPr>
    </w:p>
    <w:p w14:paraId="2220D242">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资格文件部分</w:t>
      </w:r>
    </w:p>
    <w:p w14:paraId="3D72CC03">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目录</w:t>
      </w:r>
    </w:p>
    <w:p w14:paraId="34721418">
      <w:pPr>
        <w:spacing w:line="540" w:lineRule="exact"/>
        <w:ind w:firstLine="560"/>
        <w:contextualSpacing/>
        <w:rPr>
          <w:rFonts w:ascii="仿宋_GB2312" w:eastAsia="仿宋_GB2312"/>
          <w:sz w:val="28"/>
          <w:szCs w:val="28"/>
        </w:rPr>
      </w:pPr>
    </w:p>
    <w:p w14:paraId="0959A177">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一、符合参加政府采购活动应当具备的一般条件的承诺函…………（页码）</w:t>
      </w:r>
    </w:p>
    <w:p w14:paraId="337B153C">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二、联合协议（如果有）………………………………………………（页码）</w:t>
      </w:r>
    </w:p>
    <w:p w14:paraId="34CF7E65">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三、落实政府采购政策需满足的资格要求（如果有）………………（页码）</w:t>
      </w:r>
    </w:p>
    <w:p w14:paraId="76AFEF4A">
      <w:pPr>
        <w:spacing w:line="540" w:lineRule="exact"/>
        <w:ind w:firstLine="560"/>
        <w:contextualSpacing/>
        <w:jc w:val="center"/>
        <w:rPr>
          <w:rFonts w:ascii="仿宋_GB2312" w:eastAsia="仿宋_GB2312"/>
          <w:b/>
          <w:sz w:val="24"/>
          <w:szCs w:val="24"/>
        </w:rPr>
      </w:pPr>
      <w:r>
        <w:rPr>
          <w:rFonts w:hint="eastAsia" w:ascii="仿宋_GB2312" w:eastAsia="仿宋_GB2312"/>
          <w:sz w:val="24"/>
          <w:szCs w:val="24"/>
        </w:rPr>
        <w:t>四、本项目的特定资格要求（如果有）………………………………（页码）</w:t>
      </w:r>
      <w:r>
        <w:rPr>
          <w:rFonts w:hint="eastAsia" w:ascii="仿宋_GB2312" w:eastAsia="仿宋_GB2312"/>
          <w:sz w:val="24"/>
          <w:szCs w:val="24"/>
        </w:rPr>
        <w:br w:type="page"/>
      </w:r>
      <w:r>
        <w:rPr>
          <w:rFonts w:hint="eastAsia" w:ascii="仿宋_GB2312" w:eastAsia="仿宋_GB2312"/>
          <w:b/>
          <w:sz w:val="24"/>
          <w:szCs w:val="24"/>
        </w:rPr>
        <w:t>一、 符合参加政府采购活动应当具备的一般条件的承诺函</w:t>
      </w:r>
    </w:p>
    <w:p w14:paraId="799417E8">
      <w:pPr>
        <w:spacing w:line="540" w:lineRule="exact"/>
        <w:contextualSpacing/>
        <w:rPr>
          <w:rFonts w:ascii="仿宋_GB2312" w:eastAsia="仿宋_GB2312"/>
          <w:sz w:val="24"/>
          <w:szCs w:val="24"/>
        </w:rPr>
      </w:pPr>
    </w:p>
    <w:p w14:paraId="29255D7E">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05A1FEF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14:paraId="76808E9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14:paraId="47CB89C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14:paraId="00FC464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14:paraId="265D794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14:paraId="7DA0364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14:paraId="27C40B04">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14:paraId="6121622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14:paraId="3632F17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14:paraId="3AFAE25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14:paraId="37D56DF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14:paraId="620587D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14:paraId="4B99AEA9">
      <w:pPr>
        <w:spacing w:line="540" w:lineRule="exact"/>
        <w:contextualSpacing/>
        <w:rPr>
          <w:rFonts w:ascii="仿宋_GB2312" w:eastAsia="仿宋_GB2312"/>
          <w:sz w:val="24"/>
          <w:szCs w:val="24"/>
        </w:rPr>
      </w:pPr>
    </w:p>
    <w:p w14:paraId="157BA3C8">
      <w:pPr>
        <w:spacing w:line="540" w:lineRule="exact"/>
        <w:contextualSpacing/>
        <w:rPr>
          <w:rFonts w:ascii="仿宋_GB2312" w:eastAsia="仿宋_GB2312"/>
          <w:sz w:val="24"/>
          <w:szCs w:val="24"/>
        </w:rPr>
      </w:pPr>
    </w:p>
    <w:p w14:paraId="28FE50C0">
      <w:pPr>
        <w:spacing w:line="540" w:lineRule="exact"/>
        <w:contextualSpacing/>
        <w:rPr>
          <w:rFonts w:ascii="仿宋_GB2312" w:eastAsia="仿宋_GB2312"/>
          <w:sz w:val="24"/>
          <w:szCs w:val="24"/>
        </w:rPr>
      </w:pPr>
    </w:p>
    <w:p w14:paraId="59120D10">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478E04EC">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43E34DAD">
      <w:pPr>
        <w:spacing w:line="540" w:lineRule="exact"/>
        <w:ind w:firstLine="482"/>
        <w:contextualSpacing/>
        <w:jc w:val="center"/>
        <w:rPr>
          <w:rFonts w:ascii="仿宋_GB2312" w:eastAsia="仿宋_GB2312"/>
          <w:b/>
          <w:sz w:val="24"/>
          <w:szCs w:val="24"/>
        </w:rPr>
      </w:pPr>
    </w:p>
    <w:p w14:paraId="14A816F4">
      <w:pPr>
        <w:widowControl/>
        <w:spacing w:line="360" w:lineRule="auto"/>
        <w:ind w:firstLine="643" w:firstLineChars="200"/>
        <w:jc w:val="center"/>
        <w:rPr>
          <w:rFonts w:ascii="仿宋_GB2312" w:hAnsi="宋体" w:eastAsia="仿宋_GB2312" w:cs="宋体"/>
          <w:b/>
          <w:kern w:val="0"/>
          <w:sz w:val="32"/>
          <w:szCs w:val="32"/>
        </w:rPr>
      </w:pPr>
    </w:p>
    <w:p w14:paraId="0FE16F11">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14:paraId="45356293">
      <w:pPr>
        <w:widowControl/>
        <w:spacing w:line="560" w:lineRule="exact"/>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14:paraId="2D7CD78E">
      <w:pPr>
        <w:snapToGrid w:val="0"/>
        <w:spacing w:line="560" w:lineRule="exact"/>
        <w:ind w:right="480" w:firstLine="482"/>
        <w:jc w:val="center"/>
        <w:rPr>
          <w:rFonts w:ascii="仿宋_GB2312" w:hAnsi="宋体" w:eastAsia="仿宋_GB2312" w:cs="宋体"/>
          <w:b/>
          <w:kern w:val="0"/>
          <w:sz w:val="24"/>
          <w:szCs w:val="24"/>
        </w:rPr>
      </w:pPr>
    </w:p>
    <w:p w14:paraId="3E6DF370">
      <w:pPr>
        <w:pStyle w:val="7"/>
        <w:rPr>
          <w:rFonts w:ascii="仿宋_GB2312" w:eastAsia="仿宋_GB2312"/>
          <w:sz w:val="24"/>
          <w:szCs w:val="24"/>
        </w:rPr>
      </w:pPr>
    </w:p>
    <w:p w14:paraId="782FB7EF">
      <w:pPr>
        <w:snapToGrid w:val="0"/>
        <w:spacing w:line="560" w:lineRule="exact"/>
        <w:ind w:right="480" w:firstLine="482"/>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r>
        <w:rPr>
          <w:rFonts w:hint="eastAsia" w:ascii="仿宋_GB2312" w:eastAsia="仿宋_GB2312"/>
          <w:b/>
          <w:sz w:val="24"/>
          <w:szCs w:val="24"/>
        </w:rPr>
        <w:t>（如果有）</w:t>
      </w:r>
    </w:p>
    <w:p w14:paraId="33497D65">
      <w:pPr>
        <w:spacing w:line="560" w:lineRule="exact"/>
        <w:rPr>
          <w:rFonts w:ascii="仿宋_GB2312" w:hAnsi="宋体" w:eastAsia="仿宋_GB2312" w:cs="宋体"/>
          <w:sz w:val="24"/>
          <w:szCs w:val="24"/>
        </w:rPr>
      </w:pPr>
      <w:r>
        <w:rPr>
          <w:rFonts w:hint="eastAsia" w:ascii="仿宋_GB2312" w:hAnsi="宋体" w:eastAsia="仿宋_GB2312" w:cs="宋体"/>
          <w:sz w:val="24"/>
          <w:szCs w:val="24"/>
        </w:rPr>
        <w:t>（根据招标公告落实政府采购政策需满足的资格要求选择提供相应的材料；未要求的，无需提供）</w:t>
      </w:r>
    </w:p>
    <w:p w14:paraId="1B0B1056">
      <w:pPr>
        <w:snapToGrid w:val="0"/>
        <w:spacing w:before="50" w:after="50" w:line="560" w:lineRule="exact"/>
        <w:ind w:firstLine="472" w:firstLineChars="196"/>
        <w:jc w:val="left"/>
        <w:rPr>
          <w:rFonts w:ascii="仿宋_GB2312" w:hAnsi="宋体" w:eastAsia="仿宋_GB2312" w:cs="宋体"/>
          <w:sz w:val="24"/>
          <w:szCs w:val="24"/>
        </w:rPr>
      </w:pPr>
      <w:r>
        <w:rPr>
          <w:rFonts w:hint="eastAsia" w:ascii="仿宋_GB2312" w:hAnsi="宋体" w:eastAsia="仿宋_GB2312" w:cs="宋体"/>
          <w:b/>
          <w:sz w:val="24"/>
          <w:szCs w:val="24"/>
        </w:rPr>
        <w:t>A</w:t>
      </w:r>
      <w:r>
        <w:rPr>
          <w:rFonts w:hint="eastAsia" w:ascii="仿宋_GB2312" w:hAnsi="宋体" w:eastAsia="仿宋_GB2312" w:cs="宋体"/>
          <w:sz w:val="24"/>
          <w:szCs w:val="24"/>
        </w:rPr>
        <w:t xml:space="preserve">.专门面向中小企业，服务全部由符合政策要求的中小企业（或小微企业）承接的，提供相应的中小企业声明函（附件5）。 </w:t>
      </w:r>
    </w:p>
    <w:p w14:paraId="4E878CA0">
      <w:pPr>
        <w:widowControl/>
        <w:spacing w:line="560" w:lineRule="exact"/>
        <w:ind w:firstLine="472" w:firstLineChars="196"/>
        <w:jc w:val="left"/>
        <w:rPr>
          <w:rFonts w:ascii="仿宋_GB2312" w:hAnsi="宋体" w:eastAsia="仿宋_GB2312" w:cs="宋体"/>
          <w:sz w:val="24"/>
          <w:szCs w:val="24"/>
        </w:rPr>
      </w:pPr>
      <w:r>
        <w:rPr>
          <w:rFonts w:hint="eastAsia" w:ascii="仿宋_GB2312" w:hAnsi="宋体" w:eastAsia="仿宋_GB2312" w:cs="宋体"/>
          <w:b/>
          <w:sz w:val="24"/>
          <w:szCs w:val="24"/>
        </w:rPr>
        <w:t>B.</w:t>
      </w:r>
      <w:r>
        <w:rPr>
          <w:rFonts w:hint="eastAsia" w:ascii="仿宋_GB2312" w:hAnsi="宋体" w:eastAsia="仿宋_GB2312" w:cs="宋体"/>
          <w:sz w:val="24"/>
          <w:szCs w:val="24"/>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视同符合了资格条件，无需再与其他中小企业组成联合体参加政府采购活动，无需提供联合协议。</w:t>
      </w:r>
    </w:p>
    <w:p w14:paraId="30AE695A">
      <w:pPr>
        <w:snapToGrid w:val="0"/>
        <w:spacing w:before="50" w:after="50" w:line="560" w:lineRule="exact"/>
        <w:ind w:firstLine="482"/>
        <w:jc w:val="left"/>
        <w:rPr>
          <w:rFonts w:ascii="仿宋_GB2312" w:hAnsi="宋体" w:eastAsia="仿宋_GB2312" w:cs="宋体"/>
          <w:sz w:val="24"/>
          <w:szCs w:val="24"/>
        </w:rPr>
      </w:pPr>
      <w:r>
        <w:rPr>
          <w:rFonts w:hint="eastAsia" w:ascii="仿宋_GB2312" w:hAnsi="宋体" w:eastAsia="仿宋_GB2312" w:cs="宋体"/>
          <w:b/>
          <w:sz w:val="24"/>
          <w:szCs w:val="24"/>
        </w:rPr>
        <w:t xml:space="preserve">    C.</w:t>
      </w:r>
      <w:r>
        <w:rPr>
          <w:rFonts w:hint="eastAsia" w:ascii="仿宋_GB2312" w:hAnsi="宋体" w:eastAsia="仿宋_GB2312" w:cs="宋体"/>
          <w:sz w:val="24"/>
          <w:szCs w:val="24"/>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视同符合了资格条件，无需再向中小企业分包，无需提供分包意向协议。</w:t>
      </w:r>
    </w:p>
    <w:p w14:paraId="0F60747C">
      <w:pPr>
        <w:widowControl/>
        <w:spacing w:line="560" w:lineRule="exact"/>
        <w:ind w:left="479" w:firstLine="482"/>
        <w:jc w:val="center"/>
        <w:rPr>
          <w:rFonts w:ascii="仿宋_GB2312" w:hAnsi="宋体" w:eastAsia="仿宋_GB2312" w:cs="宋体"/>
          <w:b/>
          <w:kern w:val="0"/>
          <w:sz w:val="24"/>
          <w:szCs w:val="24"/>
        </w:rPr>
      </w:pPr>
    </w:p>
    <w:p w14:paraId="46D51CC7">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r>
        <w:rPr>
          <w:rFonts w:hint="eastAsia" w:ascii="仿宋_GB2312" w:eastAsia="仿宋_GB2312"/>
          <w:b/>
          <w:sz w:val="24"/>
          <w:szCs w:val="24"/>
        </w:rPr>
        <w:t>（如果有）</w:t>
      </w:r>
    </w:p>
    <w:p w14:paraId="56D6B6CE">
      <w:pPr>
        <w:spacing w:line="560" w:lineRule="exact"/>
        <w:jc w:val="left"/>
        <w:rPr>
          <w:rFonts w:ascii="仿宋_GB2312" w:hAnsi="宋体" w:eastAsia="仿宋_GB2312" w:cs="宋体"/>
          <w:sz w:val="24"/>
          <w:szCs w:val="24"/>
        </w:rPr>
      </w:pPr>
      <w:r>
        <w:rPr>
          <w:rFonts w:hint="eastAsia" w:ascii="仿宋_GB2312" w:hAnsi="宋体" w:eastAsia="仿宋_GB2312" w:cs="宋体"/>
          <w:sz w:val="24"/>
          <w:szCs w:val="24"/>
        </w:rPr>
        <w:t>（根据招标公告本项目的特定资格要求提供相应的材料；未要求的，无需提供）</w:t>
      </w:r>
    </w:p>
    <w:p w14:paraId="1B6CBC5A">
      <w:pPr>
        <w:spacing w:line="560" w:lineRule="exact"/>
        <w:ind w:firstLine="482"/>
        <w:contextualSpacing/>
        <w:jc w:val="center"/>
        <w:rPr>
          <w:rFonts w:ascii="仿宋_GB2312" w:eastAsia="仿宋_GB2312"/>
          <w:b/>
          <w:sz w:val="24"/>
          <w:szCs w:val="24"/>
        </w:rPr>
      </w:pPr>
    </w:p>
    <w:p w14:paraId="3216D401">
      <w:pPr>
        <w:pStyle w:val="2"/>
        <w:rPr>
          <w:rFonts w:hint="eastAsia"/>
        </w:rPr>
      </w:pPr>
    </w:p>
    <w:p w14:paraId="4E591AB0">
      <w:pPr>
        <w:pStyle w:val="2"/>
        <w:rPr>
          <w:rFonts w:hint="eastAsia"/>
        </w:rPr>
      </w:pPr>
    </w:p>
    <w:p w14:paraId="219E8126">
      <w:pPr>
        <w:pStyle w:val="2"/>
        <w:rPr>
          <w:rFonts w:hint="eastAsia"/>
        </w:rPr>
      </w:pPr>
    </w:p>
    <w:p w14:paraId="60F722E4">
      <w:pPr>
        <w:spacing w:line="560" w:lineRule="exact"/>
        <w:ind w:firstLine="562"/>
        <w:contextualSpacing/>
        <w:jc w:val="center"/>
        <w:rPr>
          <w:rFonts w:ascii="仿宋_GB2312" w:eastAsia="仿宋_GB2312"/>
          <w:b/>
          <w:sz w:val="28"/>
          <w:szCs w:val="28"/>
        </w:rPr>
      </w:pPr>
      <w:r>
        <w:rPr>
          <w:rFonts w:hint="eastAsia" w:ascii="仿宋_GB2312" w:eastAsia="仿宋_GB2312"/>
          <w:b/>
          <w:sz w:val="28"/>
          <w:szCs w:val="28"/>
        </w:rPr>
        <w:t>商务技术文件部分</w:t>
      </w:r>
    </w:p>
    <w:p w14:paraId="7FDB5174">
      <w:pPr>
        <w:spacing w:line="560" w:lineRule="exact"/>
        <w:ind w:firstLine="560"/>
        <w:contextualSpacing/>
        <w:rPr>
          <w:rFonts w:ascii="仿宋_GB2312" w:eastAsia="仿宋_GB2312"/>
          <w:sz w:val="28"/>
          <w:szCs w:val="28"/>
        </w:rPr>
      </w:pPr>
    </w:p>
    <w:p w14:paraId="167D86F6">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目录</w:t>
      </w:r>
    </w:p>
    <w:p w14:paraId="601F4D5D">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投标函………………………………………………………………………（页码）</w:t>
      </w:r>
    </w:p>
    <w:p w14:paraId="0EBF06CE">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授权委托书或法定代表人（单位负责人、自然人本人）身份证明……（页码）</w:t>
      </w:r>
    </w:p>
    <w:p w14:paraId="4346DF52">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联合协议（如果有）………………………………………………………（页码）</w:t>
      </w:r>
    </w:p>
    <w:p w14:paraId="79F350B7">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分包意向协议（如果有）…………………………………………………（页码）</w:t>
      </w:r>
    </w:p>
    <w:p w14:paraId="212538E8">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符合性审查资料……………………………………………………………（页码）</w:t>
      </w:r>
    </w:p>
    <w:p w14:paraId="4541409A">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拟投入的项目班子格式（如果有）………………………………………（页码）</w:t>
      </w:r>
    </w:p>
    <w:p w14:paraId="725850CA">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评标标准相应的商务技术资料……………………………………………（页码）</w:t>
      </w:r>
    </w:p>
    <w:p w14:paraId="7662510A">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投标标的清单……………………………………………………………（页码）</w:t>
      </w:r>
    </w:p>
    <w:p w14:paraId="6B71C263">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商务技术偏离表……………………………………………………………（页码）</w:t>
      </w:r>
    </w:p>
    <w:p w14:paraId="12C5429A">
      <w:pPr>
        <w:pStyle w:val="25"/>
        <w:numPr>
          <w:ilvl w:val="0"/>
          <w:numId w:val="18"/>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政府采购供应商廉洁自律承诺书…………………………………………（页码）</w:t>
      </w:r>
    </w:p>
    <w:p w14:paraId="5F68A06F">
      <w:pPr>
        <w:spacing w:line="540" w:lineRule="exact"/>
        <w:contextualSpacing/>
        <w:rPr>
          <w:rFonts w:ascii="仿宋_GB2312" w:eastAsia="仿宋_GB2312"/>
          <w:sz w:val="24"/>
          <w:szCs w:val="24"/>
        </w:rPr>
      </w:pPr>
    </w:p>
    <w:p w14:paraId="00B8168D">
      <w:pPr>
        <w:spacing w:line="540" w:lineRule="exact"/>
        <w:contextualSpacing/>
        <w:rPr>
          <w:rFonts w:ascii="仿宋_GB2312" w:eastAsia="仿宋_GB2312"/>
          <w:sz w:val="24"/>
          <w:szCs w:val="24"/>
        </w:rPr>
      </w:pPr>
    </w:p>
    <w:p w14:paraId="4BA07281">
      <w:pPr>
        <w:pStyle w:val="7"/>
        <w:rPr>
          <w:rFonts w:ascii="仿宋_GB2312" w:eastAsia="仿宋_GB2312"/>
        </w:rPr>
      </w:pPr>
    </w:p>
    <w:p w14:paraId="44091E18">
      <w:pPr>
        <w:spacing w:line="540" w:lineRule="exact"/>
        <w:contextualSpacing/>
        <w:rPr>
          <w:rFonts w:ascii="仿宋_GB2312" w:eastAsia="仿宋_GB2312"/>
          <w:sz w:val="24"/>
          <w:szCs w:val="24"/>
        </w:rPr>
      </w:pPr>
    </w:p>
    <w:p w14:paraId="465B2E13">
      <w:pPr>
        <w:spacing w:line="540" w:lineRule="exact"/>
        <w:contextualSpacing/>
        <w:rPr>
          <w:rFonts w:ascii="仿宋_GB2312" w:eastAsia="仿宋_GB2312"/>
          <w:sz w:val="24"/>
          <w:szCs w:val="24"/>
        </w:rPr>
      </w:pPr>
    </w:p>
    <w:p w14:paraId="565D85DE">
      <w:pPr>
        <w:spacing w:line="540" w:lineRule="exact"/>
        <w:contextualSpacing/>
        <w:rPr>
          <w:rFonts w:ascii="仿宋_GB2312" w:eastAsia="仿宋_GB2312"/>
          <w:sz w:val="24"/>
          <w:szCs w:val="24"/>
        </w:rPr>
      </w:pPr>
    </w:p>
    <w:p w14:paraId="4B606E6F">
      <w:pPr>
        <w:spacing w:line="540" w:lineRule="exact"/>
        <w:contextualSpacing/>
        <w:rPr>
          <w:rFonts w:ascii="仿宋_GB2312" w:eastAsia="仿宋_GB2312"/>
          <w:sz w:val="24"/>
          <w:szCs w:val="24"/>
        </w:rPr>
      </w:pPr>
    </w:p>
    <w:p w14:paraId="4E26B1BB">
      <w:pPr>
        <w:spacing w:line="540" w:lineRule="exact"/>
        <w:contextualSpacing/>
        <w:rPr>
          <w:rFonts w:ascii="仿宋_GB2312" w:eastAsia="仿宋_GB2312"/>
          <w:sz w:val="24"/>
          <w:szCs w:val="24"/>
        </w:rPr>
      </w:pPr>
    </w:p>
    <w:p w14:paraId="4EBFF6DD">
      <w:pPr>
        <w:spacing w:line="540" w:lineRule="exact"/>
        <w:contextualSpacing/>
        <w:rPr>
          <w:rFonts w:ascii="仿宋_GB2312" w:eastAsia="仿宋_GB2312"/>
          <w:sz w:val="24"/>
          <w:szCs w:val="24"/>
        </w:rPr>
      </w:pPr>
    </w:p>
    <w:p w14:paraId="4BAF5A4A">
      <w:pPr>
        <w:spacing w:line="540" w:lineRule="exact"/>
        <w:contextualSpacing/>
        <w:rPr>
          <w:rFonts w:ascii="仿宋_GB2312" w:eastAsia="仿宋_GB2312"/>
          <w:sz w:val="24"/>
          <w:szCs w:val="24"/>
        </w:rPr>
      </w:pPr>
    </w:p>
    <w:p w14:paraId="39FA68BE">
      <w:pPr>
        <w:spacing w:line="540" w:lineRule="exact"/>
        <w:contextualSpacing/>
        <w:rPr>
          <w:rFonts w:ascii="仿宋_GB2312" w:eastAsia="仿宋_GB2312"/>
          <w:sz w:val="24"/>
          <w:szCs w:val="24"/>
        </w:rPr>
      </w:pPr>
    </w:p>
    <w:p w14:paraId="3831F150">
      <w:pPr>
        <w:spacing w:line="540" w:lineRule="exact"/>
        <w:contextualSpacing/>
        <w:rPr>
          <w:rFonts w:ascii="仿宋_GB2312" w:eastAsia="仿宋_GB2312"/>
          <w:sz w:val="24"/>
          <w:szCs w:val="24"/>
        </w:rPr>
      </w:pPr>
    </w:p>
    <w:p w14:paraId="35526A8B">
      <w:pPr>
        <w:spacing w:line="540" w:lineRule="exact"/>
        <w:contextualSpacing/>
        <w:rPr>
          <w:rFonts w:ascii="仿宋_GB2312" w:eastAsia="仿宋_GB2312"/>
          <w:sz w:val="24"/>
          <w:szCs w:val="24"/>
        </w:rPr>
      </w:pPr>
    </w:p>
    <w:p w14:paraId="7BD4FE6F">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一、投标函</w:t>
      </w:r>
    </w:p>
    <w:p w14:paraId="14F1DF02">
      <w:pPr>
        <w:spacing w:line="540" w:lineRule="exact"/>
        <w:contextualSpacing/>
        <w:rPr>
          <w:rFonts w:ascii="仿宋_GB2312" w:eastAsia="仿宋_GB2312"/>
          <w:sz w:val="24"/>
          <w:szCs w:val="24"/>
        </w:rPr>
      </w:pPr>
    </w:p>
    <w:p w14:paraId="2B7155B7">
      <w:pPr>
        <w:spacing w:line="440" w:lineRule="exact"/>
        <w:contextualSpacing/>
        <w:rPr>
          <w:rFonts w:ascii="仿宋_GB2312" w:eastAsia="仿宋_GB2312"/>
          <w:sz w:val="24"/>
          <w:szCs w:val="24"/>
        </w:rPr>
      </w:pPr>
      <w:r>
        <w:rPr>
          <w:rFonts w:hint="eastAsia" w:ascii="仿宋_GB2312" w:eastAsia="仿宋_GB2312"/>
          <w:sz w:val="24"/>
          <w:szCs w:val="24"/>
        </w:rPr>
        <w:t>（采购人）、（采购代理机构）：</w:t>
      </w:r>
    </w:p>
    <w:p w14:paraId="6E411545">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14:paraId="3805019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rPr>
        <w:t xml:space="preserve">     </w:t>
      </w:r>
      <w:r>
        <w:rPr>
          <w:rFonts w:hint="eastAsia" w:ascii="仿宋_GB2312" w:eastAsia="仿宋_GB2312"/>
          <w:sz w:val="24"/>
          <w:szCs w:val="24"/>
        </w:rPr>
        <w:t>天（不少于90天），本投标文件在投标有效期满之前均具有约束力。</w:t>
      </w:r>
    </w:p>
    <w:p w14:paraId="6B967290">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14:paraId="79AAE746">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14:paraId="1979661C">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2.1.1承诺函；</w:t>
      </w:r>
    </w:p>
    <w:p w14:paraId="5A7C61AE">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2.1.2联合协议（如果有)；</w:t>
      </w:r>
    </w:p>
    <w:p w14:paraId="20E0E56D">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2.1.3落实政府采购政策需满足的资格要求（如果有)；</w:t>
      </w:r>
    </w:p>
    <w:p w14:paraId="1937CB39">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2.2.4本项目的特定资格要求（如果有）。</w:t>
      </w:r>
    </w:p>
    <w:p w14:paraId="4A7A909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14:paraId="4433720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14:paraId="16BB4E6E">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2.2.2授权委托书或法定代表人（单位负责人）身份证明；</w:t>
      </w:r>
    </w:p>
    <w:p w14:paraId="684D95E0">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14:paraId="6765972E">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14:paraId="017A5102">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14:paraId="7BA84C6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2.2.6拟投入的项目班子格式（如果有）；</w:t>
      </w:r>
    </w:p>
    <w:p w14:paraId="61856512">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14:paraId="2F097DF5">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w:t>
      </w:r>
    </w:p>
    <w:p w14:paraId="0621135A">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14:paraId="05F28CB2">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14:paraId="7998D07A">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14:paraId="59CECDA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14:paraId="1C2E9F3A">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14:paraId="4691480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3.我方承诺除商务技术偏离表（如果有）列出的偏离外，我方响应招标文件的全部要求。</w:t>
      </w:r>
    </w:p>
    <w:p w14:paraId="44FF6C44">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14:paraId="0F1201AF">
      <w:pPr>
        <w:spacing w:line="44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rPr>
        <w:t xml:space="preserve">4.1在收到中标通知书后，在中标通知书规定的期限内与你方签订合同； </w:t>
      </w:r>
    </w:p>
    <w:p w14:paraId="18B9BBC3">
      <w:pPr>
        <w:spacing w:line="440" w:lineRule="exact"/>
        <w:ind w:firstLine="480" w:firstLineChars="200"/>
        <w:contextualSpacing/>
        <w:rPr>
          <w:rFonts w:hint="eastAsia" w:ascii="仿宋_GB2312" w:eastAsia="仿宋_GB2312"/>
          <w:sz w:val="24"/>
          <w:szCs w:val="24"/>
          <w:lang w:eastAsia="zh-CN"/>
        </w:rPr>
      </w:pPr>
      <w:r>
        <w:rPr>
          <w:rFonts w:hint="eastAsia" w:ascii="仿宋_GB2312" w:eastAsia="仿宋_GB2312"/>
          <w:sz w:val="24"/>
          <w:szCs w:val="24"/>
          <w:lang w:val="en-US" w:eastAsia="zh-CN"/>
        </w:rPr>
        <w:t>4.2</w:t>
      </w:r>
      <w:r>
        <w:rPr>
          <w:rFonts w:hint="eastAsia" w:ascii="仿宋_GB2312" w:eastAsia="仿宋_GB2312"/>
          <w:sz w:val="24"/>
          <w:szCs w:val="24"/>
          <w:lang w:eastAsia="zh-CN"/>
        </w:rPr>
        <w:t>在签订合同前向采购人提交在投标（响应）中涉及客观分评审内容的检测报告、认证证书等资料；</w:t>
      </w:r>
    </w:p>
    <w:p w14:paraId="5194DDC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lang w:val="en-US" w:eastAsia="zh-CN"/>
        </w:rPr>
        <w:t>4.3</w:t>
      </w:r>
      <w:r>
        <w:rPr>
          <w:rFonts w:hint="eastAsia" w:ascii="仿宋_GB2312" w:eastAsia="仿宋_GB2312"/>
          <w:sz w:val="24"/>
          <w:szCs w:val="24"/>
        </w:rPr>
        <w:t xml:space="preserve">在签订合同时不向你方提出附加条件； </w:t>
      </w:r>
    </w:p>
    <w:p w14:paraId="1669471A">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4.</w:t>
      </w:r>
      <w:r>
        <w:rPr>
          <w:rFonts w:hint="eastAsia" w:ascii="仿宋_GB2312" w:eastAsia="仿宋_GB2312"/>
          <w:sz w:val="24"/>
          <w:szCs w:val="24"/>
          <w:lang w:val="en-US" w:eastAsia="zh-CN"/>
        </w:rPr>
        <w:t>4</w:t>
      </w:r>
      <w:r>
        <w:rPr>
          <w:rFonts w:hint="eastAsia" w:ascii="仿宋_GB2312" w:eastAsia="仿宋_GB2312"/>
          <w:sz w:val="24"/>
          <w:szCs w:val="24"/>
        </w:rPr>
        <w:t xml:space="preserve">按照招标文件要求提交履约保证金； </w:t>
      </w:r>
    </w:p>
    <w:p w14:paraId="5A01678B">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4.</w:t>
      </w:r>
      <w:r>
        <w:rPr>
          <w:rFonts w:hint="eastAsia" w:ascii="仿宋_GB2312" w:eastAsia="仿宋_GB2312"/>
          <w:sz w:val="24"/>
          <w:szCs w:val="24"/>
          <w:lang w:val="en-US" w:eastAsia="zh-CN"/>
        </w:rPr>
        <w:t>5</w:t>
      </w:r>
      <w:r>
        <w:rPr>
          <w:rFonts w:hint="eastAsia" w:ascii="仿宋_GB2312" w:eastAsia="仿宋_GB2312"/>
          <w:sz w:val="24"/>
          <w:szCs w:val="24"/>
        </w:rPr>
        <w:t xml:space="preserve">在合同约定的期限内完成合同规定的全部义务。 </w:t>
      </w:r>
    </w:p>
    <w:p w14:paraId="05C40340">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14:paraId="429BCD52">
      <w:pPr>
        <w:spacing w:line="540" w:lineRule="exact"/>
        <w:contextualSpacing/>
        <w:rPr>
          <w:rFonts w:ascii="仿宋_GB2312" w:eastAsia="仿宋_GB2312"/>
          <w:sz w:val="24"/>
          <w:szCs w:val="24"/>
        </w:rPr>
      </w:pPr>
    </w:p>
    <w:p w14:paraId="3B055493">
      <w:pPr>
        <w:spacing w:line="540" w:lineRule="exact"/>
        <w:contextualSpacing/>
        <w:rPr>
          <w:rFonts w:ascii="仿宋_GB2312" w:eastAsia="仿宋_GB2312"/>
          <w:sz w:val="24"/>
          <w:szCs w:val="24"/>
        </w:rPr>
      </w:pPr>
    </w:p>
    <w:p w14:paraId="71603E60">
      <w:pPr>
        <w:spacing w:line="540" w:lineRule="exact"/>
        <w:contextualSpacing/>
        <w:rPr>
          <w:rFonts w:ascii="仿宋_GB2312" w:eastAsia="仿宋_GB2312"/>
          <w:sz w:val="24"/>
          <w:szCs w:val="24"/>
        </w:rPr>
      </w:pPr>
    </w:p>
    <w:p w14:paraId="7E04AB50">
      <w:pPr>
        <w:spacing w:line="540" w:lineRule="exact"/>
        <w:contextualSpacing/>
        <w:rPr>
          <w:rFonts w:ascii="仿宋_GB2312" w:eastAsia="仿宋_GB2312"/>
          <w:sz w:val="24"/>
          <w:szCs w:val="24"/>
        </w:rPr>
      </w:pPr>
    </w:p>
    <w:p w14:paraId="43C7C74B">
      <w:pPr>
        <w:spacing w:line="540" w:lineRule="exact"/>
        <w:contextualSpacing/>
        <w:rPr>
          <w:rFonts w:ascii="仿宋_GB2312" w:eastAsia="仿宋_GB2312"/>
          <w:sz w:val="24"/>
          <w:szCs w:val="24"/>
        </w:rPr>
      </w:pPr>
    </w:p>
    <w:p w14:paraId="32C24CB5">
      <w:pPr>
        <w:spacing w:line="540" w:lineRule="exact"/>
        <w:contextualSpacing/>
        <w:rPr>
          <w:rFonts w:ascii="仿宋_GB2312" w:eastAsia="仿宋_GB2312"/>
          <w:sz w:val="24"/>
          <w:szCs w:val="24"/>
        </w:rPr>
      </w:pPr>
    </w:p>
    <w:p w14:paraId="7438D47E">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4A2B7AC2">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708BF26C">
      <w:pPr>
        <w:spacing w:line="540" w:lineRule="exact"/>
        <w:contextualSpacing/>
        <w:rPr>
          <w:rFonts w:ascii="仿宋_GB2312" w:eastAsia="仿宋_GB2312"/>
          <w:sz w:val="24"/>
          <w:szCs w:val="24"/>
        </w:rPr>
      </w:pPr>
    </w:p>
    <w:p w14:paraId="58DEE669">
      <w:pPr>
        <w:spacing w:line="540" w:lineRule="exact"/>
        <w:contextualSpacing/>
        <w:rPr>
          <w:rFonts w:ascii="仿宋_GB2312" w:eastAsia="仿宋_GB2312"/>
          <w:sz w:val="24"/>
          <w:szCs w:val="24"/>
        </w:rPr>
      </w:pPr>
    </w:p>
    <w:p w14:paraId="1DBDA497">
      <w:pPr>
        <w:spacing w:line="540" w:lineRule="exact"/>
        <w:contextualSpacing/>
        <w:rPr>
          <w:rFonts w:ascii="仿宋_GB2312" w:eastAsia="仿宋_GB2312"/>
          <w:sz w:val="24"/>
          <w:szCs w:val="24"/>
        </w:rPr>
      </w:pPr>
    </w:p>
    <w:p w14:paraId="2D5B238A">
      <w:pPr>
        <w:spacing w:line="540" w:lineRule="exact"/>
        <w:contextualSpacing/>
        <w:rPr>
          <w:rFonts w:ascii="仿宋_GB2312" w:eastAsia="仿宋_GB2312"/>
          <w:sz w:val="24"/>
          <w:szCs w:val="24"/>
        </w:rPr>
      </w:pPr>
    </w:p>
    <w:p w14:paraId="2F27F758">
      <w:pPr>
        <w:spacing w:line="540" w:lineRule="exact"/>
        <w:contextualSpacing/>
        <w:rPr>
          <w:rFonts w:ascii="仿宋_GB2312" w:eastAsia="仿宋_GB2312"/>
          <w:sz w:val="24"/>
          <w:szCs w:val="24"/>
        </w:rPr>
      </w:pPr>
    </w:p>
    <w:p w14:paraId="14BD38BA">
      <w:pPr>
        <w:pStyle w:val="2"/>
        <w:rPr>
          <w:rFonts w:hint="eastAsia"/>
        </w:rPr>
      </w:pPr>
    </w:p>
    <w:p w14:paraId="6D281651">
      <w:pPr>
        <w:pStyle w:val="2"/>
        <w:rPr>
          <w:rFonts w:hint="eastAsia"/>
        </w:rPr>
      </w:pPr>
    </w:p>
    <w:p w14:paraId="2E15B525">
      <w:pPr>
        <w:pStyle w:val="2"/>
        <w:rPr>
          <w:rFonts w:hint="eastAsia"/>
        </w:rPr>
      </w:pPr>
    </w:p>
    <w:p w14:paraId="738B4007">
      <w:pPr>
        <w:pStyle w:val="2"/>
        <w:rPr>
          <w:rFonts w:hint="eastAsia"/>
        </w:rPr>
      </w:pPr>
    </w:p>
    <w:p w14:paraId="708AA469">
      <w:pPr>
        <w:pStyle w:val="2"/>
        <w:rPr>
          <w:rFonts w:hint="eastAsia"/>
        </w:rPr>
      </w:pPr>
    </w:p>
    <w:p w14:paraId="633BD855">
      <w:pPr>
        <w:pStyle w:val="2"/>
        <w:rPr>
          <w:rFonts w:hint="eastAsia"/>
        </w:rPr>
      </w:pPr>
    </w:p>
    <w:p w14:paraId="2626D68D">
      <w:pPr>
        <w:spacing w:line="540" w:lineRule="exact"/>
        <w:contextualSpacing/>
        <w:rPr>
          <w:rFonts w:ascii="仿宋_GB2312" w:eastAsia="仿宋_GB2312"/>
          <w:sz w:val="24"/>
          <w:szCs w:val="24"/>
        </w:rPr>
      </w:pPr>
    </w:p>
    <w:p w14:paraId="4D9F1F3F">
      <w:pPr>
        <w:spacing w:line="540" w:lineRule="exact"/>
        <w:contextualSpacing/>
        <w:rPr>
          <w:rFonts w:ascii="仿宋_GB2312" w:eastAsia="仿宋_GB2312"/>
          <w:b/>
          <w:sz w:val="28"/>
          <w:szCs w:val="28"/>
        </w:rPr>
      </w:pPr>
    </w:p>
    <w:p w14:paraId="7A7D2D2F">
      <w:pPr>
        <w:spacing w:line="540" w:lineRule="exact"/>
        <w:ind w:firstLine="562"/>
        <w:contextualSpacing/>
        <w:jc w:val="center"/>
        <w:rPr>
          <w:rFonts w:ascii="仿宋_GB2312" w:eastAsia="仿宋_GB2312"/>
          <w:b/>
          <w:sz w:val="28"/>
          <w:szCs w:val="28"/>
        </w:rPr>
      </w:pPr>
    </w:p>
    <w:p w14:paraId="4C998A7A">
      <w:pPr>
        <w:rPr>
          <w:rFonts w:hint="eastAsia" w:ascii="仿宋_GB2312" w:eastAsia="仿宋_GB2312"/>
          <w:b/>
          <w:sz w:val="28"/>
          <w:szCs w:val="28"/>
        </w:rPr>
      </w:pPr>
      <w:r>
        <w:rPr>
          <w:rFonts w:hint="eastAsia" w:ascii="仿宋_GB2312" w:eastAsia="仿宋_GB2312"/>
          <w:b/>
          <w:sz w:val="28"/>
          <w:szCs w:val="28"/>
        </w:rPr>
        <w:br w:type="page"/>
      </w:r>
    </w:p>
    <w:p w14:paraId="253825E8">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14:paraId="5D60B9FF">
      <w:pPr>
        <w:spacing w:line="540" w:lineRule="exact"/>
        <w:contextualSpacing/>
        <w:rPr>
          <w:rFonts w:ascii="仿宋_GB2312" w:eastAsia="仿宋_GB2312"/>
          <w:sz w:val="24"/>
          <w:szCs w:val="24"/>
        </w:rPr>
      </w:pPr>
    </w:p>
    <w:p w14:paraId="358131FC">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14:paraId="3E630939">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4FA52F1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2379E943">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6A8E64E9">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14:paraId="70077271">
      <w:pPr>
        <w:spacing w:line="540" w:lineRule="exact"/>
        <w:ind w:firstLine="480"/>
        <w:contextualSpacing/>
        <w:rPr>
          <w:rFonts w:ascii="仿宋_GB2312" w:eastAsia="仿宋_GB2312"/>
          <w:sz w:val="24"/>
          <w:szCs w:val="24"/>
        </w:rPr>
      </w:pPr>
    </w:p>
    <w:p w14:paraId="40872B65">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2FE3B8DE">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0CF44023">
      <w:pPr>
        <w:spacing w:line="540" w:lineRule="exact"/>
        <w:ind w:firstLine="482"/>
        <w:contextualSpacing/>
        <w:jc w:val="center"/>
        <w:rPr>
          <w:rFonts w:ascii="仿宋_GB2312" w:eastAsia="仿宋_GB2312"/>
          <w:b/>
          <w:sz w:val="24"/>
          <w:szCs w:val="24"/>
        </w:rPr>
      </w:pPr>
    </w:p>
    <w:p w14:paraId="06341114">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14:paraId="5F6FE60A">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1EDF864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024CF572">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4BAADD7E">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14:paraId="4D411060">
      <w:pPr>
        <w:spacing w:line="540" w:lineRule="exact"/>
        <w:ind w:firstLine="480"/>
        <w:contextualSpacing/>
        <w:rPr>
          <w:rFonts w:ascii="仿宋_GB2312" w:eastAsia="仿宋_GB2312"/>
          <w:sz w:val="24"/>
          <w:szCs w:val="24"/>
        </w:rPr>
      </w:pPr>
    </w:p>
    <w:p w14:paraId="57AD38D1">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14:paraId="5AB154E6">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14:paraId="7D6AB8C2">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14:paraId="7BF63BB5">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73B13D37">
      <w:pPr>
        <w:pStyle w:val="2"/>
        <w:rPr>
          <w:rFonts w:hint="eastAsia"/>
        </w:rPr>
      </w:pPr>
    </w:p>
    <w:p w14:paraId="24E03298">
      <w:pPr>
        <w:pStyle w:val="2"/>
        <w:rPr>
          <w:rFonts w:hint="eastAsia"/>
        </w:rPr>
      </w:pPr>
    </w:p>
    <w:p w14:paraId="74E22CA3">
      <w:pPr>
        <w:spacing w:line="540" w:lineRule="exact"/>
        <w:ind w:firstLine="482"/>
        <w:contextualSpacing/>
        <w:rPr>
          <w:rFonts w:ascii="仿宋_GB2312" w:eastAsia="仿宋_GB2312"/>
          <w:b/>
          <w:sz w:val="24"/>
          <w:szCs w:val="24"/>
        </w:rPr>
      </w:pPr>
    </w:p>
    <w:p w14:paraId="2B5173C1">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14:paraId="206409E5">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98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9207" w:type="dxa"/>
          </w:tcPr>
          <w:p w14:paraId="2FD7B684">
            <w:pPr>
              <w:spacing w:line="540" w:lineRule="exact"/>
              <w:contextualSpacing/>
              <w:rPr>
                <w:rFonts w:ascii="仿宋_GB2312" w:eastAsia="仿宋_GB2312"/>
                <w:sz w:val="24"/>
                <w:szCs w:val="24"/>
              </w:rPr>
            </w:pPr>
            <w:r>
              <w:rPr>
                <w:rFonts w:hint="eastAsia" w:ascii="仿宋_GB2312" w:eastAsia="仿宋_GB2312"/>
                <w:sz w:val="24"/>
                <w:szCs w:val="24"/>
              </w:rPr>
              <w:t>正面：                                 反面：</w:t>
            </w:r>
          </w:p>
          <w:p w14:paraId="0D3D341F">
            <w:pPr>
              <w:spacing w:line="540" w:lineRule="exact"/>
              <w:contextualSpacing/>
              <w:rPr>
                <w:rFonts w:ascii="仿宋_GB2312" w:eastAsia="仿宋_GB2312"/>
                <w:sz w:val="24"/>
                <w:szCs w:val="24"/>
              </w:rPr>
            </w:pPr>
          </w:p>
        </w:tc>
      </w:tr>
    </w:tbl>
    <w:p w14:paraId="77E09C39">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14:paraId="4DF78B5B">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218325D1">
      <w:pPr>
        <w:pStyle w:val="8"/>
        <w:jc w:val="both"/>
        <w:rPr>
          <w:rFonts w:ascii="仿宋_GB2312" w:eastAsia="仿宋_GB2312"/>
        </w:rPr>
      </w:pPr>
    </w:p>
    <w:p w14:paraId="5744DEDE">
      <w:pPr>
        <w:pStyle w:val="7"/>
        <w:rPr>
          <w:rFonts w:ascii="仿宋_GB2312" w:eastAsia="仿宋_GB2312"/>
        </w:rPr>
      </w:pPr>
    </w:p>
    <w:p w14:paraId="079F7532">
      <w:pPr>
        <w:rPr>
          <w:rFonts w:hint="eastAsia" w:ascii="仿宋_GB2312" w:eastAsia="仿宋_GB2312"/>
          <w:b/>
          <w:sz w:val="28"/>
          <w:szCs w:val="28"/>
        </w:rPr>
      </w:pPr>
      <w:r>
        <w:rPr>
          <w:rFonts w:hint="eastAsia" w:ascii="仿宋_GB2312" w:eastAsia="仿宋_GB2312"/>
          <w:b/>
          <w:sz w:val="28"/>
          <w:szCs w:val="28"/>
        </w:rPr>
        <w:br w:type="page"/>
      </w:r>
    </w:p>
    <w:p w14:paraId="2171B933">
      <w:pPr>
        <w:widowControl/>
        <w:spacing w:line="560" w:lineRule="exact"/>
        <w:ind w:firstLine="562"/>
        <w:jc w:val="center"/>
        <w:rPr>
          <w:rFonts w:ascii="仿宋_GB2312" w:eastAsia="仿宋_GB2312"/>
          <w:b/>
          <w:sz w:val="28"/>
          <w:szCs w:val="28"/>
        </w:rPr>
      </w:pPr>
      <w:r>
        <w:rPr>
          <w:rFonts w:hint="eastAsia" w:ascii="仿宋_GB2312" w:eastAsia="仿宋_GB2312"/>
          <w:b/>
          <w:sz w:val="28"/>
          <w:szCs w:val="28"/>
        </w:rPr>
        <w:t>三、联合协议（如果有）</w:t>
      </w:r>
    </w:p>
    <w:p w14:paraId="6B349823">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14:paraId="50CA44AE">
      <w:pPr>
        <w:pStyle w:val="8"/>
        <w:ind w:firstLine="883"/>
        <w:rPr>
          <w:rFonts w:ascii="仿宋_GB2312" w:eastAsia="仿宋_GB2312"/>
        </w:rPr>
      </w:pPr>
    </w:p>
    <w:p w14:paraId="3A8E7AD0">
      <w:pPr>
        <w:pStyle w:val="7"/>
        <w:rPr>
          <w:rFonts w:ascii="仿宋_GB2312" w:eastAsia="仿宋_GB2312"/>
        </w:rPr>
      </w:pPr>
    </w:p>
    <w:p w14:paraId="1A723A9A">
      <w:pPr>
        <w:snapToGrid w:val="0"/>
        <w:spacing w:line="360" w:lineRule="auto"/>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四、分包意向协议（如果有）</w:t>
      </w:r>
    </w:p>
    <w:p w14:paraId="55C3AA24">
      <w:pPr>
        <w:widowControl/>
        <w:spacing w:line="360" w:lineRule="auto"/>
        <w:ind w:firstLine="560"/>
        <w:jc w:val="left"/>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14:paraId="7E5E7319">
      <w:pPr>
        <w:spacing w:line="540" w:lineRule="exact"/>
        <w:ind w:firstLine="482"/>
        <w:contextualSpacing/>
        <w:jc w:val="center"/>
        <w:rPr>
          <w:rFonts w:ascii="仿宋_GB2312" w:eastAsia="仿宋_GB2312"/>
          <w:b/>
          <w:sz w:val="24"/>
          <w:szCs w:val="24"/>
        </w:rPr>
      </w:pPr>
    </w:p>
    <w:p w14:paraId="0B73417F">
      <w:pPr>
        <w:pStyle w:val="2"/>
        <w:rPr>
          <w:rFonts w:hint="eastAsia"/>
        </w:rPr>
      </w:pPr>
    </w:p>
    <w:p w14:paraId="15A403F8">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6B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82A0EB">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14:paraId="3D67EE5A">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14:paraId="6EACFC74">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14:paraId="71BF6313">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14:paraId="00F9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F7CD23">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14:paraId="357AF712">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14:paraId="057F0A7C">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14:paraId="5EFD00CE">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602BBA49">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14B2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D6976F">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14:paraId="2F944B4E">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4AD2C62">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14:paraId="526CDA88">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3D0505D3">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425D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389C09">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14:paraId="70F704ED">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14:paraId="5B18F15B">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14:paraId="6A02DBB9">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14:paraId="79D1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E6EAF8">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14:paraId="4E52BE89">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14:paraId="741112BF">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14:paraId="74DB4D39">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14:paraId="0B26DD2A">
      <w:pPr>
        <w:spacing w:line="540" w:lineRule="exact"/>
        <w:contextualSpacing/>
        <w:rPr>
          <w:rFonts w:ascii="仿宋_GB2312" w:eastAsia="仿宋_GB2312"/>
          <w:sz w:val="24"/>
          <w:szCs w:val="24"/>
        </w:rPr>
      </w:pPr>
    </w:p>
    <w:p w14:paraId="5C1EADE2">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六、拟投入的项目班子格式（如果有）</w:t>
      </w:r>
    </w:p>
    <w:p w14:paraId="013CEE23">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14:paraId="38EDFD32">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1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0A35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879DBC4">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14:paraId="3A4C17C6">
            <w:pPr>
              <w:spacing w:line="540" w:lineRule="exact"/>
              <w:contextualSpacing/>
              <w:rPr>
                <w:rFonts w:ascii="仿宋_GB2312" w:eastAsia="仿宋_GB2312"/>
                <w:sz w:val="24"/>
                <w:szCs w:val="24"/>
              </w:rPr>
            </w:pPr>
          </w:p>
        </w:tc>
        <w:tc>
          <w:tcPr>
            <w:tcW w:w="1155" w:type="dxa"/>
            <w:shd w:val="clear" w:color="auto" w:fill="auto"/>
            <w:vAlign w:val="center"/>
          </w:tcPr>
          <w:p w14:paraId="4C65DD82">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14:paraId="5F545785">
            <w:pPr>
              <w:spacing w:line="540" w:lineRule="exact"/>
              <w:contextualSpacing/>
              <w:rPr>
                <w:rFonts w:ascii="仿宋_GB2312" w:eastAsia="仿宋_GB2312"/>
                <w:sz w:val="24"/>
                <w:szCs w:val="24"/>
              </w:rPr>
            </w:pPr>
          </w:p>
        </w:tc>
        <w:tc>
          <w:tcPr>
            <w:tcW w:w="2745" w:type="dxa"/>
            <w:gridSpan w:val="2"/>
            <w:shd w:val="clear" w:color="auto" w:fill="auto"/>
            <w:vAlign w:val="center"/>
          </w:tcPr>
          <w:p w14:paraId="4A0FDB84">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14:paraId="6C80DF33">
            <w:pPr>
              <w:spacing w:line="540" w:lineRule="exact"/>
              <w:contextualSpacing/>
              <w:rPr>
                <w:rFonts w:ascii="仿宋_GB2312" w:eastAsia="仿宋_GB2312"/>
                <w:sz w:val="24"/>
                <w:szCs w:val="24"/>
              </w:rPr>
            </w:pPr>
          </w:p>
        </w:tc>
      </w:tr>
      <w:tr w14:paraId="7CEE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51DF8B4">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14:paraId="04C85186">
            <w:pPr>
              <w:spacing w:line="540" w:lineRule="exact"/>
              <w:contextualSpacing/>
              <w:rPr>
                <w:rFonts w:ascii="仿宋_GB2312" w:eastAsia="仿宋_GB2312"/>
                <w:sz w:val="24"/>
                <w:szCs w:val="24"/>
              </w:rPr>
            </w:pPr>
          </w:p>
        </w:tc>
        <w:tc>
          <w:tcPr>
            <w:tcW w:w="1155" w:type="dxa"/>
            <w:shd w:val="clear" w:color="auto" w:fill="auto"/>
            <w:vAlign w:val="center"/>
          </w:tcPr>
          <w:p w14:paraId="32A3C8BE">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14:paraId="5F36AB95">
            <w:pPr>
              <w:spacing w:line="540" w:lineRule="exact"/>
              <w:contextualSpacing/>
              <w:rPr>
                <w:rFonts w:ascii="仿宋_GB2312" w:eastAsia="仿宋_GB2312"/>
                <w:sz w:val="24"/>
                <w:szCs w:val="24"/>
              </w:rPr>
            </w:pPr>
          </w:p>
        </w:tc>
        <w:tc>
          <w:tcPr>
            <w:tcW w:w="2745" w:type="dxa"/>
            <w:gridSpan w:val="2"/>
            <w:shd w:val="clear" w:color="auto" w:fill="auto"/>
            <w:vAlign w:val="center"/>
          </w:tcPr>
          <w:p w14:paraId="368ED254">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14:paraId="208F63E1">
            <w:pPr>
              <w:spacing w:line="540" w:lineRule="exact"/>
              <w:contextualSpacing/>
              <w:rPr>
                <w:rFonts w:ascii="仿宋_GB2312" w:eastAsia="仿宋_GB2312"/>
                <w:sz w:val="24"/>
                <w:szCs w:val="24"/>
              </w:rPr>
            </w:pPr>
          </w:p>
        </w:tc>
      </w:tr>
      <w:tr w14:paraId="414C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7D65A06">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14:paraId="2CD84156">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14:paraId="7D1F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63CF9BB0">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14:paraId="4E39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32580BE">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14:paraId="3D96F6F4">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14:paraId="1E569BF0">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14:paraId="1E70BFBC">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14:paraId="3EF3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D690245">
            <w:pPr>
              <w:spacing w:line="540" w:lineRule="exact"/>
              <w:contextualSpacing/>
              <w:rPr>
                <w:rFonts w:ascii="仿宋_GB2312" w:eastAsia="仿宋_GB2312"/>
                <w:sz w:val="24"/>
                <w:szCs w:val="24"/>
              </w:rPr>
            </w:pPr>
          </w:p>
        </w:tc>
        <w:tc>
          <w:tcPr>
            <w:tcW w:w="2297" w:type="dxa"/>
            <w:gridSpan w:val="3"/>
            <w:shd w:val="clear" w:color="auto" w:fill="auto"/>
            <w:vAlign w:val="center"/>
          </w:tcPr>
          <w:p w14:paraId="7680C058">
            <w:pPr>
              <w:spacing w:line="540" w:lineRule="exact"/>
              <w:contextualSpacing/>
              <w:rPr>
                <w:rFonts w:ascii="仿宋_GB2312" w:eastAsia="仿宋_GB2312"/>
                <w:sz w:val="24"/>
                <w:szCs w:val="24"/>
              </w:rPr>
            </w:pPr>
          </w:p>
        </w:tc>
        <w:tc>
          <w:tcPr>
            <w:tcW w:w="1701" w:type="dxa"/>
            <w:gridSpan w:val="2"/>
            <w:shd w:val="clear" w:color="auto" w:fill="auto"/>
            <w:vAlign w:val="center"/>
          </w:tcPr>
          <w:p w14:paraId="4EFE203B">
            <w:pPr>
              <w:spacing w:line="540" w:lineRule="exact"/>
              <w:contextualSpacing/>
              <w:rPr>
                <w:rFonts w:ascii="仿宋_GB2312" w:eastAsia="仿宋_GB2312"/>
                <w:sz w:val="24"/>
                <w:szCs w:val="24"/>
              </w:rPr>
            </w:pPr>
          </w:p>
        </w:tc>
        <w:tc>
          <w:tcPr>
            <w:tcW w:w="3313" w:type="dxa"/>
            <w:gridSpan w:val="2"/>
            <w:shd w:val="clear" w:color="auto" w:fill="auto"/>
            <w:vAlign w:val="center"/>
          </w:tcPr>
          <w:p w14:paraId="588EE11D">
            <w:pPr>
              <w:spacing w:line="540" w:lineRule="exact"/>
              <w:contextualSpacing/>
              <w:rPr>
                <w:rFonts w:ascii="仿宋_GB2312" w:eastAsia="仿宋_GB2312"/>
                <w:sz w:val="24"/>
                <w:szCs w:val="24"/>
              </w:rPr>
            </w:pPr>
          </w:p>
        </w:tc>
      </w:tr>
      <w:tr w14:paraId="2E65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06B8D895">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14:paraId="68CF8485">
            <w:pPr>
              <w:spacing w:line="540" w:lineRule="exact"/>
              <w:contextualSpacing/>
              <w:rPr>
                <w:rFonts w:ascii="仿宋_GB2312" w:eastAsia="仿宋_GB2312"/>
                <w:sz w:val="24"/>
                <w:szCs w:val="24"/>
              </w:rPr>
            </w:pPr>
          </w:p>
        </w:tc>
        <w:tc>
          <w:tcPr>
            <w:tcW w:w="1701" w:type="dxa"/>
            <w:gridSpan w:val="2"/>
            <w:shd w:val="clear" w:color="auto" w:fill="auto"/>
            <w:vAlign w:val="center"/>
          </w:tcPr>
          <w:p w14:paraId="51505C3D">
            <w:pPr>
              <w:spacing w:line="540" w:lineRule="exact"/>
              <w:contextualSpacing/>
              <w:rPr>
                <w:rFonts w:ascii="仿宋_GB2312" w:eastAsia="仿宋_GB2312"/>
                <w:sz w:val="24"/>
                <w:szCs w:val="24"/>
              </w:rPr>
            </w:pPr>
          </w:p>
        </w:tc>
        <w:tc>
          <w:tcPr>
            <w:tcW w:w="3313" w:type="dxa"/>
            <w:gridSpan w:val="2"/>
            <w:shd w:val="clear" w:color="auto" w:fill="auto"/>
            <w:vAlign w:val="center"/>
          </w:tcPr>
          <w:p w14:paraId="331E1040">
            <w:pPr>
              <w:spacing w:line="540" w:lineRule="exact"/>
              <w:contextualSpacing/>
              <w:rPr>
                <w:rFonts w:ascii="仿宋_GB2312" w:eastAsia="仿宋_GB2312"/>
                <w:sz w:val="24"/>
                <w:szCs w:val="24"/>
              </w:rPr>
            </w:pPr>
          </w:p>
        </w:tc>
      </w:tr>
    </w:tbl>
    <w:p w14:paraId="4590C8E2">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附：执业资格证书、职称证书、学历证书等证明材料</w:t>
      </w:r>
    </w:p>
    <w:p w14:paraId="23FA8346">
      <w:pPr>
        <w:spacing w:line="540" w:lineRule="exact"/>
        <w:contextualSpacing/>
        <w:rPr>
          <w:rFonts w:ascii="仿宋_GB2312" w:eastAsia="仿宋_GB2312"/>
          <w:sz w:val="24"/>
          <w:szCs w:val="24"/>
        </w:rPr>
      </w:pPr>
    </w:p>
    <w:p w14:paraId="4708D167">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1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6DEE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04BDE73">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14:paraId="16389F73">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14:paraId="7F0F928F">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14:paraId="3A2572EA">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14:paraId="6D2D057F">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14:paraId="22D0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36876FF0">
            <w:pPr>
              <w:spacing w:line="540" w:lineRule="exact"/>
              <w:contextualSpacing/>
              <w:rPr>
                <w:rFonts w:ascii="仿宋_GB2312" w:eastAsia="仿宋_GB2312"/>
                <w:sz w:val="24"/>
                <w:szCs w:val="24"/>
              </w:rPr>
            </w:pPr>
          </w:p>
        </w:tc>
        <w:tc>
          <w:tcPr>
            <w:tcW w:w="1418" w:type="dxa"/>
            <w:shd w:val="clear" w:color="auto" w:fill="auto"/>
            <w:vAlign w:val="center"/>
          </w:tcPr>
          <w:p w14:paraId="65D03435">
            <w:pPr>
              <w:spacing w:line="540" w:lineRule="exact"/>
              <w:contextualSpacing/>
              <w:rPr>
                <w:rFonts w:ascii="仿宋_GB2312" w:eastAsia="仿宋_GB2312"/>
                <w:sz w:val="24"/>
                <w:szCs w:val="24"/>
              </w:rPr>
            </w:pPr>
          </w:p>
        </w:tc>
        <w:tc>
          <w:tcPr>
            <w:tcW w:w="1984" w:type="dxa"/>
            <w:shd w:val="clear" w:color="auto" w:fill="auto"/>
            <w:vAlign w:val="center"/>
          </w:tcPr>
          <w:p w14:paraId="446A9371">
            <w:pPr>
              <w:spacing w:line="540" w:lineRule="exact"/>
              <w:contextualSpacing/>
              <w:rPr>
                <w:rFonts w:ascii="仿宋_GB2312" w:eastAsia="仿宋_GB2312"/>
                <w:sz w:val="24"/>
                <w:szCs w:val="24"/>
              </w:rPr>
            </w:pPr>
          </w:p>
        </w:tc>
        <w:tc>
          <w:tcPr>
            <w:tcW w:w="1843" w:type="dxa"/>
            <w:shd w:val="clear" w:color="auto" w:fill="auto"/>
            <w:vAlign w:val="center"/>
          </w:tcPr>
          <w:p w14:paraId="64C0C7F3">
            <w:pPr>
              <w:spacing w:line="540" w:lineRule="exact"/>
              <w:contextualSpacing/>
              <w:rPr>
                <w:rFonts w:ascii="仿宋_GB2312" w:eastAsia="仿宋_GB2312"/>
                <w:sz w:val="24"/>
                <w:szCs w:val="24"/>
              </w:rPr>
            </w:pPr>
          </w:p>
        </w:tc>
        <w:tc>
          <w:tcPr>
            <w:tcW w:w="2755" w:type="dxa"/>
            <w:shd w:val="clear" w:color="auto" w:fill="auto"/>
            <w:vAlign w:val="center"/>
          </w:tcPr>
          <w:p w14:paraId="0FEB2939">
            <w:pPr>
              <w:spacing w:line="540" w:lineRule="exact"/>
              <w:contextualSpacing/>
              <w:rPr>
                <w:rFonts w:ascii="仿宋_GB2312" w:eastAsia="仿宋_GB2312"/>
                <w:sz w:val="24"/>
                <w:szCs w:val="24"/>
              </w:rPr>
            </w:pPr>
          </w:p>
        </w:tc>
      </w:tr>
      <w:tr w14:paraId="3B71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6D57527">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14:paraId="36A73E28">
            <w:pPr>
              <w:spacing w:line="540" w:lineRule="exact"/>
              <w:contextualSpacing/>
              <w:rPr>
                <w:rFonts w:ascii="仿宋_GB2312" w:eastAsia="仿宋_GB2312"/>
                <w:sz w:val="24"/>
                <w:szCs w:val="24"/>
              </w:rPr>
            </w:pPr>
          </w:p>
        </w:tc>
        <w:tc>
          <w:tcPr>
            <w:tcW w:w="1984" w:type="dxa"/>
            <w:shd w:val="clear" w:color="auto" w:fill="auto"/>
            <w:vAlign w:val="center"/>
          </w:tcPr>
          <w:p w14:paraId="14601202">
            <w:pPr>
              <w:spacing w:line="540" w:lineRule="exact"/>
              <w:contextualSpacing/>
              <w:rPr>
                <w:rFonts w:ascii="仿宋_GB2312" w:eastAsia="仿宋_GB2312"/>
                <w:sz w:val="24"/>
                <w:szCs w:val="24"/>
              </w:rPr>
            </w:pPr>
          </w:p>
        </w:tc>
        <w:tc>
          <w:tcPr>
            <w:tcW w:w="1843" w:type="dxa"/>
            <w:shd w:val="clear" w:color="auto" w:fill="auto"/>
            <w:vAlign w:val="center"/>
          </w:tcPr>
          <w:p w14:paraId="0A26DDD0">
            <w:pPr>
              <w:spacing w:line="540" w:lineRule="exact"/>
              <w:contextualSpacing/>
              <w:rPr>
                <w:rFonts w:ascii="仿宋_GB2312" w:eastAsia="仿宋_GB2312"/>
                <w:sz w:val="24"/>
                <w:szCs w:val="24"/>
              </w:rPr>
            </w:pPr>
          </w:p>
        </w:tc>
        <w:tc>
          <w:tcPr>
            <w:tcW w:w="2755" w:type="dxa"/>
            <w:shd w:val="clear" w:color="auto" w:fill="auto"/>
            <w:vAlign w:val="center"/>
          </w:tcPr>
          <w:p w14:paraId="3215FACE">
            <w:pPr>
              <w:spacing w:line="540" w:lineRule="exact"/>
              <w:contextualSpacing/>
              <w:rPr>
                <w:rFonts w:ascii="仿宋_GB2312" w:eastAsia="仿宋_GB2312"/>
                <w:sz w:val="24"/>
                <w:szCs w:val="24"/>
              </w:rPr>
            </w:pPr>
          </w:p>
        </w:tc>
      </w:tr>
    </w:tbl>
    <w:p w14:paraId="35186CCE">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附：相关人员的专业技术资格证书证明材料</w:t>
      </w:r>
    </w:p>
    <w:p w14:paraId="6710DB72">
      <w:pPr>
        <w:spacing w:line="540" w:lineRule="exact"/>
        <w:contextualSpacing/>
        <w:rPr>
          <w:rFonts w:ascii="仿宋_GB2312" w:eastAsia="仿宋_GB2312"/>
          <w:sz w:val="24"/>
          <w:szCs w:val="24"/>
        </w:rPr>
      </w:pPr>
    </w:p>
    <w:p w14:paraId="20C60207">
      <w:pPr>
        <w:spacing w:line="540" w:lineRule="exact"/>
        <w:contextualSpacing/>
        <w:rPr>
          <w:rFonts w:ascii="仿宋_GB2312" w:eastAsia="仿宋_GB2312"/>
          <w:sz w:val="24"/>
          <w:szCs w:val="24"/>
        </w:rPr>
      </w:pPr>
    </w:p>
    <w:p w14:paraId="00C20DA0">
      <w:pPr>
        <w:spacing w:line="540" w:lineRule="exact"/>
        <w:contextualSpacing/>
        <w:rPr>
          <w:rFonts w:ascii="仿宋_GB2312" w:eastAsia="仿宋_GB2312"/>
          <w:sz w:val="24"/>
          <w:szCs w:val="24"/>
        </w:rPr>
      </w:pPr>
    </w:p>
    <w:p w14:paraId="11380863">
      <w:pPr>
        <w:spacing w:line="540" w:lineRule="exact"/>
        <w:contextualSpacing/>
        <w:rPr>
          <w:rFonts w:ascii="仿宋_GB2312" w:eastAsia="仿宋_GB2312"/>
          <w:sz w:val="24"/>
          <w:szCs w:val="24"/>
        </w:rPr>
      </w:pPr>
    </w:p>
    <w:p w14:paraId="77B4F12B">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6F43A276">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14:paraId="3B76312E">
      <w:pPr>
        <w:spacing w:line="540" w:lineRule="exact"/>
        <w:ind w:firstLine="482"/>
        <w:contextualSpacing/>
        <w:jc w:val="center"/>
        <w:rPr>
          <w:rFonts w:ascii="仿宋_GB2312" w:eastAsia="仿宋_GB2312"/>
          <w:b/>
          <w:sz w:val="24"/>
          <w:szCs w:val="24"/>
        </w:rPr>
      </w:pPr>
    </w:p>
    <w:p w14:paraId="431009E9">
      <w:pPr>
        <w:spacing w:line="540" w:lineRule="exact"/>
        <w:ind w:firstLine="562"/>
        <w:contextualSpacing/>
        <w:jc w:val="center"/>
        <w:rPr>
          <w:rFonts w:ascii="仿宋_GB2312" w:eastAsia="仿宋_GB2312"/>
          <w:b/>
          <w:sz w:val="28"/>
          <w:szCs w:val="28"/>
        </w:rPr>
      </w:pPr>
    </w:p>
    <w:p w14:paraId="7F16F685">
      <w:pPr>
        <w:pStyle w:val="2"/>
        <w:rPr>
          <w:rFonts w:hint="eastAsia"/>
        </w:rPr>
      </w:pPr>
    </w:p>
    <w:p w14:paraId="3FF2BCD2">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14:paraId="6C76A8B6">
      <w:pPr>
        <w:spacing w:line="540" w:lineRule="exact"/>
        <w:ind w:firstLine="482"/>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14:paraId="725A345D">
      <w:pPr>
        <w:ind w:firstLine="2891" w:firstLineChars="900"/>
        <w:rPr>
          <w:rFonts w:ascii="仿宋_GB2312" w:hAnsi="宋体" w:eastAsia="仿宋_GB2312" w:cs="宋体"/>
          <w:b/>
          <w:kern w:val="0"/>
          <w:sz w:val="32"/>
          <w:szCs w:val="32"/>
        </w:rPr>
      </w:pPr>
    </w:p>
    <w:p w14:paraId="5EFF1E95">
      <w:pPr>
        <w:ind w:firstLine="643"/>
        <w:rPr>
          <w:rFonts w:ascii="仿宋_GB2312" w:hAnsi="宋体" w:eastAsia="仿宋_GB2312" w:cs="宋体"/>
          <w:b/>
          <w:kern w:val="0"/>
          <w:sz w:val="32"/>
          <w:szCs w:val="32"/>
        </w:rPr>
      </w:pPr>
    </w:p>
    <w:p w14:paraId="31069FF2">
      <w:pPr>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八、投标标的清单</w:t>
      </w:r>
    </w:p>
    <w:tbl>
      <w:tblPr>
        <w:tblStyle w:val="15"/>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6115A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6FA04896">
            <w:pPr>
              <w:snapToGrid w:val="0"/>
              <w:jc w:val="center"/>
              <w:rPr>
                <w:rFonts w:ascii="仿宋_GB2312" w:hAnsi="宋体" w:eastAsia="仿宋_GB2312"/>
                <w:sz w:val="24"/>
                <w:szCs w:val="24"/>
              </w:rPr>
            </w:pPr>
            <w:r>
              <w:rPr>
                <w:rFonts w:hint="eastAsia" w:ascii="仿宋_GB2312" w:hAnsi="宋体" w:eastAsia="仿宋_GB2312"/>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0E16AEAB">
            <w:pPr>
              <w:snapToGrid w:val="0"/>
              <w:jc w:val="center"/>
              <w:rPr>
                <w:rFonts w:ascii="仿宋_GB2312" w:hAnsi="宋体" w:eastAsia="仿宋_GB2312"/>
                <w:sz w:val="24"/>
                <w:szCs w:val="24"/>
              </w:rPr>
            </w:pPr>
            <w:r>
              <w:rPr>
                <w:rFonts w:hint="eastAsia" w:ascii="仿宋_GB2312" w:hAnsi="宋体" w:eastAsia="仿宋_GB2312"/>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5141FBA8">
            <w:pPr>
              <w:snapToGrid w:val="0"/>
              <w:jc w:val="center"/>
              <w:rPr>
                <w:rFonts w:ascii="仿宋_GB2312" w:hAnsi="宋体" w:eastAsia="仿宋_GB2312"/>
                <w:sz w:val="24"/>
                <w:szCs w:val="24"/>
              </w:rPr>
            </w:pPr>
            <w:r>
              <w:rPr>
                <w:rFonts w:hint="eastAsia" w:ascii="仿宋_GB2312" w:hAnsi="宋体" w:eastAsia="仿宋_GB2312"/>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14FF19A7">
            <w:pPr>
              <w:snapToGrid w:val="0"/>
              <w:jc w:val="center"/>
              <w:rPr>
                <w:rFonts w:ascii="仿宋_GB2312" w:hAnsi="宋体" w:eastAsia="仿宋_GB2312"/>
                <w:sz w:val="24"/>
                <w:szCs w:val="24"/>
              </w:rPr>
            </w:pPr>
            <w:r>
              <w:rPr>
                <w:rFonts w:hint="eastAsia" w:ascii="仿宋_GB2312" w:hAnsi="宋体" w:eastAsia="仿宋_GB2312"/>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1FE5C577">
            <w:pPr>
              <w:snapToGrid w:val="0"/>
              <w:jc w:val="center"/>
              <w:rPr>
                <w:rFonts w:ascii="仿宋_GB2312" w:hAnsi="宋体" w:eastAsia="仿宋_GB2312"/>
                <w:sz w:val="24"/>
                <w:szCs w:val="24"/>
              </w:rPr>
            </w:pPr>
            <w:r>
              <w:rPr>
                <w:rFonts w:hint="eastAsia" w:ascii="仿宋_GB2312" w:hAnsi="宋体" w:eastAsia="仿宋_GB2312"/>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4FFCC3B9">
            <w:pPr>
              <w:snapToGrid w:val="0"/>
              <w:jc w:val="center"/>
              <w:rPr>
                <w:rFonts w:ascii="仿宋_GB2312" w:hAnsi="宋体" w:eastAsia="仿宋_GB2312"/>
                <w:sz w:val="24"/>
                <w:szCs w:val="24"/>
              </w:rPr>
            </w:pPr>
            <w:r>
              <w:rPr>
                <w:rFonts w:hint="eastAsia" w:ascii="仿宋_GB2312" w:hAnsi="宋体" w:eastAsia="仿宋_GB2312"/>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5D840449">
            <w:pPr>
              <w:snapToGrid w:val="0"/>
              <w:jc w:val="center"/>
              <w:rPr>
                <w:rFonts w:ascii="仿宋_GB2312" w:hAnsi="宋体" w:eastAsia="仿宋_GB2312"/>
                <w:sz w:val="24"/>
                <w:szCs w:val="24"/>
              </w:rPr>
            </w:pPr>
            <w:r>
              <w:rPr>
                <w:rFonts w:hint="eastAsia" w:ascii="仿宋_GB2312" w:hAnsi="宋体" w:eastAsia="仿宋_GB2312"/>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45D82A6A">
            <w:pPr>
              <w:snapToGrid w:val="0"/>
              <w:jc w:val="center"/>
              <w:rPr>
                <w:rFonts w:ascii="仿宋_GB2312" w:hAnsi="宋体" w:eastAsia="仿宋_GB2312"/>
                <w:sz w:val="24"/>
                <w:szCs w:val="24"/>
              </w:rPr>
            </w:pPr>
            <w:r>
              <w:rPr>
                <w:rFonts w:hint="eastAsia" w:ascii="仿宋_GB2312" w:hAnsi="宋体" w:eastAsia="仿宋_GB2312"/>
                <w:sz w:val="24"/>
                <w:szCs w:val="24"/>
              </w:rPr>
              <w:t>备注</w:t>
            </w:r>
          </w:p>
        </w:tc>
      </w:tr>
      <w:tr w14:paraId="50B1D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3357FBBE">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61EEA964">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76C0102">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2C0BF12">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3CE38DC">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294000B">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48D338A">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1AF40CEF">
            <w:pPr>
              <w:snapToGrid w:val="0"/>
              <w:jc w:val="center"/>
              <w:rPr>
                <w:rFonts w:ascii="仿宋_GB2312" w:hAnsi="宋体" w:eastAsia="仿宋_GB2312"/>
                <w:sz w:val="24"/>
                <w:szCs w:val="24"/>
              </w:rPr>
            </w:pPr>
          </w:p>
        </w:tc>
      </w:tr>
      <w:tr w14:paraId="5CACA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AFA8511">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53671AF1">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2BA5D88">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C044687">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BE901A">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B07AE74">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nil"/>
              <w:right w:val="single" w:color="auto" w:sz="4" w:space="0"/>
            </w:tcBorders>
            <w:vAlign w:val="center"/>
          </w:tcPr>
          <w:p w14:paraId="4A3D1273">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nil"/>
              <w:right w:val="single" w:color="auto" w:sz="4" w:space="0"/>
            </w:tcBorders>
            <w:vAlign w:val="center"/>
          </w:tcPr>
          <w:p w14:paraId="5D3FE238">
            <w:pPr>
              <w:snapToGrid w:val="0"/>
              <w:jc w:val="center"/>
              <w:rPr>
                <w:rFonts w:ascii="仿宋_GB2312" w:hAnsi="宋体" w:eastAsia="仿宋_GB2312"/>
                <w:sz w:val="24"/>
                <w:szCs w:val="24"/>
              </w:rPr>
            </w:pPr>
          </w:p>
        </w:tc>
      </w:tr>
      <w:tr w14:paraId="687BC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07552BD">
            <w:pPr>
              <w:snapToGrid w:val="0"/>
              <w:jc w:val="center"/>
              <w:rPr>
                <w:rFonts w:ascii="仿宋_GB2312" w:hAnsi="宋体" w:eastAsia="仿宋_GB2312"/>
                <w:sz w:val="24"/>
                <w:szCs w:val="24"/>
              </w:rPr>
            </w:pPr>
            <w:r>
              <w:rPr>
                <w:rFonts w:hint="eastAsia" w:ascii="仿宋_GB2312" w:hAnsi="宋体" w:eastAsia="仿宋_GB2312"/>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14:paraId="6F951F69">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34FFAA3D">
            <w:pPr>
              <w:jc w:val="center"/>
              <w:rPr>
                <w:rFonts w:ascii="仿宋_GB2312" w:eastAsia="仿宋_GB2312"/>
              </w:rPr>
            </w:pPr>
            <w:r>
              <w:rPr>
                <w:rFonts w:hint="eastAsia" w:ascii="仿宋_GB2312" w:hAnsi="宋体" w:eastAsia="仿宋_GB2312"/>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758F4677">
            <w:pPr>
              <w:jc w:val="center"/>
              <w:rPr>
                <w:rFonts w:ascii="仿宋_GB2312" w:eastAsia="仿宋_GB2312"/>
              </w:rPr>
            </w:pPr>
            <w:r>
              <w:rPr>
                <w:rFonts w:hint="eastAsia" w:ascii="仿宋_GB2312" w:hAnsi="宋体" w:eastAsia="仿宋_GB2312"/>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65898D4A">
            <w:pPr>
              <w:jc w:val="center"/>
              <w:rPr>
                <w:rFonts w:ascii="仿宋_GB2312" w:eastAsia="仿宋_GB2312"/>
              </w:rPr>
            </w:pPr>
            <w:r>
              <w:rPr>
                <w:rFonts w:hint="eastAsia" w:ascii="仿宋_GB2312" w:hAnsi="宋体" w:eastAsia="仿宋_GB2312"/>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06E22D64">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5D2C818">
            <w:pPr>
              <w:jc w:val="center"/>
              <w:rPr>
                <w:rFonts w:ascii="仿宋_GB2312" w:eastAsia="仿宋_GB2312"/>
              </w:rPr>
            </w:pPr>
            <w:r>
              <w:rPr>
                <w:rFonts w:hint="eastAsia" w:ascii="仿宋_GB2312" w:hAnsi="宋体" w:eastAsia="仿宋_GB2312"/>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14:paraId="54BEEB3E">
            <w:pPr>
              <w:jc w:val="center"/>
              <w:rPr>
                <w:rFonts w:ascii="仿宋_GB2312" w:eastAsia="仿宋_GB2312"/>
              </w:rPr>
            </w:pPr>
          </w:p>
        </w:tc>
      </w:tr>
    </w:tbl>
    <w:p w14:paraId="5FF28C08">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14:paraId="78D3EBFB">
      <w:pPr>
        <w:ind w:firstLine="562"/>
        <w:jc w:val="center"/>
        <w:rPr>
          <w:rFonts w:ascii="仿宋_GB2312" w:eastAsia="仿宋_GB2312"/>
          <w:sz w:val="24"/>
          <w:szCs w:val="24"/>
        </w:rPr>
      </w:pPr>
    </w:p>
    <w:p w14:paraId="64540C71">
      <w:pPr>
        <w:pStyle w:val="2"/>
        <w:rPr>
          <w:rFonts w:hint="eastAsia"/>
        </w:rPr>
      </w:pPr>
    </w:p>
    <w:p w14:paraId="32A1569B">
      <w:pPr>
        <w:pStyle w:val="2"/>
        <w:rPr>
          <w:rFonts w:hint="eastAsia"/>
        </w:rPr>
      </w:pPr>
    </w:p>
    <w:p w14:paraId="5ACF1159">
      <w:pPr>
        <w:pStyle w:val="2"/>
        <w:rPr>
          <w:rFonts w:hint="eastAsia"/>
        </w:rPr>
      </w:pPr>
    </w:p>
    <w:p w14:paraId="33B506ED">
      <w:pPr>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九、商务技术偏离表</w:t>
      </w:r>
    </w:p>
    <w:tbl>
      <w:tblPr>
        <w:tblStyle w:val="16"/>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6CC9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1F0B08">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3683" w:type="dxa"/>
          </w:tcPr>
          <w:p w14:paraId="53AC7E53">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招标文件章节及具体内容</w:t>
            </w:r>
          </w:p>
        </w:tc>
        <w:tc>
          <w:tcPr>
            <w:tcW w:w="3546" w:type="dxa"/>
          </w:tcPr>
          <w:p w14:paraId="0EFC3831">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投标文件章节及具体内容</w:t>
            </w:r>
          </w:p>
        </w:tc>
        <w:tc>
          <w:tcPr>
            <w:tcW w:w="1512" w:type="dxa"/>
          </w:tcPr>
          <w:p w14:paraId="08C37136">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偏离说明</w:t>
            </w:r>
          </w:p>
        </w:tc>
      </w:tr>
      <w:tr w14:paraId="213D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693673">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683" w:type="dxa"/>
          </w:tcPr>
          <w:p w14:paraId="6CA2F19C">
            <w:pPr>
              <w:ind w:firstLine="562"/>
              <w:jc w:val="center"/>
              <w:rPr>
                <w:rFonts w:ascii="仿宋_GB2312" w:hAnsi="宋体" w:eastAsia="仿宋_GB2312" w:cs="宋体"/>
                <w:b/>
                <w:kern w:val="0"/>
                <w:sz w:val="28"/>
                <w:szCs w:val="28"/>
              </w:rPr>
            </w:pPr>
          </w:p>
        </w:tc>
        <w:tc>
          <w:tcPr>
            <w:tcW w:w="3546" w:type="dxa"/>
          </w:tcPr>
          <w:p w14:paraId="5F355A5C">
            <w:pPr>
              <w:ind w:firstLine="562"/>
              <w:jc w:val="center"/>
              <w:rPr>
                <w:rFonts w:ascii="仿宋_GB2312" w:hAnsi="宋体" w:eastAsia="仿宋_GB2312" w:cs="宋体"/>
                <w:b/>
                <w:kern w:val="0"/>
                <w:sz w:val="28"/>
                <w:szCs w:val="28"/>
              </w:rPr>
            </w:pPr>
          </w:p>
        </w:tc>
        <w:tc>
          <w:tcPr>
            <w:tcW w:w="1512" w:type="dxa"/>
          </w:tcPr>
          <w:p w14:paraId="72DA3634">
            <w:pPr>
              <w:ind w:firstLine="562"/>
              <w:jc w:val="center"/>
              <w:rPr>
                <w:rFonts w:ascii="仿宋_GB2312" w:hAnsi="宋体" w:eastAsia="仿宋_GB2312" w:cs="宋体"/>
                <w:b/>
                <w:kern w:val="0"/>
                <w:sz w:val="28"/>
                <w:szCs w:val="28"/>
              </w:rPr>
            </w:pPr>
          </w:p>
        </w:tc>
      </w:tr>
      <w:tr w14:paraId="1170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91A7B1">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683" w:type="dxa"/>
          </w:tcPr>
          <w:p w14:paraId="0F2E30C4">
            <w:pPr>
              <w:ind w:firstLine="562"/>
              <w:jc w:val="center"/>
              <w:rPr>
                <w:rFonts w:ascii="仿宋_GB2312" w:hAnsi="宋体" w:eastAsia="仿宋_GB2312" w:cs="宋体"/>
                <w:b/>
                <w:kern w:val="0"/>
                <w:sz w:val="28"/>
                <w:szCs w:val="28"/>
              </w:rPr>
            </w:pPr>
          </w:p>
        </w:tc>
        <w:tc>
          <w:tcPr>
            <w:tcW w:w="3546" w:type="dxa"/>
          </w:tcPr>
          <w:p w14:paraId="5B6ED4D6">
            <w:pPr>
              <w:ind w:firstLine="562"/>
              <w:jc w:val="center"/>
              <w:rPr>
                <w:rFonts w:ascii="仿宋_GB2312" w:hAnsi="宋体" w:eastAsia="仿宋_GB2312" w:cs="宋体"/>
                <w:b/>
                <w:kern w:val="0"/>
                <w:sz w:val="28"/>
                <w:szCs w:val="28"/>
              </w:rPr>
            </w:pPr>
          </w:p>
        </w:tc>
        <w:tc>
          <w:tcPr>
            <w:tcW w:w="1512" w:type="dxa"/>
          </w:tcPr>
          <w:p w14:paraId="0181779F">
            <w:pPr>
              <w:ind w:firstLine="562"/>
              <w:jc w:val="center"/>
              <w:rPr>
                <w:rFonts w:ascii="仿宋_GB2312" w:hAnsi="宋体" w:eastAsia="仿宋_GB2312" w:cs="宋体"/>
                <w:b/>
                <w:kern w:val="0"/>
                <w:sz w:val="28"/>
                <w:szCs w:val="28"/>
              </w:rPr>
            </w:pPr>
          </w:p>
        </w:tc>
      </w:tr>
      <w:tr w14:paraId="0D82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28E449">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3683" w:type="dxa"/>
          </w:tcPr>
          <w:p w14:paraId="280147D5">
            <w:pPr>
              <w:ind w:firstLine="562"/>
              <w:jc w:val="center"/>
              <w:rPr>
                <w:rFonts w:ascii="仿宋_GB2312" w:hAnsi="宋体" w:eastAsia="仿宋_GB2312" w:cs="宋体"/>
                <w:b/>
                <w:kern w:val="0"/>
                <w:sz w:val="28"/>
                <w:szCs w:val="28"/>
              </w:rPr>
            </w:pPr>
          </w:p>
        </w:tc>
        <w:tc>
          <w:tcPr>
            <w:tcW w:w="3546" w:type="dxa"/>
          </w:tcPr>
          <w:p w14:paraId="618AF895">
            <w:pPr>
              <w:ind w:firstLine="562"/>
              <w:jc w:val="center"/>
              <w:rPr>
                <w:rFonts w:ascii="仿宋_GB2312" w:hAnsi="宋体" w:eastAsia="仿宋_GB2312" w:cs="宋体"/>
                <w:b/>
                <w:kern w:val="0"/>
                <w:sz w:val="28"/>
                <w:szCs w:val="28"/>
              </w:rPr>
            </w:pPr>
          </w:p>
        </w:tc>
        <w:tc>
          <w:tcPr>
            <w:tcW w:w="1512" w:type="dxa"/>
          </w:tcPr>
          <w:p w14:paraId="5DFACB8B">
            <w:pPr>
              <w:ind w:firstLine="562"/>
              <w:jc w:val="center"/>
              <w:rPr>
                <w:rFonts w:ascii="仿宋_GB2312" w:hAnsi="宋体" w:eastAsia="仿宋_GB2312" w:cs="宋体"/>
                <w:b/>
                <w:kern w:val="0"/>
                <w:sz w:val="28"/>
                <w:szCs w:val="28"/>
              </w:rPr>
            </w:pPr>
          </w:p>
        </w:tc>
      </w:tr>
    </w:tbl>
    <w:p w14:paraId="086F709C">
      <w:pPr>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14:paraId="07FFA0FC">
      <w:pPr>
        <w:ind w:firstLine="562"/>
        <w:jc w:val="center"/>
        <w:rPr>
          <w:rFonts w:ascii="仿宋_GB2312" w:hAnsi="宋体" w:eastAsia="仿宋_GB2312" w:cs="宋体"/>
          <w:b/>
          <w:kern w:val="0"/>
          <w:sz w:val="28"/>
          <w:szCs w:val="28"/>
        </w:rPr>
      </w:pPr>
    </w:p>
    <w:p w14:paraId="57B96881">
      <w:pPr>
        <w:spacing w:line="540" w:lineRule="exact"/>
        <w:contextualSpacing/>
        <w:rPr>
          <w:rFonts w:ascii="仿宋_GB2312" w:eastAsia="仿宋_GB2312"/>
          <w:sz w:val="24"/>
          <w:szCs w:val="24"/>
        </w:rPr>
      </w:pPr>
    </w:p>
    <w:p w14:paraId="4621D9BD">
      <w:pPr>
        <w:spacing w:line="540" w:lineRule="exact"/>
        <w:contextualSpacing/>
        <w:rPr>
          <w:rFonts w:ascii="仿宋_GB2312" w:eastAsia="仿宋_GB2312"/>
          <w:sz w:val="24"/>
          <w:szCs w:val="24"/>
        </w:rPr>
      </w:pPr>
    </w:p>
    <w:p w14:paraId="14367E75">
      <w:pPr>
        <w:spacing w:line="540" w:lineRule="exact"/>
        <w:ind w:firstLine="482"/>
        <w:contextualSpacing/>
        <w:jc w:val="center"/>
        <w:rPr>
          <w:rFonts w:ascii="仿宋_GB2312" w:eastAsia="仿宋_GB2312"/>
          <w:b/>
          <w:sz w:val="24"/>
          <w:szCs w:val="24"/>
        </w:rPr>
      </w:pPr>
    </w:p>
    <w:p w14:paraId="0BB024A2">
      <w:pPr>
        <w:spacing w:line="540" w:lineRule="exact"/>
        <w:ind w:firstLine="482"/>
        <w:contextualSpacing/>
        <w:jc w:val="center"/>
        <w:rPr>
          <w:rFonts w:ascii="仿宋_GB2312" w:eastAsia="仿宋_GB2312"/>
          <w:b/>
          <w:sz w:val="24"/>
          <w:szCs w:val="24"/>
        </w:rPr>
      </w:pPr>
    </w:p>
    <w:p w14:paraId="0CD675C6">
      <w:pPr>
        <w:spacing w:line="540" w:lineRule="exact"/>
        <w:ind w:firstLine="482"/>
        <w:contextualSpacing/>
        <w:jc w:val="center"/>
        <w:rPr>
          <w:rFonts w:ascii="仿宋_GB2312" w:eastAsia="仿宋_GB2312"/>
          <w:b/>
          <w:sz w:val="24"/>
          <w:szCs w:val="24"/>
        </w:rPr>
      </w:pPr>
    </w:p>
    <w:p w14:paraId="542E0758">
      <w:pPr>
        <w:pStyle w:val="2"/>
        <w:rPr>
          <w:rFonts w:hint="eastAsia"/>
        </w:rPr>
      </w:pPr>
    </w:p>
    <w:p w14:paraId="36158651">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十、政府采购供应商廉洁自律承诺书</w:t>
      </w:r>
    </w:p>
    <w:p w14:paraId="6A35E1D5">
      <w:pPr>
        <w:spacing w:line="540" w:lineRule="exact"/>
        <w:contextualSpacing/>
        <w:rPr>
          <w:rFonts w:ascii="仿宋_GB2312" w:eastAsia="仿宋_GB2312"/>
          <w:sz w:val="24"/>
          <w:szCs w:val="24"/>
        </w:rPr>
      </w:pPr>
    </w:p>
    <w:p w14:paraId="78735A02">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14:paraId="15EBD038">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14:paraId="7521C32B">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14:paraId="3EE59FCC">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14:paraId="50A8C51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14:paraId="73998F28">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14:paraId="02BBF630">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14:paraId="67A03BC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14:paraId="6398506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498A2C9">
      <w:pPr>
        <w:spacing w:line="500" w:lineRule="exact"/>
        <w:contextualSpacing/>
        <w:rPr>
          <w:rFonts w:ascii="仿宋_GB2312" w:eastAsia="仿宋_GB2312"/>
          <w:sz w:val="24"/>
          <w:szCs w:val="24"/>
        </w:rPr>
      </w:pPr>
    </w:p>
    <w:p w14:paraId="34BA577B">
      <w:pPr>
        <w:pStyle w:val="7"/>
        <w:rPr>
          <w:rFonts w:ascii="仿宋_GB2312" w:eastAsia="仿宋_GB2312"/>
        </w:rPr>
      </w:pPr>
    </w:p>
    <w:p w14:paraId="468B3025">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55B2802C">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26D668DB">
      <w:pPr>
        <w:spacing w:line="540" w:lineRule="exact"/>
        <w:contextualSpacing/>
        <w:rPr>
          <w:rFonts w:ascii="仿宋_GB2312" w:eastAsia="仿宋_GB2312"/>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479283E9">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报价文件部分</w:t>
      </w:r>
    </w:p>
    <w:p w14:paraId="33CC6225">
      <w:pPr>
        <w:spacing w:line="540" w:lineRule="exact"/>
        <w:contextualSpacing/>
        <w:rPr>
          <w:rFonts w:ascii="仿宋_GB2312" w:eastAsia="仿宋_GB2312"/>
          <w:sz w:val="24"/>
          <w:szCs w:val="24"/>
        </w:rPr>
      </w:pPr>
    </w:p>
    <w:p w14:paraId="4AD2BA99">
      <w:pPr>
        <w:numPr>
          <w:ilvl w:val="0"/>
          <w:numId w:val="19"/>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14:paraId="2F9824D2">
      <w:pPr>
        <w:pStyle w:val="7"/>
        <w:numPr>
          <w:ilvl w:val="0"/>
          <w:numId w:val="19"/>
        </w:numPr>
        <w:rPr>
          <w:rFonts w:ascii="仿宋_GB2312" w:eastAsia="仿宋_GB2312"/>
          <w:sz w:val="24"/>
          <w:szCs w:val="24"/>
        </w:rPr>
      </w:pPr>
      <w:r>
        <w:rPr>
          <w:rFonts w:hint="eastAsia" w:ascii="仿宋_GB2312" w:eastAsia="仿宋_GB2312"/>
          <w:sz w:val="24"/>
          <w:szCs w:val="24"/>
        </w:rPr>
        <w:t>中小企业声明函（如果有）…………………………………………………（页码）</w:t>
      </w:r>
    </w:p>
    <w:p w14:paraId="3C1B20DF">
      <w:pPr>
        <w:spacing w:line="540" w:lineRule="exact"/>
        <w:contextualSpacing/>
        <w:rPr>
          <w:rFonts w:ascii="仿宋_GB2312" w:eastAsia="仿宋_GB2312"/>
          <w:sz w:val="24"/>
          <w:szCs w:val="24"/>
        </w:rPr>
      </w:pPr>
    </w:p>
    <w:p w14:paraId="6475A441">
      <w:pPr>
        <w:spacing w:line="540" w:lineRule="exact"/>
        <w:contextualSpacing/>
        <w:rPr>
          <w:rFonts w:ascii="仿宋_GB2312" w:eastAsia="仿宋_GB2312"/>
          <w:sz w:val="24"/>
          <w:szCs w:val="24"/>
        </w:rPr>
      </w:pPr>
    </w:p>
    <w:p w14:paraId="79C0CC1D">
      <w:pPr>
        <w:spacing w:line="540" w:lineRule="exact"/>
        <w:contextualSpacing/>
        <w:rPr>
          <w:rFonts w:ascii="仿宋_GB2312" w:eastAsia="仿宋_GB2312"/>
          <w:sz w:val="24"/>
          <w:szCs w:val="24"/>
        </w:rPr>
      </w:pPr>
    </w:p>
    <w:p w14:paraId="48B9AEEA">
      <w:pPr>
        <w:spacing w:line="540" w:lineRule="exact"/>
        <w:contextualSpacing/>
        <w:rPr>
          <w:rFonts w:ascii="仿宋_GB2312" w:eastAsia="仿宋_GB2312"/>
          <w:sz w:val="24"/>
          <w:szCs w:val="24"/>
        </w:rPr>
      </w:pPr>
    </w:p>
    <w:p w14:paraId="4A1E7C98">
      <w:pPr>
        <w:spacing w:line="540" w:lineRule="exact"/>
        <w:contextualSpacing/>
        <w:rPr>
          <w:rFonts w:ascii="仿宋_GB2312" w:eastAsia="仿宋_GB2312"/>
          <w:sz w:val="24"/>
          <w:szCs w:val="24"/>
        </w:rPr>
      </w:pPr>
    </w:p>
    <w:p w14:paraId="2E2D0453">
      <w:pPr>
        <w:spacing w:line="540" w:lineRule="exact"/>
        <w:contextualSpacing/>
        <w:rPr>
          <w:rFonts w:ascii="仿宋_GB2312" w:eastAsia="仿宋_GB2312"/>
          <w:sz w:val="24"/>
          <w:szCs w:val="24"/>
        </w:rPr>
      </w:pPr>
    </w:p>
    <w:p w14:paraId="449CB9B1">
      <w:pPr>
        <w:spacing w:line="540" w:lineRule="exact"/>
        <w:contextualSpacing/>
        <w:rPr>
          <w:rFonts w:ascii="仿宋_GB2312" w:eastAsia="仿宋_GB2312"/>
          <w:sz w:val="24"/>
          <w:szCs w:val="24"/>
        </w:rPr>
      </w:pPr>
    </w:p>
    <w:p w14:paraId="11CC4B1E">
      <w:pPr>
        <w:spacing w:line="540" w:lineRule="exact"/>
        <w:contextualSpacing/>
        <w:rPr>
          <w:rFonts w:ascii="仿宋_GB2312" w:eastAsia="仿宋_GB2312"/>
          <w:sz w:val="24"/>
          <w:szCs w:val="24"/>
        </w:rPr>
      </w:pPr>
    </w:p>
    <w:p w14:paraId="1EE337B3">
      <w:pPr>
        <w:spacing w:line="540" w:lineRule="exact"/>
        <w:contextualSpacing/>
        <w:rPr>
          <w:rFonts w:ascii="仿宋_GB2312" w:eastAsia="仿宋_GB2312"/>
          <w:sz w:val="24"/>
          <w:szCs w:val="24"/>
        </w:rPr>
      </w:pPr>
    </w:p>
    <w:p w14:paraId="330450CB">
      <w:pPr>
        <w:spacing w:line="540" w:lineRule="exact"/>
        <w:contextualSpacing/>
        <w:rPr>
          <w:rFonts w:ascii="仿宋_GB2312" w:eastAsia="仿宋_GB2312"/>
          <w:sz w:val="24"/>
          <w:szCs w:val="24"/>
        </w:rPr>
      </w:pPr>
    </w:p>
    <w:p w14:paraId="51A7840E">
      <w:pPr>
        <w:spacing w:line="540" w:lineRule="exact"/>
        <w:contextualSpacing/>
        <w:rPr>
          <w:rFonts w:ascii="仿宋_GB2312" w:eastAsia="仿宋_GB2312"/>
          <w:sz w:val="24"/>
          <w:szCs w:val="24"/>
        </w:rPr>
      </w:pPr>
    </w:p>
    <w:p w14:paraId="35FE7C0F">
      <w:pPr>
        <w:spacing w:line="540" w:lineRule="exact"/>
        <w:contextualSpacing/>
        <w:rPr>
          <w:rFonts w:ascii="仿宋_GB2312" w:eastAsia="仿宋_GB2312"/>
          <w:sz w:val="24"/>
          <w:szCs w:val="24"/>
        </w:rPr>
      </w:pPr>
    </w:p>
    <w:p w14:paraId="2763A835">
      <w:pPr>
        <w:spacing w:line="540" w:lineRule="exact"/>
        <w:contextualSpacing/>
        <w:rPr>
          <w:rFonts w:ascii="仿宋_GB2312" w:eastAsia="仿宋_GB2312"/>
          <w:sz w:val="24"/>
          <w:szCs w:val="24"/>
        </w:rPr>
      </w:pPr>
    </w:p>
    <w:p w14:paraId="744E3A6E">
      <w:pPr>
        <w:spacing w:line="540" w:lineRule="exact"/>
        <w:contextualSpacing/>
        <w:rPr>
          <w:rFonts w:ascii="仿宋_GB2312" w:eastAsia="仿宋_GB2312"/>
          <w:sz w:val="24"/>
          <w:szCs w:val="24"/>
        </w:rPr>
      </w:pPr>
    </w:p>
    <w:p w14:paraId="1858DC93">
      <w:pPr>
        <w:spacing w:line="540" w:lineRule="exact"/>
        <w:contextualSpacing/>
        <w:rPr>
          <w:rFonts w:ascii="仿宋_GB2312" w:eastAsia="仿宋_GB2312"/>
          <w:sz w:val="24"/>
          <w:szCs w:val="24"/>
        </w:rPr>
      </w:pPr>
    </w:p>
    <w:p w14:paraId="408DE9EA">
      <w:pPr>
        <w:spacing w:line="540" w:lineRule="exact"/>
        <w:contextualSpacing/>
        <w:rPr>
          <w:rFonts w:ascii="仿宋_GB2312" w:eastAsia="仿宋_GB2312"/>
          <w:sz w:val="24"/>
          <w:szCs w:val="24"/>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3675EB0B">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一、开标一览表（报价表）</w:t>
      </w:r>
    </w:p>
    <w:p w14:paraId="7F431619">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102925D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按你方招标文件要求，我们，本投标文件签字方，谨此向你方发出要约如下：如你方接受本投标，我方承诺按照如下开标一览表（报价表）的价格完成（项目名称）【招标编号：（采购编号）】的实施。</w:t>
      </w:r>
    </w:p>
    <w:p w14:paraId="5C01C64A">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61"/>
        <w:gridCol w:w="1134"/>
        <w:gridCol w:w="1418"/>
        <w:gridCol w:w="1134"/>
        <w:gridCol w:w="850"/>
        <w:gridCol w:w="1276"/>
        <w:gridCol w:w="1276"/>
      </w:tblGrid>
      <w:tr w14:paraId="782A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vAlign w:val="center"/>
          </w:tcPr>
          <w:p w14:paraId="464A2D68">
            <w:pPr>
              <w:spacing w:line="36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361" w:type="dxa"/>
            <w:vAlign w:val="center"/>
          </w:tcPr>
          <w:p w14:paraId="58D23605">
            <w:pPr>
              <w:spacing w:line="360" w:lineRule="exact"/>
              <w:contextualSpacing/>
              <w:jc w:val="center"/>
              <w:rPr>
                <w:rFonts w:ascii="仿宋_GB2312" w:eastAsia="仿宋_GB2312"/>
                <w:sz w:val="24"/>
                <w:szCs w:val="24"/>
              </w:rPr>
            </w:pPr>
            <w:r>
              <w:rPr>
                <w:rFonts w:hint="eastAsia" w:ascii="仿宋_GB2312" w:eastAsia="仿宋_GB2312"/>
                <w:sz w:val="24"/>
                <w:szCs w:val="24"/>
              </w:rPr>
              <w:t>名称</w:t>
            </w:r>
          </w:p>
        </w:tc>
        <w:tc>
          <w:tcPr>
            <w:tcW w:w="1134" w:type="dxa"/>
            <w:vAlign w:val="center"/>
          </w:tcPr>
          <w:p w14:paraId="7F47BABB">
            <w:pPr>
              <w:spacing w:line="360" w:lineRule="exact"/>
              <w:contextualSpacing/>
              <w:jc w:val="center"/>
              <w:rPr>
                <w:rFonts w:ascii="仿宋_GB2312" w:eastAsia="仿宋_GB2312"/>
                <w:sz w:val="24"/>
                <w:szCs w:val="24"/>
              </w:rPr>
            </w:pPr>
            <w:r>
              <w:rPr>
                <w:rFonts w:hint="eastAsia" w:ascii="仿宋_GB2312" w:eastAsia="仿宋_GB2312"/>
                <w:sz w:val="24"/>
                <w:szCs w:val="24"/>
              </w:rPr>
              <w:t>品牌（如果有）</w:t>
            </w:r>
          </w:p>
        </w:tc>
        <w:tc>
          <w:tcPr>
            <w:tcW w:w="1418" w:type="dxa"/>
            <w:vAlign w:val="center"/>
          </w:tcPr>
          <w:p w14:paraId="6BF7B0EA">
            <w:pPr>
              <w:spacing w:line="360" w:lineRule="exact"/>
              <w:contextualSpacing/>
              <w:jc w:val="center"/>
              <w:rPr>
                <w:rFonts w:ascii="仿宋_GB2312" w:eastAsia="仿宋_GB2312"/>
                <w:sz w:val="24"/>
                <w:szCs w:val="24"/>
              </w:rPr>
            </w:pPr>
            <w:r>
              <w:rPr>
                <w:rFonts w:hint="eastAsia" w:ascii="仿宋_GB2312" w:eastAsia="仿宋_GB2312"/>
                <w:sz w:val="24"/>
                <w:szCs w:val="24"/>
              </w:rPr>
              <w:t>规格型号</w:t>
            </w:r>
          </w:p>
        </w:tc>
        <w:tc>
          <w:tcPr>
            <w:tcW w:w="1134" w:type="dxa"/>
            <w:vAlign w:val="center"/>
          </w:tcPr>
          <w:p w14:paraId="4D20672F">
            <w:pPr>
              <w:spacing w:line="360" w:lineRule="exact"/>
              <w:contextualSpacing/>
              <w:jc w:val="center"/>
              <w:rPr>
                <w:rFonts w:ascii="仿宋_GB2312" w:eastAsia="仿宋_GB2312"/>
                <w:sz w:val="24"/>
                <w:szCs w:val="24"/>
              </w:rPr>
            </w:pPr>
            <w:r>
              <w:rPr>
                <w:rFonts w:hint="eastAsia" w:ascii="仿宋_GB2312" w:eastAsia="仿宋_GB2312"/>
                <w:sz w:val="24"/>
                <w:szCs w:val="24"/>
              </w:rPr>
              <w:t>数量</w:t>
            </w:r>
          </w:p>
        </w:tc>
        <w:tc>
          <w:tcPr>
            <w:tcW w:w="850" w:type="dxa"/>
            <w:vAlign w:val="center"/>
          </w:tcPr>
          <w:p w14:paraId="72506AF5">
            <w:pPr>
              <w:spacing w:line="360" w:lineRule="exact"/>
              <w:contextualSpacing/>
              <w:jc w:val="center"/>
              <w:rPr>
                <w:rFonts w:ascii="仿宋_GB2312" w:eastAsia="仿宋_GB2312"/>
                <w:sz w:val="24"/>
                <w:szCs w:val="24"/>
              </w:rPr>
            </w:pPr>
            <w:r>
              <w:rPr>
                <w:rFonts w:hint="eastAsia" w:ascii="仿宋_GB2312" w:eastAsia="仿宋_GB2312"/>
                <w:sz w:val="24"/>
                <w:szCs w:val="24"/>
              </w:rPr>
              <w:t>单价</w:t>
            </w:r>
          </w:p>
        </w:tc>
        <w:tc>
          <w:tcPr>
            <w:tcW w:w="1276" w:type="dxa"/>
            <w:vAlign w:val="center"/>
          </w:tcPr>
          <w:p w14:paraId="7677C089">
            <w:pPr>
              <w:spacing w:line="360" w:lineRule="exact"/>
              <w:contextualSpacing/>
              <w:jc w:val="center"/>
              <w:rPr>
                <w:rFonts w:ascii="仿宋_GB2312" w:eastAsia="仿宋_GB2312"/>
                <w:sz w:val="24"/>
                <w:szCs w:val="24"/>
              </w:rPr>
            </w:pPr>
            <w:r>
              <w:rPr>
                <w:rFonts w:hint="eastAsia" w:ascii="仿宋_GB2312" w:eastAsia="仿宋_GB2312"/>
                <w:sz w:val="24"/>
                <w:szCs w:val="24"/>
              </w:rPr>
              <w:t>总价</w:t>
            </w:r>
          </w:p>
        </w:tc>
        <w:tc>
          <w:tcPr>
            <w:tcW w:w="1276" w:type="dxa"/>
            <w:vAlign w:val="center"/>
          </w:tcPr>
          <w:p w14:paraId="59D72A3D">
            <w:pPr>
              <w:spacing w:line="360" w:lineRule="exact"/>
              <w:contextualSpacing/>
              <w:jc w:val="center"/>
              <w:rPr>
                <w:rFonts w:ascii="仿宋_GB2312" w:eastAsia="仿宋_GB2312"/>
                <w:sz w:val="24"/>
                <w:szCs w:val="24"/>
              </w:rPr>
            </w:pPr>
            <w:r>
              <w:rPr>
                <w:rFonts w:hint="eastAsia" w:ascii="仿宋_GB2312" w:eastAsia="仿宋_GB2312"/>
                <w:sz w:val="24"/>
                <w:szCs w:val="24"/>
              </w:rPr>
              <w:t>备注</w:t>
            </w:r>
          </w:p>
        </w:tc>
      </w:tr>
      <w:tr w14:paraId="7888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vAlign w:val="center"/>
          </w:tcPr>
          <w:p w14:paraId="7F6CD630">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361" w:type="dxa"/>
            <w:vAlign w:val="bottom"/>
          </w:tcPr>
          <w:p w14:paraId="2CA56463">
            <w:pPr>
              <w:spacing w:line="540" w:lineRule="exact"/>
              <w:contextualSpacing/>
              <w:rPr>
                <w:rFonts w:ascii="仿宋_GB2312" w:eastAsia="仿宋_GB2312"/>
                <w:sz w:val="24"/>
                <w:szCs w:val="24"/>
              </w:rPr>
            </w:pPr>
          </w:p>
        </w:tc>
        <w:tc>
          <w:tcPr>
            <w:tcW w:w="1134" w:type="dxa"/>
          </w:tcPr>
          <w:p w14:paraId="0E3CD65F">
            <w:pPr>
              <w:spacing w:line="540" w:lineRule="exact"/>
              <w:contextualSpacing/>
              <w:rPr>
                <w:rFonts w:ascii="仿宋_GB2312" w:eastAsia="仿宋_GB2312"/>
                <w:sz w:val="24"/>
                <w:szCs w:val="24"/>
              </w:rPr>
            </w:pPr>
          </w:p>
        </w:tc>
        <w:tc>
          <w:tcPr>
            <w:tcW w:w="1418" w:type="dxa"/>
            <w:vAlign w:val="center"/>
          </w:tcPr>
          <w:p w14:paraId="16B39047">
            <w:pPr>
              <w:spacing w:line="540" w:lineRule="exact"/>
              <w:contextualSpacing/>
              <w:rPr>
                <w:rFonts w:ascii="仿宋_GB2312" w:eastAsia="仿宋_GB2312"/>
                <w:sz w:val="24"/>
                <w:szCs w:val="24"/>
              </w:rPr>
            </w:pPr>
          </w:p>
        </w:tc>
        <w:tc>
          <w:tcPr>
            <w:tcW w:w="1134" w:type="dxa"/>
            <w:vAlign w:val="center"/>
          </w:tcPr>
          <w:p w14:paraId="6F514005">
            <w:pPr>
              <w:spacing w:line="540" w:lineRule="exact"/>
              <w:contextualSpacing/>
              <w:rPr>
                <w:rFonts w:ascii="仿宋_GB2312" w:eastAsia="仿宋_GB2312"/>
                <w:sz w:val="24"/>
                <w:szCs w:val="24"/>
              </w:rPr>
            </w:pPr>
          </w:p>
        </w:tc>
        <w:tc>
          <w:tcPr>
            <w:tcW w:w="850" w:type="dxa"/>
          </w:tcPr>
          <w:p w14:paraId="213E3130">
            <w:pPr>
              <w:spacing w:line="540" w:lineRule="exact"/>
              <w:contextualSpacing/>
              <w:rPr>
                <w:rFonts w:ascii="仿宋_GB2312" w:eastAsia="仿宋_GB2312"/>
                <w:sz w:val="24"/>
                <w:szCs w:val="24"/>
              </w:rPr>
            </w:pPr>
          </w:p>
        </w:tc>
        <w:tc>
          <w:tcPr>
            <w:tcW w:w="1276" w:type="dxa"/>
            <w:vAlign w:val="center"/>
          </w:tcPr>
          <w:p w14:paraId="3F6A526E">
            <w:pPr>
              <w:spacing w:line="540" w:lineRule="exact"/>
              <w:contextualSpacing/>
              <w:rPr>
                <w:rFonts w:ascii="仿宋_GB2312" w:eastAsia="仿宋_GB2312"/>
                <w:sz w:val="24"/>
                <w:szCs w:val="24"/>
              </w:rPr>
            </w:pPr>
          </w:p>
        </w:tc>
        <w:tc>
          <w:tcPr>
            <w:tcW w:w="1276" w:type="dxa"/>
            <w:vAlign w:val="center"/>
          </w:tcPr>
          <w:p w14:paraId="4AD44B5F">
            <w:pPr>
              <w:spacing w:line="540" w:lineRule="exact"/>
              <w:contextualSpacing/>
              <w:rPr>
                <w:rFonts w:ascii="仿宋_GB2312" w:eastAsia="仿宋_GB2312"/>
                <w:sz w:val="24"/>
                <w:szCs w:val="24"/>
              </w:rPr>
            </w:pPr>
          </w:p>
        </w:tc>
      </w:tr>
      <w:tr w14:paraId="4ED2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14:paraId="0A77AC21">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361" w:type="dxa"/>
            <w:vAlign w:val="bottom"/>
          </w:tcPr>
          <w:p w14:paraId="7D90AD8C">
            <w:pPr>
              <w:spacing w:line="540" w:lineRule="exact"/>
              <w:contextualSpacing/>
              <w:rPr>
                <w:rFonts w:ascii="仿宋_GB2312" w:eastAsia="仿宋_GB2312"/>
                <w:sz w:val="24"/>
                <w:szCs w:val="24"/>
              </w:rPr>
            </w:pPr>
          </w:p>
        </w:tc>
        <w:tc>
          <w:tcPr>
            <w:tcW w:w="1134" w:type="dxa"/>
          </w:tcPr>
          <w:p w14:paraId="24D21DCC">
            <w:pPr>
              <w:spacing w:line="540" w:lineRule="exact"/>
              <w:contextualSpacing/>
              <w:rPr>
                <w:rFonts w:ascii="仿宋_GB2312" w:eastAsia="仿宋_GB2312"/>
                <w:sz w:val="24"/>
                <w:szCs w:val="24"/>
              </w:rPr>
            </w:pPr>
          </w:p>
        </w:tc>
        <w:tc>
          <w:tcPr>
            <w:tcW w:w="1418" w:type="dxa"/>
            <w:vAlign w:val="center"/>
          </w:tcPr>
          <w:p w14:paraId="45CBBD34">
            <w:pPr>
              <w:spacing w:line="540" w:lineRule="exact"/>
              <w:contextualSpacing/>
              <w:rPr>
                <w:rFonts w:ascii="仿宋_GB2312" w:eastAsia="仿宋_GB2312"/>
                <w:sz w:val="24"/>
                <w:szCs w:val="24"/>
              </w:rPr>
            </w:pPr>
          </w:p>
        </w:tc>
        <w:tc>
          <w:tcPr>
            <w:tcW w:w="1134" w:type="dxa"/>
            <w:vAlign w:val="center"/>
          </w:tcPr>
          <w:p w14:paraId="7F048557">
            <w:pPr>
              <w:spacing w:line="540" w:lineRule="exact"/>
              <w:contextualSpacing/>
              <w:rPr>
                <w:rFonts w:ascii="仿宋_GB2312" w:eastAsia="仿宋_GB2312"/>
                <w:sz w:val="24"/>
                <w:szCs w:val="24"/>
              </w:rPr>
            </w:pPr>
          </w:p>
        </w:tc>
        <w:tc>
          <w:tcPr>
            <w:tcW w:w="850" w:type="dxa"/>
          </w:tcPr>
          <w:p w14:paraId="3278077F">
            <w:pPr>
              <w:spacing w:line="540" w:lineRule="exact"/>
              <w:contextualSpacing/>
              <w:rPr>
                <w:rFonts w:ascii="仿宋_GB2312" w:eastAsia="仿宋_GB2312"/>
                <w:sz w:val="24"/>
                <w:szCs w:val="24"/>
              </w:rPr>
            </w:pPr>
          </w:p>
        </w:tc>
        <w:tc>
          <w:tcPr>
            <w:tcW w:w="1276" w:type="dxa"/>
            <w:vAlign w:val="center"/>
          </w:tcPr>
          <w:p w14:paraId="566D802B">
            <w:pPr>
              <w:spacing w:line="540" w:lineRule="exact"/>
              <w:contextualSpacing/>
              <w:rPr>
                <w:rFonts w:ascii="仿宋_GB2312" w:eastAsia="仿宋_GB2312"/>
                <w:sz w:val="24"/>
                <w:szCs w:val="24"/>
              </w:rPr>
            </w:pPr>
          </w:p>
        </w:tc>
        <w:tc>
          <w:tcPr>
            <w:tcW w:w="1276" w:type="dxa"/>
            <w:vAlign w:val="center"/>
          </w:tcPr>
          <w:p w14:paraId="43B4CD33">
            <w:pPr>
              <w:spacing w:line="540" w:lineRule="exact"/>
              <w:contextualSpacing/>
              <w:rPr>
                <w:rFonts w:ascii="仿宋_GB2312" w:eastAsia="仿宋_GB2312"/>
                <w:sz w:val="24"/>
                <w:szCs w:val="24"/>
              </w:rPr>
            </w:pPr>
          </w:p>
        </w:tc>
      </w:tr>
      <w:tr w14:paraId="1988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14:paraId="4938FCB4">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361" w:type="dxa"/>
            <w:vAlign w:val="bottom"/>
          </w:tcPr>
          <w:p w14:paraId="1CE96C2C">
            <w:pPr>
              <w:spacing w:line="540" w:lineRule="exact"/>
              <w:contextualSpacing/>
              <w:rPr>
                <w:rFonts w:ascii="仿宋_GB2312" w:eastAsia="仿宋_GB2312"/>
                <w:sz w:val="24"/>
                <w:szCs w:val="24"/>
              </w:rPr>
            </w:pPr>
          </w:p>
        </w:tc>
        <w:tc>
          <w:tcPr>
            <w:tcW w:w="1134" w:type="dxa"/>
          </w:tcPr>
          <w:p w14:paraId="307AEE97">
            <w:pPr>
              <w:spacing w:line="540" w:lineRule="exact"/>
              <w:contextualSpacing/>
              <w:rPr>
                <w:rFonts w:ascii="仿宋_GB2312" w:eastAsia="仿宋_GB2312"/>
                <w:sz w:val="24"/>
                <w:szCs w:val="24"/>
              </w:rPr>
            </w:pPr>
          </w:p>
        </w:tc>
        <w:tc>
          <w:tcPr>
            <w:tcW w:w="1418" w:type="dxa"/>
            <w:vAlign w:val="center"/>
          </w:tcPr>
          <w:p w14:paraId="4A0D1B8E">
            <w:pPr>
              <w:spacing w:line="540" w:lineRule="exact"/>
              <w:contextualSpacing/>
              <w:rPr>
                <w:rFonts w:ascii="仿宋_GB2312" w:eastAsia="仿宋_GB2312"/>
                <w:sz w:val="24"/>
                <w:szCs w:val="24"/>
              </w:rPr>
            </w:pPr>
          </w:p>
        </w:tc>
        <w:tc>
          <w:tcPr>
            <w:tcW w:w="1134" w:type="dxa"/>
            <w:vAlign w:val="center"/>
          </w:tcPr>
          <w:p w14:paraId="77DAEA05">
            <w:pPr>
              <w:spacing w:line="540" w:lineRule="exact"/>
              <w:contextualSpacing/>
              <w:rPr>
                <w:rFonts w:ascii="仿宋_GB2312" w:eastAsia="仿宋_GB2312"/>
                <w:sz w:val="24"/>
                <w:szCs w:val="24"/>
              </w:rPr>
            </w:pPr>
          </w:p>
        </w:tc>
        <w:tc>
          <w:tcPr>
            <w:tcW w:w="850" w:type="dxa"/>
          </w:tcPr>
          <w:p w14:paraId="0AD99149">
            <w:pPr>
              <w:spacing w:line="540" w:lineRule="exact"/>
              <w:contextualSpacing/>
              <w:rPr>
                <w:rFonts w:ascii="仿宋_GB2312" w:eastAsia="仿宋_GB2312"/>
                <w:sz w:val="24"/>
                <w:szCs w:val="24"/>
              </w:rPr>
            </w:pPr>
          </w:p>
        </w:tc>
        <w:tc>
          <w:tcPr>
            <w:tcW w:w="1276" w:type="dxa"/>
            <w:vAlign w:val="center"/>
          </w:tcPr>
          <w:p w14:paraId="50940FF3">
            <w:pPr>
              <w:spacing w:line="540" w:lineRule="exact"/>
              <w:contextualSpacing/>
              <w:rPr>
                <w:rFonts w:ascii="仿宋_GB2312" w:eastAsia="仿宋_GB2312"/>
                <w:sz w:val="24"/>
                <w:szCs w:val="24"/>
              </w:rPr>
            </w:pPr>
          </w:p>
        </w:tc>
        <w:tc>
          <w:tcPr>
            <w:tcW w:w="1276" w:type="dxa"/>
            <w:vAlign w:val="center"/>
          </w:tcPr>
          <w:p w14:paraId="20417C39">
            <w:pPr>
              <w:spacing w:line="540" w:lineRule="exact"/>
              <w:contextualSpacing/>
              <w:rPr>
                <w:rFonts w:ascii="仿宋_GB2312" w:eastAsia="仿宋_GB2312"/>
                <w:sz w:val="24"/>
                <w:szCs w:val="24"/>
              </w:rPr>
            </w:pPr>
          </w:p>
        </w:tc>
      </w:tr>
      <w:tr w14:paraId="267C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14:paraId="29FE525B">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361" w:type="dxa"/>
            <w:vAlign w:val="bottom"/>
          </w:tcPr>
          <w:p w14:paraId="720FB927">
            <w:pPr>
              <w:spacing w:line="540" w:lineRule="exact"/>
              <w:contextualSpacing/>
              <w:rPr>
                <w:rFonts w:ascii="仿宋_GB2312" w:eastAsia="仿宋_GB2312"/>
                <w:sz w:val="24"/>
                <w:szCs w:val="24"/>
              </w:rPr>
            </w:pPr>
          </w:p>
        </w:tc>
        <w:tc>
          <w:tcPr>
            <w:tcW w:w="1134" w:type="dxa"/>
          </w:tcPr>
          <w:p w14:paraId="25C4F92B">
            <w:pPr>
              <w:spacing w:line="540" w:lineRule="exact"/>
              <w:contextualSpacing/>
              <w:rPr>
                <w:rFonts w:ascii="仿宋_GB2312" w:eastAsia="仿宋_GB2312"/>
                <w:sz w:val="24"/>
                <w:szCs w:val="24"/>
              </w:rPr>
            </w:pPr>
          </w:p>
        </w:tc>
        <w:tc>
          <w:tcPr>
            <w:tcW w:w="1418" w:type="dxa"/>
            <w:vAlign w:val="center"/>
          </w:tcPr>
          <w:p w14:paraId="1F13D5A4">
            <w:pPr>
              <w:spacing w:line="540" w:lineRule="exact"/>
              <w:contextualSpacing/>
              <w:rPr>
                <w:rFonts w:ascii="仿宋_GB2312" w:eastAsia="仿宋_GB2312"/>
                <w:sz w:val="24"/>
                <w:szCs w:val="24"/>
              </w:rPr>
            </w:pPr>
          </w:p>
        </w:tc>
        <w:tc>
          <w:tcPr>
            <w:tcW w:w="1134" w:type="dxa"/>
            <w:vAlign w:val="center"/>
          </w:tcPr>
          <w:p w14:paraId="3895167A">
            <w:pPr>
              <w:spacing w:line="540" w:lineRule="exact"/>
              <w:contextualSpacing/>
              <w:rPr>
                <w:rFonts w:ascii="仿宋_GB2312" w:eastAsia="仿宋_GB2312"/>
                <w:sz w:val="24"/>
                <w:szCs w:val="24"/>
              </w:rPr>
            </w:pPr>
          </w:p>
        </w:tc>
        <w:tc>
          <w:tcPr>
            <w:tcW w:w="850" w:type="dxa"/>
          </w:tcPr>
          <w:p w14:paraId="66214C48">
            <w:pPr>
              <w:spacing w:line="540" w:lineRule="exact"/>
              <w:contextualSpacing/>
              <w:rPr>
                <w:rFonts w:ascii="仿宋_GB2312" w:eastAsia="仿宋_GB2312"/>
                <w:sz w:val="24"/>
                <w:szCs w:val="24"/>
              </w:rPr>
            </w:pPr>
          </w:p>
        </w:tc>
        <w:tc>
          <w:tcPr>
            <w:tcW w:w="1276" w:type="dxa"/>
            <w:vAlign w:val="center"/>
          </w:tcPr>
          <w:p w14:paraId="157D8D94">
            <w:pPr>
              <w:spacing w:line="540" w:lineRule="exact"/>
              <w:contextualSpacing/>
              <w:rPr>
                <w:rFonts w:ascii="仿宋_GB2312" w:eastAsia="仿宋_GB2312"/>
                <w:sz w:val="24"/>
                <w:szCs w:val="24"/>
              </w:rPr>
            </w:pPr>
          </w:p>
        </w:tc>
        <w:tc>
          <w:tcPr>
            <w:tcW w:w="1276" w:type="dxa"/>
            <w:vAlign w:val="center"/>
          </w:tcPr>
          <w:p w14:paraId="7350B227">
            <w:pPr>
              <w:spacing w:line="540" w:lineRule="exact"/>
              <w:contextualSpacing/>
              <w:rPr>
                <w:rFonts w:ascii="仿宋_GB2312" w:eastAsia="仿宋_GB2312"/>
                <w:sz w:val="24"/>
                <w:szCs w:val="24"/>
              </w:rPr>
            </w:pPr>
          </w:p>
        </w:tc>
      </w:tr>
      <w:tr w14:paraId="2ED1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0A62DA38">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361" w:type="dxa"/>
            <w:vAlign w:val="bottom"/>
          </w:tcPr>
          <w:p w14:paraId="309B5577">
            <w:pPr>
              <w:spacing w:line="540" w:lineRule="exact"/>
              <w:contextualSpacing/>
              <w:rPr>
                <w:rFonts w:ascii="仿宋_GB2312" w:eastAsia="仿宋_GB2312"/>
                <w:sz w:val="24"/>
                <w:szCs w:val="24"/>
              </w:rPr>
            </w:pPr>
          </w:p>
        </w:tc>
        <w:tc>
          <w:tcPr>
            <w:tcW w:w="1134" w:type="dxa"/>
          </w:tcPr>
          <w:p w14:paraId="4C865598">
            <w:pPr>
              <w:spacing w:line="540" w:lineRule="exact"/>
              <w:contextualSpacing/>
              <w:rPr>
                <w:rFonts w:ascii="仿宋_GB2312" w:eastAsia="仿宋_GB2312"/>
                <w:sz w:val="24"/>
                <w:szCs w:val="24"/>
              </w:rPr>
            </w:pPr>
          </w:p>
        </w:tc>
        <w:tc>
          <w:tcPr>
            <w:tcW w:w="1418" w:type="dxa"/>
            <w:vAlign w:val="center"/>
          </w:tcPr>
          <w:p w14:paraId="56937218">
            <w:pPr>
              <w:spacing w:line="540" w:lineRule="exact"/>
              <w:contextualSpacing/>
              <w:rPr>
                <w:rFonts w:ascii="仿宋_GB2312" w:eastAsia="仿宋_GB2312"/>
                <w:sz w:val="24"/>
                <w:szCs w:val="24"/>
              </w:rPr>
            </w:pPr>
          </w:p>
        </w:tc>
        <w:tc>
          <w:tcPr>
            <w:tcW w:w="1134" w:type="dxa"/>
            <w:vAlign w:val="center"/>
          </w:tcPr>
          <w:p w14:paraId="04093667">
            <w:pPr>
              <w:spacing w:line="540" w:lineRule="exact"/>
              <w:contextualSpacing/>
              <w:rPr>
                <w:rFonts w:ascii="仿宋_GB2312" w:eastAsia="仿宋_GB2312"/>
                <w:sz w:val="24"/>
                <w:szCs w:val="24"/>
              </w:rPr>
            </w:pPr>
          </w:p>
        </w:tc>
        <w:tc>
          <w:tcPr>
            <w:tcW w:w="850" w:type="dxa"/>
          </w:tcPr>
          <w:p w14:paraId="112F609F">
            <w:pPr>
              <w:spacing w:line="540" w:lineRule="exact"/>
              <w:contextualSpacing/>
              <w:rPr>
                <w:rFonts w:ascii="仿宋_GB2312" w:eastAsia="仿宋_GB2312"/>
                <w:sz w:val="24"/>
                <w:szCs w:val="24"/>
              </w:rPr>
            </w:pPr>
          </w:p>
        </w:tc>
        <w:tc>
          <w:tcPr>
            <w:tcW w:w="1276" w:type="dxa"/>
            <w:vAlign w:val="center"/>
          </w:tcPr>
          <w:p w14:paraId="4F9E67F5">
            <w:pPr>
              <w:spacing w:line="540" w:lineRule="exact"/>
              <w:contextualSpacing/>
              <w:rPr>
                <w:rFonts w:ascii="仿宋_GB2312" w:eastAsia="仿宋_GB2312"/>
                <w:sz w:val="24"/>
                <w:szCs w:val="24"/>
              </w:rPr>
            </w:pPr>
          </w:p>
        </w:tc>
        <w:tc>
          <w:tcPr>
            <w:tcW w:w="1276" w:type="dxa"/>
            <w:vAlign w:val="center"/>
          </w:tcPr>
          <w:p w14:paraId="6FCAA6BD">
            <w:pPr>
              <w:spacing w:line="540" w:lineRule="exact"/>
              <w:contextualSpacing/>
              <w:rPr>
                <w:rFonts w:ascii="仿宋_GB2312" w:eastAsia="仿宋_GB2312"/>
                <w:sz w:val="24"/>
                <w:szCs w:val="24"/>
              </w:rPr>
            </w:pPr>
          </w:p>
        </w:tc>
      </w:tr>
      <w:tr w14:paraId="3D0B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vAlign w:val="center"/>
          </w:tcPr>
          <w:p w14:paraId="17F6641E">
            <w:pPr>
              <w:spacing w:line="540" w:lineRule="exact"/>
              <w:contextualSpacing/>
              <w:jc w:val="center"/>
              <w:rPr>
                <w:rFonts w:ascii="仿宋_GB2312" w:eastAsia="仿宋_GB2312"/>
                <w:sz w:val="24"/>
                <w:szCs w:val="24"/>
              </w:rPr>
            </w:pPr>
            <w:r>
              <w:rPr>
                <w:rFonts w:hint="eastAsia" w:ascii="仿宋_GB2312" w:eastAsia="仿宋_GB2312"/>
                <w:sz w:val="24"/>
                <w:szCs w:val="24"/>
              </w:rPr>
              <w:t>6</w:t>
            </w:r>
          </w:p>
        </w:tc>
        <w:tc>
          <w:tcPr>
            <w:tcW w:w="1361" w:type="dxa"/>
            <w:vAlign w:val="bottom"/>
          </w:tcPr>
          <w:p w14:paraId="79834F04">
            <w:pPr>
              <w:spacing w:line="540" w:lineRule="exact"/>
              <w:contextualSpacing/>
              <w:rPr>
                <w:rFonts w:ascii="仿宋_GB2312" w:eastAsia="仿宋_GB2312"/>
                <w:sz w:val="24"/>
                <w:szCs w:val="24"/>
              </w:rPr>
            </w:pPr>
          </w:p>
        </w:tc>
        <w:tc>
          <w:tcPr>
            <w:tcW w:w="1134" w:type="dxa"/>
          </w:tcPr>
          <w:p w14:paraId="2F82CC87">
            <w:pPr>
              <w:spacing w:line="540" w:lineRule="exact"/>
              <w:contextualSpacing/>
              <w:rPr>
                <w:rFonts w:ascii="仿宋_GB2312" w:eastAsia="仿宋_GB2312"/>
                <w:sz w:val="24"/>
                <w:szCs w:val="24"/>
              </w:rPr>
            </w:pPr>
          </w:p>
        </w:tc>
        <w:tc>
          <w:tcPr>
            <w:tcW w:w="1418" w:type="dxa"/>
            <w:vAlign w:val="center"/>
          </w:tcPr>
          <w:p w14:paraId="21EF9E88">
            <w:pPr>
              <w:spacing w:line="540" w:lineRule="exact"/>
              <w:contextualSpacing/>
              <w:rPr>
                <w:rFonts w:ascii="仿宋_GB2312" w:eastAsia="仿宋_GB2312"/>
                <w:sz w:val="24"/>
                <w:szCs w:val="24"/>
              </w:rPr>
            </w:pPr>
          </w:p>
        </w:tc>
        <w:tc>
          <w:tcPr>
            <w:tcW w:w="1134" w:type="dxa"/>
            <w:vAlign w:val="center"/>
          </w:tcPr>
          <w:p w14:paraId="642B8992">
            <w:pPr>
              <w:spacing w:line="540" w:lineRule="exact"/>
              <w:contextualSpacing/>
              <w:rPr>
                <w:rFonts w:ascii="仿宋_GB2312" w:eastAsia="仿宋_GB2312"/>
                <w:sz w:val="24"/>
                <w:szCs w:val="24"/>
              </w:rPr>
            </w:pPr>
          </w:p>
        </w:tc>
        <w:tc>
          <w:tcPr>
            <w:tcW w:w="850" w:type="dxa"/>
          </w:tcPr>
          <w:p w14:paraId="0ABD9059">
            <w:pPr>
              <w:spacing w:line="540" w:lineRule="exact"/>
              <w:contextualSpacing/>
              <w:rPr>
                <w:rFonts w:ascii="仿宋_GB2312" w:eastAsia="仿宋_GB2312"/>
                <w:sz w:val="24"/>
                <w:szCs w:val="24"/>
              </w:rPr>
            </w:pPr>
          </w:p>
        </w:tc>
        <w:tc>
          <w:tcPr>
            <w:tcW w:w="1276" w:type="dxa"/>
            <w:vAlign w:val="center"/>
          </w:tcPr>
          <w:p w14:paraId="0A580810">
            <w:pPr>
              <w:spacing w:line="540" w:lineRule="exact"/>
              <w:contextualSpacing/>
              <w:rPr>
                <w:rFonts w:ascii="仿宋_GB2312" w:eastAsia="仿宋_GB2312"/>
                <w:sz w:val="24"/>
                <w:szCs w:val="24"/>
              </w:rPr>
            </w:pPr>
          </w:p>
        </w:tc>
        <w:tc>
          <w:tcPr>
            <w:tcW w:w="1276" w:type="dxa"/>
            <w:vAlign w:val="center"/>
          </w:tcPr>
          <w:p w14:paraId="40B4A53C">
            <w:pPr>
              <w:spacing w:line="540" w:lineRule="exact"/>
              <w:contextualSpacing/>
              <w:rPr>
                <w:rFonts w:ascii="仿宋_GB2312" w:eastAsia="仿宋_GB2312"/>
                <w:sz w:val="24"/>
                <w:szCs w:val="24"/>
              </w:rPr>
            </w:pPr>
          </w:p>
        </w:tc>
      </w:tr>
      <w:tr w14:paraId="688C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6C1DD05D">
            <w:pPr>
              <w:spacing w:line="540" w:lineRule="exact"/>
              <w:contextualSpacing/>
              <w:jc w:val="center"/>
              <w:rPr>
                <w:rFonts w:ascii="仿宋_GB2312" w:eastAsia="仿宋_GB2312"/>
                <w:sz w:val="24"/>
                <w:szCs w:val="24"/>
              </w:rPr>
            </w:pPr>
            <w:r>
              <w:rPr>
                <w:rFonts w:hint="eastAsia" w:ascii="仿宋_GB2312" w:eastAsia="仿宋_GB2312"/>
                <w:sz w:val="24"/>
                <w:szCs w:val="24"/>
              </w:rPr>
              <w:t>7</w:t>
            </w:r>
          </w:p>
        </w:tc>
        <w:tc>
          <w:tcPr>
            <w:tcW w:w="1361" w:type="dxa"/>
            <w:vAlign w:val="center"/>
          </w:tcPr>
          <w:p w14:paraId="6AEA2FF9">
            <w:pPr>
              <w:spacing w:line="540" w:lineRule="exact"/>
              <w:contextualSpacing/>
              <w:rPr>
                <w:rFonts w:ascii="仿宋_GB2312" w:eastAsia="仿宋_GB2312"/>
                <w:sz w:val="24"/>
                <w:szCs w:val="24"/>
              </w:rPr>
            </w:pPr>
          </w:p>
        </w:tc>
        <w:tc>
          <w:tcPr>
            <w:tcW w:w="1134" w:type="dxa"/>
          </w:tcPr>
          <w:p w14:paraId="61BCFC6B">
            <w:pPr>
              <w:spacing w:line="540" w:lineRule="exact"/>
              <w:contextualSpacing/>
              <w:rPr>
                <w:rFonts w:ascii="仿宋_GB2312" w:eastAsia="仿宋_GB2312"/>
                <w:sz w:val="24"/>
                <w:szCs w:val="24"/>
              </w:rPr>
            </w:pPr>
          </w:p>
        </w:tc>
        <w:tc>
          <w:tcPr>
            <w:tcW w:w="1418" w:type="dxa"/>
            <w:vAlign w:val="center"/>
          </w:tcPr>
          <w:p w14:paraId="6CD08104">
            <w:pPr>
              <w:spacing w:line="540" w:lineRule="exact"/>
              <w:contextualSpacing/>
              <w:rPr>
                <w:rFonts w:ascii="仿宋_GB2312" w:eastAsia="仿宋_GB2312"/>
                <w:sz w:val="24"/>
                <w:szCs w:val="24"/>
              </w:rPr>
            </w:pPr>
          </w:p>
        </w:tc>
        <w:tc>
          <w:tcPr>
            <w:tcW w:w="1134" w:type="dxa"/>
            <w:vAlign w:val="center"/>
          </w:tcPr>
          <w:p w14:paraId="2E772E71">
            <w:pPr>
              <w:spacing w:line="540" w:lineRule="exact"/>
              <w:contextualSpacing/>
              <w:rPr>
                <w:rFonts w:ascii="仿宋_GB2312" w:eastAsia="仿宋_GB2312"/>
                <w:sz w:val="24"/>
                <w:szCs w:val="24"/>
              </w:rPr>
            </w:pPr>
          </w:p>
        </w:tc>
        <w:tc>
          <w:tcPr>
            <w:tcW w:w="850" w:type="dxa"/>
          </w:tcPr>
          <w:p w14:paraId="47AB86DB">
            <w:pPr>
              <w:spacing w:line="540" w:lineRule="exact"/>
              <w:contextualSpacing/>
              <w:rPr>
                <w:rFonts w:ascii="仿宋_GB2312" w:eastAsia="仿宋_GB2312"/>
                <w:sz w:val="24"/>
                <w:szCs w:val="24"/>
              </w:rPr>
            </w:pPr>
          </w:p>
        </w:tc>
        <w:tc>
          <w:tcPr>
            <w:tcW w:w="1276" w:type="dxa"/>
            <w:vAlign w:val="center"/>
          </w:tcPr>
          <w:p w14:paraId="6E773A31">
            <w:pPr>
              <w:spacing w:line="540" w:lineRule="exact"/>
              <w:contextualSpacing/>
              <w:rPr>
                <w:rFonts w:ascii="仿宋_GB2312" w:eastAsia="仿宋_GB2312"/>
                <w:sz w:val="24"/>
                <w:szCs w:val="24"/>
              </w:rPr>
            </w:pPr>
          </w:p>
        </w:tc>
        <w:tc>
          <w:tcPr>
            <w:tcW w:w="1276" w:type="dxa"/>
            <w:vAlign w:val="center"/>
          </w:tcPr>
          <w:p w14:paraId="01934CDB">
            <w:pPr>
              <w:spacing w:line="540" w:lineRule="exact"/>
              <w:contextualSpacing/>
              <w:rPr>
                <w:rFonts w:ascii="仿宋_GB2312" w:eastAsia="仿宋_GB2312"/>
                <w:sz w:val="24"/>
                <w:szCs w:val="24"/>
              </w:rPr>
            </w:pPr>
          </w:p>
        </w:tc>
      </w:tr>
      <w:tr w14:paraId="7A96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1F33EE22">
            <w:pPr>
              <w:spacing w:line="540" w:lineRule="exact"/>
              <w:contextualSpacing/>
              <w:jc w:val="center"/>
              <w:rPr>
                <w:rFonts w:ascii="仿宋_GB2312" w:eastAsia="仿宋_GB2312"/>
                <w:sz w:val="24"/>
                <w:szCs w:val="24"/>
              </w:rPr>
            </w:pPr>
            <w:r>
              <w:rPr>
                <w:rFonts w:hint="eastAsia" w:ascii="仿宋_GB2312" w:eastAsia="仿宋_GB2312"/>
                <w:sz w:val="24"/>
                <w:szCs w:val="24"/>
              </w:rPr>
              <w:t>8</w:t>
            </w:r>
          </w:p>
        </w:tc>
        <w:tc>
          <w:tcPr>
            <w:tcW w:w="1361" w:type="dxa"/>
            <w:vAlign w:val="center"/>
          </w:tcPr>
          <w:p w14:paraId="2732146E">
            <w:pPr>
              <w:spacing w:line="540" w:lineRule="exact"/>
              <w:contextualSpacing/>
              <w:rPr>
                <w:rFonts w:ascii="仿宋_GB2312" w:eastAsia="仿宋_GB2312"/>
                <w:sz w:val="24"/>
                <w:szCs w:val="24"/>
              </w:rPr>
            </w:pPr>
          </w:p>
        </w:tc>
        <w:tc>
          <w:tcPr>
            <w:tcW w:w="1134" w:type="dxa"/>
          </w:tcPr>
          <w:p w14:paraId="1F3115CB">
            <w:pPr>
              <w:spacing w:line="540" w:lineRule="exact"/>
              <w:contextualSpacing/>
              <w:rPr>
                <w:rFonts w:ascii="仿宋_GB2312" w:eastAsia="仿宋_GB2312"/>
                <w:sz w:val="24"/>
                <w:szCs w:val="24"/>
              </w:rPr>
            </w:pPr>
          </w:p>
        </w:tc>
        <w:tc>
          <w:tcPr>
            <w:tcW w:w="1418" w:type="dxa"/>
            <w:vAlign w:val="center"/>
          </w:tcPr>
          <w:p w14:paraId="027E75D3">
            <w:pPr>
              <w:spacing w:line="540" w:lineRule="exact"/>
              <w:contextualSpacing/>
              <w:rPr>
                <w:rFonts w:ascii="仿宋_GB2312" w:eastAsia="仿宋_GB2312"/>
                <w:sz w:val="24"/>
                <w:szCs w:val="24"/>
              </w:rPr>
            </w:pPr>
          </w:p>
        </w:tc>
        <w:tc>
          <w:tcPr>
            <w:tcW w:w="1134" w:type="dxa"/>
            <w:vAlign w:val="center"/>
          </w:tcPr>
          <w:p w14:paraId="0F0DE32A">
            <w:pPr>
              <w:spacing w:line="540" w:lineRule="exact"/>
              <w:contextualSpacing/>
              <w:rPr>
                <w:rFonts w:ascii="仿宋_GB2312" w:eastAsia="仿宋_GB2312"/>
                <w:sz w:val="24"/>
                <w:szCs w:val="24"/>
              </w:rPr>
            </w:pPr>
          </w:p>
        </w:tc>
        <w:tc>
          <w:tcPr>
            <w:tcW w:w="850" w:type="dxa"/>
          </w:tcPr>
          <w:p w14:paraId="70960CF3">
            <w:pPr>
              <w:spacing w:line="540" w:lineRule="exact"/>
              <w:contextualSpacing/>
              <w:rPr>
                <w:rFonts w:ascii="仿宋_GB2312" w:eastAsia="仿宋_GB2312"/>
                <w:sz w:val="24"/>
                <w:szCs w:val="24"/>
              </w:rPr>
            </w:pPr>
          </w:p>
        </w:tc>
        <w:tc>
          <w:tcPr>
            <w:tcW w:w="1276" w:type="dxa"/>
            <w:vAlign w:val="center"/>
          </w:tcPr>
          <w:p w14:paraId="5775D2F0">
            <w:pPr>
              <w:spacing w:line="540" w:lineRule="exact"/>
              <w:contextualSpacing/>
              <w:rPr>
                <w:rFonts w:ascii="仿宋_GB2312" w:eastAsia="仿宋_GB2312"/>
                <w:sz w:val="24"/>
                <w:szCs w:val="24"/>
              </w:rPr>
            </w:pPr>
          </w:p>
        </w:tc>
        <w:tc>
          <w:tcPr>
            <w:tcW w:w="1276" w:type="dxa"/>
            <w:vAlign w:val="center"/>
          </w:tcPr>
          <w:p w14:paraId="4E26051E">
            <w:pPr>
              <w:spacing w:line="540" w:lineRule="exact"/>
              <w:contextualSpacing/>
              <w:rPr>
                <w:rFonts w:ascii="仿宋_GB2312" w:eastAsia="仿宋_GB2312"/>
                <w:sz w:val="24"/>
                <w:szCs w:val="24"/>
              </w:rPr>
            </w:pPr>
          </w:p>
        </w:tc>
      </w:tr>
      <w:tr w14:paraId="4BB0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50A11083">
            <w:pPr>
              <w:spacing w:line="540" w:lineRule="exact"/>
              <w:contextualSpacing/>
              <w:jc w:val="center"/>
              <w:rPr>
                <w:rFonts w:ascii="仿宋_GB2312" w:eastAsia="仿宋_GB2312"/>
                <w:sz w:val="24"/>
                <w:szCs w:val="24"/>
              </w:rPr>
            </w:pPr>
          </w:p>
        </w:tc>
        <w:tc>
          <w:tcPr>
            <w:tcW w:w="1361" w:type="dxa"/>
            <w:vAlign w:val="center"/>
          </w:tcPr>
          <w:p w14:paraId="17F1D709">
            <w:pPr>
              <w:spacing w:line="540" w:lineRule="exact"/>
              <w:contextualSpacing/>
              <w:rPr>
                <w:rFonts w:ascii="仿宋_GB2312" w:eastAsia="仿宋_GB2312"/>
                <w:sz w:val="24"/>
                <w:szCs w:val="24"/>
              </w:rPr>
            </w:pPr>
          </w:p>
        </w:tc>
        <w:tc>
          <w:tcPr>
            <w:tcW w:w="1134" w:type="dxa"/>
          </w:tcPr>
          <w:p w14:paraId="54BAFC15">
            <w:pPr>
              <w:spacing w:line="540" w:lineRule="exact"/>
              <w:contextualSpacing/>
              <w:rPr>
                <w:rFonts w:ascii="仿宋_GB2312" w:eastAsia="仿宋_GB2312"/>
                <w:sz w:val="24"/>
                <w:szCs w:val="24"/>
              </w:rPr>
            </w:pPr>
          </w:p>
        </w:tc>
        <w:tc>
          <w:tcPr>
            <w:tcW w:w="1418" w:type="dxa"/>
            <w:vAlign w:val="center"/>
          </w:tcPr>
          <w:p w14:paraId="2275B545">
            <w:pPr>
              <w:spacing w:line="540" w:lineRule="exact"/>
              <w:contextualSpacing/>
              <w:rPr>
                <w:rFonts w:ascii="仿宋_GB2312" w:eastAsia="仿宋_GB2312"/>
                <w:sz w:val="24"/>
                <w:szCs w:val="24"/>
              </w:rPr>
            </w:pPr>
          </w:p>
        </w:tc>
        <w:tc>
          <w:tcPr>
            <w:tcW w:w="1134" w:type="dxa"/>
            <w:vAlign w:val="center"/>
          </w:tcPr>
          <w:p w14:paraId="60256F92">
            <w:pPr>
              <w:spacing w:line="540" w:lineRule="exact"/>
              <w:contextualSpacing/>
              <w:rPr>
                <w:rFonts w:ascii="仿宋_GB2312" w:eastAsia="仿宋_GB2312"/>
                <w:sz w:val="24"/>
                <w:szCs w:val="24"/>
              </w:rPr>
            </w:pPr>
          </w:p>
        </w:tc>
        <w:tc>
          <w:tcPr>
            <w:tcW w:w="850" w:type="dxa"/>
          </w:tcPr>
          <w:p w14:paraId="16C4F7B4">
            <w:pPr>
              <w:spacing w:line="540" w:lineRule="exact"/>
              <w:contextualSpacing/>
              <w:rPr>
                <w:rFonts w:ascii="仿宋_GB2312" w:eastAsia="仿宋_GB2312"/>
                <w:sz w:val="24"/>
                <w:szCs w:val="24"/>
              </w:rPr>
            </w:pPr>
          </w:p>
        </w:tc>
        <w:tc>
          <w:tcPr>
            <w:tcW w:w="1276" w:type="dxa"/>
            <w:vAlign w:val="center"/>
          </w:tcPr>
          <w:p w14:paraId="1AA28288">
            <w:pPr>
              <w:spacing w:line="540" w:lineRule="exact"/>
              <w:contextualSpacing/>
              <w:rPr>
                <w:rFonts w:ascii="仿宋_GB2312" w:eastAsia="仿宋_GB2312"/>
                <w:sz w:val="24"/>
                <w:szCs w:val="24"/>
              </w:rPr>
            </w:pPr>
          </w:p>
        </w:tc>
        <w:tc>
          <w:tcPr>
            <w:tcW w:w="1276" w:type="dxa"/>
            <w:vAlign w:val="center"/>
          </w:tcPr>
          <w:p w14:paraId="091E0644">
            <w:pPr>
              <w:spacing w:line="540" w:lineRule="exact"/>
              <w:contextualSpacing/>
              <w:rPr>
                <w:rFonts w:ascii="仿宋_GB2312" w:eastAsia="仿宋_GB2312"/>
                <w:sz w:val="24"/>
                <w:szCs w:val="24"/>
              </w:rPr>
            </w:pPr>
          </w:p>
        </w:tc>
      </w:tr>
      <w:tr w14:paraId="74BE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37" w:type="dxa"/>
            <w:gridSpan w:val="5"/>
            <w:vAlign w:val="center"/>
          </w:tcPr>
          <w:p w14:paraId="2F41A962">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投标报价（小写）</w:t>
            </w:r>
          </w:p>
        </w:tc>
        <w:tc>
          <w:tcPr>
            <w:tcW w:w="3402" w:type="dxa"/>
            <w:gridSpan w:val="3"/>
          </w:tcPr>
          <w:p w14:paraId="047D6268">
            <w:pPr>
              <w:spacing w:line="540" w:lineRule="exact"/>
              <w:contextualSpacing/>
              <w:rPr>
                <w:rFonts w:ascii="仿宋_GB2312" w:eastAsia="仿宋_GB2312"/>
                <w:sz w:val="24"/>
                <w:szCs w:val="24"/>
              </w:rPr>
            </w:pPr>
          </w:p>
        </w:tc>
      </w:tr>
      <w:tr w14:paraId="6CDF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37" w:type="dxa"/>
            <w:gridSpan w:val="5"/>
            <w:vAlign w:val="center"/>
          </w:tcPr>
          <w:p w14:paraId="4FA0BD94">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投标报价（大写）</w:t>
            </w:r>
          </w:p>
        </w:tc>
        <w:tc>
          <w:tcPr>
            <w:tcW w:w="3402" w:type="dxa"/>
            <w:gridSpan w:val="3"/>
          </w:tcPr>
          <w:p w14:paraId="70A1A462">
            <w:pPr>
              <w:spacing w:line="540" w:lineRule="exact"/>
              <w:contextualSpacing/>
              <w:rPr>
                <w:rFonts w:ascii="仿宋_GB2312" w:eastAsia="仿宋_GB2312"/>
                <w:sz w:val="24"/>
                <w:szCs w:val="24"/>
              </w:rPr>
            </w:pPr>
          </w:p>
        </w:tc>
      </w:tr>
    </w:tbl>
    <w:p w14:paraId="1B7FA306">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6FF4678B">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066513D9">
      <w:pPr>
        <w:spacing w:line="540" w:lineRule="exact"/>
        <w:ind w:firstLine="482"/>
        <w:contextualSpacing/>
        <w:rPr>
          <w:rFonts w:ascii="仿宋_GB2312" w:eastAsia="仿宋_GB2312"/>
          <w:b/>
          <w:sz w:val="24"/>
          <w:szCs w:val="24"/>
        </w:rPr>
      </w:pPr>
    </w:p>
    <w:p w14:paraId="4F93E884">
      <w:pPr>
        <w:spacing w:line="540" w:lineRule="exact"/>
        <w:ind w:firstLine="482"/>
        <w:contextualSpacing/>
        <w:rPr>
          <w:rFonts w:ascii="仿宋_GB2312" w:eastAsia="仿宋_GB2312"/>
          <w:b/>
          <w:sz w:val="24"/>
          <w:szCs w:val="24"/>
        </w:rPr>
      </w:pPr>
      <w:r>
        <w:rPr>
          <w:rFonts w:hint="eastAsia" w:ascii="仿宋_GB2312" w:eastAsia="仿宋_GB2312"/>
          <w:b/>
          <w:sz w:val="24"/>
          <w:szCs w:val="24"/>
        </w:rPr>
        <w:t>注：</w:t>
      </w:r>
    </w:p>
    <w:p w14:paraId="6F3CA635">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7ACDCA7D">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14:paraId="621F587A">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3D90470">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14:paraId="15B9B89C">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14:paraId="4F5B71D6">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14:paraId="70B1BEA7">
      <w:pPr>
        <w:spacing w:line="540" w:lineRule="exact"/>
        <w:contextualSpacing/>
        <w:rPr>
          <w:rFonts w:ascii="仿宋_GB2312" w:eastAsia="仿宋_GB2312"/>
          <w:sz w:val="24"/>
          <w:szCs w:val="24"/>
        </w:rPr>
      </w:pPr>
    </w:p>
    <w:p w14:paraId="03A5942D">
      <w:pPr>
        <w:spacing w:line="540" w:lineRule="exact"/>
        <w:contextualSpacing/>
        <w:rPr>
          <w:rFonts w:ascii="仿宋_GB2312" w:eastAsia="仿宋_GB2312"/>
          <w:sz w:val="24"/>
          <w:szCs w:val="24"/>
        </w:rPr>
      </w:pPr>
    </w:p>
    <w:p w14:paraId="3E9BFAA9">
      <w:pPr>
        <w:spacing w:line="540" w:lineRule="exact"/>
        <w:contextualSpacing/>
        <w:rPr>
          <w:rFonts w:ascii="仿宋_GB2312" w:eastAsia="仿宋_GB2312"/>
          <w:sz w:val="24"/>
          <w:szCs w:val="24"/>
        </w:rPr>
      </w:pPr>
    </w:p>
    <w:p w14:paraId="494664BB">
      <w:pPr>
        <w:pStyle w:val="7"/>
        <w:rPr>
          <w:rFonts w:ascii="仿宋_GB2312" w:eastAsia="仿宋_GB2312"/>
        </w:rPr>
      </w:pPr>
    </w:p>
    <w:p w14:paraId="080760B6">
      <w:pPr>
        <w:pStyle w:val="8"/>
        <w:ind w:firstLine="883"/>
        <w:rPr>
          <w:rFonts w:ascii="仿宋_GB2312" w:eastAsia="仿宋_GB2312"/>
        </w:rPr>
      </w:pPr>
    </w:p>
    <w:p w14:paraId="0CEB5139"/>
    <w:p w14:paraId="37C203DD">
      <w:pPr>
        <w:pStyle w:val="2"/>
        <w:rPr>
          <w:rFonts w:hint="eastAsia"/>
        </w:rPr>
      </w:pPr>
    </w:p>
    <w:p w14:paraId="1AFFD66A">
      <w:pPr>
        <w:pStyle w:val="2"/>
        <w:rPr>
          <w:rFonts w:hint="eastAsia"/>
        </w:rPr>
      </w:pPr>
    </w:p>
    <w:p w14:paraId="65058CE9">
      <w:pPr>
        <w:pStyle w:val="2"/>
        <w:rPr>
          <w:rFonts w:hint="eastAsia"/>
        </w:rPr>
      </w:pPr>
    </w:p>
    <w:p w14:paraId="182BA1AB">
      <w:pPr>
        <w:pStyle w:val="2"/>
        <w:rPr>
          <w:rFonts w:hint="eastAsia"/>
        </w:rPr>
      </w:pPr>
    </w:p>
    <w:p w14:paraId="1A41B049">
      <w:pPr>
        <w:pStyle w:val="2"/>
        <w:rPr>
          <w:rFonts w:hint="eastAsia"/>
        </w:rPr>
      </w:pPr>
    </w:p>
    <w:p w14:paraId="134AD6A1">
      <w:pPr>
        <w:pStyle w:val="2"/>
        <w:rPr>
          <w:rFonts w:hint="eastAsia"/>
        </w:rPr>
      </w:pPr>
    </w:p>
    <w:p w14:paraId="3EA6F245">
      <w:pPr>
        <w:pStyle w:val="2"/>
        <w:rPr>
          <w:rFonts w:hint="eastAsia"/>
        </w:rPr>
      </w:pPr>
    </w:p>
    <w:p w14:paraId="4A36CFDD">
      <w:pPr>
        <w:pStyle w:val="7"/>
        <w:rPr>
          <w:rFonts w:ascii="仿宋_GB2312" w:eastAsia="仿宋_GB2312"/>
        </w:rPr>
      </w:pPr>
    </w:p>
    <w:p w14:paraId="1B7727D4">
      <w:pPr>
        <w:spacing w:line="540" w:lineRule="exact"/>
        <w:ind w:firstLine="562"/>
        <w:contextualSpacing/>
        <w:jc w:val="center"/>
        <w:rPr>
          <w:rFonts w:ascii="仿宋_GB2312" w:eastAsia="仿宋_GB2312"/>
          <w:b/>
          <w:sz w:val="28"/>
          <w:szCs w:val="28"/>
        </w:rPr>
      </w:pPr>
    </w:p>
    <w:p w14:paraId="0876E01D">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14:paraId="68DC89B3">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33E2BF3">
      <w:pPr>
        <w:rPr>
          <w:rFonts w:ascii="仿宋_GB2312" w:eastAsia="仿宋_GB2312"/>
        </w:rPr>
        <w:sectPr>
          <w:pgSz w:w="11906" w:h="16838"/>
          <w:pgMar w:top="1247" w:right="1418" w:bottom="1276"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32852C38">
      <w:pPr>
        <w:spacing w:line="540" w:lineRule="exact"/>
        <w:ind w:firstLine="562"/>
        <w:contextualSpacing/>
        <w:jc w:val="center"/>
        <w:rPr>
          <w:rFonts w:ascii="仿宋_GB2312" w:eastAsia="仿宋_GB2312"/>
          <w:b/>
          <w:sz w:val="28"/>
          <w:szCs w:val="28"/>
        </w:rPr>
      </w:pPr>
      <w:bookmarkStart w:id="462" w:name="_Toc465665161"/>
      <w:r>
        <w:rPr>
          <w:rFonts w:hint="eastAsia" w:ascii="仿宋_GB2312" w:eastAsia="仿宋_GB2312"/>
          <w:b/>
          <w:sz w:val="28"/>
          <w:szCs w:val="28"/>
        </w:rPr>
        <w:t>附    件</w:t>
      </w:r>
      <w:bookmarkEnd w:id="462"/>
    </w:p>
    <w:p w14:paraId="39339DB8">
      <w:pPr>
        <w:spacing w:line="540" w:lineRule="exact"/>
        <w:contextualSpacing/>
        <w:rPr>
          <w:rFonts w:ascii="仿宋_GB2312" w:eastAsia="仿宋_GB2312"/>
          <w:sz w:val="24"/>
          <w:szCs w:val="24"/>
        </w:rPr>
      </w:pPr>
    </w:p>
    <w:p w14:paraId="1991B2F0">
      <w:pPr>
        <w:spacing w:line="540" w:lineRule="exact"/>
        <w:contextualSpacing/>
        <w:rPr>
          <w:rFonts w:ascii="仿宋_GB2312" w:eastAsia="仿宋_GB2312"/>
          <w:sz w:val="24"/>
          <w:szCs w:val="24"/>
        </w:rPr>
      </w:pPr>
    </w:p>
    <w:p w14:paraId="26938353">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14:paraId="5F3B0EDD">
      <w:pPr>
        <w:spacing w:line="540" w:lineRule="exact"/>
        <w:contextualSpacing/>
        <w:jc w:val="center"/>
        <w:rPr>
          <w:rFonts w:ascii="仿宋_GB2312" w:eastAsia="仿宋_GB2312"/>
          <w:sz w:val="24"/>
          <w:szCs w:val="24"/>
        </w:rPr>
      </w:pPr>
      <w:bookmarkStart w:id="463" w:name="OLE_LINK14"/>
      <w:bookmarkStart w:id="464" w:name="OLE_LINK13"/>
      <w:r>
        <w:rPr>
          <w:rFonts w:hint="eastAsia" w:ascii="仿宋_GB2312" w:eastAsia="仿宋_GB2312"/>
          <w:sz w:val="24"/>
          <w:szCs w:val="24"/>
        </w:rPr>
        <w:t>残疾人福利性单位声明函</w:t>
      </w:r>
    </w:p>
    <w:bookmarkEnd w:id="463"/>
    <w:bookmarkEnd w:id="464"/>
    <w:p w14:paraId="4BCB4E7E">
      <w:pPr>
        <w:spacing w:line="540" w:lineRule="exact"/>
        <w:contextualSpacing/>
        <w:rPr>
          <w:rFonts w:ascii="仿宋_GB2312" w:eastAsia="仿宋_GB2312"/>
          <w:sz w:val="24"/>
          <w:szCs w:val="24"/>
        </w:rPr>
      </w:pPr>
    </w:p>
    <w:p w14:paraId="759A409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50DE5C3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14:paraId="70AEEFBD">
      <w:pPr>
        <w:spacing w:line="540" w:lineRule="exact"/>
        <w:contextualSpacing/>
        <w:rPr>
          <w:rFonts w:ascii="仿宋_GB2312" w:eastAsia="仿宋_GB2312"/>
          <w:sz w:val="24"/>
          <w:szCs w:val="24"/>
        </w:rPr>
      </w:pPr>
    </w:p>
    <w:p w14:paraId="5BDFE324">
      <w:pPr>
        <w:spacing w:line="540" w:lineRule="exact"/>
        <w:contextualSpacing/>
        <w:rPr>
          <w:rFonts w:ascii="仿宋_GB2312" w:eastAsia="仿宋_GB2312"/>
          <w:sz w:val="24"/>
          <w:szCs w:val="24"/>
        </w:rPr>
      </w:pPr>
    </w:p>
    <w:p w14:paraId="5FE435D8">
      <w:pPr>
        <w:spacing w:line="540" w:lineRule="exact"/>
        <w:contextualSpacing/>
        <w:rPr>
          <w:rFonts w:ascii="仿宋_GB2312" w:eastAsia="仿宋_GB2312"/>
          <w:sz w:val="24"/>
          <w:szCs w:val="24"/>
        </w:rPr>
      </w:pPr>
    </w:p>
    <w:p w14:paraId="0630584E">
      <w:pPr>
        <w:spacing w:line="540" w:lineRule="exact"/>
        <w:contextualSpacing/>
        <w:rPr>
          <w:rFonts w:ascii="仿宋_GB2312" w:eastAsia="仿宋_GB2312"/>
          <w:sz w:val="24"/>
          <w:szCs w:val="24"/>
        </w:rPr>
      </w:pPr>
    </w:p>
    <w:p w14:paraId="59FD6961">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2E9B7D33">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14:paraId="0A5A17E3">
      <w:pPr>
        <w:spacing w:line="540" w:lineRule="exact"/>
        <w:contextualSpacing/>
        <w:rPr>
          <w:rFonts w:ascii="仿宋_GB2312" w:eastAsia="仿宋_GB2312"/>
          <w:sz w:val="24"/>
          <w:szCs w:val="24"/>
        </w:rPr>
      </w:pPr>
    </w:p>
    <w:p w14:paraId="43229807">
      <w:pPr>
        <w:spacing w:line="540" w:lineRule="exact"/>
        <w:contextualSpacing/>
        <w:rPr>
          <w:rFonts w:ascii="仿宋_GB2312" w:eastAsia="仿宋_GB2312"/>
          <w:sz w:val="24"/>
          <w:szCs w:val="24"/>
        </w:rPr>
      </w:pPr>
    </w:p>
    <w:p w14:paraId="7C998D3F">
      <w:pPr>
        <w:spacing w:line="540" w:lineRule="exact"/>
        <w:contextualSpacing/>
        <w:rPr>
          <w:rFonts w:ascii="仿宋_GB2312" w:eastAsia="仿宋_GB2312"/>
          <w:sz w:val="24"/>
          <w:szCs w:val="24"/>
        </w:rPr>
      </w:pPr>
    </w:p>
    <w:p w14:paraId="2A8075AA">
      <w:pPr>
        <w:pStyle w:val="2"/>
        <w:rPr>
          <w:rFonts w:hint="eastAsia"/>
        </w:rPr>
      </w:pPr>
    </w:p>
    <w:p w14:paraId="4D214298">
      <w:pPr>
        <w:pStyle w:val="2"/>
        <w:rPr>
          <w:rFonts w:hint="eastAsia"/>
        </w:rPr>
      </w:pPr>
    </w:p>
    <w:p w14:paraId="7F9A852E">
      <w:pPr>
        <w:rPr>
          <w:rFonts w:hint="eastAsia" w:ascii="仿宋_GB2312" w:eastAsia="仿宋_GB2312"/>
          <w:sz w:val="28"/>
          <w:szCs w:val="28"/>
        </w:rPr>
      </w:pPr>
      <w:r>
        <w:rPr>
          <w:rFonts w:hint="eastAsia" w:ascii="仿宋_GB2312" w:eastAsia="仿宋_GB2312"/>
          <w:sz w:val="28"/>
          <w:szCs w:val="28"/>
        </w:rPr>
        <w:br w:type="page"/>
      </w:r>
    </w:p>
    <w:p w14:paraId="68D15F7E">
      <w:pPr>
        <w:spacing w:line="540" w:lineRule="exact"/>
        <w:ind w:firstLine="560"/>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14:paraId="4014AC0C">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质疑函范本</w:t>
      </w:r>
    </w:p>
    <w:p w14:paraId="4CE872D1">
      <w:pPr>
        <w:snapToGrid w:val="0"/>
        <w:spacing w:before="312" w:beforeLines="100" w:line="360" w:lineRule="auto"/>
        <w:rPr>
          <w:rFonts w:ascii="仿宋_GB2312" w:hAnsi="宋体" w:eastAsia="仿宋_GB2312" w:cs="宋体"/>
          <w:bCs/>
          <w:sz w:val="24"/>
        </w:rPr>
      </w:pPr>
      <w:r>
        <w:rPr>
          <w:rFonts w:hint="eastAsia" w:ascii="仿宋_GB2312" w:hAnsi="宋体" w:eastAsia="仿宋_GB2312" w:cs="宋体"/>
          <w:bCs/>
          <w:sz w:val="24"/>
        </w:rPr>
        <w:t>一、质疑供应商基本信息</w:t>
      </w:r>
    </w:p>
    <w:p w14:paraId="6963FB3A">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质疑供应商：</w:t>
      </w:r>
    </w:p>
    <w:p w14:paraId="7876846A">
      <w:pPr>
        <w:snapToGrid w:val="0"/>
        <w:spacing w:line="360" w:lineRule="auto"/>
        <w:rPr>
          <w:rFonts w:ascii="仿宋_GB2312" w:hAnsi="宋体" w:eastAsia="仿宋_GB2312" w:cs="宋体"/>
          <w:sz w:val="24"/>
        </w:rPr>
      </w:pPr>
      <w:r>
        <w:rPr>
          <w:rFonts w:hint="eastAsia" w:ascii="仿宋_GB2312" w:hAnsi="宋体" w:eastAsia="仿宋_GB2312" w:cs="宋体"/>
          <w:sz w:val="24"/>
        </w:rPr>
        <w:t>地址：邮编：</w:t>
      </w:r>
    </w:p>
    <w:p w14:paraId="455C0145">
      <w:pPr>
        <w:snapToGrid w:val="0"/>
        <w:spacing w:line="360" w:lineRule="auto"/>
        <w:rPr>
          <w:rFonts w:ascii="仿宋_GB2312" w:hAnsi="宋体" w:eastAsia="仿宋_GB2312" w:cs="宋体"/>
          <w:sz w:val="24"/>
        </w:rPr>
      </w:pPr>
      <w:r>
        <w:rPr>
          <w:rFonts w:hint="eastAsia" w:ascii="仿宋_GB2312" w:hAnsi="宋体" w:eastAsia="仿宋_GB2312" w:cs="宋体"/>
          <w:sz w:val="24"/>
        </w:rPr>
        <w:t>联系人：联系电话：</w:t>
      </w:r>
    </w:p>
    <w:p w14:paraId="5952426D">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授权代表：</w:t>
      </w:r>
    </w:p>
    <w:p w14:paraId="38F66B75">
      <w:pPr>
        <w:snapToGrid w:val="0"/>
        <w:spacing w:line="360" w:lineRule="auto"/>
        <w:rPr>
          <w:rFonts w:ascii="仿宋_GB2312" w:hAnsi="宋体" w:eastAsia="仿宋_GB2312" w:cs="宋体"/>
          <w:sz w:val="24"/>
        </w:rPr>
      </w:pPr>
      <w:r>
        <w:rPr>
          <w:rFonts w:hint="eastAsia" w:ascii="仿宋_GB2312" w:hAnsi="宋体" w:eastAsia="仿宋_GB2312" w:cs="宋体"/>
          <w:sz w:val="24"/>
        </w:rPr>
        <w:t>联系电话：</w:t>
      </w:r>
    </w:p>
    <w:p w14:paraId="66B38612">
      <w:pPr>
        <w:snapToGrid w:val="0"/>
        <w:spacing w:line="360" w:lineRule="auto"/>
        <w:rPr>
          <w:rFonts w:ascii="仿宋_GB2312" w:hAnsi="宋体" w:eastAsia="仿宋_GB2312" w:cs="宋体"/>
          <w:sz w:val="24"/>
        </w:rPr>
      </w:pPr>
      <w:r>
        <w:rPr>
          <w:rFonts w:hint="eastAsia" w:ascii="仿宋_GB2312" w:hAnsi="宋体" w:eastAsia="仿宋_GB2312" w:cs="宋体"/>
          <w:sz w:val="24"/>
        </w:rPr>
        <w:t>地址： 邮编：</w:t>
      </w:r>
    </w:p>
    <w:p w14:paraId="5EADE7FD">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二、质疑项目基本情况</w:t>
      </w:r>
    </w:p>
    <w:p w14:paraId="258D8580">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质疑项目的名称：</w:t>
      </w:r>
    </w:p>
    <w:p w14:paraId="0D323E5B">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质疑项目的编号：包号：</w:t>
      </w:r>
    </w:p>
    <w:p w14:paraId="6FD88F5F">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采购人名称：</w:t>
      </w:r>
    </w:p>
    <w:p w14:paraId="6062676F">
      <w:pPr>
        <w:snapToGrid w:val="0"/>
        <w:spacing w:line="360" w:lineRule="auto"/>
        <w:rPr>
          <w:rFonts w:ascii="仿宋_GB2312" w:hAnsi="宋体" w:eastAsia="仿宋_GB2312" w:cs="宋体"/>
          <w:sz w:val="24"/>
        </w:rPr>
      </w:pPr>
      <w:r>
        <w:rPr>
          <w:rFonts w:hint="eastAsia" w:ascii="仿宋_GB2312" w:hAnsi="宋体" w:eastAsia="仿宋_GB2312" w:cs="宋体"/>
          <w:sz w:val="24"/>
        </w:rPr>
        <w:t>采购文件获取日期：</w:t>
      </w:r>
    </w:p>
    <w:p w14:paraId="208811F6">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三、质疑事项具体内容</w:t>
      </w:r>
    </w:p>
    <w:p w14:paraId="7C4F3539">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质疑事项1：</w:t>
      </w:r>
    </w:p>
    <w:p w14:paraId="5DF95855">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事实依据：</w:t>
      </w:r>
    </w:p>
    <w:p w14:paraId="7D5AF54B">
      <w:pPr>
        <w:snapToGrid w:val="0"/>
        <w:spacing w:line="360" w:lineRule="auto"/>
        <w:rPr>
          <w:rFonts w:ascii="仿宋_GB2312" w:hAnsi="宋体" w:eastAsia="仿宋_GB2312" w:cs="宋体"/>
          <w:sz w:val="24"/>
        </w:rPr>
      </w:pPr>
    </w:p>
    <w:p w14:paraId="14D63E6E">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法律依据：</w:t>
      </w:r>
    </w:p>
    <w:p w14:paraId="7693A59F">
      <w:pPr>
        <w:snapToGrid w:val="0"/>
        <w:spacing w:line="360" w:lineRule="auto"/>
        <w:rPr>
          <w:rFonts w:ascii="仿宋_GB2312" w:hAnsi="宋体" w:eastAsia="仿宋_GB2312" w:cs="宋体"/>
          <w:sz w:val="24"/>
          <w:u w:val="dotted"/>
        </w:rPr>
      </w:pPr>
    </w:p>
    <w:p w14:paraId="277FCB0A">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质疑事项2</w:t>
      </w:r>
    </w:p>
    <w:p w14:paraId="4E6FD664">
      <w:pPr>
        <w:snapToGrid w:val="0"/>
        <w:spacing w:line="360" w:lineRule="auto"/>
        <w:rPr>
          <w:rFonts w:ascii="仿宋_GB2312" w:hAnsi="宋体" w:eastAsia="仿宋_GB2312" w:cs="宋体"/>
          <w:sz w:val="24"/>
        </w:rPr>
      </w:pPr>
      <w:r>
        <w:rPr>
          <w:rFonts w:hint="eastAsia" w:ascii="仿宋_GB2312" w:hAnsi="宋体" w:eastAsia="仿宋_GB2312" w:cs="宋体"/>
          <w:sz w:val="24"/>
        </w:rPr>
        <w:t>……</w:t>
      </w:r>
    </w:p>
    <w:p w14:paraId="2477ADFA">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四、与质疑事项相关的质疑请求</w:t>
      </w:r>
    </w:p>
    <w:p w14:paraId="6EDF950C">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请求：</w:t>
      </w:r>
    </w:p>
    <w:p w14:paraId="08B47AB2">
      <w:pPr>
        <w:spacing w:line="360" w:lineRule="auto"/>
        <w:rPr>
          <w:rFonts w:ascii="仿宋_GB2312" w:hAnsi="宋体" w:eastAsia="仿宋_GB2312" w:cs="宋体"/>
          <w:sz w:val="24"/>
        </w:rPr>
      </w:pPr>
      <w:r>
        <w:rPr>
          <w:rFonts w:hint="eastAsia" w:ascii="仿宋_GB2312" w:hAnsi="宋体" w:eastAsia="仿宋_GB2312" w:cs="宋体"/>
          <w:sz w:val="24"/>
        </w:rPr>
        <w:t xml:space="preserve">签字(签章)：                   公章：                      </w:t>
      </w:r>
    </w:p>
    <w:p w14:paraId="62F1915F">
      <w:pPr>
        <w:spacing w:line="360" w:lineRule="auto"/>
        <w:rPr>
          <w:rFonts w:ascii="仿宋_GB2312" w:hAnsi="宋体" w:eastAsia="仿宋_GB2312" w:cs="宋体"/>
          <w:sz w:val="24"/>
        </w:rPr>
      </w:pPr>
      <w:r>
        <w:rPr>
          <w:rFonts w:hint="eastAsia" w:ascii="仿宋_GB2312" w:hAnsi="宋体" w:eastAsia="仿宋_GB2312" w:cs="宋体"/>
          <w:sz w:val="24"/>
        </w:rPr>
        <w:t xml:space="preserve">日期：    </w:t>
      </w:r>
    </w:p>
    <w:p w14:paraId="4D519FD4">
      <w:pPr>
        <w:spacing w:line="360" w:lineRule="auto"/>
        <w:ind w:firstLine="482"/>
        <w:rPr>
          <w:rFonts w:ascii="仿宋_GB2312" w:hAnsi="宋体" w:eastAsia="仿宋_GB2312" w:cs="宋体"/>
          <w:b/>
          <w:sz w:val="24"/>
        </w:rPr>
      </w:pPr>
    </w:p>
    <w:p w14:paraId="6824F0FF">
      <w:pPr>
        <w:spacing w:line="360" w:lineRule="auto"/>
        <w:ind w:firstLine="482"/>
        <w:rPr>
          <w:rFonts w:ascii="仿宋_GB2312" w:hAnsi="宋体" w:eastAsia="仿宋_GB2312" w:cs="宋体"/>
          <w:b/>
          <w:sz w:val="24"/>
        </w:rPr>
      </w:pPr>
      <w:r>
        <w:rPr>
          <w:rFonts w:hint="eastAsia" w:ascii="仿宋_GB2312" w:hAnsi="宋体" w:eastAsia="仿宋_GB2312" w:cs="宋体"/>
          <w:b/>
          <w:sz w:val="24"/>
        </w:rPr>
        <w:t>质疑函制作说明：</w:t>
      </w:r>
    </w:p>
    <w:p w14:paraId="04CBDEFB">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14:paraId="5C359FAF">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490611FF">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14:paraId="1E8D2615">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14:paraId="592AE3AE">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5.质疑函的质疑请求应与质疑事项相关。</w:t>
      </w:r>
    </w:p>
    <w:p w14:paraId="2843B41C">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14:paraId="4F2A3EC6">
      <w:pPr>
        <w:spacing w:line="540" w:lineRule="exact"/>
        <w:contextualSpacing/>
        <w:rPr>
          <w:rFonts w:ascii="仿宋_GB2312" w:eastAsia="仿宋_GB2312"/>
          <w:sz w:val="24"/>
          <w:szCs w:val="24"/>
        </w:rPr>
      </w:pPr>
    </w:p>
    <w:p w14:paraId="168CC959">
      <w:pPr>
        <w:spacing w:line="540" w:lineRule="exact"/>
        <w:contextualSpacing/>
        <w:rPr>
          <w:rFonts w:ascii="仿宋_GB2312" w:eastAsia="仿宋_GB2312"/>
          <w:sz w:val="24"/>
          <w:szCs w:val="24"/>
        </w:rPr>
      </w:pPr>
    </w:p>
    <w:p w14:paraId="11DA3CDA">
      <w:pPr>
        <w:contextualSpacing/>
        <w:rPr>
          <w:rFonts w:ascii="仿宋_GB2312" w:eastAsia="仿宋_GB2312"/>
          <w:sz w:val="28"/>
          <w:szCs w:val="28"/>
        </w:rPr>
      </w:pPr>
    </w:p>
    <w:p w14:paraId="3447D812">
      <w:pPr>
        <w:contextualSpacing/>
        <w:rPr>
          <w:rFonts w:ascii="仿宋_GB2312" w:eastAsia="仿宋_GB2312"/>
          <w:sz w:val="28"/>
          <w:szCs w:val="28"/>
        </w:rPr>
      </w:pPr>
    </w:p>
    <w:p w14:paraId="12650B3F">
      <w:pPr>
        <w:contextualSpacing/>
        <w:rPr>
          <w:rFonts w:ascii="仿宋_GB2312" w:eastAsia="仿宋_GB2312"/>
          <w:sz w:val="28"/>
          <w:szCs w:val="28"/>
        </w:rPr>
      </w:pPr>
    </w:p>
    <w:p w14:paraId="4B4D3616">
      <w:pPr>
        <w:contextualSpacing/>
        <w:rPr>
          <w:rFonts w:ascii="仿宋_GB2312" w:eastAsia="仿宋_GB2312"/>
          <w:sz w:val="28"/>
          <w:szCs w:val="28"/>
        </w:rPr>
      </w:pPr>
    </w:p>
    <w:p w14:paraId="5A83CA83">
      <w:pPr>
        <w:contextualSpacing/>
        <w:rPr>
          <w:rFonts w:ascii="仿宋_GB2312" w:eastAsia="仿宋_GB2312"/>
          <w:sz w:val="28"/>
          <w:szCs w:val="28"/>
        </w:rPr>
      </w:pPr>
    </w:p>
    <w:p w14:paraId="0EC81920">
      <w:pPr>
        <w:contextualSpacing/>
        <w:rPr>
          <w:rFonts w:ascii="仿宋_GB2312" w:eastAsia="仿宋_GB2312"/>
          <w:sz w:val="28"/>
          <w:szCs w:val="28"/>
        </w:rPr>
      </w:pPr>
    </w:p>
    <w:p w14:paraId="2E6DEB34">
      <w:pPr>
        <w:contextualSpacing/>
        <w:rPr>
          <w:rFonts w:ascii="仿宋_GB2312" w:eastAsia="仿宋_GB2312"/>
          <w:sz w:val="28"/>
          <w:szCs w:val="28"/>
        </w:rPr>
      </w:pPr>
    </w:p>
    <w:p w14:paraId="7FC9D6EC">
      <w:pPr>
        <w:contextualSpacing/>
        <w:rPr>
          <w:rFonts w:ascii="仿宋_GB2312" w:eastAsia="仿宋_GB2312"/>
          <w:sz w:val="28"/>
          <w:szCs w:val="28"/>
        </w:rPr>
      </w:pPr>
    </w:p>
    <w:p w14:paraId="39467174">
      <w:pPr>
        <w:contextualSpacing/>
        <w:rPr>
          <w:rFonts w:ascii="仿宋_GB2312" w:eastAsia="仿宋_GB2312"/>
          <w:sz w:val="28"/>
          <w:szCs w:val="28"/>
        </w:rPr>
      </w:pPr>
    </w:p>
    <w:p w14:paraId="596DC6A6">
      <w:pPr>
        <w:rPr>
          <w:rFonts w:hint="eastAsia" w:ascii="仿宋_GB2312" w:eastAsia="仿宋_GB2312"/>
          <w:sz w:val="28"/>
          <w:szCs w:val="28"/>
        </w:rPr>
      </w:pPr>
      <w:r>
        <w:rPr>
          <w:rFonts w:hint="eastAsia" w:ascii="仿宋_GB2312" w:eastAsia="仿宋_GB2312"/>
          <w:sz w:val="28"/>
          <w:szCs w:val="28"/>
        </w:rPr>
        <w:br w:type="page"/>
      </w:r>
    </w:p>
    <w:p w14:paraId="46D8B165">
      <w:pPr>
        <w:contextualSpacing/>
        <w:rPr>
          <w:rFonts w:ascii="仿宋_GB2312" w:eastAsia="仿宋_GB2312"/>
          <w:sz w:val="28"/>
          <w:szCs w:val="28"/>
        </w:rPr>
      </w:pPr>
      <w:r>
        <w:rPr>
          <w:rFonts w:hint="eastAsia" w:ascii="仿宋_GB2312" w:eastAsia="仿宋_GB2312"/>
          <w:sz w:val="28"/>
          <w:szCs w:val="28"/>
        </w:rPr>
        <w:t>附件3：</w:t>
      </w:r>
    </w:p>
    <w:p w14:paraId="1AD25F8B">
      <w:pPr>
        <w:contextualSpacing/>
        <w:jc w:val="center"/>
        <w:rPr>
          <w:rFonts w:ascii="仿宋_GB2312" w:eastAsia="仿宋_GB2312"/>
          <w:b/>
          <w:sz w:val="28"/>
          <w:szCs w:val="28"/>
        </w:rPr>
      </w:pPr>
      <w:r>
        <w:rPr>
          <w:rFonts w:hint="eastAsia" w:ascii="仿宋_GB2312" w:eastAsia="仿宋_GB2312"/>
          <w:b/>
          <w:sz w:val="28"/>
          <w:szCs w:val="28"/>
        </w:rPr>
        <w:t>投诉书范本及制作说明</w:t>
      </w:r>
    </w:p>
    <w:p w14:paraId="73AA53F0">
      <w:pPr>
        <w:contextualSpacing/>
        <w:rPr>
          <w:rFonts w:ascii="仿宋_GB2312" w:eastAsia="仿宋_GB2312"/>
          <w:sz w:val="24"/>
          <w:szCs w:val="24"/>
        </w:rPr>
      </w:pPr>
    </w:p>
    <w:p w14:paraId="405DCF8A">
      <w:pPr>
        <w:jc w:val="center"/>
        <w:rPr>
          <w:rFonts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14:paraId="354BED04">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一、投诉相关主体基本情况</w:t>
      </w:r>
    </w:p>
    <w:p w14:paraId="1501C763">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w:t>
      </w:r>
    </w:p>
    <w:p w14:paraId="44D316E4">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1384EFAD">
      <w:pPr>
        <w:tabs>
          <w:tab w:val="left" w:pos="6510"/>
        </w:tabs>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法定代表人/主要负责人：</w:t>
      </w:r>
    </w:p>
    <w:p w14:paraId="36A5C61A">
      <w:pPr>
        <w:tabs>
          <w:tab w:val="left" w:pos="6510"/>
        </w:tabs>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联系电话：</w:t>
      </w:r>
    </w:p>
    <w:p w14:paraId="064AF76D">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14:paraId="32246283">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地     址：邮编：</w:t>
      </w:r>
    </w:p>
    <w:p w14:paraId="3881B9A8">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被投诉人1：</w:t>
      </w:r>
    </w:p>
    <w:p w14:paraId="0F134992">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6C97F68F">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10B8EB4F">
      <w:pPr>
        <w:spacing w:line="360" w:lineRule="auto"/>
        <w:rPr>
          <w:rFonts w:ascii="仿宋_GB2312" w:hAnsi="宋体" w:eastAsia="仿宋_GB2312" w:cs="宋体"/>
          <w:sz w:val="24"/>
          <w:szCs w:val="24"/>
        </w:rPr>
      </w:pPr>
      <w:r>
        <w:rPr>
          <w:rFonts w:hint="eastAsia" w:ascii="仿宋_GB2312" w:hAnsi="宋体" w:eastAsia="仿宋_GB2312" w:cs="宋体"/>
          <w:sz w:val="24"/>
          <w:szCs w:val="24"/>
        </w:rPr>
        <w:t>被投诉人2</w:t>
      </w:r>
    </w:p>
    <w:p w14:paraId="3981FA6F">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14:paraId="1FED8388">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相关供应商：</w:t>
      </w:r>
    </w:p>
    <w:p w14:paraId="4F59AE82">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14:paraId="1C45970B">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69753D3C">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二、投诉项目基本情况</w:t>
      </w:r>
    </w:p>
    <w:p w14:paraId="3FD0CF87">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采购项目名称：</w:t>
      </w:r>
    </w:p>
    <w:p w14:paraId="02E8E73F">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采购项目编号：包号：</w:t>
      </w:r>
    </w:p>
    <w:p w14:paraId="0072C2DD">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采购人名称：</w:t>
      </w:r>
    </w:p>
    <w:p w14:paraId="3FB244F3">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代理机构名称：</w:t>
      </w:r>
    </w:p>
    <w:p w14:paraId="4AC8E052">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54ADC640">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11CEF35C">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三、质疑基本情况</w:t>
      </w:r>
    </w:p>
    <w:p w14:paraId="54A4DDA0">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14:paraId="18EA6907">
      <w:pPr>
        <w:spacing w:line="360" w:lineRule="auto"/>
        <w:rPr>
          <w:rFonts w:ascii="仿宋_GB2312" w:hAnsi="宋体" w:eastAsia="仿宋_GB2312" w:cs="宋体"/>
          <w:sz w:val="24"/>
          <w:szCs w:val="24"/>
          <w:u w:val="dotted"/>
        </w:rPr>
      </w:pPr>
    </w:p>
    <w:p w14:paraId="46B50B5A">
      <w:pPr>
        <w:spacing w:line="360" w:lineRule="auto"/>
        <w:rPr>
          <w:rFonts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14:paraId="6388ECA3">
      <w:pPr>
        <w:spacing w:line="360" w:lineRule="auto"/>
        <w:rPr>
          <w:rFonts w:ascii="仿宋_GB2312" w:hAnsi="宋体" w:eastAsia="仿宋_GB2312" w:cs="宋体"/>
          <w:sz w:val="24"/>
          <w:szCs w:val="24"/>
        </w:rPr>
      </w:pPr>
      <w:r>
        <w:rPr>
          <w:rFonts w:hint="eastAsia" w:ascii="仿宋_GB2312" w:hAnsi="宋体" w:eastAsia="仿宋_GB2312" w:cs="宋体"/>
          <w:sz w:val="24"/>
          <w:szCs w:val="24"/>
        </w:rPr>
        <w:t>四、投诉事项具体内容</w:t>
      </w:r>
    </w:p>
    <w:p w14:paraId="3E731FF9">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投诉事项 1：</w:t>
      </w:r>
    </w:p>
    <w:p w14:paraId="16BFB020">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事实依据：</w:t>
      </w:r>
    </w:p>
    <w:p w14:paraId="34F01B8E">
      <w:pPr>
        <w:spacing w:line="360" w:lineRule="auto"/>
        <w:rPr>
          <w:rFonts w:ascii="仿宋_GB2312" w:hAnsi="宋体" w:eastAsia="仿宋_GB2312" w:cs="宋体"/>
          <w:sz w:val="24"/>
          <w:szCs w:val="24"/>
          <w:u w:val="dotted"/>
        </w:rPr>
      </w:pPr>
    </w:p>
    <w:p w14:paraId="27BEC381">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法律依据：</w:t>
      </w:r>
    </w:p>
    <w:p w14:paraId="18CA0814">
      <w:pPr>
        <w:spacing w:line="360" w:lineRule="auto"/>
        <w:rPr>
          <w:rFonts w:ascii="仿宋_GB2312" w:hAnsi="宋体" w:eastAsia="仿宋_GB2312" w:cs="宋体"/>
          <w:sz w:val="24"/>
          <w:szCs w:val="24"/>
          <w:u w:val="dotted"/>
        </w:rPr>
      </w:pPr>
    </w:p>
    <w:p w14:paraId="64D723DB">
      <w:pPr>
        <w:spacing w:line="360" w:lineRule="auto"/>
        <w:rPr>
          <w:rFonts w:ascii="仿宋_GB2312" w:hAnsi="宋体" w:eastAsia="仿宋_GB2312" w:cs="宋体"/>
          <w:sz w:val="24"/>
          <w:szCs w:val="24"/>
        </w:rPr>
      </w:pPr>
      <w:r>
        <w:rPr>
          <w:rFonts w:hint="eastAsia" w:ascii="仿宋_GB2312" w:hAnsi="宋体" w:eastAsia="仿宋_GB2312" w:cs="宋体"/>
          <w:sz w:val="24"/>
          <w:szCs w:val="24"/>
        </w:rPr>
        <w:t>投诉事项2</w:t>
      </w:r>
    </w:p>
    <w:p w14:paraId="63E43E73">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14:paraId="0B31099A">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14:paraId="1BC6E1F2">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请求：</w:t>
      </w:r>
    </w:p>
    <w:p w14:paraId="03A3718C">
      <w:pPr>
        <w:spacing w:line="360" w:lineRule="auto"/>
        <w:rPr>
          <w:rFonts w:ascii="仿宋_GB2312" w:hAnsi="宋体" w:eastAsia="仿宋_GB2312" w:cs="宋体"/>
          <w:sz w:val="24"/>
          <w:szCs w:val="24"/>
          <w:u w:val="single"/>
        </w:rPr>
      </w:pPr>
    </w:p>
    <w:p w14:paraId="3E300072">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签字(签章)：                   公章：                      </w:t>
      </w:r>
    </w:p>
    <w:p w14:paraId="0559A638">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日期：    </w:t>
      </w:r>
    </w:p>
    <w:p w14:paraId="7C28E37D">
      <w:pPr>
        <w:spacing w:line="360" w:lineRule="auto"/>
        <w:ind w:firstLine="482"/>
        <w:rPr>
          <w:rFonts w:ascii="仿宋_GB2312" w:hAnsi="宋体" w:eastAsia="仿宋_GB2312" w:cs="宋体"/>
          <w:b/>
          <w:sz w:val="24"/>
          <w:szCs w:val="24"/>
        </w:rPr>
      </w:pPr>
    </w:p>
    <w:p w14:paraId="2D14EAAD">
      <w:pPr>
        <w:spacing w:line="360" w:lineRule="auto"/>
        <w:ind w:firstLine="482"/>
        <w:rPr>
          <w:rFonts w:ascii="仿宋_GB2312" w:hAnsi="宋体" w:eastAsia="仿宋_GB2312" w:cs="宋体"/>
          <w:b/>
          <w:sz w:val="24"/>
          <w:szCs w:val="24"/>
        </w:rPr>
      </w:pPr>
    </w:p>
    <w:p w14:paraId="7A8E8374">
      <w:pPr>
        <w:spacing w:line="360" w:lineRule="auto"/>
        <w:ind w:firstLine="482"/>
        <w:rPr>
          <w:rFonts w:ascii="仿宋_GB2312" w:hAnsi="宋体" w:eastAsia="仿宋_GB2312" w:cs="宋体"/>
          <w:b/>
          <w:sz w:val="24"/>
          <w:szCs w:val="24"/>
        </w:rPr>
      </w:pPr>
      <w:r>
        <w:rPr>
          <w:rFonts w:hint="eastAsia" w:ascii="仿宋_GB2312" w:hAnsi="宋体" w:eastAsia="仿宋_GB2312" w:cs="宋体"/>
          <w:b/>
          <w:sz w:val="24"/>
          <w:szCs w:val="24"/>
        </w:rPr>
        <w:t>投诉书制作说明：</w:t>
      </w:r>
    </w:p>
    <w:p w14:paraId="3A9637C6">
      <w:pPr>
        <w:widowControl/>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14:paraId="239BDB28">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14:paraId="6D78E0D4">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14:paraId="442AF7AB">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14:paraId="1713572C">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14:paraId="2A59BBAB">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14:paraId="6553F1C1">
      <w:pPr>
        <w:spacing w:line="360" w:lineRule="auto"/>
        <w:ind w:firstLine="480" w:firstLineChars="200"/>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14:paraId="59EE124F">
      <w:pPr>
        <w:spacing w:line="540" w:lineRule="exact"/>
        <w:contextualSpacing/>
        <w:rPr>
          <w:rFonts w:ascii="仿宋_GB2312" w:eastAsia="仿宋_GB2312"/>
          <w:sz w:val="28"/>
          <w:szCs w:val="28"/>
        </w:rPr>
      </w:pPr>
      <w:r>
        <w:rPr>
          <w:rFonts w:hint="eastAsia" w:ascii="仿宋_GB2312" w:eastAsia="仿宋_GB2312"/>
          <w:sz w:val="28"/>
          <w:szCs w:val="28"/>
        </w:rPr>
        <w:t>附件4：</w:t>
      </w:r>
    </w:p>
    <w:p w14:paraId="482E3C6B">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业务专用章使用说明函</w:t>
      </w:r>
    </w:p>
    <w:p w14:paraId="35D6F3C4">
      <w:pPr>
        <w:spacing w:line="540" w:lineRule="exact"/>
        <w:contextualSpacing/>
        <w:rPr>
          <w:rFonts w:ascii="仿宋_GB2312" w:eastAsia="仿宋_GB2312"/>
          <w:sz w:val="24"/>
          <w:szCs w:val="24"/>
        </w:rPr>
      </w:pPr>
    </w:p>
    <w:p w14:paraId="0995566A">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5E20635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14:paraId="7FF19A3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14:paraId="211CCCB3">
      <w:pPr>
        <w:spacing w:line="540" w:lineRule="exact"/>
        <w:contextualSpacing/>
        <w:rPr>
          <w:rFonts w:ascii="仿宋_GB2312" w:eastAsia="仿宋_GB2312"/>
          <w:sz w:val="24"/>
          <w:szCs w:val="24"/>
        </w:rPr>
      </w:pPr>
    </w:p>
    <w:p w14:paraId="46822B6F">
      <w:pPr>
        <w:spacing w:line="540" w:lineRule="exact"/>
        <w:contextualSpacing/>
        <w:rPr>
          <w:rFonts w:ascii="仿宋_GB2312" w:eastAsia="仿宋_GB2312"/>
          <w:sz w:val="24"/>
          <w:szCs w:val="24"/>
        </w:rPr>
      </w:pPr>
    </w:p>
    <w:p w14:paraId="088E6D9E">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14:paraId="116E0AFB">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4186C4BC">
      <w:pPr>
        <w:spacing w:line="540" w:lineRule="exact"/>
        <w:contextualSpacing/>
        <w:rPr>
          <w:rFonts w:ascii="仿宋_GB2312" w:eastAsia="仿宋_GB2312"/>
          <w:sz w:val="24"/>
          <w:szCs w:val="24"/>
        </w:rPr>
      </w:pPr>
      <w:r>
        <w:rPr>
          <w:rFonts w:hint="eastAsia" w:ascii="仿宋_GB2312" w:eastAsia="仿宋_GB2312"/>
          <w:sz w:val="24"/>
          <w:szCs w:val="24"/>
        </w:rPr>
        <w:t>附：</w:t>
      </w:r>
    </w:p>
    <w:p w14:paraId="5AF03C78">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14:paraId="2BBE9E96">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61312" behindDoc="1" locked="0" layoutInCell="1" allowOverlap="1">
                <wp:simplePos x="0" y="0"/>
                <wp:positionH relativeFrom="column">
                  <wp:posOffset>61595</wp:posOffset>
                </wp:positionH>
                <wp:positionV relativeFrom="paragraph">
                  <wp:posOffset>1270</wp:posOffset>
                </wp:positionV>
                <wp:extent cx="2136140" cy="1748155"/>
                <wp:effectExtent l="4445" t="4445" r="12065" b="1905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1361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4.85pt;margin-top:0.1pt;height:137.65pt;width:168.2pt;z-index:-251655168;mso-width-relative:page;mso-height-relative:page;" fillcolor="#FFFFFF" filled="t" stroked="t" coordsize="21600,21600" o:gfxdata="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3QNEtUAAAAGAQAADwAAAAAAAAABACAAAAAiAAAAZHJzL2Rvd25yZXYueG1sUEsBAhQA&#10;FAAAAAgAh07iQGLvYTAuAgAAggQAAA4AAAAAAAAAAQAgAAAAJAEAAGRycy9lMm9Eb2MueG1sUEsF&#10;BgAAAAAGAAYAWQEAAMQFA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13335</wp:posOffset>
                </wp:positionV>
                <wp:extent cx="2275840" cy="1748155"/>
                <wp:effectExtent l="4445" t="4445" r="5715" b="1905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2758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37.65pt;width:179.2pt;z-index:-251656192;mso-width-relative:page;mso-height-relative:page;" fillcolor="#FFFFFF" filled="t" stroked="t" coordsize="21600,21600" o:gfxdata="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VCSu1wAAAAkBAAAPAAAAAAAAAAEAIAAAACIAAABkcnMvZG93bnJldi54bWxQSwEC&#10;FAAUAAAACACHTuJANVaBCC4CAACCBAAADgAAAAAAAAABACAAAAAmAQAAZHJzL2Uyb0RvYy54bWxQ&#10;SwUGAAAAAAYABgBZAQAAxgUAAAAA&#10;">
                <v:fill on="t" focussize="0,0"/>
                <v:stroke color="#000000" miterlimit="2" joinstyle="miter"/>
                <v:imagedata o:title=""/>
                <o:lock v:ext="edit" aspectratio="f"/>
              </v:rect>
            </w:pict>
          </mc:Fallback>
        </mc:AlternateContent>
      </w:r>
    </w:p>
    <w:p w14:paraId="1346000A">
      <w:pPr>
        <w:spacing w:line="540" w:lineRule="exact"/>
        <w:contextualSpacing/>
        <w:rPr>
          <w:rFonts w:ascii="仿宋_GB2312" w:eastAsia="仿宋_GB2312"/>
          <w:sz w:val="24"/>
          <w:szCs w:val="24"/>
        </w:rPr>
      </w:pPr>
    </w:p>
    <w:p w14:paraId="65833921">
      <w:pPr>
        <w:spacing w:line="540" w:lineRule="exact"/>
        <w:contextualSpacing/>
        <w:rPr>
          <w:rFonts w:ascii="仿宋_GB2312" w:eastAsia="仿宋_GB2312"/>
          <w:sz w:val="24"/>
          <w:szCs w:val="24"/>
        </w:rPr>
      </w:pPr>
    </w:p>
    <w:p w14:paraId="3254F127">
      <w:pPr>
        <w:spacing w:line="540" w:lineRule="exact"/>
        <w:contextualSpacing/>
        <w:rPr>
          <w:rFonts w:ascii="仿宋_GB2312" w:eastAsia="仿宋_GB2312"/>
          <w:sz w:val="24"/>
          <w:szCs w:val="24"/>
        </w:rPr>
      </w:pPr>
    </w:p>
    <w:p w14:paraId="20AB8464">
      <w:pPr>
        <w:spacing w:line="540" w:lineRule="exact"/>
        <w:contextualSpacing/>
        <w:rPr>
          <w:rFonts w:ascii="仿宋_GB2312" w:eastAsia="仿宋_GB2312"/>
          <w:sz w:val="24"/>
          <w:szCs w:val="24"/>
        </w:rPr>
      </w:pPr>
    </w:p>
    <w:p w14:paraId="180F4A26">
      <w:pPr>
        <w:spacing w:line="540" w:lineRule="exact"/>
        <w:contextualSpacing/>
        <w:rPr>
          <w:rFonts w:ascii="仿宋_GB2312" w:eastAsia="仿宋_GB2312"/>
          <w:sz w:val="24"/>
          <w:szCs w:val="24"/>
        </w:rPr>
      </w:pPr>
    </w:p>
    <w:p w14:paraId="6FCF3BA4">
      <w:pPr>
        <w:spacing w:line="540" w:lineRule="exact"/>
        <w:ind w:firstLine="560"/>
        <w:contextualSpacing/>
        <w:rPr>
          <w:rFonts w:ascii="仿宋_GB2312" w:eastAsia="仿宋_GB2312"/>
          <w:sz w:val="28"/>
          <w:szCs w:val="28"/>
        </w:rPr>
      </w:pPr>
    </w:p>
    <w:p w14:paraId="78D973B2">
      <w:pPr>
        <w:spacing w:line="540" w:lineRule="exact"/>
        <w:contextualSpacing/>
        <w:rPr>
          <w:rFonts w:ascii="仿宋_GB2312" w:eastAsia="仿宋_GB2312"/>
          <w:sz w:val="28"/>
          <w:szCs w:val="28"/>
        </w:rPr>
      </w:pPr>
    </w:p>
    <w:p w14:paraId="32508DE5">
      <w:pPr>
        <w:rPr>
          <w:rFonts w:hint="eastAsia" w:ascii="仿宋_GB2312" w:eastAsia="仿宋_GB2312"/>
          <w:sz w:val="28"/>
          <w:szCs w:val="28"/>
        </w:rPr>
      </w:pPr>
      <w:r>
        <w:rPr>
          <w:rFonts w:hint="eastAsia" w:ascii="仿宋_GB2312" w:eastAsia="仿宋_GB2312"/>
          <w:sz w:val="28"/>
          <w:szCs w:val="28"/>
        </w:rPr>
        <w:br w:type="page"/>
      </w:r>
    </w:p>
    <w:p w14:paraId="77E8B380">
      <w:pPr>
        <w:spacing w:line="540" w:lineRule="exact"/>
        <w:contextualSpacing/>
        <w:jc w:val="center"/>
        <w:rPr>
          <w:rFonts w:ascii="仿宋_GB2312" w:eastAsia="仿宋_GB2312"/>
          <w:b/>
          <w:sz w:val="24"/>
          <w:szCs w:val="24"/>
        </w:rPr>
      </w:pPr>
      <w:r>
        <w:rPr>
          <w:rFonts w:hint="eastAsia" w:ascii="仿宋_GB2312" w:eastAsia="仿宋_GB2312"/>
          <w:sz w:val="28"/>
          <w:szCs w:val="28"/>
        </w:rPr>
        <w:t>附件5：</w:t>
      </w:r>
      <w:r>
        <w:rPr>
          <w:rFonts w:hint="eastAsia" w:ascii="仿宋_GB2312" w:eastAsia="仿宋_GB2312"/>
          <w:b/>
          <w:sz w:val="24"/>
          <w:szCs w:val="24"/>
        </w:rPr>
        <w:t>中小企业声明函（工程、服务）</w:t>
      </w:r>
    </w:p>
    <w:p w14:paraId="07AA4DEB">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（舟山市国防动员办公室） 的 （舟山市政务云统一购买服务项目（2024-2025）） 采购活动，服务全部由符合政策要求的中小企业承接。相关企业（含联合体中的中小企业、签订分包意向协议的中小企业）的具体情况如下：</w:t>
      </w:r>
    </w:p>
    <w:p w14:paraId="49CE9E4B">
      <w:pPr>
        <w:spacing w:line="500" w:lineRule="exact"/>
        <w:ind w:firstLine="480" w:firstLineChars="200"/>
        <w:contextualSpacing/>
        <w:rPr>
          <w:rFonts w:ascii="仿宋_GB2312" w:eastAsia="仿宋_GB2312"/>
          <w:sz w:val="24"/>
          <w:szCs w:val="24"/>
        </w:rPr>
      </w:pPr>
      <w:r>
        <w:rPr>
          <w:rFonts w:hint="eastAsia" w:ascii="仿宋_GB2312" w:eastAsia="仿宋_GB2312"/>
          <w:color w:val="000000" w:themeColor="text1"/>
          <w:sz w:val="24"/>
          <w:szCs w:val="24"/>
          <w14:textFill>
            <w14:solidFill>
              <w14:schemeClr w14:val="tx1"/>
            </w14:solidFill>
          </w14:textFill>
        </w:rPr>
        <w:t xml:space="preserve">1. </w:t>
      </w:r>
      <w:r>
        <w:rPr>
          <w:rFonts w:hint="eastAsia" w:ascii="仿宋_GB2312" w:eastAsia="仿宋_GB2312"/>
          <w:color w:val="000000" w:themeColor="text1"/>
          <w:sz w:val="24"/>
          <w:szCs w:val="24"/>
          <w:u w:val="single"/>
          <w:lang w:eastAsia="zh-CN"/>
          <w14:textFill>
            <w14:solidFill>
              <w14:schemeClr w14:val="tx1"/>
            </w14:solidFill>
          </w14:textFill>
        </w:rPr>
        <w:t>云服务</w:t>
      </w:r>
      <w:r>
        <w:rPr>
          <w:rFonts w:hint="eastAsia" w:ascii="仿宋_GB2312" w:eastAsia="仿宋_GB2312"/>
          <w:color w:val="000000" w:themeColor="text1"/>
          <w:sz w:val="24"/>
          <w:szCs w:val="24"/>
          <w14:textFill>
            <w14:solidFill>
              <w14:schemeClr w14:val="tx1"/>
            </w14:solidFill>
          </w14:textFill>
        </w:rPr>
        <w:t>，属于</w:t>
      </w:r>
      <w:r>
        <w:rPr>
          <w:rFonts w:hint="eastAsia" w:ascii="仿宋_GB2312" w:eastAsia="仿宋_GB2312"/>
          <w:color w:val="000000" w:themeColor="text1"/>
          <w:sz w:val="24"/>
          <w:szCs w:val="24"/>
          <w:u w:val="single"/>
          <w14:textFill>
            <w14:solidFill>
              <w14:schemeClr w14:val="tx1"/>
            </w14:solidFill>
          </w14:textFill>
        </w:rPr>
        <w:t>软件和信息技术服务业</w:t>
      </w:r>
      <w:r>
        <w:rPr>
          <w:rFonts w:hint="eastAsia" w:ascii="仿宋_GB2312" w:eastAsia="仿宋_GB2312"/>
          <w:color w:val="000000" w:themeColor="text1"/>
          <w:sz w:val="24"/>
          <w:szCs w:val="24"/>
          <w14:textFill>
            <w14:solidFill>
              <w14:schemeClr w14:val="tx1"/>
            </w14:solidFill>
          </w14:textFill>
        </w:rPr>
        <w:t>；承接企业</w:t>
      </w:r>
      <w:r>
        <w:rPr>
          <w:rFonts w:hint="eastAsia" w:ascii="仿宋_GB2312" w:eastAsia="仿宋_GB2312"/>
          <w:sz w:val="24"/>
          <w:szCs w:val="24"/>
        </w:rPr>
        <w:t>为 (企业名称)，从业人员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万元，属于</w:t>
      </w:r>
      <w:r>
        <w:rPr>
          <w:rFonts w:hint="eastAsia" w:ascii="仿宋_GB2312" w:eastAsia="仿宋_GB2312"/>
          <w:sz w:val="24"/>
          <w:szCs w:val="24"/>
          <w:u w:val="single"/>
        </w:rPr>
        <w:t xml:space="preserve">   </w:t>
      </w:r>
      <w:r>
        <w:rPr>
          <w:rFonts w:hint="eastAsia" w:ascii="仿宋_GB2312" w:eastAsia="仿宋_GB2312"/>
          <w:sz w:val="24"/>
          <w:szCs w:val="24"/>
        </w:rPr>
        <w:t>（中型企业、小型企业、微型企业） ；</w:t>
      </w:r>
    </w:p>
    <w:p w14:paraId="0D3F6C57">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14:paraId="0C63FE8C">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14:paraId="4F040815">
      <w:pPr>
        <w:spacing w:line="500" w:lineRule="exact"/>
        <w:ind w:firstLine="4680" w:firstLineChars="1950"/>
        <w:contextualSpacing/>
        <w:rPr>
          <w:rFonts w:ascii="仿宋_GB2312" w:eastAsia="仿宋_GB2312"/>
          <w:sz w:val="24"/>
          <w:szCs w:val="24"/>
        </w:rPr>
      </w:pPr>
    </w:p>
    <w:p w14:paraId="6C28ABA9">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41171246">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14:paraId="2F8A1C9C">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C8C3C4">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DC6AB19">
      <w:pPr>
        <w:autoSpaceDE w:val="0"/>
        <w:autoSpaceDN w:val="0"/>
        <w:rPr>
          <w:rFonts w:ascii="仿宋_GB2312" w:hAnsi="宋体" w:eastAsia="仿宋_GB2312" w:cs="宋体"/>
          <w:spacing w:val="6"/>
          <w:sz w:val="28"/>
          <w:szCs w:val="28"/>
        </w:rPr>
      </w:pPr>
    </w:p>
    <w:p w14:paraId="2AF6B24B">
      <w:pPr>
        <w:pStyle w:val="2"/>
        <w:rPr>
          <w:rFonts w:hint="eastAsia"/>
        </w:rPr>
      </w:pPr>
    </w:p>
    <w:p w14:paraId="62BDC7E7">
      <w:pPr>
        <w:pStyle w:val="2"/>
        <w:rPr>
          <w:rFonts w:hint="eastAsia"/>
        </w:rPr>
      </w:pPr>
    </w:p>
    <w:p w14:paraId="15DC4079">
      <w:pPr>
        <w:pStyle w:val="2"/>
        <w:rPr>
          <w:rFonts w:hint="eastAsia"/>
        </w:rPr>
      </w:pPr>
    </w:p>
    <w:p w14:paraId="4CC1256C">
      <w:pPr>
        <w:pStyle w:val="2"/>
        <w:rPr>
          <w:rFonts w:hint="eastAsia"/>
        </w:rPr>
      </w:pPr>
    </w:p>
    <w:p w14:paraId="4C23660B">
      <w:pPr>
        <w:pStyle w:val="2"/>
        <w:ind w:firstLine="0" w:firstLineChars="0"/>
        <w:rPr>
          <w:rFonts w:hint="eastAsia"/>
        </w:rPr>
      </w:pPr>
    </w:p>
    <w:p w14:paraId="63288F20">
      <w:pPr>
        <w:pStyle w:val="2"/>
        <w:rPr>
          <w:rFonts w:hint="eastAsia"/>
        </w:rPr>
      </w:pPr>
    </w:p>
    <w:p w14:paraId="02DFFEED">
      <w:pPr>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br w:type="page"/>
      </w:r>
    </w:p>
    <w:p w14:paraId="57CF62A7">
      <w:pPr>
        <w:autoSpaceDE w:val="0"/>
        <w:autoSpaceDN w:val="0"/>
        <w:ind w:firstLine="584"/>
        <w:rPr>
          <w:rFonts w:ascii="仿宋_GB2312" w:hAnsi="宋体" w:eastAsia="仿宋_GB2312" w:cs="宋体"/>
          <w:spacing w:val="6"/>
          <w:sz w:val="28"/>
          <w:szCs w:val="28"/>
        </w:rPr>
      </w:pPr>
      <w:r>
        <w:rPr>
          <w:rFonts w:hint="eastAsia" w:ascii="仿宋_GB2312" w:hAnsi="宋体" w:eastAsia="仿宋_GB2312" w:cs="宋体"/>
          <w:spacing w:val="6"/>
          <w:sz w:val="28"/>
          <w:szCs w:val="28"/>
        </w:rPr>
        <w:t>附件6：</w:t>
      </w:r>
    </w:p>
    <w:p w14:paraId="0B47DE28">
      <w:pPr>
        <w:autoSpaceDE w:val="0"/>
        <w:autoSpaceDN w:val="0"/>
        <w:ind w:firstLine="56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14:paraId="404392E0">
      <w:pPr>
        <w:widowControl/>
        <w:spacing w:line="360" w:lineRule="auto"/>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14:paraId="1EDD04E8">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14:paraId="46DEC89B">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14:paraId="2F3A2043">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14:paraId="49F2538F">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14:paraId="5FB8F3DA">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14:paraId="6DFFC710">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14:paraId="08925B79">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14:paraId="64DE2B75">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14:paraId="178593BB">
      <w:pPr>
        <w:snapToGrid w:val="0"/>
        <w:spacing w:line="360" w:lineRule="auto"/>
        <w:ind w:firstLine="480"/>
        <w:rPr>
          <w:rFonts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465" w:name="_Hlk101131882"/>
      <w:r>
        <w:rPr>
          <w:rFonts w:hint="eastAsia" w:ascii="仿宋_GB2312" w:hAnsi="宋体" w:eastAsia="仿宋_GB2312" w:cs="宋体"/>
          <w:kern w:val="0"/>
          <w:sz w:val="24"/>
          <w:szCs w:val="24"/>
          <w:u w:val="single"/>
        </w:rPr>
        <w:t>联合体成员X,……</w:t>
      </w:r>
      <w:bookmarkEnd w:id="465"/>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466"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466"/>
      <w:r>
        <w:rPr>
          <w:rFonts w:hint="eastAsia" w:ascii="仿宋_GB2312" w:hAnsi="宋体" w:eastAsia="仿宋_GB2312" w:cs="宋体"/>
          <w:b/>
          <w:kern w:val="0"/>
          <w:sz w:val="24"/>
          <w:szCs w:val="24"/>
          <w:lang w:val="zh-CN"/>
        </w:rPr>
        <w:t>）</w:t>
      </w:r>
    </w:p>
    <w:p w14:paraId="4EA4939F">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67"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67"/>
    </w:p>
    <w:p w14:paraId="4B34A875">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14:paraId="3CB07B95">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14:paraId="56A34D51">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14:paraId="588AC162">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14:paraId="44B52148">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14:paraId="0BCFBA58">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right"/>
        <w:textAlignment w:val="auto"/>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66098BA0">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right"/>
        <w:textAlignment w:val="auto"/>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3A093A37">
      <w:pPr>
        <w:snapToGrid w:val="0"/>
        <w:spacing w:line="360" w:lineRule="auto"/>
        <w:ind w:right="960"/>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14:paraId="58E6C561">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14:paraId="24E9C80C">
      <w:pPr>
        <w:spacing w:line="540" w:lineRule="exact"/>
        <w:ind w:firstLine="482"/>
        <w:contextualSpacing/>
        <w:jc w:val="center"/>
        <w:rPr>
          <w:rFonts w:ascii="仿宋_GB2312" w:eastAsia="仿宋_GB2312"/>
          <w:b/>
          <w:sz w:val="24"/>
          <w:szCs w:val="24"/>
        </w:rPr>
      </w:pPr>
    </w:p>
    <w:p w14:paraId="434B6C7F">
      <w:pPr>
        <w:pStyle w:val="2"/>
        <w:rPr>
          <w:rFonts w:hint="eastAsia"/>
        </w:rPr>
      </w:pPr>
    </w:p>
    <w:p w14:paraId="7A1F819C">
      <w:pPr>
        <w:pStyle w:val="2"/>
        <w:rPr>
          <w:rFonts w:hint="eastAsia"/>
        </w:rPr>
      </w:pPr>
    </w:p>
    <w:p w14:paraId="38BF3610">
      <w:pPr>
        <w:pStyle w:val="2"/>
        <w:rPr>
          <w:rFonts w:hint="eastAsia"/>
        </w:rPr>
      </w:pPr>
    </w:p>
    <w:p w14:paraId="62F43104">
      <w:pPr>
        <w:pStyle w:val="2"/>
        <w:rPr>
          <w:rFonts w:hint="eastAsia"/>
        </w:rPr>
      </w:pPr>
    </w:p>
    <w:p w14:paraId="12934B41">
      <w:pPr>
        <w:pStyle w:val="2"/>
        <w:rPr>
          <w:rFonts w:hint="eastAsia"/>
        </w:rPr>
      </w:pPr>
    </w:p>
    <w:p w14:paraId="32C683F4">
      <w:pPr>
        <w:pStyle w:val="2"/>
        <w:rPr>
          <w:rFonts w:hint="eastAsia"/>
        </w:rPr>
      </w:pPr>
    </w:p>
    <w:p w14:paraId="04A4ECB2">
      <w:pPr>
        <w:pStyle w:val="2"/>
        <w:rPr>
          <w:rFonts w:hint="eastAsia"/>
        </w:rPr>
      </w:pPr>
    </w:p>
    <w:p w14:paraId="76F65411">
      <w:pPr>
        <w:pStyle w:val="2"/>
        <w:rPr>
          <w:rFonts w:hint="eastAsia"/>
        </w:rPr>
      </w:pPr>
    </w:p>
    <w:p w14:paraId="2C324EA8">
      <w:pPr>
        <w:pStyle w:val="2"/>
        <w:rPr>
          <w:rFonts w:hint="eastAsia"/>
        </w:rPr>
      </w:pPr>
    </w:p>
    <w:p w14:paraId="116F7EE5">
      <w:pPr>
        <w:pStyle w:val="2"/>
        <w:rPr>
          <w:rFonts w:hint="eastAsia"/>
        </w:rPr>
      </w:pPr>
    </w:p>
    <w:p w14:paraId="479DC4E7">
      <w:pPr>
        <w:pStyle w:val="2"/>
        <w:rPr>
          <w:rFonts w:hint="eastAsia"/>
        </w:rPr>
      </w:pPr>
    </w:p>
    <w:p w14:paraId="29486FC0">
      <w:pPr>
        <w:pStyle w:val="2"/>
        <w:rPr>
          <w:rFonts w:hint="eastAsia"/>
        </w:rPr>
      </w:pPr>
    </w:p>
    <w:p w14:paraId="2EF3FF89">
      <w:pPr>
        <w:pStyle w:val="2"/>
        <w:ind w:firstLine="0" w:firstLineChars="0"/>
        <w:rPr>
          <w:rFonts w:hint="eastAsia"/>
        </w:rPr>
      </w:pPr>
    </w:p>
    <w:p w14:paraId="1EE94AD6">
      <w:pPr>
        <w:pStyle w:val="2"/>
        <w:rPr>
          <w:rFonts w:hint="eastAsia"/>
        </w:rPr>
      </w:pPr>
    </w:p>
    <w:p w14:paraId="627AF34C">
      <w:pPr>
        <w:snapToGrid w:val="0"/>
        <w:spacing w:line="360" w:lineRule="auto"/>
        <w:ind w:firstLine="584"/>
        <w:rPr>
          <w:rFonts w:ascii="仿宋_GB2312" w:hAnsi="宋体" w:eastAsia="仿宋_GB2312" w:cs="宋体"/>
          <w:spacing w:val="6"/>
          <w:sz w:val="28"/>
          <w:szCs w:val="28"/>
        </w:rPr>
      </w:pPr>
    </w:p>
    <w:p w14:paraId="48D9F13D">
      <w:pPr>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br w:type="page"/>
      </w:r>
    </w:p>
    <w:p w14:paraId="4DFC0AAF">
      <w:pPr>
        <w:snapToGrid w:val="0"/>
        <w:spacing w:line="360" w:lineRule="auto"/>
        <w:ind w:firstLine="584"/>
        <w:rPr>
          <w:rFonts w:ascii="仿宋_GB2312" w:hAnsi="宋体" w:eastAsia="仿宋_GB2312" w:cs="宋体"/>
          <w:spacing w:val="6"/>
          <w:sz w:val="28"/>
          <w:szCs w:val="28"/>
        </w:rPr>
      </w:pPr>
      <w:r>
        <w:rPr>
          <w:rFonts w:hint="eastAsia" w:ascii="仿宋_GB2312" w:hAnsi="宋体" w:eastAsia="仿宋_GB2312" w:cs="宋体"/>
          <w:spacing w:val="6"/>
          <w:sz w:val="28"/>
          <w:szCs w:val="28"/>
        </w:rPr>
        <w:t>附件7：</w:t>
      </w:r>
    </w:p>
    <w:p w14:paraId="44C16F99">
      <w:pPr>
        <w:snapToGrid w:val="0"/>
        <w:spacing w:line="360" w:lineRule="auto"/>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14:paraId="79ADB398">
      <w:pPr>
        <w:widowControl/>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14:paraId="57FB9862">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14:paraId="642F85FC">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14:paraId="56437F89">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14:paraId="6998DBAD">
      <w:pPr>
        <w:pStyle w:val="4"/>
        <w:ind w:left="664" w:leftChars="316" w:firstLine="229" w:firstLineChars="95"/>
        <w:rPr>
          <w:rFonts w:ascii="仿宋_GB2312" w:hAnsi="宋体" w:eastAsia="仿宋_GB2312" w:cs="宋体"/>
          <w:kern w:val="0"/>
          <w:sz w:val="24"/>
          <w:szCs w:val="24"/>
        </w:rPr>
      </w:pPr>
      <w:r>
        <w:rPr>
          <w:rFonts w:hint="eastAsia" w:ascii="仿宋_GB2312" w:hAnsi="宋体" w:eastAsia="仿宋_GB2312" w:cs="宋体"/>
          <w:kern w:val="0"/>
          <w:sz w:val="24"/>
          <w:szCs w:val="24"/>
        </w:rPr>
        <w:t>……</w:t>
      </w:r>
    </w:p>
    <w:p w14:paraId="07871B49">
      <w:pPr>
        <w:rPr>
          <w:rFonts w:ascii="仿宋_GB2312" w:eastAsia="仿宋_GB2312"/>
          <w:sz w:val="24"/>
          <w:szCs w:val="24"/>
        </w:rPr>
      </w:pPr>
    </w:p>
    <w:p w14:paraId="3C44ED8E">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14:paraId="6BE21F45">
      <w:pPr>
        <w:snapToGrid w:val="0"/>
        <w:spacing w:line="360" w:lineRule="auto"/>
        <w:ind w:firstLine="480"/>
        <w:rPr>
          <w:rFonts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14:paraId="7A59D55A">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14:paraId="2EB3967B">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14:paraId="15C8B5E5">
      <w:pPr>
        <w:snapToGrid w:val="0"/>
        <w:spacing w:line="360" w:lineRule="auto"/>
        <w:ind w:firstLine="480"/>
        <w:rPr>
          <w:rFonts w:ascii="仿宋_GB2312" w:hAnsi="宋体" w:eastAsia="仿宋_GB2312" w:cs="宋体"/>
          <w:sz w:val="24"/>
          <w:szCs w:val="24"/>
          <w:u w:val="single"/>
        </w:rPr>
      </w:pPr>
    </w:p>
    <w:p w14:paraId="2360FEA9">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14:paraId="2A7EC54B">
      <w:pPr>
        <w:snapToGrid w:val="0"/>
        <w:spacing w:line="360" w:lineRule="auto"/>
        <w:ind w:firstLine="480"/>
        <w:rPr>
          <w:rFonts w:ascii="仿宋_GB2312" w:hAnsi="宋体" w:eastAsia="仿宋_GB2312" w:cs="宋体"/>
          <w:kern w:val="0"/>
          <w:sz w:val="24"/>
          <w:szCs w:val="24"/>
          <w:lang w:val="zh-CN"/>
        </w:rPr>
      </w:pPr>
    </w:p>
    <w:p w14:paraId="51A75A8C">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14:paraId="023A2FD7">
      <w:pPr>
        <w:snapToGrid w:val="0"/>
        <w:spacing w:line="360" w:lineRule="auto"/>
        <w:ind w:left="573" w:leftChars="273"/>
        <w:rPr>
          <w:rFonts w:ascii="仿宋_GB2312" w:hAnsi="宋体" w:eastAsia="仿宋_GB2312" w:cs="宋体"/>
          <w:kern w:val="0"/>
          <w:sz w:val="24"/>
          <w:szCs w:val="24"/>
          <w:lang w:val="zh-CN"/>
        </w:rPr>
      </w:pPr>
    </w:p>
    <w:p w14:paraId="5912CA00">
      <w:pPr>
        <w:snapToGrid w:val="0"/>
        <w:spacing w:line="360" w:lineRule="auto"/>
        <w:ind w:left="573" w:leftChars="273"/>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14:paraId="229D3221">
      <w:pPr>
        <w:snapToGrid w:val="0"/>
        <w:spacing w:line="360" w:lineRule="auto"/>
        <w:ind w:firstLine="480"/>
        <w:rPr>
          <w:rFonts w:ascii="仿宋_GB2312" w:hAnsi="宋体" w:eastAsia="仿宋_GB2312" w:cs="宋体"/>
          <w:kern w:val="0"/>
          <w:sz w:val="24"/>
          <w:szCs w:val="24"/>
          <w:lang w:val="zh-CN"/>
        </w:rPr>
      </w:pPr>
    </w:p>
    <w:p w14:paraId="729267CB">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14:paraId="0CE14799">
      <w:pPr>
        <w:snapToGrid w:val="0"/>
        <w:spacing w:line="360" w:lineRule="auto"/>
        <w:ind w:firstLine="480"/>
        <w:rPr>
          <w:rFonts w:ascii="仿宋_GB2312" w:hAnsi="宋体" w:eastAsia="仿宋_GB2312" w:cs="宋体"/>
          <w:kern w:val="0"/>
          <w:sz w:val="24"/>
          <w:szCs w:val="24"/>
          <w:lang w:val="zh-CN"/>
        </w:rPr>
      </w:pPr>
    </w:p>
    <w:p w14:paraId="375FD799">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14:paraId="4194D610">
      <w:pPr>
        <w:snapToGrid w:val="0"/>
        <w:spacing w:line="360" w:lineRule="auto"/>
        <w:ind w:firstLine="480"/>
        <w:rPr>
          <w:rFonts w:ascii="仿宋_GB2312" w:hAnsi="宋体" w:eastAsia="仿宋_GB2312" w:cs="宋体"/>
          <w:kern w:val="0"/>
          <w:sz w:val="24"/>
          <w:szCs w:val="24"/>
          <w:lang w:val="zh-CN"/>
        </w:rPr>
      </w:pPr>
    </w:p>
    <w:p w14:paraId="73305E21">
      <w:pPr>
        <w:snapToGrid w:val="0"/>
        <w:spacing w:line="360" w:lineRule="auto"/>
        <w:ind w:left="5758" w:leftChars="342" w:hanging="5040" w:hangingChars="2100"/>
        <w:rPr>
          <w:rFonts w:ascii="仿宋_GB2312" w:hAnsi="宋体" w:eastAsia="仿宋_GB2312" w:cs="宋体"/>
          <w:kern w:val="0"/>
          <w:sz w:val="24"/>
          <w:szCs w:val="24"/>
          <w:lang w:val="zh-CN"/>
        </w:rPr>
      </w:pPr>
    </w:p>
    <w:p w14:paraId="6B00D337">
      <w:pPr>
        <w:snapToGrid w:val="0"/>
        <w:spacing w:line="360" w:lineRule="auto"/>
        <w:ind w:left="5758" w:leftChars="342" w:hanging="5040" w:hangingChars="2100"/>
        <w:rPr>
          <w:rFonts w:ascii="仿宋_GB2312" w:hAnsi="宋体" w:eastAsia="仿宋_GB2312" w:cs="宋体"/>
          <w:kern w:val="0"/>
          <w:sz w:val="24"/>
          <w:szCs w:val="24"/>
          <w:lang w:val="zh-CN"/>
        </w:rPr>
      </w:pPr>
    </w:p>
    <w:p w14:paraId="7013C11A">
      <w:pPr>
        <w:snapToGrid w:val="0"/>
        <w:spacing w:line="360" w:lineRule="auto"/>
        <w:ind w:left="5746" w:leftChars="2622" w:hanging="240" w:hangingChars="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14:paraId="2C8318F0">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14:paraId="27E5770F">
      <w:pPr>
        <w:snapToGrid w:val="0"/>
        <w:spacing w:line="360" w:lineRule="auto"/>
        <w:ind w:firstLine="5760" w:firstLineChars="2400"/>
        <w:rPr>
          <w:rFonts w:ascii="仿宋_GB2312" w:hAnsi="宋体" w:eastAsia="仿宋_GB2312" w:cs="宋体"/>
          <w:sz w:val="24"/>
          <w:szCs w:val="24"/>
        </w:rPr>
      </w:pPr>
      <w:r>
        <w:rPr>
          <w:rFonts w:hint="eastAsia" w:ascii="仿宋_GB2312" w:hAnsi="宋体" w:eastAsia="仿宋_GB2312" w:cs="宋体"/>
          <w:kern w:val="0"/>
          <w:sz w:val="24"/>
          <w:szCs w:val="24"/>
          <w:lang w:val="zh-CN"/>
        </w:rPr>
        <w:t>……</w:t>
      </w:r>
    </w:p>
    <w:p w14:paraId="51DF1EF2">
      <w:pPr>
        <w:snapToGrid w:val="0"/>
        <w:spacing w:line="360" w:lineRule="auto"/>
        <w:ind w:left="5758" w:leftChars="342" w:hanging="5040" w:hanging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日期：  年  月   日</w:t>
      </w:r>
    </w:p>
    <w:p w14:paraId="78F5B635">
      <w:pPr>
        <w:spacing w:line="540" w:lineRule="exact"/>
        <w:ind w:firstLine="482"/>
        <w:contextualSpacing/>
        <w:jc w:val="center"/>
        <w:rPr>
          <w:rFonts w:ascii="仿宋_GB2312" w:eastAsia="仿宋_GB2312"/>
          <w:b/>
          <w:sz w:val="24"/>
          <w:szCs w:val="24"/>
        </w:rPr>
      </w:pPr>
    </w:p>
    <w:p w14:paraId="106C9AF7">
      <w:pPr>
        <w:spacing w:line="540" w:lineRule="exact"/>
        <w:ind w:firstLine="482"/>
        <w:contextualSpacing/>
        <w:jc w:val="center"/>
        <w:rPr>
          <w:rFonts w:ascii="仿宋_GB2312" w:eastAsia="仿宋_GB2312"/>
          <w:b/>
          <w:sz w:val="24"/>
          <w:szCs w:val="24"/>
        </w:rPr>
      </w:pPr>
    </w:p>
    <w:p w14:paraId="64FE640C">
      <w:pPr>
        <w:spacing w:line="540" w:lineRule="exact"/>
        <w:ind w:firstLine="482"/>
        <w:contextualSpacing/>
        <w:jc w:val="center"/>
        <w:rPr>
          <w:rFonts w:ascii="仿宋_GB2312" w:eastAsia="仿宋_GB2312"/>
          <w:b/>
          <w:sz w:val="24"/>
          <w:szCs w:val="24"/>
        </w:rPr>
      </w:pPr>
    </w:p>
    <w:p w14:paraId="1B336583">
      <w:pPr>
        <w:spacing w:line="540" w:lineRule="exact"/>
        <w:ind w:firstLine="482"/>
        <w:contextualSpacing/>
        <w:jc w:val="center"/>
        <w:rPr>
          <w:rFonts w:ascii="仿宋_GB2312" w:eastAsia="仿宋_GB2312"/>
          <w:b/>
          <w:sz w:val="24"/>
          <w:szCs w:val="24"/>
        </w:rPr>
      </w:pPr>
    </w:p>
    <w:p w14:paraId="623DA7B2">
      <w:pPr>
        <w:spacing w:line="540" w:lineRule="exact"/>
        <w:ind w:firstLine="482"/>
        <w:contextualSpacing/>
        <w:jc w:val="center"/>
        <w:rPr>
          <w:rFonts w:ascii="仿宋_GB2312" w:eastAsia="仿宋_GB2312"/>
          <w:b/>
          <w:sz w:val="24"/>
          <w:szCs w:val="24"/>
        </w:rPr>
      </w:pPr>
    </w:p>
    <w:p w14:paraId="23F819AB">
      <w:pPr>
        <w:spacing w:line="540" w:lineRule="exact"/>
        <w:ind w:firstLine="482"/>
        <w:contextualSpacing/>
        <w:jc w:val="center"/>
        <w:rPr>
          <w:rFonts w:ascii="仿宋_GB2312" w:eastAsia="仿宋_GB2312"/>
          <w:b/>
          <w:sz w:val="24"/>
          <w:szCs w:val="24"/>
        </w:rPr>
      </w:pPr>
    </w:p>
    <w:p w14:paraId="17FA500E">
      <w:pPr>
        <w:spacing w:line="540" w:lineRule="exact"/>
        <w:ind w:firstLine="482"/>
        <w:contextualSpacing/>
        <w:jc w:val="center"/>
        <w:rPr>
          <w:rFonts w:ascii="仿宋_GB2312" w:eastAsia="仿宋_GB2312"/>
          <w:b/>
          <w:sz w:val="24"/>
          <w:szCs w:val="24"/>
        </w:rPr>
      </w:pPr>
    </w:p>
    <w:p w14:paraId="3B829597">
      <w:pPr>
        <w:spacing w:line="540" w:lineRule="exact"/>
        <w:ind w:firstLine="482"/>
        <w:contextualSpacing/>
        <w:jc w:val="center"/>
        <w:rPr>
          <w:rFonts w:ascii="仿宋_GB2312" w:eastAsia="仿宋_GB2312"/>
          <w:b/>
          <w:sz w:val="24"/>
          <w:szCs w:val="24"/>
        </w:rPr>
      </w:pPr>
    </w:p>
    <w:p w14:paraId="2D8461C8">
      <w:pPr>
        <w:spacing w:line="540" w:lineRule="exact"/>
        <w:ind w:firstLine="482"/>
        <w:contextualSpacing/>
        <w:jc w:val="center"/>
        <w:rPr>
          <w:rFonts w:ascii="仿宋_GB2312" w:eastAsia="仿宋_GB2312"/>
          <w:b/>
          <w:sz w:val="24"/>
          <w:szCs w:val="24"/>
        </w:rPr>
      </w:pPr>
    </w:p>
    <w:p w14:paraId="1E173D72">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政  采  贷</w:t>
      </w:r>
    </w:p>
    <w:p w14:paraId="3181AD78">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68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31F45D88">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14:paraId="7375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5CD95119">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14:paraId="3ABFA4FA">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14:paraId="5F14B228">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14:paraId="564C547A">
            <w:pPr>
              <w:spacing w:line="400" w:lineRule="exact"/>
              <w:contextualSpacing/>
              <w:jc w:val="center"/>
              <w:rPr>
                <w:rFonts w:ascii="仿宋_GB2312" w:eastAsia="仿宋_GB2312"/>
                <w:sz w:val="24"/>
              </w:rPr>
            </w:pPr>
            <w:r>
              <w:rPr>
                <w:rFonts w:hint="eastAsia" w:ascii="仿宋_GB2312" w:eastAsia="仿宋_GB2312"/>
                <w:sz w:val="24"/>
              </w:rPr>
              <w:t>联系方式</w:t>
            </w:r>
          </w:p>
        </w:tc>
      </w:tr>
      <w:tr w14:paraId="0A7E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A7FE2E6">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14:paraId="68916921">
            <w:pPr>
              <w:numPr>
                <w:ilvl w:val="0"/>
                <w:numId w:val="20"/>
              </w:num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14:paraId="2C584A0C">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14:paraId="3D9F9308">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14:paraId="33773929">
            <w:pPr>
              <w:spacing w:line="400" w:lineRule="exact"/>
              <w:contextualSpacing/>
              <w:rPr>
                <w:rFonts w:ascii="仿宋_GB2312" w:eastAsia="仿宋_GB2312"/>
                <w:sz w:val="24"/>
              </w:rPr>
            </w:pPr>
            <w:r>
              <w:rPr>
                <w:rFonts w:hint="eastAsia" w:ascii="仿宋_GB2312" w:eastAsia="仿宋_GB2312"/>
                <w:sz w:val="24"/>
              </w:rPr>
              <w:t>0580-2166242, 15858076468</w:t>
            </w:r>
          </w:p>
        </w:tc>
      </w:tr>
      <w:tr w14:paraId="169F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391F78D1">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14:paraId="440BCAF4">
            <w:pPr>
              <w:numPr>
                <w:ilvl w:val="0"/>
                <w:numId w:val="21"/>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14:paraId="2FAE8FE9">
            <w:pPr>
              <w:numPr>
                <w:ilvl w:val="0"/>
                <w:numId w:val="21"/>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14:paraId="43144CD2">
            <w:pPr>
              <w:numPr>
                <w:ilvl w:val="0"/>
                <w:numId w:val="21"/>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14:paraId="715CCBD2">
            <w:pPr>
              <w:numPr>
                <w:ilvl w:val="0"/>
                <w:numId w:val="21"/>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14:paraId="7867AEB3">
            <w:pPr>
              <w:spacing w:line="400" w:lineRule="exact"/>
              <w:contextualSpacing/>
              <w:jc w:val="center"/>
              <w:rPr>
                <w:rFonts w:ascii="仿宋_GB2312" w:eastAsia="仿宋_GB2312"/>
                <w:sz w:val="24"/>
              </w:rPr>
            </w:pPr>
            <w:r>
              <w:rPr>
                <w:rFonts w:hint="eastAsia" w:ascii="仿宋_GB2312" w:eastAsia="仿宋_GB2312"/>
                <w:sz w:val="24"/>
              </w:rPr>
              <w:t>普陀片区：蔡妮妮</w:t>
            </w:r>
          </w:p>
          <w:p w14:paraId="0CAADEA3">
            <w:pPr>
              <w:spacing w:line="400" w:lineRule="exact"/>
              <w:contextualSpacing/>
              <w:jc w:val="center"/>
              <w:rPr>
                <w:rFonts w:ascii="仿宋_GB2312" w:eastAsia="仿宋_GB2312"/>
                <w:sz w:val="24"/>
              </w:rPr>
            </w:pPr>
            <w:r>
              <w:rPr>
                <w:rFonts w:hint="eastAsia" w:ascii="仿宋_GB2312" w:eastAsia="仿宋_GB2312"/>
                <w:sz w:val="24"/>
              </w:rPr>
              <w:t>定海片区：杨莹</w:t>
            </w:r>
          </w:p>
          <w:p w14:paraId="758BA9A9">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14:paraId="29133F2F">
            <w:pPr>
              <w:spacing w:line="400" w:lineRule="exact"/>
              <w:contextualSpacing/>
              <w:rPr>
                <w:rFonts w:ascii="仿宋_GB2312" w:eastAsia="仿宋_GB2312"/>
                <w:sz w:val="24"/>
              </w:rPr>
            </w:pPr>
            <w:r>
              <w:rPr>
                <w:rFonts w:hint="eastAsia" w:ascii="仿宋_GB2312" w:eastAsia="仿宋_GB2312"/>
                <w:sz w:val="24"/>
              </w:rPr>
              <w:t>普陀片区：13957201791</w:t>
            </w:r>
          </w:p>
          <w:p w14:paraId="6B8B55FB">
            <w:pPr>
              <w:spacing w:line="400" w:lineRule="exact"/>
              <w:contextualSpacing/>
              <w:rPr>
                <w:rFonts w:ascii="仿宋_GB2312" w:eastAsia="仿宋_GB2312"/>
                <w:sz w:val="24"/>
              </w:rPr>
            </w:pPr>
            <w:r>
              <w:rPr>
                <w:rFonts w:hint="eastAsia" w:ascii="仿宋_GB2312" w:eastAsia="仿宋_GB2312"/>
                <w:sz w:val="24"/>
              </w:rPr>
              <w:t>定海片区：13655803997</w:t>
            </w:r>
          </w:p>
          <w:p w14:paraId="45707DB2">
            <w:pPr>
              <w:spacing w:line="400" w:lineRule="exact"/>
              <w:contextualSpacing/>
              <w:rPr>
                <w:rFonts w:ascii="仿宋_GB2312" w:eastAsia="仿宋_GB2312"/>
                <w:sz w:val="24"/>
              </w:rPr>
            </w:pPr>
            <w:r>
              <w:rPr>
                <w:rFonts w:hint="eastAsia" w:ascii="仿宋_GB2312" w:eastAsia="仿宋_GB2312"/>
                <w:sz w:val="24"/>
              </w:rPr>
              <w:t>自贸区片区：13587086324</w:t>
            </w:r>
          </w:p>
        </w:tc>
      </w:tr>
      <w:tr w14:paraId="1975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03AC004">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14:paraId="14330720">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790DFD7E">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14:paraId="597CA9D2">
            <w:pPr>
              <w:spacing w:line="400" w:lineRule="exact"/>
              <w:contextualSpacing/>
              <w:rPr>
                <w:rFonts w:ascii="仿宋_GB2312" w:eastAsia="仿宋_GB2312"/>
                <w:sz w:val="24"/>
              </w:rPr>
            </w:pPr>
            <w:r>
              <w:rPr>
                <w:rFonts w:hint="eastAsia" w:ascii="仿宋_GB2312" w:eastAsia="仿宋_GB2312"/>
                <w:sz w:val="24"/>
              </w:rPr>
              <w:t>0580-2185201，18205800451</w:t>
            </w:r>
          </w:p>
        </w:tc>
      </w:tr>
      <w:tr w14:paraId="6F4B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354104B">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14:paraId="2A5A3DD0">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B7B7281">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14:paraId="76ACC9DB">
            <w:pPr>
              <w:spacing w:line="400" w:lineRule="exact"/>
              <w:contextualSpacing/>
              <w:rPr>
                <w:rFonts w:ascii="仿宋_GB2312" w:eastAsia="仿宋_GB2312"/>
                <w:sz w:val="24"/>
              </w:rPr>
            </w:pPr>
            <w:r>
              <w:rPr>
                <w:rFonts w:hint="eastAsia" w:ascii="仿宋_GB2312" w:eastAsia="仿宋_GB2312"/>
                <w:sz w:val="24"/>
              </w:rPr>
              <w:t>0580-2061710，13957227971</w:t>
            </w:r>
          </w:p>
        </w:tc>
      </w:tr>
      <w:tr w14:paraId="70E2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2465C9B4">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14:paraId="1D2411FA">
            <w:pPr>
              <w:numPr>
                <w:ilvl w:val="0"/>
                <w:numId w:val="22"/>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14:paraId="1F590887">
            <w:pPr>
              <w:numPr>
                <w:ilvl w:val="0"/>
                <w:numId w:val="22"/>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14:paraId="49AED74C">
            <w:pPr>
              <w:numPr>
                <w:ilvl w:val="0"/>
                <w:numId w:val="22"/>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14:paraId="5B77A9FE">
            <w:pPr>
              <w:numPr>
                <w:ilvl w:val="0"/>
                <w:numId w:val="22"/>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14:paraId="7812F23E">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14:paraId="07A16A93">
            <w:pPr>
              <w:spacing w:line="400" w:lineRule="exact"/>
              <w:contextualSpacing/>
              <w:rPr>
                <w:rFonts w:ascii="仿宋_GB2312" w:eastAsia="仿宋_GB2312"/>
                <w:sz w:val="24"/>
              </w:rPr>
            </w:pPr>
            <w:r>
              <w:rPr>
                <w:rFonts w:hint="eastAsia" w:ascii="仿宋_GB2312" w:eastAsia="仿宋_GB2312"/>
                <w:sz w:val="24"/>
              </w:rPr>
              <w:t>0580—8866086</w:t>
            </w:r>
          </w:p>
        </w:tc>
      </w:tr>
      <w:tr w14:paraId="438A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90679EB">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14:paraId="6A90B193">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14:paraId="47A5C9BE">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14:paraId="56E00936">
            <w:pPr>
              <w:spacing w:line="400" w:lineRule="exact"/>
              <w:contextualSpacing/>
              <w:rPr>
                <w:rFonts w:ascii="仿宋_GB2312" w:eastAsia="仿宋_GB2312"/>
                <w:sz w:val="24"/>
              </w:rPr>
            </w:pPr>
            <w:r>
              <w:rPr>
                <w:rFonts w:hint="eastAsia" w:ascii="仿宋_GB2312" w:eastAsia="仿宋_GB2312"/>
                <w:sz w:val="24"/>
              </w:rPr>
              <w:t>0580-2260728</w:t>
            </w:r>
          </w:p>
          <w:p w14:paraId="4A84A3CB">
            <w:pPr>
              <w:spacing w:line="400" w:lineRule="exact"/>
              <w:contextualSpacing/>
              <w:rPr>
                <w:rFonts w:ascii="仿宋_GB2312" w:eastAsia="仿宋_GB2312"/>
                <w:sz w:val="24"/>
              </w:rPr>
            </w:pPr>
            <w:r>
              <w:rPr>
                <w:rFonts w:hint="eastAsia" w:ascii="仿宋_GB2312" w:eastAsia="仿宋_GB2312"/>
                <w:sz w:val="24"/>
              </w:rPr>
              <w:t>13758007280</w:t>
            </w:r>
          </w:p>
        </w:tc>
      </w:tr>
      <w:tr w14:paraId="2B82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47986A0">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14:paraId="13287A91">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7CC9672A">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14:paraId="265FE759">
            <w:pPr>
              <w:spacing w:line="400" w:lineRule="exact"/>
              <w:contextualSpacing/>
              <w:rPr>
                <w:rFonts w:ascii="仿宋_GB2312" w:eastAsia="仿宋_GB2312"/>
                <w:sz w:val="24"/>
              </w:rPr>
            </w:pPr>
            <w:r>
              <w:rPr>
                <w:rFonts w:hint="eastAsia" w:ascii="仿宋_GB2312" w:eastAsia="仿宋_GB2312"/>
                <w:sz w:val="24"/>
              </w:rPr>
              <w:t>13905808032</w:t>
            </w:r>
          </w:p>
        </w:tc>
      </w:tr>
      <w:tr w14:paraId="60CC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853A996">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14:paraId="4ABB9871">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0CDA8E6B">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14:paraId="6AC11C66">
            <w:pPr>
              <w:spacing w:line="400" w:lineRule="exact"/>
              <w:contextualSpacing/>
              <w:rPr>
                <w:rFonts w:ascii="仿宋_GB2312" w:eastAsia="仿宋_GB2312"/>
                <w:sz w:val="24"/>
              </w:rPr>
            </w:pPr>
            <w:r>
              <w:rPr>
                <w:rFonts w:hint="eastAsia" w:ascii="仿宋_GB2312" w:eastAsia="仿宋_GB2312"/>
                <w:sz w:val="24"/>
              </w:rPr>
              <w:t>17605868703</w:t>
            </w:r>
          </w:p>
        </w:tc>
      </w:tr>
      <w:tr w14:paraId="418E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41DAF7B">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14:paraId="4C33CD15">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4B1A03D">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14:paraId="3FE219E9">
            <w:pPr>
              <w:spacing w:line="400" w:lineRule="exact"/>
              <w:contextualSpacing/>
              <w:jc w:val="center"/>
              <w:rPr>
                <w:rFonts w:ascii="仿宋_GB2312" w:eastAsia="仿宋_GB2312"/>
                <w:sz w:val="24"/>
              </w:rPr>
            </w:pPr>
            <w:r>
              <w:rPr>
                <w:rFonts w:hint="eastAsia" w:ascii="仿宋_GB2312" w:eastAsia="仿宋_GB2312"/>
                <w:sz w:val="24"/>
              </w:rPr>
              <w:t>13967228926</w:t>
            </w:r>
          </w:p>
        </w:tc>
      </w:tr>
      <w:tr w14:paraId="0C46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C5CCBE2">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14:paraId="2402F9F7">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14:paraId="2D3122A1">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14:paraId="136FF8B4">
            <w:pPr>
              <w:spacing w:line="400" w:lineRule="exact"/>
              <w:contextualSpacing/>
              <w:rPr>
                <w:rFonts w:ascii="仿宋_GB2312" w:eastAsia="仿宋_GB2312"/>
                <w:sz w:val="24"/>
              </w:rPr>
            </w:pPr>
            <w:r>
              <w:rPr>
                <w:rFonts w:hint="eastAsia" w:ascii="仿宋_GB2312" w:eastAsia="仿宋_GB2312"/>
                <w:sz w:val="24"/>
              </w:rPr>
              <w:t>13732527321</w:t>
            </w:r>
          </w:p>
        </w:tc>
      </w:tr>
    </w:tbl>
    <w:p w14:paraId="75CC6392">
      <w:pPr>
        <w:spacing w:line="360" w:lineRule="auto"/>
        <w:contextualSpacing/>
        <w:rPr>
          <w:rFonts w:ascii="仿宋_GB2312" w:eastAsia="仿宋_GB2312"/>
          <w:sz w:val="24"/>
        </w:rPr>
      </w:pPr>
      <w:r>
        <w:rPr>
          <w:rFonts w:hint="eastAsia" w:ascii="仿宋_GB2312" w:eastAsia="仿宋_GB2312"/>
          <w:sz w:val="24"/>
        </w:rPr>
        <w:t>1. 一般步骤</w:t>
      </w:r>
    </w:p>
    <w:p w14:paraId="118C3C6C">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14:paraId="0501D05D">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14:paraId="0CC6BA23">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14:paraId="39C5F12C">
      <w:pPr>
        <w:spacing w:line="360" w:lineRule="auto"/>
        <w:contextualSpacing/>
        <w:rPr>
          <w:rFonts w:ascii="仿宋_GB2312" w:eastAsia="仿宋_GB2312"/>
          <w:sz w:val="24"/>
        </w:rPr>
      </w:pPr>
      <w:r>
        <w:rPr>
          <w:rFonts w:hint="eastAsia" w:ascii="仿宋_GB2312" w:eastAsia="仿宋_GB2312"/>
          <w:sz w:val="24"/>
        </w:rPr>
        <w:t>2. 注意事项</w:t>
      </w:r>
    </w:p>
    <w:p w14:paraId="6F0BA534">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14:paraId="26793D1D">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14:paraId="67C50E2B">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20174A07">
      <w:pPr>
        <w:pStyle w:val="2"/>
      </w:pPr>
    </w:p>
    <w:sectPr>
      <w:footerReference r:id="rId1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
    <w:altName w:val="Arial Unicode MS"/>
    <w:panose1 w:val="020B0604020202020204"/>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6"/>
    </w:sdtPr>
    <w:sdtContent>
      <w:p w14:paraId="56610EE4">
        <w:pPr>
          <w:pStyle w:val="9"/>
          <w:jc w:val="center"/>
        </w:pPr>
        <w:r>
          <w:fldChar w:fldCharType="begin"/>
        </w:r>
        <w:r>
          <w:instrText xml:space="preserve"> PAGE   \* MERGEFORMAT </w:instrText>
        </w:r>
        <w:r>
          <w:fldChar w:fldCharType="separate"/>
        </w:r>
        <w:r>
          <w:rPr>
            <w:lang w:val="zh-CN"/>
          </w:rPr>
          <w:t>23</w:t>
        </w:r>
        <w:r>
          <w:rPr>
            <w:lang w:val="zh-CN"/>
          </w:rPr>
          <w:fldChar w:fldCharType="end"/>
        </w:r>
      </w:p>
    </w:sdtContent>
  </w:sdt>
  <w:p w14:paraId="684E337F">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2"/>
    </w:sdtPr>
    <w:sdtContent>
      <w:p w14:paraId="7CFA94A4">
        <w:pPr>
          <w:pStyle w:val="9"/>
          <w:jc w:val="center"/>
        </w:pPr>
        <w:r>
          <w:fldChar w:fldCharType="begin"/>
        </w:r>
        <w:r>
          <w:instrText xml:space="preserve"> PAGE   \* MERGEFORMAT </w:instrText>
        </w:r>
        <w:r>
          <w:fldChar w:fldCharType="separate"/>
        </w:r>
        <w:r>
          <w:rPr>
            <w:lang w:val="zh-CN"/>
          </w:rPr>
          <w:t>64</w:t>
        </w:r>
        <w:r>
          <w:rPr>
            <w:lang w:val="zh-CN"/>
          </w:rPr>
          <w:fldChar w:fldCharType="end"/>
        </w:r>
      </w:p>
    </w:sdtContent>
  </w:sdt>
  <w:p w14:paraId="6D20916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3E1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42F18">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142F18">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0B230">
    <w:r>
      <w:fldChar w:fldCharType="begin"/>
    </w:r>
    <w:r>
      <w:instrText xml:space="preserve">PAGE  </w:instrText>
    </w:r>
    <w:r>
      <w:fldChar w:fldCharType="end"/>
    </w:r>
  </w:p>
  <w:p w14:paraId="39508A5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7"/>
    </w:sdtPr>
    <w:sdtContent>
      <w:p w14:paraId="5DD79221">
        <w:pPr>
          <w:pStyle w:val="9"/>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818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0EA95">
    <w:pPr>
      <w:pStyle w:val="9"/>
      <w:jc w:val="center"/>
    </w:pPr>
    <w:r>
      <w:rPr>
        <w:b/>
        <w:sz w:val="24"/>
        <w:szCs w:val="24"/>
      </w:rPr>
      <w:fldChar w:fldCharType="begin"/>
    </w:r>
    <w:r>
      <w:rPr>
        <w:b/>
      </w:rPr>
      <w:instrText xml:space="preserve">PAGE</w:instrText>
    </w:r>
    <w:r>
      <w:rPr>
        <w:b/>
        <w:sz w:val="24"/>
        <w:szCs w:val="24"/>
      </w:rPr>
      <w:fldChar w:fldCharType="separate"/>
    </w:r>
    <w:r>
      <w:rPr>
        <w:b/>
      </w:rPr>
      <w:t>59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111</w:t>
    </w:r>
    <w:r>
      <w:rPr>
        <w:b/>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7608">
    <w:pPr>
      <w:pStyle w:val="9"/>
      <w:tabs>
        <w:tab w:val="right" w:pos="9070"/>
      </w:tabs>
      <w:jc w:val="center"/>
    </w:pPr>
    <w:r>
      <w:rPr>
        <w:b/>
        <w:sz w:val="24"/>
        <w:szCs w:val="24"/>
      </w:rPr>
      <w:fldChar w:fldCharType="begin"/>
    </w:r>
    <w:r>
      <w:rPr>
        <w:b/>
      </w:rPr>
      <w:instrText xml:space="preserve">PAGE</w:instrText>
    </w:r>
    <w:r>
      <w:rPr>
        <w:b/>
        <w:sz w:val="24"/>
        <w:szCs w:val="24"/>
      </w:rPr>
      <w:fldChar w:fldCharType="separate"/>
    </w:r>
    <w:r>
      <w:rPr>
        <w:b/>
      </w:rPr>
      <w:t>75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111</w:t>
    </w:r>
    <w:r>
      <w:rPr>
        <w:b/>
        <w:sz w:val="24"/>
        <w:szCs w:val="24"/>
      </w:rPr>
      <w:fldChar w:fldCharType="end"/>
    </w:r>
  </w:p>
  <w:p w14:paraId="59B26F27">
    <w:pPr>
      <w:pStyle w:val="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9"/>
    </w:sdtPr>
    <w:sdtContent>
      <w:p w14:paraId="27EAD82E">
        <w:pPr>
          <w:pStyle w:val="9"/>
          <w:jc w:val="center"/>
        </w:pPr>
        <w:r>
          <w:fldChar w:fldCharType="begin"/>
        </w:r>
        <w:r>
          <w:instrText xml:space="preserve"> PAGE   \* MERGEFORMAT </w:instrText>
        </w:r>
        <w:r>
          <w:fldChar w:fldCharType="separate"/>
        </w:r>
        <w:r>
          <w:rPr>
            <w:lang w:val="zh-CN"/>
          </w:rPr>
          <w:t>43</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0"/>
    </w:sdtPr>
    <w:sdtContent>
      <w:p w14:paraId="16B7D986">
        <w:pPr>
          <w:pStyle w:val="9"/>
          <w:jc w:val="center"/>
        </w:pPr>
        <w:r>
          <w:fldChar w:fldCharType="begin"/>
        </w:r>
        <w:r>
          <w:instrText xml:space="preserve"> PAGE   \* MERGEFORMAT </w:instrText>
        </w:r>
        <w:r>
          <w:fldChar w:fldCharType="separate"/>
        </w:r>
        <w:r>
          <w:rPr>
            <w:lang w:val="zh-CN"/>
          </w:rPr>
          <w:t>36</w:t>
        </w:r>
        <w:r>
          <w:rPr>
            <w:lang w:val="zh-CN"/>
          </w:rPr>
          <w:fldChar w:fldCharType="end"/>
        </w:r>
      </w:p>
    </w:sdtContent>
  </w:sdt>
  <w:p w14:paraId="1E99F85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1"/>
    </w:sdtPr>
    <w:sdtContent>
      <w:p w14:paraId="50F1CC31">
        <w:pPr>
          <w:pStyle w:val="9"/>
          <w:jc w:val="center"/>
        </w:pPr>
        <w:r>
          <w:fldChar w:fldCharType="begin"/>
        </w:r>
        <w:r>
          <w:instrText xml:space="preserve"> PAGE   \* MERGEFORMAT </w:instrText>
        </w:r>
        <w:r>
          <w:fldChar w:fldCharType="separate"/>
        </w:r>
        <w:r>
          <w:rPr>
            <w:lang w:val="zh-CN"/>
          </w:rPr>
          <w:t>67</w:t>
        </w:r>
        <w:r>
          <w:rPr>
            <w:lang w:val="zh-CN"/>
          </w:rPr>
          <w:fldChar w:fldCharType="end"/>
        </w:r>
      </w:p>
    </w:sdtContent>
  </w:sdt>
  <w:p w14:paraId="64CE779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2DB93">
    <w:r>
      <w:t></w:t>
    </w:r>
  </w:p>
  <w:p w14:paraId="6838B2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5D29">
    <w:pPr>
      <w:pStyle w:val="10"/>
      <w:tabs>
        <w:tab w:val="right" w:pos="8279"/>
        <w:tab w:val="clear" w:pos="8306"/>
      </w:tabs>
      <w:jc w:val="right"/>
    </w:pPr>
    <w:r>
      <w:rPr>
        <w:rFonts w:hint="eastAsia"/>
        <w:lang w:val="zh-CN"/>
      </w:rPr>
      <w:t xml:space="preserve"> </w:t>
    </w:r>
    <w:r>
      <w:tab/>
    </w:r>
    <w:r>
      <w:rPr>
        <w:rFonts w:hint="eastAsia"/>
        <w:lang w:val="zh-CN"/>
      </w:rP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7591">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BD330">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F9E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89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2E77B"/>
    <w:multiLevelType w:val="singleLevel"/>
    <w:tmpl w:val="8102E77B"/>
    <w:lvl w:ilvl="0" w:tentative="0">
      <w:start w:val="2"/>
      <w:numFmt w:val="chineseCounting"/>
      <w:lvlText w:val="第%1章"/>
      <w:lvlJc w:val="left"/>
      <w:rPr>
        <w:rFonts w:hint="eastAsia"/>
      </w:rPr>
    </w:lvl>
  </w:abstractNum>
  <w:abstractNum w:abstractNumId="1">
    <w:nsid w:val="BFE6B24F"/>
    <w:multiLevelType w:val="singleLevel"/>
    <w:tmpl w:val="BFE6B24F"/>
    <w:lvl w:ilvl="0" w:tentative="0">
      <w:start w:val="1"/>
      <w:numFmt w:val="chineseCounting"/>
      <w:suff w:val="nothing"/>
      <w:lvlText w:val="%1、"/>
      <w:lvlJc w:val="left"/>
      <w:rPr>
        <w:rFonts w:hint="eastAsia"/>
      </w:rPr>
    </w:lvl>
  </w:abstractNum>
  <w:abstractNum w:abstractNumId="2">
    <w:nsid w:val="01960A07"/>
    <w:multiLevelType w:val="multilevel"/>
    <w:tmpl w:val="01960A07"/>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1F1CCF"/>
    <w:multiLevelType w:val="multilevel"/>
    <w:tmpl w:val="021F1CCF"/>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1F75C4"/>
    <w:multiLevelType w:val="multilevel"/>
    <w:tmpl w:val="031F75C4"/>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18023CE2"/>
    <w:multiLevelType w:val="multilevel"/>
    <w:tmpl w:val="18023CE2"/>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744EA5"/>
    <w:multiLevelType w:val="multilevel"/>
    <w:tmpl w:val="18744EA5"/>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9693563"/>
    <w:multiLevelType w:val="singleLevel"/>
    <w:tmpl w:val="19693563"/>
    <w:lvl w:ilvl="0" w:tentative="0">
      <w:start w:val="1"/>
      <w:numFmt w:val="decimal"/>
      <w:suff w:val="nothing"/>
      <w:lvlText w:val="（%1）"/>
      <w:lvlJc w:val="left"/>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3356193E"/>
    <w:multiLevelType w:val="multilevel"/>
    <w:tmpl w:val="3356193E"/>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051396"/>
    <w:multiLevelType w:val="multilevel"/>
    <w:tmpl w:val="3E051396"/>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0E67998"/>
    <w:multiLevelType w:val="multilevel"/>
    <w:tmpl w:val="40E67998"/>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7A747C"/>
    <w:multiLevelType w:val="multilevel"/>
    <w:tmpl w:val="467A747C"/>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82D19F2"/>
    <w:multiLevelType w:val="multilevel"/>
    <w:tmpl w:val="482D19F2"/>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CD8470B"/>
    <w:multiLevelType w:val="multilevel"/>
    <w:tmpl w:val="4CD8470B"/>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DD4552D"/>
    <w:multiLevelType w:val="singleLevel"/>
    <w:tmpl w:val="4DD4552D"/>
    <w:lvl w:ilvl="0" w:tentative="0">
      <w:start w:val="1"/>
      <w:numFmt w:val="decimal"/>
      <w:lvlText w:val="%1."/>
      <w:lvlJc w:val="left"/>
      <w:pPr>
        <w:tabs>
          <w:tab w:val="left" w:pos="312"/>
        </w:tabs>
      </w:pPr>
    </w:lvl>
  </w:abstractNum>
  <w:abstractNum w:abstractNumId="18">
    <w:nsid w:val="5BB975C8"/>
    <w:multiLevelType w:val="singleLevel"/>
    <w:tmpl w:val="5BB975C8"/>
    <w:lvl w:ilvl="0" w:tentative="0">
      <w:start w:val="3"/>
      <w:numFmt w:val="chineseCounting"/>
      <w:suff w:val="space"/>
      <w:lvlText w:val="第%1部分"/>
      <w:lvlJc w:val="left"/>
      <w:rPr>
        <w:rFonts w:hint="eastAsia"/>
      </w:rPr>
    </w:lvl>
  </w:abstractNum>
  <w:abstractNum w:abstractNumId="19">
    <w:nsid w:val="5DB81608"/>
    <w:multiLevelType w:val="multilevel"/>
    <w:tmpl w:val="5DB81608"/>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8384855"/>
    <w:multiLevelType w:val="multilevel"/>
    <w:tmpl w:val="78384855"/>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B02B45"/>
    <w:multiLevelType w:val="multilevel"/>
    <w:tmpl w:val="7DB02B45"/>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1"/>
  </w:num>
  <w:num w:numId="3">
    <w:abstractNumId w:val="12"/>
  </w:num>
  <w:num w:numId="4">
    <w:abstractNumId w:val="15"/>
  </w:num>
  <w:num w:numId="5">
    <w:abstractNumId w:val="10"/>
  </w:num>
  <w:num w:numId="6">
    <w:abstractNumId w:val="3"/>
  </w:num>
  <w:num w:numId="7">
    <w:abstractNumId w:val="16"/>
  </w:num>
  <w:num w:numId="8">
    <w:abstractNumId w:val="13"/>
  </w:num>
  <w:num w:numId="9">
    <w:abstractNumId w:val="6"/>
  </w:num>
  <w:num w:numId="10">
    <w:abstractNumId w:val="2"/>
  </w:num>
  <w:num w:numId="11">
    <w:abstractNumId w:val="4"/>
  </w:num>
  <w:num w:numId="12">
    <w:abstractNumId w:val="20"/>
  </w:num>
  <w:num w:numId="13">
    <w:abstractNumId w:val="19"/>
  </w:num>
  <w:num w:numId="14">
    <w:abstractNumId w:val="7"/>
  </w:num>
  <w:num w:numId="15">
    <w:abstractNumId w:val="14"/>
  </w:num>
  <w:num w:numId="16">
    <w:abstractNumId w:val="21"/>
  </w:num>
  <w:num w:numId="17">
    <w:abstractNumId w:val="0"/>
  </w:num>
  <w:num w:numId="18">
    <w:abstractNumId w:val="11"/>
  </w:num>
  <w:num w:numId="19">
    <w:abstractNumId w:val="8"/>
  </w:num>
  <w:num w:numId="20">
    <w:abstractNumId w:val="9"/>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74DC7"/>
    <w:rsid w:val="0FCE0383"/>
    <w:rsid w:val="10007008"/>
    <w:rsid w:val="15AD4B6F"/>
    <w:rsid w:val="21CA1E1B"/>
    <w:rsid w:val="2AA83972"/>
    <w:rsid w:val="38191781"/>
    <w:rsid w:val="3FF01D24"/>
    <w:rsid w:val="41F7549C"/>
    <w:rsid w:val="42083905"/>
    <w:rsid w:val="4BEC0025"/>
    <w:rsid w:val="59B943D0"/>
    <w:rsid w:val="65223F0D"/>
    <w:rsid w:val="68524853"/>
    <w:rsid w:val="75BD084D"/>
    <w:rsid w:val="7E111207"/>
    <w:rsid w:val="7E7D48FC"/>
    <w:rsid w:val="7EE43EE4"/>
    <w:rsid w:val="EFFBAF9E"/>
    <w:rsid w:val="F7F3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2" w:lineRule="auto"/>
      <w:outlineLvl w:val="1"/>
    </w:pPr>
    <w:rPr>
      <w:rFonts w:ascii="Arial" w:hAnsi="Arial" w:eastAsia="宋体" w:cs="Times New Roman"/>
      <w:b/>
      <w:sz w:val="32"/>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sz w:val="24"/>
    </w:rPr>
  </w:style>
  <w:style w:type="paragraph" w:styleId="5">
    <w:name w:val="Normal Indent"/>
    <w:basedOn w:val="1"/>
    <w:qFormat/>
    <w:uiPriority w:val="0"/>
    <w:pPr>
      <w:ind w:firstLine="420"/>
    </w:pPr>
    <w:rPr>
      <w:rFonts w:eastAsia="宋体"/>
    </w:rPr>
  </w:style>
  <w:style w:type="paragraph" w:styleId="6">
    <w:name w:val="caption"/>
    <w:basedOn w:val="1"/>
    <w:next w:val="1"/>
    <w:semiHidden/>
    <w:unhideWhenUsed/>
    <w:qFormat/>
    <w:uiPriority w:val="0"/>
    <w:pPr>
      <w:spacing w:before="152" w:after="160"/>
    </w:pPr>
    <w:rPr>
      <w:rFonts w:ascii="Arial" w:hAnsi="Arial" w:eastAsia="黑体" w:cs="Arial"/>
      <w:sz w:val="20"/>
      <w:szCs w:val="20"/>
    </w:rPr>
  </w:style>
  <w:style w:type="paragraph" w:styleId="7">
    <w:name w:val="Body Text"/>
    <w:basedOn w:val="1"/>
    <w:next w:val="8"/>
    <w:unhideWhenUsed/>
    <w:qFormat/>
    <w:uiPriority w:val="0"/>
    <w:pPr>
      <w:spacing w:after="120"/>
    </w:pPr>
  </w:style>
  <w:style w:type="paragraph" w:styleId="8">
    <w:name w:val="Subtitle"/>
    <w:basedOn w:val="1"/>
    <w:next w:val="1"/>
    <w:qFormat/>
    <w:uiPriority w:val="11"/>
    <w:pPr>
      <w:adjustRightInd w:val="0"/>
      <w:snapToGrid w:val="0"/>
      <w:spacing w:before="240" w:after="480"/>
      <w:jc w:val="center"/>
    </w:pPr>
    <w:rPr>
      <w:rFonts w:ascii="Arial" w:hAnsi="Arial" w:eastAsia="隶书"/>
      <w:b/>
      <w:bCs/>
      <w:kern w:val="28"/>
      <w:sz w:val="44"/>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spacing w:before="120" w:after="120"/>
      <w:jc w:val="left"/>
    </w:pPr>
    <w:rPr>
      <w:b/>
      <w:bCs/>
      <w:caps/>
      <w:szCs w:val="24"/>
    </w:rPr>
  </w:style>
  <w:style w:type="paragraph" w:styleId="12">
    <w:name w:val="Body Text 2"/>
    <w:basedOn w:val="1"/>
    <w:qFormat/>
    <w:uiPriority w:val="0"/>
    <w:pPr>
      <w:spacing w:line="480" w:lineRule="auto"/>
    </w:pPr>
  </w:style>
  <w:style w:type="paragraph" w:styleId="13">
    <w:name w:val="Normal (Web)"/>
    <w:basedOn w:val="1"/>
    <w:next w:val="6"/>
    <w:unhideWhenUsed/>
    <w:qFormat/>
    <w:uiPriority w:val="99"/>
    <w:pPr>
      <w:spacing w:beforeAutospacing="1" w:afterAutospacing="1"/>
      <w:jc w:val="left"/>
    </w:pPr>
    <w:rPr>
      <w:rFonts w:cs="Times New Roman"/>
      <w:kern w:val="0"/>
      <w:sz w:val="24"/>
    </w:rPr>
  </w:style>
  <w:style w:type="paragraph" w:styleId="14">
    <w:name w:val="Body Text First Indent"/>
    <w:basedOn w:val="7"/>
    <w:next w:val="1"/>
    <w:qFormat/>
    <w:uiPriority w:val="0"/>
    <w:pPr>
      <w:widowControl/>
      <w:ind w:firstLine="240" w:firstLineChars="100"/>
      <w:jc w:val="left"/>
    </w:pPr>
    <w:rPr>
      <w:rFonts w:ascii="仿宋_GB2312" w:hAnsi="仿宋_GB2312" w:eastAsia="仿宋_GB2312" w:cs="仿宋_GB2312"/>
      <w:color w:val="000000" w:themeColor="text1"/>
      <w:kern w:val="0"/>
      <w:sz w:val="24"/>
      <w:szCs w:val="24"/>
      <w:lang w:bidi="en-US"/>
      <w14:textFill>
        <w14:solidFill>
          <w14:schemeClr w14:val="tx1"/>
        </w14:solidFill>
      </w14:textFill>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styleId="19">
    <w:name w:val="List Paragraph"/>
    <w:basedOn w:val="1"/>
    <w:qFormat/>
    <w:uiPriority w:val="0"/>
    <w:pPr>
      <w:ind w:firstLine="420" w:firstLineChars="200"/>
    </w:pPr>
    <w:rPr>
      <w:rFonts w:ascii="Times New Roman" w:hAnsi="Times New Roman" w:eastAsia="宋体" w:cs="Times New Roman"/>
      <w:szCs w:val="20"/>
    </w:rPr>
  </w:style>
  <w:style w:type="paragraph" w:customStyle="1" w:styleId="20">
    <w:name w:val="*正文"/>
    <w:basedOn w:val="1"/>
    <w:qFormat/>
    <w:uiPriority w:val="0"/>
    <w:pPr>
      <w:widowControl/>
      <w:spacing w:line="360" w:lineRule="auto"/>
      <w:ind w:firstLine="200" w:firstLineChars="200"/>
      <w:contextualSpacing/>
    </w:pPr>
    <w:rPr>
      <w:rFonts w:ascii="Time" w:hAnsi="Time"/>
      <w:szCs w:val="24"/>
      <w:lang w:val="zh-CN" w:bidi="en-US"/>
    </w:rPr>
  </w:style>
  <w:style w:type="paragraph" w:customStyle="1" w:styleId="21">
    <w:name w:val="表格文字"/>
    <w:basedOn w:val="1"/>
    <w:next w:val="7"/>
    <w:qFormat/>
    <w:uiPriority w:val="0"/>
    <w:pPr>
      <w:ind w:firstLine="200" w:firstLineChars="200"/>
    </w:pPr>
    <w:rPr>
      <w:rFonts w:ascii="Arial" w:hAnsi="Arial" w:eastAsia="宋体" w:cs="Times New Roman"/>
      <w:spacing w:val="-5"/>
      <w:kern w:val="0"/>
      <w:sz w:val="24"/>
      <w:szCs w:val="20"/>
    </w:rPr>
  </w:style>
  <w:style w:type="paragraph" w:customStyle="1" w:styleId="22">
    <w:name w:val="正文缩进1"/>
    <w:basedOn w:val="1"/>
    <w:next w:val="2"/>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23">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paragraph" w:customStyle="1" w:styleId="24">
    <w:name w:val="样式1"/>
    <w:basedOn w:val="1"/>
    <w:qFormat/>
    <w:uiPriority w:val="0"/>
    <w:pPr>
      <w:ind w:left="161" w:leftChars="67" w:firstLine="566" w:firstLineChars="236"/>
    </w:pPr>
    <w:rPr>
      <w:rFonts w:ascii="宋体" w:hAnsi="宋体"/>
      <w:sz w:val="24"/>
      <w:szCs w:val="24"/>
    </w:rPr>
  </w:style>
  <w:style w:type="paragraph" w:customStyle="1" w:styleId="2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59</Words>
  <Characters>87</Characters>
  <Lines>0</Lines>
  <Paragraphs>0</Paragraphs>
  <TotalTime>61</TotalTime>
  <ScaleCrop>false</ScaleCrop>
  <LinksUpToDate>false</LinksUpToDate>
  <CharactersWithSpaces>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2025-05-22T08:15:00Z</dcterms:created>
  <dc:creator>Administrator</dc:creator>
  <cp:lastModifiedBy>舟</cp:lastModifiedBy>
  <dcterms:modified xsi:type="dcterms:W3CDTF">2025-05-29T02:29:47Z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E52391F49503CBD262802E684C8728D5</vt:lpwstr>
  </property>
  <property fmtid="{D5CDD505-2E9C-101B-9397-08002B2CF9AE}" pid="4" name="KSOTemplateDocerSaveRecord">
    <vt:lpwstr>eyJoZGlkIjoiMGE5ZWNiYzNhN2IxZWMzOTRiOWU4N2NiNGRhMDYwY2YiLCJ1c2VySWQiOiIxMDI0NDY4OTUwIn0=</vt:lpwstr>
  </property>
</Properties>
</file>